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4281" w14:textId="77777777" w:rsidR="00D62778" w:rsidRPr="00F96F23" w:rsidRDefault="00D62778" w:rsidP="00F96F23">
      <w:pPr>
        <w:pStyle w:val="TYTDZOZNoznaczenietytuulubdziau"/>
        <w:rPr>
          <w:rStyle w:val="Ppogrubienie"/>
          <w:rFonts w:ascii="Times New Roman" w:hAnsi="Times New Roman" w:cs="Times New Roman"/>
          <w:b w:val="0"/>
          <w:bCs w:val="0"/>
          <w:color w:val="000000" w:themeColor="text1"/>
        </w:rPr>
      </w:pPr>
      <w:r w:rsidRPr="00F96F23">
        <w:rPr>
          <w:rStyle w:val="Ppogrubienie"/>
          <w:rFonts w:ascii="Times New Roman" w:hAnsi="Times New Roman" w:cs="Times New Roman"/>
          <w:b w:val="0"/>
          <w:bCs w:val="0"/>
          <w:color w:val="000000" w:themeColor="text1"/>
        </w:rPr>
        <w:t>UZASADNIENIE</w:t>
      </w:r>
    </w:p>
    <w:p w14:paraId="2842EA49" w14:textId="6514B46F" w:rsidR="00DC2B55" w:rsidRPr="004B2C13" w:rsidRDefault="00996F0B" w:rsidP="003147D4">
      <w:pPr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6E017C" w:rsidRPr="004B2C13">
        <w:rPr>
          <w:color w:val="000000" w:themeColor="text1"/>
        </w:rPr>
        <w:t xml:space="preserve">rojekt ustawy o zmianie </w:t>
      </w:r>
      <w:r w:rsidR="00ED1F7C" w:rsidRPr="004B2C13">
        <w:rPr>
          <w:rFonts w:cs="Times New Roman"/>
          <w:color w:val="000000" w:themeColor="text1"/>
        </w:rPr>
        <w:t xml:space="preserve">ustawy o rehabilitacji zawodowej i społecznej oraz zatrudnianiu osób niepełnosprawnych </w:t>
      </w:r>
      <w:r>
        <w:rPr>
          <w:rFonts w:cs="Times New Roman"/>
          <w:color w:val="000000" w:themeColor="text1"/>
        </w:rPr>
        <w:t>ma na celu</w:t>
      </w:r>
      <w:r w:rsidR="006E017C" w:rsidRPr="004B2C13">
        <w:rPr>
          <w:color w:val="000000" w:themeColor="text1"/>
        </w:rPr>
        <w:t xml:space="preserve"> podniesienie wysokości miesięcznego dofinansowania do wynagrodze</w:t>
      </w:r>
      <w:r w:rsidR="00F60E8F" w:rsidRPr="004B2C13">
        <w:rPr>
          <w:color w:val="000000" w:themeColor="text1"/>
        </w:rPr>
        <w:t>ń</w:t>
      </w:r>
      <w:r w:rsidR="006E017C" w:rsidRPr="004B2C13">
        <w:rPr>
          <w:color w:val="000000" w:themeColor="text1"/>
        </w:rPr>
        <w:t xml:space="preserve"> pracownik</w:t>
      </w:r>
      <w:r w:rsidR="00F60E8F" w:rsidRPr="004B2C13">
        <w:rPr>
          <w:color w:val="000000" w:themeColor="text1"/>
        </w:rPr>
        <w:t>ów</w:t>
      </w:r>
      <w:r w:rsidR="006E017C" w:rsidRPr="004B2C13">
        <w:rPr>
          <w:color w:val="000000" w:themeColor="text1"/>
        </w:rPr>
        <w:t xml:space="preserve"> niepełnosprawn</w:t>
      </w:r>
      <w:r w:rsidR="00F60E8F" w:rsidRPr="004B2C13">
        <w:rPr>
          <w:color w:val="000000" w:themeColor="text1"/>
        </w:rPr>
        <w:t>ych,</w:t>
      </w:r>
      <w:r w:rsidR="006E017C" w:rsidRPr="004B2C13">
        <w:rPr>
          <w:color w:val="000000" w:themeColor="text1"/>
        </w:rPr>
        <w:t xml:space="preserve"> finansowanego ze środków Państwowego Funduszu Rehabilitacji Osób Niepełnosprawnych, </w:t>
      </w:r>
      <w:r w:rsidR="00F60E8F" w:rsidRPr="004B2C13">
        <w:rPr>
          <w:color w:val="000000" w:themeColor="text1"/>
        </w:rPr>
        <w:t xml:space="preserve">zwanego </w:t>
      </w:r>
      <w:r w:rsidR="006E017C" w:rsidRPr="004B2C13">
        <w:rPr>
          <w:color w:val="000000" w:themeColor="text1"/>
        </w:rPr>
        <w:t>dalej</w:t>
      </w:r>
      <w:r w:rsidR="00246E86" w:rsidRPr="004B2C13">
        <w:rPr>
          <w:color w:val="000000" w:themeColor="text1"/>
        </w:rPr>
        <w:t xml:space="preserve"> </w:t>
      </w:r>
      <w:r w:rsidR="006E017C" w:rsidRPr="004B2C13">
        <w:rPr>
          <w:color w:val="000000" w:themeColor="text1"/>
        </w:rPr>
        <w:t>„PFRON</w:t>
      </w:r>
      <w:r w:rsidR="00BB7E18" w:rsidRPr="004B2C13">
        <w:rPr>
          <w:color w:val="000000" w:themeColor="text1"/>
        </w:rPr>
        <w:t>”</w:t>
      </w:r>
      <w:r w:rsidR="006E017C" w:rsidRPr="004B2C13">
        <w:rPr>
          <w:color w:val="000000" w:themeColor="text1"/>
        </w:rPr>
        <w:t>, jak również zmian</w:t>
      </w:r>
      <w:r>
        <w:rPr>
          <w:color w:val="000000" w:themeColor="text1"/>
        </w:rPr>
        <w:t>ę</w:t>
      </w:r>
      <w:r w:rsidR="006E017C" w:rsidRPr="004B2C13">
        <w:rPr>
          <w:color w:val="000000" w:themeColor="text1"/>
        </w:rPr>
        <w:t xml:space="preserve"> </w:t>
      </w:r>
      <w:r w:rsidR="00917065">
        <w:rPr>
          <w:color w:val="000000" w:themeColor="text1"/>
        </w:rPr>
        <w:t xml:space="preserve">poziomu finansowania zadania z </w:t>
      </w:r>
      <w:r w:rsidR="006E017C" w:rsidRPr="004B2C13">
        <w:rPr>
          <w:color w:val="000000" w:themeColor="text1"/>
        </w:rPr>
        <w:t>dotacji celowej z budżetu państwa na realizację tego zadania.</w:t>
      </w:r>
    </w:p>
    <w:p w14:paraId="2A22C6E4" w14:textId="081F6D10" w:rsidR="002618FF" w:rsidRPr="004B2C13" w:rsidRDefault="006E017C" w:rsidP="00F96F23">
      <w:pPr>
        <w:spacing w:before="120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 xml:space="preserve">Od 2022 r. w Polsce minimalne wynagrodzenie </w:t>
      </w:r>
      <w:r w:rsidR="00DC2B55" w:rsidRPr="004B2C13">
        <w:rPr>
          <w:color w:val="000000" w:themeColor="text1"/>
        </w:rPr>
        <w:t xml:space="preserve">znacząco </w:t>
      </w:r>
      <w:r w:rsidRPr="004B2C13">
        <w:rPr>
          <w:color w:val="000000" w:themeColor="text1"/>
        </w:rPr>
        <w:t xml:space="preserve">wzrosło </w:t>
      </w:r>
      <w:r w:rsidR="00C022D4" w:rsidRPr="004B2C13">
        <w:rPr>
          <w:color w:val="000000" w:themeColor="text1"/>
        </w:rPr>
        <w:t>–</w:t>
      </w:r>
      <w:r w:rsidRPr="004B2C13">
        <w:rPr>
          <w:color w:val="000000" w:themeColor="text1"/>
        </w:rPr>
        <w:t xml:space="preserve"> od </w:t>
      </w:r>
      <w:r w:rsidR="00F60E8F" w:rsidRPr="004B2C13">
        <w:rPr>
          <w:color w:val="000000" w:themeColor="text1"/>
        </w:rPr>
        <w:t xml:space="preserve">kwoty </w:t>
      </w:r>
      <w:r w:rsidRPr="004B2C13">
        <w:rPr>
          <w:color w:val="000000" w:themeColor="text1"/>
        </w:rPr>
        <w:t>3010</w:t>
      </w:r>
      <w:r w:rsidR="001C4662">
        <w:rPr>
          <w:color w:val="000000" w:themeColor="text1"/>
        </w:rPr>
        <w:t> </w:t>
      </w:r>
      <w:r w:rsidRPr="004B2C13">
        <w:rPr>
          <w:color w:val="000000" w:themeColor="text1"/>
        </w:rPr>
        <w:t xml:space="preserve">zł na koniec 2022 r. do </w:t>
      </w:r>
      <w:r w:rsidR="005D0C20" w:rsidRPr="004B2C13">
        <w:rPr>
          <w:color w:val="000000" w:themeColor="text1"/>
        </w:rPr>
        <w:t xml:space="preserve">kwoty </w:t>
      </w:r>
      <w:r w:rsidR="001C4662" w:rsidRPr="004B2C13">
        <w:rPr>
          <w:color w:val="000000" w:themeColor="text1"/>
        </w:rPr>
        <w:t xml:space="preserve">4300 zł </w:t>
      </w:r>
      <w:r w:rsidR="001C4662">
        <w:rPr>
          <w:color w:val="000000" w:themeColor="text1"/>
        </w:rPr>
        <w:t xml:space="preserve">– </w:t>
      </w:r>
      <w:r w:rsidRPr="004B2C13">
        <w:rPr>
          <w:color w:val="000000" w:themeColor="text1"/>
        </w:rPr>
        <w:t xml:space="preserve">2024 r. </w:t>
      </w:r>
      <w:r w:rsidR="00DC2B55" w:rsidRPr="004B2C13">
        <w:rPr>
          <w:color w:val="000000" w:themeColor="text1"/>
        </w:rPr>
        <w:t xml:space="preserve">Za </w:t>
      </w:r>
      <w:r w:rsidR="00F60E8F" w:rsidRPr="004B2C13">
        <w:rPr>
          <w:color w:val="000000" w:themeColor="text1"/>
        </w:rPr>
        <w:t xml:space="preserve">systematyczną </w:t>
      </w:r>
      <w:r w:rsidR="00DC2B55" w:rsidRPr="004B2C13">
        <w:rPr>
          <w:color w:val="000000" w:themeColor="text1"/>
        </w:rPr>
        <w:t>zmianą minimalnego wynagrodzenia nie podążała zmiana kwoty dofinansowania</w:t>
      </w:r>
      <w:r w:rsidR="00F2494F" w:rsidRPr="004B2C13">
        <w:rPr>
          <w:color w:val="000000" w:themeColor="text1"/>
        </w:rPr>
        <w:t xml:space="preserve"> dla pracodawców do wynagrodzeń pracowników niepełnosprawnych</w:t>
      </w:r>
      <w:r w:rsidR="00DC2B55" w:rsidRPr="004B2C13">
        <w:rPr>
          <w:color w:val="000000" w:themeColor="text1"/>
        </w:rPr>
        <w:t xml:space="preserve"> z Systemu Obsługi Dofinansowania i Refundacji</w:t>
      </w:r>
      <w:r w:rsidR="00F60E8F" w:rsidRPr="004B2C13">
        <w:rPr>
          <w:color w:val="000000" w:themeColor="text1"/>
        </w:rPr>
        <w:t xml:space="preserve"> PFRON</w:t>
      </w:r>
      <w:r w:rsidR="00DC2B55" w:rsidRPr="004B2C13">
        <w:rPr>
          <w:color w:val="000000" w:themeColor="text1"/>
        </w:rPr>
        <w:t xml:space="preserve"> </w:t>
      </w:r>
      <w:r w:rsidR="00C022D4" w:rsidRPr="004B2C13">
        <w:rPr>
          <w:color w:val="000000" w:themeColor="text1"/>
        </w:rPr>
        <w:t xml:space="preserve">– </w:t>
      </w:r>
      <w:r w:rsidRPr="004B2C13">
        <w:rPr>
          <w:color w:val="000000" w:themeColor="text1"/>
        </w:rPr>
        <w:t xml:space="preserve">ostatnia nowelizacja przepisów ustawy </w:t>
      </w:r>
      <w:r w:rsidR="00996F0B">
        <w:rPr>
          <w:color w:val="000000" w:themeColor="text1"/>
        </w:rPr>
        <w:t xml:space="preserve">z dnia 27 sierpnia 1997 r. </w:t>
      </w:r>
      <w:r w:rsidR="00DC2B55" w:rsidRPr="004B2C13">
        <w:rPr>
          <w:color w:val="000000" w:themeColor="text1"/>
        </w:rPr>
        <w:t>o rehabilitacji</w:t>
      </w:r>
      <w:r w:rsidR="00996F0B">
        <w:rPr>
          <w:color w:val="000000" w:themeColor="text1"/>
        </w:rPr>
        <w:t xml:space="preserve"> (Dz. U. z 2024</w:t>
      </w:r>
      <w:r w:rsidR="00431E76">
        <w:rPr>
          <w:color w:val="000000" w:themeColor="text1"/>
        </w:rPr>
        <w:t> </w:t>
      </w:r>
      <w:r w:rsidR="00996F0B">
        <w:rPr>
          <w:color w:val="000000" w:themeColor="text1"/>
        </w:rPr>
        <w:t>r. poz. 44, z późn. zm.)</w:t>
      </w:r>
      <w:r w:rsidR="00DC2B55" w:rsidRPr="004B2C13">
        <w:rPr>
          <w:color w:val="000000" w:themeColor="text1"/>
        </w:rPr>
        <w:t>,</w:t>
      </w:r>
      <w:r w:rsidR="00904AD5">
        <w:rPr>
          <w:color w:val="000000" w:themeColor="text1"/>
        </w:rPr>
        <w:t xml:space="preserve"> zwanej dalej „ustawą o rehabilitacji”,</w:t>
      </w:r>
      <w:r w:rsidRPr="004B2C13">
        <w:rPr>
          <w:color w:val="000000" w:themeColor="text1"/>
        </w:rPr>
        <w:t xml:space="preserve"> podnosząca wysokość miesięcznego dofinansowania do wynagrodze</w:t>
      </w:r>
      <w:r w:rsidR="00F2494F" w:rsidRPr="004B2C13">
        <w:rPr>
          <w:color w:val="000000" w:themeColor="text1"/>
        </w:rPr>
        <w:t>ń</w:t>
      </w:r>
      <w:r w:rsidR="00DC2B55" w:rsidRPr="004B2C13">
        <w:rPr>
          <w:color w:val="000000" w:themeColor="text1"/>
        </w:rPr>
        <w:t xml:space="preserve"> pracowników niepełnosprawnych</w:t>
      </w:r>
      <w:r w:rsidRPr="004B2C13">
        <w:rPr>
          <w:color w:val="000000" w:themeColor="text1"/>
        </w:rPr>
        <w:t xml:space="preserve"> miała miejsce w 2022 r. (zmianę wprowadziła ustawa z dnia 14 grudnia 2022 r. o zmianie ustawy o rehabilitacji zawodowej i społecznej oraz zatrudnianiu osób niepełnosprawnych </w:t>
      </w:r>
      <w:r w:rsidR="00431E76">
        <w:rPr>
          <w:color w:val="000000" w:themeColor="text1"/>
        </w:rPr>
        <w:t>(</w:t>
      </w:r>
      <w:r w:rsidRPr="004B2C13">
        <w:rPr>
          <w:color w:val="000000" w:themeColor="text1"/>
        </w:rPr>
        <w:t>Dz. U. z 2023</w:t>
      </w:r>
      <w:r w:rsidR="00431E76">
        <w:rPr>
          <w:color w:val="000000" w:themeColor="text1"/>
        </w:rPr>
        <w:t> </w:t>
      </w:r>
      <w:r w:rsidRPr="004B2C13">
        <w:rPr>
          <w:color w:val="000000" w:themeColor="text1"/>
        </w:rPr>
        <w:t>r. poz. 173</w:t>
      </w:r>
      <w:r w:rsidR="00431E76">
        <w:rPr>
          <w:color w:val="000000" w:themeColor="text1"/>
        </w:rPr>
        <w:t>)</w:t>
      </w:r>
      <w:r w:rsidRPr="004B2C13">
        <w:rPr>
          <w:color w:val="000000" w:themeColor="text1"/>
        </w:rPr>
        <w:t xml:space="preserve">). </w:t>
      </w:r>
      <w:r w:rsidR="00DC2B55" w:rsidRPr="004B2C13">
        <w:rPr>
          <w:color w:val="000000" w:themeColor="text1"/>
        </w:rPr>
        <w:t xml:space="preserve">Rozbieżność we wzroście </w:t>
      </w:r>
      <w:r w:rsidR="00F60E8F" w:rsidRPr="004B2C13">
        <w:rPr>
          <w:color w:val="000000" w:themeColor="text1"/>
        </w:rPr>
        <w:t>wymienionych</w:t>
      </w:r>
      <w:r w:rsidR="00DC2B55" w:rsidRPr="004B2C13">
        <w:rPr>
          <w:color w:val="000000" w:themeColor="text1"/>
        </w:rPr>
        <w:t xml:space="preserve"> kwot </w:t>
      </w:r>
      <w:r w:rsidR="00F60E8F" w:rsidRPr="004B2C13">
        <w:rPr>
          <w:color w:val="000000" w:themeColor="text1"/>
        </w:rPr>
        <w:t xml:space="preserve">negatywnie </w:t>
      </w:r>
      <w:r w:rsidR="00DC2B55" w:rsidRPr="004B2C13">
        <w:rPr>
          <w:color w:val="000000" w:themeColor="text1"/>
        </w:rPr>
        <w:t>w</w:t>
      </w:r>
      <w:r w:rsidRPr="004B2C13">
        <w:rPr>
          <w:color w:val="000000" w:themeColor="text1"/>
        </w:rPr>
        <w:t>pływa na zatrudni</w:t>
      </w:r>
      <w:r w:rsidR="00F60E8F" w:rsidRPr="004B2C13">
        <w:rPr>
          <w:color w:val="000000" w:themeColor="text1"/>
        </w:rPr>
        <w:t>a</w:t>
      </w:r>
      <w:r w:rsidRPr="004B2C13">
        <w:rPr>
          <w:color w:val="000000" w:themeColor="text1"/>
        </w:rPr>
        <w:t xml:space="preserve">nie osób niepełnosprawnych, </w:t>
      </w:r>
      <w:r w:rsidR="00DC2B55" w:rsidRPr="004B2C13">
        <w:rPr>
          <w:color w:val="000000" w:themeColor="text1"/>
        </w:rPr>
        <w:t xml:space="preserve">jak również </w:t>
      </w:r>
      <w:r w:rsidR="002618FF" w:rsidRPr="004B2C13">
        <w:rPr>
          <w:color w:val="000000" w:themeColor="text1"/>
        </w:rPr>
        <w:t xml:space="preserve">naraża </w:t>
      </w:r>
      <w:r w:rsidR="00DC2B55" w:rsidRPr="004B2C13">
        <w:rPr>
          <w:color w:val="000000" w:themeColor="text1"/>
        </w:rPr>
        <w:t xml:space="preserve">na </w:t>
      </w:r>
      <w:r w:rsidRPr="004B2C13">
        <w:rPr>
          <w:color w:val="000000" w:themeColor="text1"/>
        </w:rPr>
        <w:t xml:space="preserve">utratę </w:t>
      </w:r>
      <w:r w:rsidR="00F2494F" w:rsidRPr="004B2C13">
        <w:rPr>
          <w:color w:val="000000" w:themeColor="text1"/>
        </w:rPr>
        <w:t xml:space="preserve">miejsca </w:t>
      </w:r>
      <w:r w:rsidRPr="004B2C13">
        <w:rPr>
          <w:color w:val="000000" w:themeColor="text1"/>
        </w:rPr>
        <w:t>pracy</w:t>
      </w:r>
      <w:r w:rsidR="00F2494F" w:rsidRPr="004B2C13">
        <w:rPr>
          <w:color w:val="000000" w:themeColor="text1"/>
        </w:rPr>
        <w:t>,</w:t>
      </w:r>
      <w:r w:rsidRPr="004B2C13">
        <w:rPr>
          <w:color w:val="000000" w:themeColor="text1"/>
        </w:rPr>
        <w:t xml:space="preserve"> na otwartym rynku pracy</w:t>
      </w:r>
      <w:r w:rsidR="00F2494F" w:rsidRPr="004B2C13">
        <w:rPr>
          <w:color w:val="000000" w:themeColor="text1"/>
        </w:rPr>
        <w:t>,</w:t>
      </w:r>
      <w:r w:rsidR="00DC2B55" w:rsidRPr="004B2C13">
        <w:rPr>
          <w:color w:val="000000" w:themeColor="text1"/>
        </w:rPr>
        <w:t xml:space="preserve"> </w:t>
      </w:r>
      <w:r w:rsidR="00F60E8F" w:rsidRPr="004B2C13">
        <w:rPr>
          <w:color w:val="000000" w:themeColor="text1"/>
        </w:rPr>
        <w:t>dotychczas</w:t>
      </w:r>
      <w:r w:rsidR="00DC2B55" w:rsidRPr="004B2C13">
        <w:rPr>
          <w:color w:val="000000" w:themeColor="text1"/>
        </w:rPr>
        <w:t xml:space="preserve"> zatrudnionych pracowników niepełnosprawnych</w:t>
      </w:r>
      <w:r w:rsidR="00917065">
        <w:rPr>
          <w:color w:val="000000" w:themeColor="text1"/>
        </w:rPr>
        <w:t xml:space="preserve"> przez pracodawców otrzymujących miesięczne dofinansowanie do wynagrodzeń tych osób.</w:t>
      </w:r>
    </w:p>
    <w:p w14:paraId="1334E08A" w14:textId="799B1E8F" w:rsidR="00F60E8F" w:rsidRPr="004B2C13" w:rsidRDefault="00F60E8F" w:rsidP="00F96F23">
      <w:pPr>
        <w:spacing w:before="120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Projekt ustawy, uwzględniając wzrost minimalnego wynagrodzenia</w:t>
      </w:r>
      <w:r w:rsidR="00067C71" w:rsidRPr="004B2C13">
        <w:rPr>
          <w:color w:val="000000" w:themeColor="text1"/>
        </w:rPr>
        <w:t xml:space="preserve">, </w:t>
      </w:r>
      <w:r w:rsidRPr="004B2C13">
        <w:rPr>
          <w:color w:val="000000" w:themeColor="text1"/>
        </w:rPr>
        <w:t xml:space="preserve">proponuje podniesienie wysokości </w:t>
      </w:r>
      <w:r w:rsidR="005D0C20" w:rsidRPr="004B2C13">
        <w:rPr>
          <w:color w:val="000000" w:themeColor="text1"/>
        </w:rPr>
        <w:t xml:space="preserve">miesięcznego </w:t>
      </w:r>
      <w:r w:rsidRPr="004B2C13">
        <w:rPr>
          <w:color w:val="000000" w:themeColor="text1"/>
        </w:rPr>
        <w:t>dofinansowania do wynagrodzeń pracowników niepełnosprawnych</w:t>
      </w:r>
      <w:r w:rsidR="00067C71" w:rsidRPr="004B2C13">
        <w:rPr>
          <w:color w:val="000000" w:themeColor="text1"/>
        </w:rPr>
        <w:t xml:space="preserve">. </w:t>
      </w:r>
      <w:r w:rsidR="00602266">
        <w:rPr>
          <w:color w:val="000000" w:themeColor="text1"/>
        </w:rPr>
        <w:t>Przewiduje się, że projekt nowelizacji z</w:t>
      </w:r>
      <w:r w:rsidRPr="004B2C13">
        <w:rPr>
          <w:rFonts w:eastAsia="Calibri" w:cs="Times New Roman"/>
          <w:color w:val="000000" w:themeColor="text1"/>
          <w:szCs w:val="24"/>
          <w:lang w:eastAsia="en-US"/>
        </w:rPr>
        <w:t xml:space="preserve">achęci pracodawców do </w:t>
      </w:r>
      <w:r w:rsidR="00F2494F" w:rsidRPr="004B2C13">
        <w:rPr>
          <w:rFonts w:eastAsia="Calibri" w:cs="Times New Roman"/>
          <w:color w:val="000000" w:themeColor="text1"/>
          <w:szCs w:val="24"/>
          <w:lang w:eastAsia="en-US"/>
        </w:rPr>
        <w:t>przyjmowania</w:t>
      </w:r>
      <w:r w:rsidRPr="004B2C13">
        <w:rPr>
          <w:rFonts w:eastAsia="Calibri" w:cs="Times New Roman"/>
          <w:color w:val="000000" w:themeColor="text1"/>
          <w:szCs w:val="24"/>
          <w:lang w:eastAsia="en-US"/>
        </w:rPr>
        <w:t xml:space="preserve"> nowych pracowników niepełnosprawnych i utrzymywania w zatrudnieniu obecnego personelu.</w:t>
      </w:r>
    </w:p>
    <w:p w14:paraId="6E96BB16" w14:textId="2541F8F5" w:rsidR="002618FF" w:rsidRPr="004B2C13" w:rsidRDefault="006E017C" w:rsidP="00F96F23">
      <w:pPr>
        <w:spacing w:before="120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Proponowane rozwiązanie</w:t>
      </w:r>
      <w:r w:rsidR="00993612" w:rsidRPr="004B2C13">
        <w:rPr>
          <w:color w:val="000000" w:themeColor="text1"/>
        </w:rPr>
        <w:t xml:space="preserve"> w </w:t>
      </w:r>
      <w:r w:rsidR="00B80D6B" w:rsidRPr="004B2C13">
        <w:rPr>
          <w:rFonts w:cs="Times New Roman"/>
          <w:color w:val="000000" w:themeColor="text1"/>
        </w:rPr>
        <w:t>art.</w:t>
      </w:r>
      <w:r w:rsidR="00993612" w:rsidRPr="004B2C13">
        <w:rPr>
          <w:color w:val="000000" w:themeColor="text1"/>
        </w:rPr>
        <w:t xml:space="preserve"> 1 pkt 1 projektu ustawy</w:t>
      </w:r>
      <w:r w:rsidRPr="004B2C13">
        <w:rPr>
          <w:color w:val="000000" w:themeColor="text1"/>
        </w:rPr>
        <w:t xml:space="preserve"> zwiększa o</w:t>
      </w:r>
      <w:r w:rsidR="002001C6" w:rsidRPr="004B2C13">
        <w:rPr>
          <w:color w:val="000000" w:themeColor="text1"/>
        </w:rPr>
        <w:t xml:space="preserve"> ok</w:t>
      </w:r>
      <w:r w:rsidR="00996F0B">
        <w:rPr>
          <w:color w:val="000000" w:themeColor="text1"/>
        </w:rPr>
        <w:t>oło</w:t>
      </w:r>
      <w:r w:rsidRPr="004B2C13">
        <w:rPr>
          <w:color w:val="000000" w:themeColor="text1"/>
        </w:rPr>
        <w:t xml:space="preserve"> 15</w:t>
      </w:r>
      <w:r w:rsidR="00996F0B">
        <w:t> </w:t>
      </w:r>
      <w:r w:rsidRPr="004B2C13">
        <w:rPr>
          <w:color w:val="000000" w:themeColor="text1"/>
        </w:rPr>
        <w:t>% ustawowe stawki dofinansowań do wynagrodzeń</w:t>
      </w:r>
      <w:r w:rsidR="004C25AA" w:rsidRPr="004B2C13">
        <w:rPr>
          <w:color w:val="000000" w:themeColor="text1"/>
        </w:rPr>
        <w:t>.</w:t>
      </w:r>
      <w:r w:rsidR="002618FF" w:rsidRPr="004B2C13">
        <w:rPr>
          <w:color w:val="000000" w:themeColor="text1"/>
        </w:rPr>
        <w:t xml:space="preserve"> </w:t>
      </w:r>
      <w:r w:rsidR="004C25AA" w:rsidRPr="004B2C13">
        <w:rPr>
          <w:color w:val="000000" w:themeColor="text1"/>
        </w:rPr>
        <w:t>Wysokość miesięcznego dofinansowania do wynagrodzeń wyniesie:</w:t>
      </w:r>
    </w:p>
    <w:p w14:paraId="27943A99" w14:textId="749C85EF" w:rsidR="002618FF" w:rsidRPr="004B2C13" w:rsidRDefault="002618FF" w:rsidP="00F96F23">
      <w:pPr>
        <w:spacing w:before="120"/>
        <w:ind w:left="1134" w:hanging="425"/>
        <w:jc w:val="both"/>
        <w:rPr>
          <w:color w:val="000000" w:themeColor="text1"/>
        </w:rPr>
      </w:pPr>
      <w:r w:rsidRPr="004B2C13">
        <w:rPr>
          <w:color w:val="000000" w:themeColor="text1"/>
        </w:rPr>
        <w:t>1)</w:t>
      </w:r>
      <w:r w:rsidR="00431E76">
        <w:rPr>
          <w:color w:val="000000" w:themeColor="text1"/>
        </w:rPr>
        <w:tab/>
      </w:r>
      <w:r w:rsidRPr="004B2C13">
        <w:rPr>
          <w:color w:val="000000" w:themeColor="text1"/>
        </w:rPr>
        <w:t>w przypadku osób niepełnosprawnych zaliczonych do znacznego stopnia niepełnosprawności: 2760 zł (dotychczas 2400 zł);</w:t>
      </w:r>
    </w:p>
    <w:p w14:paraId="7C98BFF1" w14:textId="182192B7" w:rsidR="002618FF" w:rsidRPr="004B2C13" w:rsidRDefault="002618FF" w:rsidP="00F96F23">
      <w:pPr>
        <w:spacing w:before="120"/>
        <w:ind w:left="1134" w:hanging="425"/>
        <w:jc w:val="both"/>
        <w:rPr>
          <w:color w:val="000000" w:themeColor="text1"/>
        </w:rPr>
      </w:pPr>
      <w:r w:rsidRPr="004B2C13">
        <w:rPr>
          <w:color w:val="000000" w:themeColor="text1"/>
        </w:rPr>
        <w:t>2)</w:t>
      </w:r>
      <w:r w:rsidR="00431E76">
        <w:rPr>
          <w:color w:val="000000" w:themeColor="text1"/>
        </w:rPr>
        <w:tab/>
      </w:r>
      <w:r w:rsidRPr="004B2C13">
        <w:rPr>
          <w:color w:val="000000" w:themeColor="text1"/>
        </w:rPr>
        <w:t xml:space="preserve">w przypadku osób niepełnosprawnych zaliczonych do umiarkowanego stopnia niepełnosprawności: 1550 zł (dotychczas 1350 zł); </w:t>
      </w:r>
    </w:p>
    <w:p w14:paraId="0B0881E1" w14:textId="1889D666" w:rsidR="002618FF" w:rsidRPr="004B2C13" w:rsidRDefault="002618FF" w:rsidP="00F96F23">
      <w:pPr>
        <w:spacing w:before="120"/>
        <w:ind w:left="1134" w:hanging="425"/>
        <w:jc w:val="both"/>
        <w:rPr>
          <w:color w:val="000000" w:themeColor="text1"/>
        </w:rPr>
      </w:pPr>
      <w:r w:rsidRPr="004B2C13">
        <w:rPr>
          <w:color w:val="000000" w:themeColor="text1"/>
        </w:rPr>
        <w:lastRenderedPageBreak/>
        <w:t>3)</w:t>
      </w:r>
      <w:r w:rsidR="00431E76">
        <w:rPr>
          <w:color w:val="000000" w:themeColor="text1"/>
        </w:rPr>
        <w:tab/>
      </w:r>
      <w:r w:rsidRPr="004B2C13">
        <w:rPr>
          <w:color w:val="000000" w:themeColor="text1"/>
        </w:rPr>
        <w:t>w przypadku osób niepełnosprawnych zaliczonych do lekkiego stopnia niepełnosprawności: 575 zł (dotychczas 500 zł).</w:t>
      </w:r>
    </w:p>
    <w:p w14:paraId="606B5BFE" w14:textId="7AF2D38E" w:rsidR="00993612" w:rsidRPr="004B2C13" w:rsidRDefault="002618FF" w:rsidP="00F96F23">
      <w:pPr>
        <w:spacing w:before="120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Dodatkowo w odniesieniu do osób niepełnosprawnych, którym orzeczono chorobę psychiczną, upośledzenie umysłowe, całościowe zaburzenia rozwojowe lub epilepsję oraz niewidomych (czyli dla osób ze schorzeniami szczególnymi), kwoty te podwyższa się do następującej wysokości:</w:t>
      </w:r>
    </w:p>
    <w:p w14:paraId="11B51583" w14:textId="4A4DC3FB" w:rsidR="00993612" w:rsidRPr="004B2C13" w:rsidRDefault="00993612" w:rsidP="00F96F23">
      <w:pPr>
        <w:spacing w:before="120"/>
        <w:ind w:left="1134" w:hanging="426"/>
        <w:jc w:val="both"/>
        <w:rPr>
          <w:color w:val="000000" w:themeColor="text1"/>
        </w:rPr>
      </w:pPr>
      <w:r w:rsidRPr="004B2C13">
        <w:rPr>
          <w:color w:val="000000" w:themeColor="text1"/>
        </w:rPr>
        <w:t>1)</w:t>
      </w:r>
      <w:r w:rsidR="00431E76">
        <w:rPr>
          <w:color w:val="000000" w:themeColor="text1"/>
        </w:rPr>
        <w:tab/>
      </w:r>
      <w:r w:rsidR="002618FF" w:rsidRPr="004B2C13">
        <w:rPr>
          <w:color w:val="000000" w:themeColor="text1"/>
        </w:rPr>
        <w:t>w przypadku osób niepełnosprawnych zaliczonych do znacznego stopnia niepełnosprawności: 1380 zł (</w:t>
      </w:r>
      <w:r w:rsidRPr="004B2C13">
        <w:rPr>
          <w:color w:val="000000" w:themeColor="text1"/>
        </w:rPr>
        <w:t>dotychczas</w:t>
      </w:r>
      <w:r w:rsidR="002618FF" w:rsidRPr="004B2C13">
        <w:rPr>
          <w:color w:val="000000" w:themeColor="text1"/>
        </w:rPr>
        <w:t xml:space="preserve"> 1200 zł); </w:t>
      </w:r>
    </w:p>
    <w:p w14:paraId="6B070E31" w14:textId="36E9CFAA" w:rsidR="00993612" w:rsidRPr="004B2C13" w:rsidRDefault="00993612" w:rsidP="00F96F23">
      <w:pPr>
        <w:spacing w:before="120"/>
        <w:ind w:left="1134" w:hanging="426"/>
        <w:jc w:val="both"/>
        <w:rPr>
          <w:color w:val="000000" w:themeColor="text1"/>
        </w:rPr>
      </w:pPr>
      <w:r w:rsidRPr="004B2C13">
        <w:rPr>
          <w:color w:val="000000" w:themeColor="text1"/>
        </w:rPr>
        <w:t>2)</w:t>
      </w:r>
      <w:r w:rsidR="00431E76">
        <w:rPr>
          <w:color w:val="000000" w:themeColor="text1"/>
        </w:rPr>
        <w:tab/>
      </w:r>
      <w:r w:rsidR="002618FF" w:rsidRPr="004B2C13">
        <w:rPr>
          <w:color w:val="000000" w:themeColor="text1"/>
        </w:rPr>
        <w:t>w przypadku osób niepełnosprawnych zaliczonych do umiarkowanego stopnia niepełnosprawności: 1035 zł (</w:t>
      </w:r>
      <w:r w:rsidRPr="004B2C13">
        <w:rPr>
          <w:color w:val="000000" w:themeColor="text1"/>
        </w:rPr>
        <w:t>dotychczas</w:t>
      </w:r>
      <w:r w:rsidR="002618FF" w:rsidRPr="004B2C13">
        <w:rPr>
          <w:color w:val="000000" w:themeColor="text1"/>
        </w:rPr>
        <w:t xml:space="preserve"> 900 zł); </w:t>
      </w:r>
    </w:p>
    <w:p w14:paraId="08B85235" w14:textId="42D0731E" w:rsidR="00993612" w:rsidRPr="004B2C13" w:rsidRDefault="00993612" w:rsidP="00F96F23">
      <w:pPr>
        <w:spacing w:before="120"/>
        <w:ind w:left="1134" w:hanging="426"/>
        <w:jc w:val="both"/>
        <w:rPr>
          <w:color w:val="000000" w:themeColor="text1"/>
        </w:rPr>
      </w:pPr>
      <w:r w:rsidRPr="004B2C13">
        <w:rPr>
          <w:color w:val="000000" w:themeColor="text1"/>
        </w:rPr>
        <w:t>3)</w:t>
      </w:r>
      <w:r w:rsidR="00431E76">
        <w:rPr>
          <w:color w:val="000000" w:themeColor="text1"/>
        </w:rPr>
        <w:tab/>
      </w:r>
      <w:r w:rsidR="002618FF" w:rsidRPr="004B2C13">
        <w:rPr>
          <w:color w:val="000000" w:themeColor="text1"/>
        </w:rPr>
        <w:t xml:space="preserve">w przypadku osób niepełnosprawnych zaliczonych do lekkiego stopnia niepełnosprawności: 690 zł </w:t>
      </w:r>
      <w:r w:rsidRPr="004B2C13">
        <w:rPr>
          <w:color w:val="000000" w:themeColor="text1"/>
        </w:rPr>
        <w:t>(dotychczas</w:t>
      </w:r>
      <w:r w:rsidR="002618FF" w:rsidRPr="004B2C13">
        <w:rPr>
          <w:color w:val="000000" w:themeColor="text1"/>
        </w:rPr>
        <w:t xml:space="preserve"> 600 zł).</w:t>
      </w:r>
    </w:p>
    <w:p w14:paraId="22367E04" w14:textId="51DD0EE1" w:rsidR="002618FF" w:rsidRPr="004B2C13" w:rsidRDefault="002618FF" w:rsidP="00F96F23">
      <w:pPr>
        <w:spacing w:before="120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 xml:space="preserve">Nowe podwyższone kwoty </w:t>
      </w:r>
      <w:r w:rsidR="00996F0B" w:rsidRPr="004B2C13">
        <w:rPr>
          <w:color w:val="000000" w:themeColor="text1"/>
        </w:rPr>
        <w:t xml:space="preserve">będą </w:t>
      </w:r>
      <w:r w:rsidRPr="004B2C13">
        <w:rPr>
          <w:color w:val="000000" w:themeColor="text1"/>
        </w:rPr>
        <w:t>stosowane po raz pierwszy do miesięcznego dofinansowania do wynagrodzeń pracowników niepełnosprawnych przysługującego za okres począwszy od miesiąca</w:t>
      </w:r>
      <w:r w:rsidR="00765A61">
        <w:rPr>
          <w:color w:val="000000" w:themeColor="text1"/>
        </w:rPr>
        <w:t xml:space="preserve"> stycznia</w:t>
      </w:r>
      <w:r w:rsidRPr="004B2C13">
        <w:rPr>
          <w:color w:val="000000" w:themeColor="text1"/>
        </w:rPr>
        <w:t xml:space="preserve"> 202</w:t>
      </w:r>
      <w:r w:rsidR="00765A61">
        <w:rPr>
          <w:color w:val="000000" w:themeColor="text1"/>
        </w:rPr>
        <w:t>5</w:t>
      </w:r>
      <w:r w:rsidRPr="004B2C13">
        <w:rPr>
          <w:color w:val="000000" w:themeColor="text1"/>
        </w:rPr>
        <w:t xml:space="preserve"> r.</w:t>
      </w:r>
      <w:r w:rsidR="00993612" w:rsidRPr="004B2C13">
        <w:rPr>
          <w:color w:val="000000" w:themeColor="text1"/>
        </w:rPr>
        <w:t xml:space="preserve"> (</w:t>
      </w:r>
      <w:r w:rsidR="0019079D" w:rsidRPr="004B2C13">
        <w:rPr>
          <w:rFonts w:cs="Times New Roman"/>
          <w:color w:val="000000" w:themeColor="text1"/>
        </w:rPr>
        <w:t>art.</w:t>
      </w:r>
      <w:r w:rsidR="00993612" w:rsidRPr="004B2C13">
        <w:rPr>
          <w:rFonts w:cs="Times New Roman"/>
          <w:color w:val="000000" w:themeColor="text1"/>
        </w:rPr>
        <w:t xml:space="preserve"> </w:t>
      </w:r>
      <w:r w:rsidR="00993612" w:rsidRPr="004B2C13">
        <w:rPr>
          <w:color w:val="000000" w:themeColor="text1"/>
        </w:rPr>
        <w:t>2</w:t>
      </w:r>
      <w:r w:rsidR="008C60C6" w:rsidRPr="004B2C13">
        <w:rPr>
          <w:color w:val="000000" w:themeColor="text1"/>
        </w:rPr>
        <w:t xml:space="preserve"> </w:t>
      </w:r>
      <w:r w:rsidR="00993612" w:rsidRPr="004B2C13">
        <w:rPr>
          <w:color w:val="000000" w:themeColor="text1"/>
        </w:rPr>
        <w:t>projektu ustawy).</w:t>
      </w:r>
    </w:p>
    <w:p w14:paraId="32F510C4" w14:textId="4028CEF3" w:rsidR="00B31AEE" w:rsidRPr="004B2C13" w:rsidRDefault="00616C5A" w:rsidP="00F96F23">
      <w:pPr>
        <w:spacing w:before="120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 xml:space="preserve">W </w:t>
      </w:r>
      <w:r w:rsidR="00B80D6B" w:rsidRPr="004B2C13">
        <w:rPr>
          <w:color w:val="000000" w:themeColor="text1"/>
        </w:rPr>
        <w:t>art.</w:t>
      </w:r>
      <w:r w:rsidRPr="004B2C13">
        <w:rPr>
          <w:color w:val="000000" w:themeColor="text1"/>
        </w:rPr>
        <w:t xml:space="preserve"> 1 pkt 2 projektu ustawy </w:t>
      </w:r>
      <w:r w:rsidR="00112370" w:rsidRPr="004B2C13">
        <w:rPr>
          <w:color w:val="000000" w:themeColor="text1"/>
        </w:rPr>
        <w:t xml:space="preserve">został </w:t>
      </w:r>
      <w:r w:rsidRPr="004B2C13">
        <w:rPr>
          <w:color w:val="000000" w:themeColor="text1"/>
        </w:rPr>
        <w:t xml:space="preserve">zmieniony </w:t>
      </w:r>
      <w:r w:rsidR="006E017C" w:rsidRPr="004B2C13">
        <w:rPr>
          <w:color w:val="000000" w:themeColor="text1"/>
        </w:rPr>
        <w:t xml:space="preserve">poziom dotacji </w:t>
      </w:r>
      <w:r w:rsidR="00F65A2F" w:rsidRPr="004B2C13">
        <w:rPr>
          <w:color w:val="000000" w:themeColor="text1"/>
        </w:rPr>
        <w:t xml:space="preserve">celowej </w:t>
      </w:r>
      <w:r w:rsidR="0046587C" w:rsidRPr="004B2C13">
        <w:rPr>
          <w:color w:val="000000" w:themeColor="text1"/>
        </w:rPr>
        <w:t xml:space="preserve">otrzymywanej </w:t>
      </w:r>
      <w:r w:rsidR="00F65A2F" w:rsidRPr="004B2C13">
        <w:rPr>
          <w:color w:val="000000" w:themeColor="text1"/>
        </w:rPr>
        <w:t xml:space="preserve">z budżetu państwa </w:t>
      </w:r>
      <w:r w:rsidR="0046587C" w:rsidRPr="004B2C13">
        <w:rPr>
          <w:color w:val="000000" w:themeColor="text1"/>
        </w:rPr>
        <w:t xml:space="preserve">przez </w:t>
      </w:r>
      <w:r w:rsidR="006E017C" w:rsidRPr="004B2C13">
        <w:rPr>
          <w:color w:val="000000" w:themeColor="text1"/>
        </w:rPr>
        <w:t>PFRON na dofinansowania do wynagrodzeń pracowników niepełnosprawnych</w:t>
      </w:r>
      <w:r w:rsidRPr="004B2C13">
        <w:rPr>
          <w:color w:val="000000" w:themeColor="text1"/>
        </w:rPr>
        <w:t xml:space="preserve"> – z</w:t>
      </w:r>
      <w:r w:rsidR="006E017C" w:rsidRPr="004B2C13">
        <w:rPr>
          <w:color w:val="000000" w:themeColor="text1"/>
        </w:rPr>
        <w:t>astąpi</w:t>
      </w:r>
      <w:r w:rsidRPr="004B2C13">
        <w:rPr>
          <w:color w:val="000000" w:themeColor="text1"/>
        </w:rPr>
        <w:t xml:space="preserve">ono dotychczasową stałą </w:t>
      </w:r>
      <w:r w:rsidR="006E017C" w:rsidRPr="004B2C13">
        <w:rPr>
          <w:color w:val="000000" w:themeColor="text1"/>
        </w:rPr>
        <w:t>wysokoś</w:t>
      </w:r>
      <w:r w:rsidRPr="004B2C13">
        <w:rPr>
          <w:color w:val="000000" w:themeColor="text1"/>
        </w:rPr>
        <w:t>ć</w:t>
      </w:r>
      <w:r w:rsidR="006E017C" w:rsidRPr="004B2C13">
        <w:rPr>
          <w:color w:val="000000" w:themeColor="text1"/>
        </w:rPr>
        <w:t xml:space="preserve"> dotacji</w:t>
      </w:r>
      <w:r w:rsidRPr="004B2C13">
        <w:rPr>
          <w:color w:val="000000" w:themeColor="text1"/>
        </w:rPr>
        <w:t xml:space="preserve"> </w:t>
      </w:r>
      <w:r w:rsidR="00F65A2F" w:rsidRPr="004B2C13">
        <w:rPr>
          <w:color w:val="000000" w:themeColor="text1"/>
        </w:rPr>
        <w:t>na to zadanie</w:t>
      </w:r>
      <w:r w:rsidR="00431E76">
        <w:rPr>
          <w:color w:val="000000" w:themeColor="text1"/>
        </w:rPr>
        <w:t xml:space="preserve"> </w:t>
      </w:r>
      <w:r w:rsidR="006E017C" w:rsidRPr="004B2C13">
        <w:rPr>
          <w:color w:val="000000" w:themeColor="text1"/>
        </w:rPr>
        <w:t>w wysokości 30</w:t>
      </w:r>
      <w:r w:rsidR="00112370">
        <w:rPr>
          <w:color w:val="000000" w:themeColor="text1"/>
        </w:rPr>
        <w:t> </w:t>
      </w:r>
      <w:r w:rsidR="006E017C" w:rsidRPr="004B2C13">
        <w:rPr>
          <w:color w:val="000000" w:themeColor="text1"/>
        </w:rPr>
        <w:t>%</w:t>
      </w:r>
      <w:r w:rsidR="00246E86" w:rsidRPr="004B2C13">
        <w:rPr>
          <w:color w:val="000000" w:themeColor="text1"/>
        </w:rPr>
        <w:t xml:space="preserve"> środków </w:t>
      </w:r>
      <w:r w:rsidR="006E017C" w:rsidRPr="004B2C13">
        <w:rPr>
          <w:color w:val="000000" w:themeColor="text1"/>
        </w:rPr>
        <w:t xml:space="preserve">zaplanowanych </w:t>
      </w:r>
      <w:r w:rsidR="00246E86" w:rsidRPr="004B2C13">
        <w:rPr>
          <w:color w:val="000000" w:themeColor="text1"/>
        </w:rPr>
        <w:t>na realizację tego zadania na dany rok</w:t>
      </w:r>
      <w:r w:rsidR="006E017C" w:rsidRPr="004B2C13">
        <w:rPr>
          <w:color w:val="000000" w:themeColor="text1"/>
        </w:rPr>
        <w:t xml:space="preserve"> </w:t>
      </w:r>
      <w:r w:rsidR="00F65A2F" w:rsidRPr="004B2C13">
        <w:rPr>
          <w:color w:val="000000" w:themeColor="text1"/>
        </w:rPr>
        <w:t>–</w:t>
      </w:r>
      <w:r w:rsidR="006E017C" w:rsidRPr="004B2C13">
        <w:rPr>
          <w:color w:val="000000" w:themeColor="text1"/>
        </w:rPr>
        <w:t xml:space="preserve"> </w:t>
      </w:r>
      <w:r w:rsidR="00F65A2F" w:rsidRPr="004B2C13">
        <w:rPr>
          <w:color w:val="000000" w:themeColor="text1"/>
        </w:rPr>
        <w:t>nową wysokością dotacji w wysokości do</w:t>
      </w:r>
      <w:r w:rsidR="006E017C" w:rsidRPr="004B2C13">
        <w:rPr>
          <w:color w:val="000000" w:themeColor="text1"/>
        </w:rPr>
        <w:t xml:space="preserve"> 30</w:t>
      </w:r>
      <w:r w:rsidR="00112370">
        <w:rPr>
          <w:color w:val="000000" w:themeColor="text1"/>
        </w:rPr>
        <w:t> </w:t>
      </w:r>
      <w:r w:rsidR="006E017C" w:rsidRPr="004B2C13">
        <w:rPr>
          <w:color w:val="000000" w:themeColor="text1"/>
        </w:rPr>
        <w:t xml:space="preserve">% </w:t>
      </w:r>
      <w:r w:rsidR="002001C6" w:rsidRPr="004B2C13">
        <w:rPr>
          <w:color w:val="000000" w:themeColor="text1"/>
        </w:rPr>
        <w:t xml:space="preserve">środków </w:t>
      </w:r>
      <w:r w:rsidR="00246E86" w:rsidRPr="004B2C13">
        <w:rPr>
          <w:color w:val="000000" w:themeColor="text1"/>
        </w:rPr>
        <w:t>zaplanowanych na realizację tego zadania na dany rok</w:t>
      </w:r>
      <w:r w:rsidR="006E017C" w:rsidRPr="004B2C13">
        <w:rPr>
          <w:color w:val="000000" w:themeColor="text1"/>
        </w:rPr>
        <w:t xml:space="preserve">. </w:t>
      </w:r>
      <w:r w:rsidR="00B31AEE" w:rsidRPr="004B2C13">
        <w:rPr>
          <w:color w:val="000000" w:themeColor="text1"/>
        </w:rPr>
        <w:t>Wysokość wydatków na zadanie</w:t>
      </w:r>
      <w:r w:rsidR="00996F0B">
        <w:rPr>
          <w:color w:val="000000" w:themeColor="text1"/>
        </w:rPr>
        <w:t>,</w:t>
      </w:r>
      <w:r w:rsidR="00B31AEE" w:rsidRPr="004B2C13">
        <w:rPr>
          <w:color w:val="000000" w:themeColor="text1"/>
        </w:rPr>
        <w:t xml:space="preserve"> jakim jest dofinansowanie do wynagrodzeń pracowników niepełnosprawnych</w:t>
      </w:r>
      <w:r w:rsidR="00B7368C" w:rsidRPr="004B2C13">
        <w:rPr>
          <w:color w:val="000000" w:themeColor="text1"/>
        </w:rPr>
        <w:t>,</w:t>
      </w:r>
      <w:r w:rsidR="00B31AEE" w:rsidRPr="004B2C13">
        <w:rPr>
          <w:color w:val="000000" w:themeColor="text1"/>
        </w:rPr>
        <w:t xml:space="preserve"> ulega corocznie zmianie</w:t>
      </w:r>
      <w:r w:rsidR="00B7368C" w:rsidRPr="004B2C13">
        <w:rPr>
          <w:color w:val="000000" w:themeColor="text1"/>
        </w:rPr>
        <w:t>,</w:t>
      </w:r>
      <w:r w:rsidR="00B31AEE" w:rsidRPr="004B2C13">
        <w:rPr>
          <w:color w:val="000000" w:themeColor="text1"/>
        </w:rPr>
        <w:t xml:space="preserve"> w zależności od zapotrzebowania pracodawców na dofinansowania do wynagrodzeń</w:t>
      </w:r>
      <w:r w:rsidR="00E451F4" w:rsidRPr="004B2C13">
        <w:rPr>
          <w:color w:val="000000" w:themeColor="text1"/>
        </w:rPr>
        <w:t xml:space="preserve"> (zapotrzebowanie </w:t>
      </w:r>
      <w:r w:rsidR="00112370" w:rsidRPr="004B2C13">
        <w:rPr>
          <w:color w:val="000000" w:themeColor="text1"/>
        </w:rPr>
        <w:t xml:space="preserve">jest </w:t>
      </w:r>
      <w:r w:rsidR="00E451F4" w:rsidRPr="004B2C13">
        <w:rPr>
          <w:color w:val="000000" w:themeColor="text1"/>
        </w:rPr>
        <w:t>uzależnione o</w:t>
      </w:r>
      <w:r w:rsidR="00112370">
        <w:rPr>
          <w:color w:val="000000" w:themeColor="text1"/>
        </w:rPr>
        <w:t>d</w:t>
      </w:r>
      <w:r w:rsidR="00E451F4" w:rsidRPr="004B2C13">
        <w:rPr>
          <w:color w:val="000000" w:themeColor="text1"/>
        </w:rPr>
        <w:t xml:space="preserve"> liczby niepełnosprawnych pracowników</w:t>
      </w:r>
      <w:r w:rsidR="00431E76">
        <w:rPr>
          <w:color w:val="000000" w:themeColor="text1"/>
        </w:rPr>
        <w:t>,</w:t>
      </w:r>
      <w:r w:rsidR="00E451F4" w:rsidRPr="004B2C13">
        <w:rPr>
          <w:color w:val="000000" w:themeColor="text1"/>
        </w:rPr>
        <w:t xml:space="preserve"> na których pracodawca składa wnioski o dofinansowanie do wynagrodzeń)</w:t>
      </w:r>
      <w:r w:rsidR="00B31AEE" w:rsidRPr="004B2C13">
        <w:rPr>
          <w:color w:val="000000" w:themeColor="text1"/>
        </w:rPr>
        <w:t>. W związku z tym poziom dotacji budżetowej na dofinansowania do wynagrodzeń nie powinien być</w:t>
      </w:r>
      <w:r w:rsidR="00B7368C" w:rsidRPr="004B2C13">
        <w:rPr>
          <w:color w:val="000000" w:themeColor="text1"/>
        </w:rPr>
        <w:t xml:space="preserve"> wyznaczony na </w:t>
      </w:r>
      <w:r w:rsidR="00B31AEE" w:rsidRPr="004B2C13">
        <w:rPr>
          <w:color w:val="000000" w:themeColor="text1"/>
        </w:rPr>
        <w:t>stały</w:t>
      </w:r>
      <w:r w:rsidR="00B7368C" w:rsidRPr="004B2C13">
        <w:rPr>
          <w:color w:val="000000" w:themeColor="text1"/>
        </w:rPr>
        <w:t>m poziomie,</w:t>
      </w:r>
      <w:r w:rsidR="00B31AEE" w:rsidRPr="004B2C13">
        <w:rPr>
          <w:color w:val="000000" w:themeColor="text1"/>
        </w:rPr>
        <w:t xml:space="preserve"> a</w:t>
      </w:r>
      <w:r w:rsidR="00B7368C" w:rsidRPr="004B2C13">
        <w:rPr>
          <w:color w:val="000000" w:themeColor="text1"/>
        </w:rPr>
        <w:t>le</w:t>
      </w:r>
      <w:r w:rsidR="00B31AEE" w:rsidRPr="004B2C13">
        <w:rPr>
          <w:color w:val="000000" w:themeColor="text1"/>
        </w:rPr>
        <w:t xml:space="preserve"> </w:t>
      </w:r>
      <w:r w:rsidR="00996F0B">
        <w:rPr>
          <w:color w:val="000000" w:themeColor="text1"/>
        </w:rPr>
        <w:t xml:space="preserve">powinien </w:t>
      </w:r>
      <w:r w:rsidR="00B7368C" w:rsidRPr="004B2C13">
        <w:rPr>
          <w:color w:val="000000" w:themeColor="text1"/>
        </w:rPr>
        <w:t xml:space="preserve">być </w:t>
      </w:r>
      <w:r w:rsidR="00B31AEE" w:rsidRPr="004B2C13">
        <w:rPr>
          <w:color w:val="000000" w:themeColor="text1"/>
        </w:rPr>
        <w:t>określ</w:t>
      </w:r>
      <w:r w:rsidR="006A11AD" w:rsidRPr="004B2C13">
        <w:rPr>
          <w:color w:val="000000" w:themeColor="text1"/>
        </w:rPr>
        <w:t>any</w:t>
      </w:r>
      <w:r w:rsidR="00B7368C" w:rsidRPr="004B2C13">
        <w:rPr>
          <w:color w:val="000000" w:themeColor="text1"/>
        </w:rPr>
        <w:t xml:space="preserve"> do maksymalnej </w:t>
      </w:r>
      <w:r w:rsidR="00B31AEE" w:rsidRPr="004B2C13">
        <w:rPr>
          <w:color w:val="000000" w:themeColor="text1"/>
        </w:rPr>
        <w:t>dopuszczaln</w:t>
      </w:r>
      <w:r w:rsidR="00B7368C" w:rsidRPr="004B2C13">
        <w:rPr>
          <w:color w:val="000000" w:themeColor="text1"/>
        </w:rPr>
        <w:t>ej</w:t>
      </w:r>
      <w:r w:rsidR="00B31AEE" w:rsidRPr="004B2C13">
        <w:rPr>
          <w:color w:val="000000" w:themeColor="text1"/>
        </w:rPr>
        <w:t xml:space="preserve"> </w:t>
      </w:r>
      <w:r w:rsidR="00B7368C" w:rsidRPr="004B2C13">
        <w:rPr>
          <w:color w:val="000000" w:themeColor="text1"/>
        </w:rPr>
        <w:t>wartości</w:t>
      </w:r>
      <w:r w:rsidR="00E451F4" w:rsidRPr="004B2C13">
        <w:rPr>
          <w:color w:val="000000" w:themeColor="text1"/>
        </w:rPr>
        <w:t xml:space="preserve"> (zgodnie z projektem do 30</w:t>
      </w:r>
      <w:r w:rsidR="00500D0C">
        <w:rPr>
          <w:color w:val="000000" w:themeColor="text1"/>
        </w:rPr>
        <w:t> </w:t>
      </w:r>
      <w:r w:rsidR="00E451F4" w:rsidRPr="004B2C13">
        <w:rPr>
          <w:color w:val="000000" w:themeColor="text1"/>
        </w:rPr>
        <w:t>%)</w:t>
      </w:r>
      <w:r w:rsidR="00B7368C" w:rsidRPr="004B2C13">
        <w:rPr>
          <w:color w:val="000000" w:themeColor="text1"/>
        </w:rPr>
        <w:t>.</w:t>
      </w:r>
      <w:r w:rsidR="00023D7B" w:rsidRPr="004B2C13">
        <w:rPr>
          <w:color w:val="000000" w:themeColor="text1"/>
        </w:rPr>
        <w:t xml:space="preserve"> Kwota dotacji</w:t>
      </w:r>
      <w:r w:rsidR="00610DBF" w:rsidRPr="004B2C13">
        <w:rPr>
          <w:color w:val="000000" w:themeColor="text1"/>
        </w:rPr>
        <w:t xml:space="preserve"> celowej z budżetu państwa</w:t>
      </w:r>
      <w:r w:rsidR="00023D7B" w:rsidRPr="004B2C13">
        <w:rPr>
          <w:color w:val="000000" w:themeColor="text1"/>
        </w:rPr>
        <w:t xml:space="preserve"> na dofinansowania do wynagrodzeń </w:t>
      </w:r>
      <w:r w:rsidR="00610DBF" w:rsidRPr="004B2C13">
        <w:rPr>
          <w:color w:val="000000" w:themeColor="text1"/>
        </w:rPr>
        <w:t xml:space="preserve">pracowników niepełnosprawnych </w:t>
      </w:r>
      <w:r w:rsidR="00CC2D0B" w:rsidRPr="004B2C13">
        <w:rPr>
          <w:color w:val="000000" w:themeColor="text1"/>
        </w:rPr>
        <w:t xml:space="preserve">i wysokość poziomu dofinansowań do </w:t>
      </w:r>
      <w:r w:rsidR="00610DBF" w:rsidRPr="004B2C13">
        <w:rPr>
          <w:color w:val="000000" w:themeColor="text1"/>
        </w:rPr>
        <w:t xml:space="preserve">tych </w:t>
      </w:r>
      <w:r w:rsidR="00CC2D0B" w:rsidRPr="004B2C13">
        <w:rPr>
          <w:color w:val="000000" w:themeColor="text1"/>
        </w:rPr>
        <w:t xml:space="preserve">wynagrodzeń </w:t>
      </w:r>
      <w:r w:rsidR="00023D7B" w:rsidRPr="004B2C13">
        <w:rPr>
          <w:color w:val="000000" w:themeColor="text1"/>
        </w:rPr>
        <w:t xml:space="preserve">jest rokrocznie określana w załączniku do ustawy budżetowej </w:t>
      </w:r>
      <w:r w:rsidR="00CC2D0B" w:rsidRPr="004B2C13">
        <w:rPr>
          <w:color w:val="000000" w:themeColor="text1"/>
        </w:rPr>
        <w:t>na dany rok</w:t>
      </w:r>
      <w:r w:rsidR="00610DBF" w:rsidRPr="004B2C13">
        <w:rPr>
          <w:color w:val="000000" w:themeColor="text1"/>
        </w:rPr>
        <w:t>,</w:t>
      </w:r>
      <w:r w:rsidR="00CC2D0B" w:rsidRPr="004B2C13">
        <w:rPr>
          <w:color w:val="000000" w:themeColor="text1"/>
        </w:rPr>
        <w:t xml:space="preserve"> zawierającym plan finansowy</w:t>
      </w:r>
      <w:r w:rsidR="00023D7B" w:rsidRPr="004B2C13">
        <w:rPr>
          <w:color w:val="000000" w:themeColor="text1"/>
        </w:rPr>
        <w:t xml:space="preserve"> PFRON. </w:t>
      </w:r>
      <w:r w:rsidR="00CC2D0B" w:rsidRPr="004B2C13">
        <w:rPr>
          <w:color w:val="000000" w:themeColor="text1"/>
        </w:rPr>
        <w:t>Należy wziąć pod uwagę, że w</w:t>
      </w:r>
      <w:r w:rsidR="00023D7B" w:rsidRPr="004B2C13">
        <w:rPr>
          <w:color w:val="000000" w:themeColor="text1"/>
        </w:rPr>
        <w:t xml:space="preserve"> ciągu roku budżetowego na podstawie wniosków </w:t>
      </w:r>
      <w:r w:rsidR="00CC2D0B" w:rsidRPr="004B2C13">
        <w:rPr>
          <w:color w:val="000000" w:themeColor="text1"/>
        </w:rPr>
        <w:t xml:space="preserve">składanych przez </w:t>
      </w:r>
      <w:r w:rsidR="00023D7B" w:rsidRPr="004B2C13">
        <w:rPr>
          <w:color w:val="000000" w:themeColor="text1"/>
        </w:rPr>
        <w:t>PFRON do M</w:t>
      </w:r>
      <w:r w:rsidR="00C022D4" w:rsidRPr="004B2C13">
        <w:rPr>
          <w:color w:val="000000" w:themeColor="text1"/>
        </w:rPr>
        <w:t xml:space="preserve">inistra </w:t>
      </w:r>
      <w:r w:rsidR="00023D7B" w:rsidRPr="004B2C13">
        <w:rPr>
          <w:color w:val="000000" w:themeColor="text1"/>
        </w:rPr>
        <w:t>F</w:t>
      </w:r>
      <w:r w:rsidR="00C022D4" w:rsidRPr="004B2C13">
        <w:rPr>
          <w:color w:val="000000" w:themeColor="text1"/>
        </w:rPr>
        <w:t>inansów (MF)</w:t>
      </w:r>
      <w:r w:rsidR="002001C6" w:rsidRPr="004B2C13">
        <w:rPr>
          <w:color w:val="000000" w:themeColor="text1"/>
        </w:rPr>
        <w:t>,</w:t>
      </w:r>
      <w:r w:rsidR="00023D7B" w:rsidRPr="004B2C13">
        <w:rPr>
          <w:color w:val="000000" w:themeColor="text1"/>
        </w:rPr>
        <w:t xml:space="preserve"> i za zgodą MF</w:t>
      </w:r>
      <w:r w:rsidR="002001C6" w:rsidRPr="004B2C13">
        <w:rPr>
          <w:color w:val="000000" w:themeColor="text1"/>
        </w:rPr>
        <w:t>,</w:t>
      </w:r>
      <w:r w:rsidR="00023D7B" w:rsidRPr="004B2C13">
        <w:rPr>
          <w:color w:val="000000" w:themeColor="text1"/>
        </w:rPr>
        <w:t xml:space="preserve"> mogą następować zmiany w wysokości środków </w:t>
      </w:r>
      <w:r w:rsidR="00023D7B" w:rsidRPr="004B2C13">
        <w:rPr>
          <w:color w:val="000000" w:themeColor="text1"/>
        </w:rPr>
        <w:lastRenderedPageBreak/>
        <w:t>przeznaczonych na dofinansowania</w:t>
      </w:r>
      <w:r w:rsidR="00CC2D0B" w:rsidRPr="004B2C13">
        <w:rPr>
          <w:color w:val="000000" w:themeColor="text1"/>
        </w:rPr>
        <w:t xml:space="preserve">, tym niemniej w ciągu roku budżetowego nie zmienia się wysokość </w:t>
      </w:r>
      <w:r w:rsidR="00610DBF" w:rsidRPr="004B2C13">
        <w:rPr>
          <w:color w:val="000000" w:themeColor="text1"/>
        </w:rPr>
        <w:t>(</w:t>
      </w:r>
      <w:r w:rsidR="00CC2D0B" w:rsidRPr="004B2C13">
        <w:rPr>
          <w:color w:val="000000" w:themeColor="text1"/>
        </w:rPr>
        <w:t>określonej w załączniku do ustawy budżetowej na dany rok z planem finansowym PFRON</w:t>
      </w:r>
      <w:r w:rsidR="00610DBF" w:rsidRPr="004B2C13">
        <w:rPr>
          <w:color w:val="000000" w:themeColor="text1"/>
        </w:rPr>
        <w:t>)</w:t>
      </w:r>
      <w:r w:rsidR="00CC2D0B" w:rsidRPr="004B2C13">
        <w:rPr>
          <w:color w:val="000000" w:themeColor="text1"/>
        </w:rPr>
        <w:t xml:space="preserve"> dotacji </w:t>
      </w:r>
      <w:r w:rsidR="002001C6" w:rsidRPr="004B2C13">
        <w:rPr>
          <w:color w:val="000000" w:themeColor="text1"/>
        </w:rPr>
        <w:t xml:space="preserve">celowej </w:t>
      </w:r>
      <w:r w:rsidR="00CC2D0B" w:rsidRPr="004B2C13">
        <w:rPr>
          <w:color w:val="000000" w:themeColor="text1"/>
        </w:rPr>
        <w:t>do zaplanowanej kwoty dofinansowań do wynagrodzeń.</w:t>
      </w:r>
    </w:p>
    <w:p w14:paraId="2F74866B" w14:textId="5CE1720B" w:rsidR="00121F6F" w:rsidRPr="004B2C13" w:rsidRDefault="00121F6F" w:rsidP="00F96F23">
      <w:pPr>
        <w:spacing w:before="120"/>
        <w:ind w:firstLine="567"/>
        <w:jc w:val="both"/>
        <w:rPr>
          <w:rFonts w:cs="Times New Roman"/>
          <w:color w:val="000000" w:themeColor="text1"/>
          <w:szCs w:val="24"/>
        </w:rPr>
      </w:pPr>
      <w:r w:rsidRPr="004B2C13">
        <w:rPr>
          <w:rFonts w:cs="Times New Roman"/>
          <w:color w:val="000000" w:themeColor="text1"/>
        </w:rPr>
        <w:t>Odnosząc się do projektowanej zmiany, należy wziąć pod uwagę, że wysokość dotacji na poziomie do 30</w:t>
      </w:r>
      <w:r w:rsidR="00904AD5">
        <w:t> </w:t>
      </w:r>
      <w:r w:rsidRPr="004B2C13">
        <w:rPr>
          <w:rFonts w:cs="Times New Roman"/>
          <w:color w:val="000000" w:themeColor="text1"/>
        </w:rPr>
        <w:t xml:space="preserve">% środków zaplanowanych na realizacje zadania umożliwia dostosowanie poziomu dotowania do faktycznie, realnie wydatkowanych środków na dofinansowania do wynagrodzeń pracowników niepełnosprawnych w danym roku, zgodnie ze złożonymi wnioskami, a tym samym pozwala na elastyczne podejście i efektywne wydatkowanie środków publicznych, zgodne z bieżącymi potrzebami. </w:t>
      </w:r>
      <w:r w:rsidRPr="004B2C13">
        <w:rPr>
          <w:color w:val="000000" w:themeColor="text1"/>
        </w:rPr>
        <w:t xml:space="preserve">Proponowane rozwiązanie pozwoli PFRON na kształtowanie wydatków na dofinansowania do wynagrodzeń w ramach planu finansowego PFRON, stosownie do zmieniającego się w ciągu roku zapotrzebowania na dofinansowania do wynagrodzeń, natomiast poziom dotacji może zostać zmieniony w kolejnym roku budżetowym. </w:t>
      </w:r>
      <w:r w:rsidRPr="004B2C13">
        <w:rPr>
          <w:rFonts w:cs="Times New Roman"/>
          <w:color w:val="000000" w:themeColor="text1"/>
        </w:rPr>
        <w:t>Takie gospodarowanie środkami publicznymi wydaje się być racjonalne. Wysokość dotacji na dany rok jest określana wprawdzie w ustawie budżetowej na dany rok i jest stała, tym niemniej może być określona stosownie do wysokości wydatkowanych środków w roku ubiegłym i planowanych zmian ustawowych</w:t>
      </w:r>
      <w:r w:rsidR="00132A48">
        <w:rPr>
          <w:rFonts w:cs="Times New Roman"/>
          <w:color w:val="000000" w:themeColor="text1"/>
        </w:rPr>
        <w:t>.</w:t>
      </w:r>
      <w:r w:rsidRPr="004B2C13">
        <w:rPr>
          <w:rFonts w:cs="Times New Roman"/>
          <w:color w:val="000000" w:themeColor="text1"/>
        </w:rPr>
        <w:t xml:space="preserve"> A zatem jej poziom może być </w:t>
      </w:r>
      <w:r w:rsidRPr="004B2C13">
        <w:rPr>
          <w:rFonts w:cs="Times New Roman"/>
          <w:color w:val="000000" w:themeColor="text1"/>
          <w:szCs w:val="24"/>
        </w:rPr>
        <w:t>rokrocznie zmieniany, w zależności od przewidywanego wykorzystania.</w:t>
      </w:r>
    </w:p>
    <w:p w14:paraId="503C3065" w14:textId="78981F35" w:rsidR="00333154" w:rsidRPr="00333154" w:rsidRDefault="00121F6F" w:rsidP="003147D4">
      <w:pPr>
        <w:widowControl/>
        <w:autoSpaceDE/>
        <w:autoSpaceDN/>
        <w:adjustRightInd/>
        <w:ind w:firstLine="567"/>
        <w:jc w:val="both"/>
        <w:rPr>
          <w:rFonts w:eastAsiaTheme="minorHAnsi" w:cs="Times New Roman"/>
          <w:color w:val="000000" w:themeColor="text1"/>
          <w:szCs w:val="24"/>
          <w:lang w:eastAsia="en-US"/>
        </w:rPr>
      </w:pP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>Proponowana zmiana „do 30</w:t>
      </w:r>
      <w:r w:rsidR="00500D0C">
        <w:rPr>
          <w:rFonts w:eastAsiaTheme="minorHAnsi" w:cs="Times New Roman"/>
          <w:color w:val="000000" w:themeColor="text1"/>
          <w:szCs w:val="24"/>
          <w:lang w:eastAsia="en-US"/>
        </w:rPr>
        <w:t> 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 xml:space="preserve">%” nie powoduje zwiększenia dotacji z budżetu państwa, która </w:t>
      </w:r>
      <w:r w:rsidR="00904AD5">
        <w:rPr>
          <w:rFonts w:eastAsiaTheme="minorHAnsi" w:cs="Times New Roman"/>
          <w:color w:val="000000" w:themeColor="text1"/>
          <w:szCs w:val="24"/>
          <w:lang w:eastAsia="en-US"/>
        </w:rPr>
        <w:t>obecnie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 xml:space="preserve"> wynosi 30</w:t>
      </w:r>
      <w:r w:rsidR="00500D0C">
        <w:rPr>
          <w:rFonts w:eastAsiaTheme="minorHAnsi" w:cs="Times New Roman"/>
          <w:color w:val="000000" w:themeColor="text1"/>
          <w:szCs w:val="24"/>
          <w:lang w:eastAsia="en-US"/>
        </w:rPr>
        <w:t> 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>% środków zaplanowanych na realizację tego zadania na dany rok (na zadanie, o którym mowa w art. 26a). Zmiana wysokości kwoty dotacji celowej (kwoty „w wysokości 30</w:t>
      </w:r>
      <w:r w:rsidR="00500D0C">
        <w:rPr>
          <w:rFonts w:eastAsiaTheme="minorHAnsi" w:cs="Times New Roman"/>
          <w:color w:val="000000" w:themeColor="text1"/>
          <w:szCs w:val="24"/>
          <w:lang w:eastAsia="en-US"/>
        </w:rPr>
        <w:t> 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>%” wydatków PFRON na zadanie</w:t>
      </w:r>
      <w:r w:rsidR="00904AD5">
        <w:rPr>
          <w:rFonts w:eastAsiaTheme="minorHAnsi" w:cs="Times New Roman"/>
          <w:color w:val="000000" w:themeColor="text1"/>
          <w:szCs w:val="24"/>
          <w:lang w:eastAsia="en-US"/>
        </w:rPr>
        <w:t>,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 xml:space="preserve"> jakim jest dofinansowanie do wynagrodzeń pracowników niepełnosprawnych</w:t>
      </w:r>
      <w:r w:rsidR="00904AD5">
        <w:rPr>
          <w:rFonts w:eastAsiaTheme="minorHAnsi" w:cs="Times New Roman"/>
          <w:color w:val="000000" w:themeColor="text1"/>
          <w:szCs w:val="24"/>
          <w:lang w:eastAsia="en-US"/>
        </w:rPr>
        <w:t>,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 xml:space="preserve"> na kwotę „do wysokości 30</w:t>
      </w:r>
      <w:r w:rsidR="00904AD5">
        <w:rPr>
          <w:rFonts w:eastAsiaTheme="minorHAnsi" w:cs="Times New Roman"/>
          <w:color w:val="000000" w:themeColor="text1"/>
          <w:szCs w:val="24"/>
          <w:lang w:eastAsia="en-US"/>
        </w:rPr>
        <w:t> 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>%”) nie wpłynie na wysokość wydatków budżetu państwa, ponieważ należy wziąć pod uwagę maksymalny możliwy poziom dotacji celowej z budżetu państwa na poziomie 30</w:t>
      </w:r>
      <w:r w:rsidR="00904AD5">
        <w:rPr>
          <w:rFonts w:eastAsiaTheme="minorHAnsi" w:cs="Times New Roman"/>
          <w:color w:val="000000" w:themeColor="text1"/>
          <w:szCs w:val="24"/>
          <w:lang w:eastAsia="en-US"/>
        </w:rPr>
        <w:t> </w:t>
      </w:r>
      <w:r w:rsidRPr="00333154">
        <w:rPr>
          <w:rFonts w:eastAsiaTheme="minorHAnsi" w:cs="Times New Roman"/>
          <w:color w:val="000000" w:themeColor="text1"/>
          <w:szCs w:val="24"/>
          <w:lang w:eastAsia="en-US"/>
        </w:rPr>
        <w:t>% (a tym samym nie wprowadza się zmian w wydatkach budżetu państwa).</w:t>
      </w:r>
      <w:r w:rsidR="00333154" w:rsidRPr="00333154">
        <w:rPr>
          <w:rFonts w:eastAsiaTheme="minorHAnsi" w:cs="Times New Roman"/>
          <w:color w:val="000000" w:themeColor="text1"/>
          <w:szCs w:val="24"/>
          <w:lang w:eastAsia="en-US"/>
        </w:rPr>
        <w:t xml:space="preserve"> </w:t>
      </w:r>
      <w:r w:rsidR="00333154" w:rsidRPr="00333154">
        <w:rPr>
          <w:rFonts w:eastAsiaTheme="minorHAnsi" w:cs="Times New Roman"/>
          <w:szCs w:val="24"/>
          <w:lang w:eastAsia="en-US"/>
        </w:rPr>
        <w:t xml:space="preserve">Zgodnie z art. 29 ustawy </w:t>
      </w:r>
      <w:r w:rsidR="00904AD5">
        <w:rPr>
          <w:rFonts w:eastAsiaTheme="minorHAnsi" w:cs="Times New Roman"/>
          <w:szCs w:val="24"/>
          <w:lang w:eastAsia="en-US"/>
        </w:rPr>
        <w:t xml:space="preserve">z dnia 27 sierpnia 2009 r. </w:t>
      </w:r>
      <w:r w:rsidR="00333154" w:rsidRPr="00333154">
        <w:rPr>
          <w:rFonts w:eastAsiaTheme="minorHAnsi" w:cs="Times New Roman"/>
          <w:szCs w:val="24"/>
          <w:lang w:eastAsia="en-US"/>
        </w:rPr>
        <w:t xml:space="preserve">o finansach publicznych </w:t>
      </w:r>
      <w:r w:rsidR="00904AD5">
        <w:rPr>
          <w:rFonts w:eastAsiaTheme="minorHAnsi" w:cs="Times New Roman"/>
          <w:szCs w:val="24"/>
          <w:lang w:eastAsia="en-US"/>
        </w:rPr>
        <w:t xml:space="preserve">(Dz. U. z 2024 r. poz. 1530 i 1572) </w:t>
      </w:r>
      <w:r w:rsidR="00333154" w:rsidRPr="00333154">
        <w:rPr>
          <w:rFonts w:eastAsiaTheme="minorHAnsi" w:cs="Times New Roman"/>
          <w:szCs w:val="24"/>
          <w:lang w:eastAsia="en-US"/>
        </w:rPr>
        <w:t>zmiany planu finansowego państwowego funduszu celowego nie mogą powodować zwiększenia dotacji z budżetu państwa. W związku z powyższym</w:t>
      </w:r>
      <w:r w:rsidR="00333154">
        <w:rPr>
          <w:rFonts w:eastAsiaTheme="minorHAnsi" w:cs="Times New Roman"/>
          <w:szCs w:val="24"/>
          <w:lang w:eastAsia="en-US"/>
        </w:rPr>
        <w:t xml:space="preserve"> proponowana zmiana jest zgodna z przepisami </w:t>
      </w:r>
      <w:r w:rsidR="00860E1A">
        <w:rPr>
          <w:rFonts w:eastAsiaTheme="minorHAnsi" w:cs="Times New Roman"/>
          <w:szCs w:val="24"/>
          <w:lang w:eastAsia="en-US"/>
        </w:rPr>
        <w:t>finansowymi.</w:t>
      </w:r>
    </w:p>
    <w:p w14:paraId="77D27099" w14:textId="1310DFD3" w:rsidR="004F73A0" w:rsidRPr="004F73A0" w:rsidRDefault="00AD3328" w:rsidP="00F96F23">
      <w:pPr>
        <w:widowControl/>
        <w:autoSpaceDE/>
        <w:autoSpaceDN/>
        <w:adjustRightInd/>
        <w:spacing w:before="120"/>
        <w:ind w:firstLine="567"/>
        <w:jc w:val="both"/>
        <w:rPr>
          <w:rFonts w:cs="Times New Roman"/>
          <w:szCs w:val="24"/>
        </w:rPr>
      </w:pPr>
      <w:r w:rsidRPr="004F73A0">
        <w:rPr>
          <w:rFonts w:cs="Times New Roman"/>
          <w:color w:val="000000" w:themeColor="text1"/>
          <w:szCs w:val="24"/>
        </w:rPr>
        <w:t xml:space="preserve">Zgodnie z art. </w:t>
      </w:r>
      <w:r w:rsidR="00B31AEE" w:rsidRPr="004F73A0">
        <w:rPr>
          <w:rFonts w:cs="Times New Roman"/>
          <w:color w:val="000000" w:themeColor="text1"/>
          <w:szCs w:val="24"/>
        </w:rPr>
        <w:t>3</w:t>
      </w:r>
      <w:r w:rsidRPr="004F73A0">
        <w:rPr>
          <w:rFonts w:cs="Times New Roman"/>
          <w:color w:val="000000" w:themeColor="text1"/>
          <w:szCs w:val="24"/>
        </w:rPr>
        <w:t xml:space="preserve"> projektu ustawa wchodzi w życie z dniem</w:t>
      </w:r>
      <w:r w:rsidR="0046587C" w:rsidRPr="004F73A0">
        <w:rPr>
          <w:rFonts w:cs="Times New Roman"/>
          <w:color w:val="000000" w:themeColor="text1"/>
          <w:szCs w:val="24"/>
        </w:rPr>
        <w:t xml:space="preserve"> </w:t>
      </w:r>
      <w:r w:rsidR="00974BC6" w:rsidRPr="004F73A0">
        <w:rPr>
          <w:rFonts w:cs="Times New Roman"/>
          <w:color w:val="000000" w:themeColor="text1"/>
          <w:szCs w:val="24"/>
        </w:rPr>
        <w:t>następującym po dniu ogłoszenia</w:t>
      </w:r>
      <w:r w:rsidR="00624BA9">
        <w:rPr>
          <w:rFonts w:cs="Times New Roman"/>
          <w:color w:val="000000" w:themeColor="text1"/>
          <w:szCs w:val="24"/>
        </w:rPr>
        <w:t>,</w:t>
      </w:r>
      <w:r w:rsidRPr="004F73A0">
        <w:rPr>
          <w:rFonts w:eastAsiaTheme="minorHAnsi" w:cs="Times New Roman"/>
          <w:color w:val="000000" w:themeColor="text1"/>
          <w:szCs w:val="24"/>
          <w:lang w:eastAsia="en-US"/>
        </w:rPr>
        <w:t xml:space="preserve"> </w:t>
      </w:r>
      <w:r w:rsidR="002C2B04" w:rsidRPr="004F73A0">
        <w:rPr>
          <w:rFonts w:cs="Times New Roman"/>
          <w:szCs w:val="24"/>
        </w:rPr>
        <w:t xml:space="preserve">z wyjątkiem art. 1 pkt 2, który wchodzi w życie z </w:t>
      </w:r>
      <w:r w:rsidR="000E1A90">
        <w:rPr>
          <w:rFonts w:cs="Times New Roman"/>
          <w:szCs w:val="24"/>
        </w:rPr>
        <w:t>mocą od dnia 1</w:t>
      </w:r>
      <w:r w:rsidR="002C2B04" w:rsidRPr="004F73A0">
        <w:rPr>
          <w:rFonts w:cs="Times New Roman"/>
          <w:szCs w:val="24"/>
        </w:rPr>
        <w:t xml:space="preserve"> stycznia 2025</w:t>
      </w:r>
      <w:r w:rsidR="00D363AF">
        <w:rPr>
          <w:rFonts w:cs="Times New Roman"/>
          <w:szCs w:val="24"/>
        </w:rPr>
        <w:t> </w:t>
      </w:r>
      <w:r w:rsidR="002C2B04" w:rsidRPr="004F73A0">
        <w:rPr>
          <w:rFonts w:cs="Times New Roman"/>
          <w:szCs w:val="24"/>
        </w:rPr>
        <w:t xml:space="preserve">r. </w:t>
      </w:r>
      <w:r w:rsidR="008B4CAD" w:rsidRPr="004F73A0">
        <w:rPr>
          <w:rFonts w:eastAsiaTheme="minorHAnsi" w:cs="Times New Roman"/>
          <w:color w:val="000000" w:themeColor="text1"/>
          <w:szCs w:val="24"/>
          <w:lang w:eastAsia="en-US"/>
        </w:rPr>
        <w:t>Termin wejścia w życie</w:t>
      </w:r>
      <w:r w:rsidR="00082463" w:rsidRPr="004F73A0">
        <w:rPr>
          <w:rFonts w:eastAsiaTheme="minorHAnsi" w:cs="Times New Roman"/>
          <w:color w:val="000000" w:themeColor="text1"/>
          <w:szCs w:val="24"/>
          <w:lang w:eastAsia="en-US"/>
        </w:rPr>
        <w:t xml:space="preserve"> ustawy realizuje </w:t>
      </w:r>
      <w:r w:rsidR="000B5E88" w:rsidRPr="004F73A0">
        <w:rPr>
          <w:rFonts w:cs="Times New Roman"/>
          <w:color w:val="000000" w:themeColor="text1"/>
          <w:szCs w:val="24"/>
          <w:shd w:val="clear" w:color="auto" w:fill="FFFFFF"/>
        </w:rPr>
        <w:t xml:space="preserve">ważny interes państwa </w:t>
      </w:r>
      <w:r w:rsidR="004E3341" w:rsidRPr="004F73A0">
        <w:rPr>
          <w:rFonts w:cs="Times New Roman"/>
          <w:color w:val="000000" w:themeColor="text1"/>
          <w:szCs w:val="24"/>
          <w:shd w:val="clear" w:color="auto" w:fill="FFFFFF"/>
        </w:rPr>
        <w:t xml:space="preserve">w zakresie wspierania zatrudnienia osób niepełnosprawnych. </w:t>
      </w:r>
      <w:r w:rsidR="00082463" w:rsidRPr="004F73A0">
        <w:rPr>
          <w:rFonts w:cs="Times New Roman"/>
          <w:color w:val="000000" w:themeColor="text1"/>
          <w:szCs w:val="24"/>
          <w:shd w:val="clear" w:color="auto" w:fill="FFFFFF"/>
        </w:rPr>
        <w:t>Zasady demokratycznego państwa prawnego nie stoją temu na przeszkodzie</w:t>
      </w:r>
      <w:r w:rsidR="004E3341" w:rsidRPr="004F73A0">
        <w:rPr>
          <w:rFonts w:cs="Times New Roman"/>
          <w:color w:val="000000" w:themeColor="text1"/>
          <w:szCs w:val="24"/>
          <w:shd w:val="clear" w:color="auto" w:fill="FFFFFF"/>
        </w:rPr>
        <w:t xml:space="preserve">. Przepisy ustawy są oczekiwane i korzystne dla </w:t>
      </w:r>
      <w:r w:rsidR="004B03C0" w:rsidRPr="004F73A0">
        <w:rPr>
          <w:rFonts w:cs="Times New Roman"/>
          <w:color w:val="000000" w:themeColor="text1"/>
          <w:szCs w:val="24"/>
          <w:shd w:val="clear" w:color="auto" w:fill="FFFFFF"/>
        </w:rPr>
        <w:t xml:space="preserve">pracodawców </w:t>
      </w:r>
      <w:r w:rsidR="004B03C0" w:rsidRPr="004F73A0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 xml:space="preserve">zatrudniających osoby niepełnosprawne, pobierających dofinansowanie do ich wynagrodzeń oraz pośrednio dla samych </w:t>
      </w:r>
      <w:r w:rsidR="004E3341" w:rsidRPr="004F73A0">
        <w:rPr>
          <w:rFonts w:cs="Times New Roman"/>
          <w:color w:val="000000" w:themeColor="text1"/>
          <w:szCs w:val="24"/>
          <w:shd w:val="clear" w:color="auto" w:fill="FFFFFF"/>
        </w:rPr>
        <w:t>osób niepełnosprawnych</w:t>
      </w:r>
      <w:r w:rsidR="00E72DD0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r w:rsidR="004F73A0">
        <w:rPr>
          <w:rFonts w:eastAsia="Calibri" w:cs="Times New Roman"/>
          <w:color w:val="000000" w:themeColor="text1"/>
          <w:szCs w:val="24"/>
          <w:lang w:eastAsia="en-US"/>
        </w:rPr>
        <w:t>Wejście w życie p</w:t>
      </w:r>
      <w:r w:rsidR="002C2B04" w:rsidRPr="004F73A0">
        <w:rPr>
          <w:rFonts w:eastAsia="Calibri" w:cs="Times New Roman"/>
          <w:color w:val="000000" w:themeColor="text1"/>
          <w:szCs w:val="24"/>
          <w:lang w:eastAsia="en-US"/>
        </w:rPr>
        <w:t>rzepis</w:t>
      </w:r>
      <w:r w:rsidR="004F73A0">
        <w:rPr>
          <w:rFonts w:eastAsia="Calibri" w:cs="Times New Roman"/>
          <w:color w:val="000000" w:themeColor="text1"/>
          <w:szCs w:val="24"/>
          <w:lang w:eastAsia="en-US"/>
        </w:rPr>
        <w:t>u</w:t>
      </w:r>
      <w:r w:rsidR="002C2B04" w:rsidRPr="004F73A0">
        <w:rPr>
          <w:rFonts w:eastAsia="Calibri" w:cs="Times New Roman"/>
          <w:color w:val="000000" w:themeColor="text1"/>
          <w:szCs w:val="24"/>
          <w:lang w:eastAsia="en-US"/>
        </w:rPr>
        <w:t xml:space="preserve"> art. 1 pkt</w:t>
      </w:r>
      <w:r w:rsidR="00A56781">
        <w:rPr>
          <w:rFonts w:eastAsia="Calibri" w:cs="Times New Roman"/>
          <w:color w:val="000000" w:themeColor="text1"/>
          <w:szCs w:val="24"/>
          <w:lang w:eastAsia="en-US"/>
        </w:rPr>
        <w:t> </w:t>
      </w:r>
      <w:r w:rsidR="002C2B04" w:rsidRPr="004F73A0">
        <w:rPr>
          <w:rFonts w:eastAsia="Calibri" w:cs="Times New Roman"/>
          <w:color w:val="000000" w:themeColor="text1"/>
          <w:szCs w:val="24"/>
          <w:lang w:eastAsia="en-US"/>
        </w:rPr>
        <w:t>2 projektu ustawy dotycząc</w:t>
      </w:r>
      <w:r w:rsidR="004F73A0">
        <w:rPr>
          <w:rFonts w:eastAsia="Calibri" w:cs="Times New Roman"/>
          <w:color w:val="000000" w:themeColor="text1"/>
          <w:szCs w:val="24"/>
          <w:lang w:eastAsia="en-US"/>
        </w:rPr>
        <w:t xml:space="preserve">ego </w:t>
      </w:r>
      <w:r w:rsidR="004F73A0" w:rsidRPr="004F73A0">
        <w:rPr>
          <w:rFonts w:cs="Times New Roman"/>
          <w:szCs w:val="24"/>
        </w:rPr>
        <w:t>art. 46a ust. 1 pkt 1 ustawy o rehabilitacji</w:t>
      </w:r>
      <w:r w:rsidR="004F73A0">
        <w:rPr>
          <w:rFonts w:cs="Times New Roman"/>
          <w:szCs w:val="24"/>
        </w:rPr>
        <w:t xml:space="preserve"> </w:t>
      </w:r>
      <w:r w:rsidR="004F73A0" w:rsidRPr="004F73A0">
        <w:rPr>
          <w:rFonts w:cs="Times New Roman"/>
          <w:szCs w:val="24"/>
        </w:rPr>
        <w:t>został</w:t>
      </w:r>
      <w:r w:rsidR="004F73A0">
        <w:rPr>
          <w:rFonts w:cs="Times New Roman"/>
          <w:szCs w:val="24"/>
        </w:rPr>
        <w:t>o</w:t>
      </w:r>
      <w:r w:rsidR="004F73A0" w:rsidRPr="004F73A0">
        <w:rPr>
          <w:rFonts w:cs="Times New Roman"/>
          <w:szCs w:val="24"/>
        </w:rPr>
        <w:t xml:space="preserve"> określon</w:t>
      </w:r>
      <w:r w:rsidR="004F73A0">
        <w:rPr>
          <w:rFonts w:cs="Times New Roman"/>
          <w:szCs w:val="24"/>
        </w:rPr>
        <w:t>e</w:t>
      </w:r>
      <w:r w:rsidR="004F73A0" w:rsidRPr="004F73A0">
        <w:rPr>
          <w:rFonts w:cs="Times New Roman"/>
          <w:szCs w:val="24"/>
        </w:rPr>
        <w:t xml:space="preserve"> na dzień</w:t>
      </w:r>
      <w:r w:rsidR="00A56781">
        <w:rPr>
          <w:rFonts w:cs="Times New Roman"/>
          <w:szCs w:val="24"/>
        </w:rPr>
        <w:t xml:space="preserve"> </w:t>
      </w:r>
      <w:r w:rsidR="004F73A0" w:rsidRPr="004F73A0">
        <w:rPr>
          <w:rFonts w:cs="Times New Roman"/>
          <w:szCs w:val="24"/>
        </w:rPr>
        <w:t xml:space="preserve">1 stycznia 2025 r. </w:t>
      </w:r>
      <w:r w:rsidR="004F73A0">
        <w:rPr>
          <w:rFonts w:cs="Times New Roman"/>
          <w:szCs w:val="24"/>
        </w:rPr>
        <w:t>(art. 46a ust. 1 pkt 1 dotyczy</w:t>
      </w:r>
      <w:r w:rsidR="00536354">
        <w:rPr>
          <w:rFonts w:cs="Times New Roman"/>
          <w:szCs w:val="24"/>
        </w:rPr>
        <w:t xml:space="preserve"> </w:t>
      </w:r>
      <w:r w:rsidR="00536354" w:rsidRPr="004B2C13">
        <w:rPr>
          <w:color w:val="000000" w:themeColor="text1"/>
        </w:rPr>
        <w:t>poziom</w:t>
      </w:r>
      <w:r w:rsidR="00536354">
        <w:rPr>
          <w:color w:val="000000" w:themeColor="text1"/>
        </w:rPr>
        <w:t>u</w:t>
      </w:r>
      <w:r w:rsidR="00536354" w:rsidRPr="004B2C13">
        <w:rPr>
          <w:color w:val="000000" w:themeColor="text1"/>
        </w:rPr>
        <w:t xml:space="preserve"> dotacji celowej otrzymywanej</w:t>
      </w:r>
      <w:r w:rsidR="00A56781">
        <w:rPr>
          <w:color w:val="000000" w:themeColor="text1"/>
        </w:rPr>
        <w:t xml:space="preserve"> </w:t>
      </w:r>
      <w:r w:rsidR="00536354" w:rsidRPr="004B2C13">
        <w:rPr>
          <w:color w:val="000000" w:themeColor="text1"/>
        </w:rPr>
        <w:t>z budżetu państwa przez PFRON na dofinansowania do wynagrodzeń pracowników niepełnosprawnych</w:t>
      </w:r>
      <w:r w:rsidR="00536354">
        <w:rPr>
          <w:color w:val="000000" w:themeColor="text1"/>
        </w:rPr>
        <w:t>).</w:t>
      </w:r>
      <w:r w:rsidR="004F73A0" w:rsidRPr="004F73A0">
        <w:rPr>
          <w:rFonts w:cs="Times New Roman"/>
          <w:szCs w:val="24"/>
        </w:rPr>
        <w:t xml:space="preserve"> Koszty i wydatki</w:t>
      </w:r>
      <w:r w:rsidR="00142E29">
        <w:rPr>
          <w:rFonts w:cs="Times New Roman"/>
          <w:szCs w:val="24"/>
        </w:rPr>
        <w:t xml:space="preserve"> dotyczące dotacji celowej określonej w projekcie ustawy </w:t>
      </w:r>
      <w:r w:rsidR="004F73A0" w:rsidRPr="004F73A0">
        <w:rPr>
          <w:rFonts w:cs="Times New Roman"/>
          <w:szCs w:val="24"/>
        </w:rPr>
        <w:t xml:space="preserve">będą ponoszone od </w:t>
      </w:r>
      <w:r w:rsidR="00EA3022">
        <w:rPr>
          <w:rFonts w:cs="Times New Roman"/>
          <w:szCs w:val="24"/>
        </w:rPr>
        <w:t xml:space="preserve">dnia </w:t>
      </w:r>
      <w:r w:rsidR="004F73A0" w:rsidRPr="004F73A0">
        <w:rPr>
          <w:rFonts w:cs="Times New Roman"/>
          <w:szCs w:val="24"/>
        </w:rPr>
        <w:t>1 stycznia 2025 r.</w:t>
      </w:r>
    </w:p>
    <w:p w14:paraId="7A5D91A3" w14:textId="5B454FA7" w:rsidR="00D62778" w:rsidRPr="004B2C13" w:rsidRDefault="00D62778" w:rsidP="00F96F23">
      <w:pPr>
        <w:spacing w:before="120"/>
        <w:ind w:firstLine="567"/>
        <w:jc w:val="both"/>
        <w:rPr>
          <w:rFonts w:cs="Times New Roman"/>
          <w:color w:val="000000" w:themeColor="text1"/>
          <w:szCs w:val="24"/>
        </w:rPr>
      </w:pPr>
      <w:r w:rsidRPr="004B2C13">
        <w:rPr>
          <w:rFonts w:cs="Times New Roman"/>
          <w:color w:val="000000" w:themeColor="text1"/>
          <w:szCs w:val="24"/>
        </w:rPr>
        <w:t>Projektowana ustawa nie będzie miała bezpośredniego wpływu na sytuację ekonomiczną i społeczną rodziny oraz osób starszych.</w:t>
      </w:r>
    </w:p>
    <w:p w14:paraId="5CCBE82A" w14:textId="0D0D9815" w:rsidR="00D62778" w:rsidRPr="004B2C13" w:rsidRDefault="00D62778" w:rsidP="00F96F23">
      <w:pPr>
        <w:pStyle w:val="NormalnyWeb"/>
        <w:spacing w:before="12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Projekt ustawy jest zgodny z prawem Unii Europejskiej.</w:t>
      </w:r>
    </w:p>
    <w:p w14:paraId="159683E1" w14:textId="77777777" w:rsidR="00D62778" w:rsidRPr="004B2C13" w:rsidRDefault="00D62778" w:rsidP="00F96F23">
      <w:pPr>
        <w:pStyle w:val="NormalnyWeb"/>
        <w:spacing w:before="12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Projekt nie zawiera przepisów technicznych wymagających notyfikacji w rozumieniu rozporządzenia Rady Ministrów z dnia 23 grudnia 2002 r. w sprawie sposobu funkcjonowania krajowego systemu notyfikacji norm i aktów prawnych (Dz. U. poz. 2039, z późn. zm.) oraz nie podlega notyfikacji na zasadach przewidzianych w tym rozporządzeniu.</w:t>
      </w:r>
    </w:p>
    <w:p w14:paraId="4A4E0270" w14:textId="7A299345" w:rsidR="00D62778" w:rsidRPr="004C1875" w:rsidRDefault="00D62778" w:rsidP="00F96F23">
      <w:pPr>
        <w:spacing w:before="120"/>
        <w:ind w:firstLine="567"/>
        <w:jc w:val="both"/>
        <w:rPr>
          <w:rFonts w:cs="Times New Roman"/>
          <w:color w:val="000000" w:themeColor="text1"/>
          <w:szCs w:val="24"/>
        </w:rPr>
      </w:pPr>
      <w:r w:rsidRPr="004C1875">
        <w:rPr>
          <w:rFonts w:cs="Times New Roman"/>
          <w:color w:val="000000" w:themeColor="text1"/>
          <w:szCs w:val="24"/>
        </w:rPr>
        <w:t xml:space="preserve">Miesięczne dofinansowanie do wynagrodzenia pracowników niepełnosprawnych stanowi subsydium płacowe określone w rozporządzeniu Komisji (UE) </w:t>
      </w:r>
      <w:r w:rsidR="00A56781">
        <w:rPr>
          <w:rFonts w:cs="Times New Roman"/>
          <w:color w:val="000000" w:themeColor="text1"/>
          <w:szCs w:val="24"/>
        </w:rPr>
        <w:t>n</w:t>
      </w:r>
      <w:r w:rsidRPr="004C1875">
        <w:rPr>
          <w:rFonts w:cs="Times New Roman"/>
          <w:color w:val="000000" w:themeColor="text1"/>
          <w:szCs w:val="24"/>
        </w:rPr>
        <w:t>r 651/2014 z dnia 17 czerwca 2014 r. uznającym niektóre rodzaje pomocy za zgodne z rynkiem wewnętrznym w zastosowaniu art. 107 i 108 Traktatu (Dz. Urz. UE L 187 z 26.</w:t>
      </w:r>
      <w:r w:rsidR="00AB5EBA" w:rsidRPr="004C1875">
        <w:rPr>
          <w:rFonts w:cs="Times New Roman"/>
          <w:color w:val="000000" w:themeColor="text1"/>
          <w:szCs w:val="24"/>
        </w:rPr>
        <w:t>0</w:t>
      </w:r>
      <w:r w:rsidRPr="004C1875">
        <w:rPr>
          <w:rFonts w:cs="Times New Roman"/>
          <w:color w:val="000000" w:themeColor="text1"/>
          <w:szCs w:val="24"/>
        </w:rPr>
        <w:t>6.2014, str. 1</w:t>
      </w:r>
      <w:r w:rsidR="000E2ECA" w:rsidRPr="004C1875">
        <w:rPr>
          <w:rFonts w:cs="Times New Roman"/>
          <w:color w:val="000000" w:themeColor="text1"/>
          <w:szCs w:val="24"/>
        </w:rPr>
        <w:t>, z późn. zm.</w:t>
      </w:r>
      <w:r w:rsidRPr="004C1875">
        <w:rPr>
          <w:rFonts w:cs="Times New Roman"/>
          <w:color w:val="000000" w:themeColor="text1"/>
          <w:szCs w:val="24"/>
        </w:rPr>
        <w:t>).</w:t>
      </w:r>
    </w:p>
    <w:p w14:paraId="2DC06944" w14:textId="2803C982" w:rsidR="00D62778" w:rsidRPr="004C1875" w:rsidRDefault="00D62778" w:rsidP="00F96F23">
      <w:pPr>
        <w:spacing w:before="120"/>
        <w:jc w:val="both"/>
        <w:rPr>
          <w:rFonts w:cs="Times New Roman"/>
          <w:color w:val="000000" w:themeColor="text1"/>
        </w:rPr>
      </w:pPr>
      <w:r w:rsidRPr="004C1875">
        <w:rPr>
          <w:rFonts w:cs="Times New Roman"/>
          <w:color w:val="000000" w:themeColor="text1"/>
          <w:szCs w:val="24"/>
        </w:rPr>
        <w:t>Polski program pomocy w formie miesięcznego dofinansowania uzyskał akceptację K</w:t>
      </w:r>
      <w:r w:rsidR="00EA3022">
        <w:rPr>
          <w:rFonts w:cs="Times New Roman"/>
          <w:color w:val="000000" w:themeColor="text1"/>
          <w:szCs w:val="24"/>
        </w:rPr>
        <w:t xml:space="preserve">omisji </w:t>
      </w:r>
      <w:r w:rsidRPr="004C1875">
        <w:rPr>
          <w:rFonts w:cs="Times New Roman"/>
          <w:color w:val="000000" w:themeColor="text1"/>
          <w:szCs w:val="24"/>
        </w:rPr>
        <w:t>E</w:t>
      </w:r>
      <w:r w:rsidR="00EA3022">
        <w:rPr>
          <w:rFonts w:cs="Times New Roman"/>
          <w:color w:val="000000" w:themeColor="text1"/>
          <w:szCs w:val="24"/>
        </w:rPr>
        <w:t>uropejskiej</w:t>
      </w:r>
      <w:r w:rsidRPr="004C1875">
        <w:rPr>
          <w:rFonts w:cs="Times New Roman"/>
          <w:color w:val="000000" w:themeColor="text1"/>
          <w:szCs w:val="24"/>
        </w:rPr>
        <w:t xml:space="preserve"> i</w:t>
      </w:r>
      <w:r w:rsidR="00A56781">
        <w:rPr>
          <w:rFonts w:cs="Times New Roman"/>
          <w:color w:val="000000" w:themeColor="text1"/>
          <w:szCs w:val="24"/>
        </w:rPr>
        <w:t xml:space="preserve"> </w:t>
      </w:r>
      <w:r w:rsidRPr="004C1875">
        <w:rPr>
          <w:rFonts w:cs="Times New Roman"/>
          <w:color w:val="000000" w:themeColor="text1"/>
          <w:szCs w:val="24"/>
        </w:rPr>
        <w:t xml:space="preserve">otrzymał numer: </w:t>
      </w:r>
      <w:r w:rsidR="008D0777" w:rsidRPr="004C1875">
        <w:rPr>
          <w:rFonts w:cs="Times New Roman"/>
          <w:color w:val="000000" w:themeColor="text1"/>
          <w:szCs w:val="24"/>
        </w:rPr>
        <w:t xml:space="preserve">SA.115582. </w:t>
      </w:r>
      <w:r w:rsidRPr="004C1875">
        <w:rPr>
          <w:rFonts w:cs="Times New Roman"/>
          <w:color w:val="000000" w:themeColor="text1"/>
          <w:szCs w:val="24"/>
        </w:rPr>
        <w:t>Zmiany wysokości kwot nie wymagają notyfikacji do K</w:t>
      </w:r>
      <w:r w:rsidR="00EA3022">
        <w:rPr>
          <w:rFonts w:cs="Times New Roman"/>
          <w:color w:val="000000" w:themeColor="text1"/>
          <w:szCs w:val="24"/>
        </w:rPr>
        <w:t xml:space="preserve">omisji </w:t>
      </w:r>
      <w:r w:rsidRPr="004C1875">
        <w:rPr>
          <w:rFonts w:cs="Times New Roman"/>
          <w:color w:val="000000" w:themeColor="text1"/>
          <w:szCs w:val="24"/>
        </w:rPr>
        <w:t>E</w:t>
      </w:r>
      <w:r w:rsidR="00EA3022">
        <w:rPr>
          <w:rFonts w:cs="Times New Roman"/>
          <w:color w:val="000000" w:themeColor="text1"/>
          <w:szCs w:val="24"/>
        </w:rPr>
        <w:t>uropejskiej</w:t>
      </w:r>
      <w:r w:rsidRPr="004C1875">
        <w:rPr>
          <w:rFonts w:cs="Times New Roman"/>
          <w:color w:val="000000" w:themeColor="text1"/>
          <w:szCs w:val="24"/>
        </w:rPr>
        <w:t>.</w:t>
      </w:r>
    </w:p>
    <w:p w14:paraId="499322BB" w14:textId="6FFDCD84" w:rsidR="00D62778" w:rsidRPr="004B2C13" w:rsidRDefault="00D62778" w:rsidP="00F96F23">
      <w:pPr>
        <w:pStyle w:val="NormalnyWeb"/>
        <w:spacing w:before="12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C1875">
        <w:rPr>
          <w:color w:val="000000" w:themeColor="text1"/>
        </w:rPr>
        <w:t>Projekt ustawy nie wymaga uzyskania opinii</w:t>
      </w:r>
      <w:r w:rsidRPr="004B2C13">
        <w:rPr>
          <w:color w:val="000000" w:themeColor="text1"/>
        </w:rPr>
        <w:t>, dokonania powiadomienia, konsultacji albo uzgodnienia z właściwym organami i instytucjami Unii Europejskiej, w tym z</w:t>
      </w:r>
      <w:r w:rsidR="00A56781">
        <w:rPr>
          <w:color w:val="000000" w:themeColor="text1"/>
        </w:rPr>
        <w:t xml:space="preserve"> </w:t>
      </w:r>
      <w:r w:rsidRPr="004B2C13">
        <w:rPr>
          <w:color w:val="000000" w:themeColor="text1"/>
        </w:rPr>
        <w:t>Europejskim Bankiem Centralnym, o czym mowa w § 39 uchwały nr 190 Rady Ministrów z</w:t>
      </w:r>
      <w:r w:rsidR="00A56781">
        <w:rPr>
          <w:color w:val="000000" w:themeColor="text1"/>
        </w:rPr>
        <w:t xml:space="preserve"> </w:t>
      </w:r>
      <w:r w:rsidRPr="004B2C13">
        <w:rPr>
          <w:color w:val="000000" w:themeColor="text1"/>
        </w:rPr>
        <w:t xml:space="preserve">dnia 29 października 2013 r. – Regulamin pracy Rady Ministrów (M.P. z </w:t>
      </w:r>
      <w:r w:rsidR="004B2D71">
        <w:rPr>
          <w:color w:val="000000" w:themeColor="text1"/>
        </w:rPr>
        <w:t>2024</w:t>
      </w:r>
      <w:r w:rsidR="004B2D71" w:rsidRPr="004B2C13">
        <w:rPr>
          <w:color w:val="000000" w:themeColor="text1"/>
        </w:rPr>
        <w:t xml:space="preserve"> </w:t>
      </w:r>
      <w:r w:rsidRPr="004B2C13">
        <w:rPr>
          <w:color w:val="000000" w:themeColor="text1"/>
        </w:rPr>
        <w:t xml:space="preserve">r. poz. </w:t>
      </w:r>
      <w:r w:rsidR="00EA3022">
        <w:rPr>
          <w:color w:val="000000" w:themeColor="text1"/>
        </w:rPr>
        <w:t>806</w:t>
      </w:r>
      <w:r w:rsidRPr="004B2C13">
        <w:rPr>
          <w:color w:val="000000" w:themeColor="text1"/>
        </w:rPr>
        <w:t>).</w:t>
      </w:r>
    </w:p>
    <w:p w14:paraId="2CA82F49" w14:textId="76C24340" w:rsidR="00D62778" w:rsidRPr="004B2C13" w:rsidRDefault="00D62778" w:rsidP="003147D4">
      <w:pPr>
        <w:pStyle w:val="NormalnyWeb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Stosownie do art. 4 ustawy z dnia 7 lipca 2005 r. o działalności lobbingowej w procesie stanowienia prawa (Dz. U. z 2017 r. poz. 248</w:t>
      </w:r>
      <w:r w:rsidR="00EA3022">
        <w:rPr>
          <w:color w:val="000000" w:themeColor="text1"/>
        </w:rPr>
        <w:t xml:space="preserve"> oraz z 2024 r. poz. 1535</w:t>
      </w:r>
      <w:r w:rsidRPr="004B2C13">
        <w:rPr>
          <w:color w:val="000000" w:themeColor="text1"/>
        </w:rPr>
        <w:t>) projekt zosta</w:t>
      </w:r>
      <w:r w:rsidR="00EA3814">
        <w:rPr>
          <w:color w:val="000000" w:themeColor="text1"/>
        </w:rPr>
        <w:t>ł</w:t>
      </w:r>
      <w:r w:rsidRPr="004B2C13">
        <w:rPr>
          <w:color w:val="000000" w:themeColor="text1"/>
        </w:rPr>
        <w:t xml:space="preserve"> zamieszczony w </w:t>
      </w:r>
      <w:r w:rsidR="00A56781">
        <w:rPr>
          <w:color w:val="000000" w:themeColor="text1"/>
        </w:rPr>
        <w:t>W</w:t>
      </w:r>
      <w:r w:rsidRPr="004B2C13">
        <w:rPr>
          <w:color w:val="000000" w:themeColor="text1"/>
        </w:rPr>
        <w:t>ykazie prac legislacyjnych i programowych Rady Ministrów</w:t>
      </w:r>
      <w:r w:rsidR="00B7580D" w:rsidRPr="004B2C13">
        <w:rPr>
          <w:color w:val="000000" w:themeColor="text1"/>
        </w:rPr>
        <w:t>.</w:t>
      </w:r>
    </w:p>
    <w:p w14:paraId="4B2AC4B5" w14:textId="159AE9A9" w:rsidR="00D62778" w:rsidRPr="004B2C13" w:rsidRDefault="00D62778" w:rsidP="00F96F23">
      <w:pPr>
        <w:pStyle w:val="NormalnyWeb"/>
        <w:spacing w:before="12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Zgodnie z art. 5 ustawy z dnia 7 lipca 2005 r. o działalności lobbingowej w procesie stanowienia prawa oraz § 52 uchwały nr 190 Rady Ministrów z dnia 29 października 2013 r. – Regulamin pracy Rady Ministrów projekt ustawy</w:t>
      </w:r>
      <w:r w:rsidR="00B7580D" w:rsidRPr="004B2C13">
        <w:rPr>
          <w:color w:val="000000" w:themeColor="text1"/>
        </w:rPr>
        <w:t xml:space="preserve"> </w:t>
      </w:r>
      <w:r w:rsidRPr="004B2C13">
        <w:rPr>
          <w:color w:val="000000" w:themeColor="text1"/>
        </w:rPr>
        <w:t>zosta</w:t>
      </w:r>
      <w:r w:rsidR="00EA3814">
        <w:rPr>
          <w:color w:val="000000" w:themeColor="text1"/>
        </w:rPr>
        <w:t>ł</w:t>
      </w:r>
      <w:r w:rsidRPr="004B2C13">
        <w:rPr>
          <w:color w:val="000000" w:themeColor="text1"/>
        </w:rPr>
        <w:t xml:space="preserve"> udostępniony w Biuletynie Informacji Publicznej na stronie podmiotowej Rządowego Centrum Legislacji, w serwisie </w:t>
      </w:r>
      <w:r w:rsidR="00A56781">
        <w:rPr>
          <w:color w:val="000000" w:themeColor="text1"/>
        </w:rPr>
        <w:t>„</w:t>
      </w:r>
      <w:r w:rsidRPr="004B2C13">
        <w:rPr>
          <w:color w:val="000000" w:themeColor="text1"/>
        </w:rPr>
        <w:t xml:space="preserve">Rządowy </w:t>
      </w:r>
      <w:r w:rsidRPr="004B2C13">
        <w:rPr>
          <w:color w:val="000000" w:themeColor="text1"/>
        </w:rPr>
        <w:lastRenderedPageBreak/>
        <w:t>Proces Legislacyjny</w:t>
      </w:r>
      <w:r w:rsidR="00A56781">
        <w:rPr>
          <w:color w:val="000000" w:themeColor="text1"/>
        </w:rPr>
        <w:t>”</w:t>
      </w:r>
      <w:r w:rsidRPr="004B2C13">
        <w:rPr>
          <w:color w:val="000000" w:themeColor="text1"/>
        </w:rPr>
        <w:t xml:space="preserve">. </w:t>
      </w:r>
      <w:r w:rsidR="00EA3814">
        <w:rPr>
          <w:color w:val="000000" w:themeColor="text1"/>
        </w:rPr>
        <w:t xml:space="preserve">W ramach </w:t>
      </w:r>
      <w:r w:rsidR="00694209">
        <w:rPr>
          <w:color w:val="000000" w:themeColor="text1"/>
        </w:rPr>
        <w:t>ustawy uwagi zgłosiła Fundacja Blind&amp;Praud.</w:t>
      </w:r>
      <w:r w:rsidR="00C45A3B">
        <w:rPr>
          <w:color w:val="000000" w:themeColor="text1"/>
        </w:rPr>
        <w:t xml:space="preserve"> Uwagi</w:t>
      </w:r>
      <w:r w:rsidR="00A56781">
        <w:rPr>
          <w:color w:val="000000" w:themeColor="text1"/>
        </w:rPr>
        <w:t xml:space="preserve"> </w:t>
      </w:r>
      <w:r w:rsidR="00C45A3B">
        <w:rPr>
          <w:color w:val="000000" w:themeColor="text1"/>
        </w:rPr>
        <w:t>i stanowisko resortu zostały umieszczone w Raporcie z konsultacji publicznych.</w:t>
      </w:r>
    </w:p>
    <w:p w14:paraId="3B0F3015" w14:textId="2A1FE1DC" w:rsidR="00D62778" w:rsidRPr="004B2C13" w:rsidRDefault="00D62778" w:rsidP="00F96F23">
      <w:pPr>
        <w:pStyle w:val="NormalnyWeb"/>
        <w:spacing w:before="12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B2C13">
        <w:rPr>
          <w:color w:val="000000" w:themeColor="text1"/>
        </w:rPr>
        <w:t>Projekt nie stwarza zagrożeń korupcyjnych.</w:t>
      </w:r>
    </w:p>
    <w:sectPr w:rsidR="00D62778" w:rsidRPr="004B2C13" w:rsidSect="00E60F7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9BA0" w14:textId="77777777" w:rsidR="00E8378B" w:rsidRDefault="00E8378B" w:rsidP="006841DF">
      <w:pPr>
        <w:spacing w:line="240" w:lineRule="auto"/>
      </w:pPr>
      <w:r>
        <w:separator/>
      </w:r>
    </w:p>
  </w:endnote>
  <w:endnote w:type="continuationSeparator" w:id="0">
    <w:p w14:paraId="250CF76C" w14:textId="77777777" w:rsidR="00E8378B" w:rsidRDefault="00E8378B" w:rsidP="00684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96942"/>
      <w:docPartObj>
        <w:docPartGallery w:val="Page Numbers (Bottom of Page)"/>
        <w:docPartUnique/>
      </w:docPartObj>
    </w:sdtPr>
    <w:sdtEndPr/>
    <w:sdtContent>
      <w:p w14:paraId="123EC169" w14:textId="3A8EF298" w:rsidR="006841DF" w:rsidRDefault="006841DF" w:rsidP="006841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025F" w14:textId="77777777" w:rsidR="00E8378B" w:rsidRDefault="00E8378B" w:rsidP="006841DF">
      <w:pPr>
        <w:spacing w:line="240" w:lineRule="auto"/>
      </w:pPr>
      <w:r>
        <w:separator/>
      </w:r>
    </w:p>
  </w:footnote>
  <w:footnote w:type="continuationSeparator" w:id="0">
    <w:p w14:paraId="26685CB4" w14:textId="77777777" w:rsidR="00E8378B" w:rsidRDefault="00E8378B" w:rsidP="00684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1D4A"/>
    <w:multiLevelType w:val="hybridMultilevel"/>
    <w:tmpl w:val="11FAE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3FA"/>
    <w:multiLevelType w:val="hybridMultilevel"/>
    <w:tmpl w:val="2392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43F2"/>
    <w:multiLevelType w:val="hybridMultilevel"/>
    <w:tmpl w:val="8B50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440D9C"/>
    <w:multiLevelType w:val="hybridMultilevel"/>
    <w:tmpl w:val="AD786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A7C28"/>
    <w:multiLevelType w:val="hybridMultilevel"/>
    <w:tmpl w:val="A0F8F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26328">
    <w:abstractNumId w:val="1"/>
  </w:num>
  <w:num w:numId="2" w16cid:durableId="1392803811">
    <w:abstractNumId w:val="4"/>
  </w:num>
  <w:num w:numId="3" w16cid:durableId="546063328">
    <w:abstractNumId w:val="3"/>
  </w:num>
  <w:num w:numId="4" w16cid:durableId="86352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56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60"/>
    <w:rsid w:val="00023D7B"/>
    <w:rsid w:val="000315DE"/>
    <w:rsid w:val="00067C71"/>
    <w:rsid w:val="00082463"/>
    <w:rsid w:val="000B5E88"/>
    <w:rsid w:val="000C76A7"/>
    <w:rsid w:val="000E1A90"/>
    <w:rsid w:val="000E2ECA"/>
    <w:rsid w:val="000F10AA"/>
    <w:rsid w:val="00112370"/>
    <w:rsid w:val="00121F6F"/>
    <w:rsid w:val="00125B61"/>
    <w:rsid w:val="00132A48"/>
    <w:rsid w:val="00142E29"/>
    <w:rsid w:val="001716E0"/>
    <w:rsid w:val="00180347"/>
    <w:rsid w:val="00180890"/>
    <w:rsid w:val="0019079D"/>
    <w:rsid w:val="001C4662"/>
    <w:rsid w:val="001F5A95"/>
    <w:rsid w:val="002001C6"/>
    <w:rsid w:val="00246E86"/>
    <w:rsid w:val="002618FF"/>
    <w:rsid w:val="002C2B04"/>
    <w:rsid w:val="002F7A4E"/>
    <w:rsid w:val="003147D4"/>
    <w:rsid w:val="003246DE"/>
    <w:rsid w:val="00333154"/>
    <w:rsid w:val="00355DDE"/>
    <w:rsid w:val="0037037D"/>
    <w:rsid w:val="0038014A"/>
    <w:rsid w:val="00390655"/>
    <w:rsid w:val="003D3CE4"/>
    <w:rsid w:val="003F2B24"/>
    <w:rsid w:val="0041637C"/>
    <w:rsid w:val="004278F6"/>
    <w:rsid w:val="00431E76"/>
    <w:rsid w:val="00454473"/>
    <w:rsid w:val="0046587C"/>
    <w:rsid w:val="004A3B81"/>
    <w:rsid w:val="004A6C5E"/>
    <w:rsid w:val="004B03C0"/>
    <w:rsid w:val="004B2C13"/>
    <w:rsid w:val="004B2D71"/>
    <w:rsid w:val="004C1875"/>
    <w:rsid w:val="004C25AA"/>
    <w:rsid w:val="004E3341"/>
    <w:rsid w:val="004E582D"/>
    <w:rsid w:val="004E5ABE"/>
    <w:rsid w:val="004F73A0"/>
    <w:rsid w:val="00500D0C"/>
    <w:rsid w:val="00517056"/>
    <w:rsid w:val="00531C1B"/>
    <w:rsid w:val="00536354"/>
    <w:rsid w:val="005712F1"/>
    <w:rsid w:val="00572AFA"/>
    <w:rsid w:val="00581E90"/>
    <w:rsid w:val="0059051E"/>
    <w:rsid w:val="005D0C20"/>
    <w:rsid w:val="005D2BEE"/>
    <w:rsid w:val="00602266"/>
    <w:rsid w:val="00610DBF"/>
    <w:rsid w:val="00616C5A"/>
    <w:rsid w:val="00624BA9"/>
    <w:rsid w:val="00657B3A"/>
    <w:rsid w:val="006841DF"/>
    <w:rsid w:val="00694209"/>
    <w:rsid w:val="006A11AD"/>
    <w:rsid w:val="006B2138"/>
    <w:rsid w:val="006E017C"/>
    <w:rsid w:val="007428C0"/>
    <w:rsid w:val="00765A61"/>
    <w:rsid w:val="00774252"/>
    <w:rsid w:val="007940B5"/>
    <w:rsid w:val="007A4C25"/>
    <w:rsid w:val="007C563C"/>
    <w:rsid w:val="007D1639"/>
    <w:rsid w:val="007D48D0"/>
    <w:rsid w:val="007E6E22"/>
    <w:rsid w:val="008028A9"/>
    <w:rsid w:val="008315C7"/>
    <w:rsid w:val="00860E1A"/>
    <w:rsid w:val="008752C1"/>
    <w:rsid w:val="008B2773"/>
    <w:rsid w:val="008B4CAD"/>
    <w:rsid w:val="008C60C6"/>
    <w:rsid w:val="008D0777"/>
    <w:rsid w:val="008E3822"/>
    <w:rsid w:val="00900423"/>
    <w:rsid w:val="00904AD5"/>
    <w:rsid w:val="00917065"/>
    <w:rsid w:val="00920965"/>
    <w:rsid w:val="00921E3D"/>
    <w:rsid w:val="00972592"/>
    <w:rsid w:val="00974BC6"/>
    <w:rsid w:val="00987F89"/>
    <w:rsid w:val="00993612"/>
    <w:rsid w:val="00996F0B"/>
    <w:rsid w:val="009C29CC"/>
    <w:rsid w:val="00A44144"/>
    <w:rsid w:val="00A47BF7"/>
    <w:rsid w:val="00A5314A"/>
    <w:rsid w:val="00A56781"/>
    <w:rsid w:val="00A82475"/>
    <w:rsid w:val="00A8434E"/>
    <w:rsid w:val="00AB5EBA"/>
    <w:rsid w:val="00AD3328"/>
    <w:rsid w:val="00AD63BD"/>
    <w:rsid w:val="00B31AEE"/>
    <w:rsid w:val="00B441B3"/>
    <w:rsid w:val="00B7368C"/>
    <w:rsid w:val="00B7580D"/>
    <w:rsid w:val="00B80D6B"/>
    <w:rsid w:val="00BB7E18"/>
    <w:rsid w:val="00BD1072"/>
    <w:rsid w:val="00BF532F"/>
    <w:rsid w:val="00C022D4"/>
    <w:rsid w:val="00C074F9"/>
    <w:rsid w:val="00C45A3B"/>
    <w:rsid w:val="00C5070A"/>
    <w:rsid w:val="00C66191"/>
    <w:rsid w:val="00CC2D0B"/>
    <w:rsid w:val="00CE3753"/>
    <w:rsid w:val="00D03AA4"/>
    <w:rsid w:val="00D26FE7"/>
    <w:rsid w:val="00D363AF"/>
    <w:rsid w:val="00D62778"/>
    <w:rsid w:val="00D67013"/>
    <w:rsid w:val="00DC2B55"/>
    <w:rsid w:val="00E451F4"/>
    <w:rsid w:val="00E60F70"/>
    <w:rsid w:val="00E72DD0"/>
    <w:rsid w:val="00E8378B"/>
    <w:rsid w:val="00EA3022"/>
    <w:rsid w:val="00EA3814"/>
    <w:rsid w:val="00ED1F7C"/>
    <w:rsid w:val="00EE56DF"/>
    <w:rsid w:val="00F05BED"/>
    <w:rsid w:val="00F2494F"/>
    <w:rsid w:val="00F44D03"/>
    <w:rsid w:val="00F60E8F"/>
    <w:rsid w:val="00F65A2F"/>
    <w:rsid w:val="00F71F82"/>
    <w:rsid w:val="00F8099D"/>
    <w:rsid w:val="00F81BED"/>
    <w:rsid w:val="00F96F23"/>
    <w:rsid w:val="00FB615A"/>
    <w:rsid w:val="00FD0BD3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4269"/>
  <w15:chartTrackingRefBased/>
  <w15:docId w15:val="{C12BC4D7-ED96-45B3-A935-716AB46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7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"/>
    <w:qFormat/>
    <w:rsid w:val="00D62778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D62778"/>
    <w:rPr>
      <w:b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6277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6277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Akapitzlist">
    <w:name w:val="List Paragraph"/>
    <w:basedOn w:val="Normalny"/>
    <w:uiPriority w:val="34"/>
    <w:qFormat/>
    <w:rsid w:val="00D62778"/>
    <w:pPr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63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1639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639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E5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ARTartustawynprozporzdzenia">
    <w:name w:val="ART(§) – art. ustawy (§ np. rozporządzenia)"/>
    <w:uiPriority w:val="11"/>
    <w:qFormat/>
    <w:rsid w:val="00974BC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1637C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6841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1DF"/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1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1DF"/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C4662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Kurowska</dc:creator>
  <cp:keywords/>
  <dc:description/>
  <cp:lastModifiedBy>Jankowska-Słomianko Dorota</cp:lastModifiedBy>
  <cp:revision>16</cp:revision>
  <cp:lastPrinted>2024-11-19T13:18:00Z</cp:lastPrinted>
  <dcterms:created xsi:type="dcterms:W3CDTF">2024-11-19T13:00:00Z</dcterms:created>
  <dcterms:modified xsi:type="dcterms:W3CDTF">2024-11-21T11:50:00Z</dcterms:modified>
</cp:coreProperties>
</file>