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9ADC5" w14:textId="77777777" w:rsidR="00C202F3" w:rsidRDefault="00C202F3" w:rsidP="00C202F3">
      <w:pPr>
        <w:pBdr>
          <w:top w:val="nil"/>
          <w:left w:val="nil"/>
          <w:bottom w:val="nil"/>
          <w:right w:val="nil"/>
          <w:between w:val="nil"/>
        </w:pBdr>
        <w:spacing w:after="0" w:line="360" w:lineRule="auto"/>
        <w:jc w:val="right"/>
      </w:pPr>
      <w:r>
        <w:rPr>
          <w:rFonts w:ascii="Times New Roman" w:eastAsia="Times New Roman" w:hAnsi="Times New Roman" w:cs="Times New Roman"/>
          <w:color w:val="000000"/>
          <w:sz w:val="24"/>
          <w:szCs w:val="24"/>
          <w:u w:val="single"/>
        </w:rPr>
        <w:t>Projekt</w:t>
      </w:r>
    </w:p>
    <w:p w14:paraId="649C4704" w14:textId="77777777" w:rsidR="00C202F3" w:rsidRDefault="00C202F3" w:rsidP="00C202F3">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U S T A W A</w:t>
      </w:r>
    </w:p>
    <w:p w14:paraId="5A5D463C" w14:textId="77777777" w:rsidR="00C202F3" w:rsidRDefault="00C202F3" w:rsidP="00C202F3">
      <w:pPr>
        <w:keepNext/>
        <w:pBdr>
          <w:top w:val="nil"/>
          <w:left w:val="nil"/>
          <w:bottom w:val="nil"/>
          <w:right w:val="nil"/>
          <w:between w:val="nil"/>
        </w:pBdr>
        <w:spacing w:before="120" w:after="120" w:line="360" w:lineRule="auto"/>
        <w:jc w:val="center"/>
        <w:rPr>
          <w:rFonts w:ascii="Times" w:eastAsia="Times" w:hAnsi="Times" w:cs="Times"/>
          <w:color w:val="000000"/>
          <w:sz w:val="24"/>
          <w:szCs w:val="24"/>
        </w:rPr>
      </w:pPr>
      <w:r>
        <w:rPr>
          <w:rFonts w:ascii="Times" w:eastAsia="Times" w:hAnsi="Times" w:cs="Times"/>
          <w:color w:val="000000"/>
          <w:sz w:val="24"/>
          <w:szCs w:val="24"/>
        </w:rPr>
        <w:t>z dnia … 2024 r.</w:t>
      </w:r>
    </w:p>
    <w:p w14:paraId="475C4736" w14:textId="77777777" w:rsidR="00C202F3" w:rsidRDefault="00C202F3" w:rsidP="00C202F3">
      <w:pPr>
        <w:keepNext/>
        <w:pBdr>
          <w:top w:val="nil"/>
          <w:left w:val="nil"/>
          <w:bottom w:val="nil"/>
          <w:right w:val="nil"/>
          <w:between w:val="nil"/>
        </w:pBdr>
        <w:spacing w:before="120" w:after="360" w:line="36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o zmianie ustawy – Kodeks postępowania karnego </w:t>
      </w:r>
    </w:p>
    <w:p w14:paraId="3A24AD2C"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1.</w:t>
      </w:r>
      <w:r>
        <w:rPr>
          <w:rFonts w:ascii="Times" w:eastAsia="Times" w:hAnsi="Times" w:cs="Times"/>
          <w:color w:val="000000"/>
          <w:sz w:val="24"/>
          <w:szCs w:val="24"/>
        </w:rPr>
        <w:t xml:space="preserve"> W ustawie z dnia 6 czerwca 1997 r. – Kodeks postępowania karnego (Dz. U. 2024 r. poz. 37, 1222 i 1248) wprowadza się następujące zmiany:</w:t>
      </w:r>
    </w:p>
    <w:p w14:paraId="2C14408F"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w:t>
      </w:r>
      <w:r>
        <w:rPr>
          <w:rFonts w:ascii="Times" w:eastAsia="Times" w:hAnsi="Times" w:cs="Times"/>
          <w:color w:val="000000"/>
          <w:sz w:val="24"/>
          <w:szCs w:val="24"/>
        </w:rPr>
        <w:tab/>
        <w:t>w art. 73 dodaje się § 5 w brzmieniu:</w:t>
      </w:r>
    </w:p>
    <w:p w14:paraId="1FFD840B"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5. Na zarządzenia w sprawach, o których mowa w § 2 i 3 przysługuje zażalenie. Sąd rozpoznaje zażalenie w terminie 3 dni.”;</w:t>
      </w:r>
    </w:p>
    <w:p w14:paraId="5BBF6885"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2)</w:t>
      </w:r>
      <w:r>
        <w:rPr>
          <w:rFonts w:ascii="Times" w:eastAsia="Times" w:hAnsi="Times" w:cs="Times"/>
          <w:color w:val="000000"/>
          <w:sz w:val="24"/>
          <w:szCs w:val="24"/>
        </w:rPr>
        <w:tab/>
        <w:t>art. 95b § 2 otrzymuje brzmienie:</w:t>
      </w:r>
    </w:p>
    <w:p w14:paraId="59199DF1"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 2. Jawne są posiedzenia, o których mowa w art. 249 § 5, art. 339 § 3 pkt 1, 2 i 5, </w:t>
      </w:r>
      <w:r>
        <w:rPr>
          <w:rFonts w:ascii="Times" w:eastAsia="Times" w:hAnsi="Times" w:cs="Times"/>
          <w:color w:val="000000"/>
          <w:sz w:val="24"/>
          <w:szCs w:val="24"/>
        </w:rPr>
        <w:br/>
        <w:t xml:space="preserve">art. 340, art. 341, art. 343 § 5, art. 343a, art. 603, art. 607l § 1, art. 607s § 3, art. 611c </w:t>
      </w:r>
      <w:r>
        <w:rPr>
          <w:rFonts w:ascii="Times" w:eastAsia="Times" w:hAnsi="Times" w:cs="Times"/>
          <w:color w:val="000000"/>
          <w:sz w:val="24"/>
          <w:szCs w:val="24"/>
        </w:rPr>
        <w:br/>
        <w:t xml:space="preserve">§ 4 i art. 611ti § 1. W wypadku posiedzenia, o którym mowa w art. 249 § 5, sąd może z urzędu albo na wniosek oskarżonego lub prokuratora obecnego na posiedzeniu wyłączyć jego jawność ze względu na dobro postępowania.”;  </w:t>
      </w:r>
    </w:p>
    <w:p w14:paraId="46CD0868"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3)</w:t>
      </w:r>
      <w:r>
        <w:rPr>
          <w:rFonts w:ascii="Times" w:eastAsia="Times" w:hAnsi="Times" w:cs="Times"/>
          <w:color w:val="000000"/>
          <w:sz w:val="24"/>
          <w:szCs w:val="24"/>
        </w:rPr>
        <w:tab/>
        <w:t>w art. 117 § 1 dodaje się zdanie drugie w brzmieniu:</w:t>
      </w:r>
    </w:p>
    <w:p w14:paraId="42C8602A" w14:textId="77777777" w:rsidR="00C202F3" w:rsidRDefault="00C202F3" w:rsidP="00C202F3">
      <w:pPr>
        <w:pBdr>
          <w:top w:val="nil"/>
          <w:left w:val="nil"/>
          <w:bottom w:val="nil"/>
          <w:right w:val="nil"/>
          <w:between w:val="nil"/>
        </w:pBdr>
        <w:spacing w:after="0" w:line="360" w:lineRule="auto"/>
        <w:ind w:left="987" w:hanging="9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„Obrońcę i pełnomocnika zawiadamia się o każdej czynności procesowej, w której udział bierze reprezentowana przez tego obrońcę lub tego pełnomocnika strona procesowa.”;</w:t>
      </w:r>
    </w:p>
    <w:p w14:paraId="1C1DF1B1"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4)</w:t>
      </w:r>
      <w:r>
        <w:rPr>
          <w:rFonts w:ascii="Times" w:eastAsia="Times" w:hAnsi="Times" w:cs="Times"/>
          <w:color w:val="000000"/>
          <w:sz w:val="24"/>
          <w:szCs w:val="24"/>
        </w:rPr>
        <w:tab/>
        <w:t>w art. 143 w § 1 pkt 8 otrzymuje brzmienie:</w:t>
      </w:r>
    </w:p>
    <w:p w14:paraId="43CDE340" w14:textId="77777777" w:rsidR="00C202F3" w:rsidRDefault="00C202F3" w:rsidP="00C202F3">
      <w:pPr>
        <w:pBdr>
          <w:top w:val="nil"/>
          <w:left w:val="nil"/>
          <w:bottom w:val="nil"/>
          <w:right w:val="nil"/>
          <w:between w:val="nil"/>
        </w:pBdr>
        <w:spacing w:after="0" w:line="360" w:lineRule="auto"/>
        <w:ind w:left="1020" w:hanging="1020"/>
        <w:jc w:val="both"/>
        <w:rPr>
          <w:rFonts w:ascii="Times" w:eastAsia="Times" w:hAnsi="Times" w:cs="Times"/>
          <w:color w:val="000000"/>
          <w:sz w:val="24"/>
          <w:szCs w:val="24"/>
        </w:rPr>
      </w:pPr>
      <w:r>
        <w:rPr>
          <w:rFonts w:ascii="Times" w:eastAsia="Times" w:hAnsi="Times" w:cs="Times"/>
          <w:color w:val="000000"/>
          <w:sz w:val="24"/>
          <w:szCs w:val="24"/>
        </w:rPr>
        <w:t>„8) zaznajomienie podejrzanego z materiałami zebranymi w postępowaniu przygotowawczym oraz udostępnienie podejrzanemu i jego obrońcy akt sprawy w części zawierającej treść dowodów dołączonych do wniosku o zastosowanie albo przedłużenie tymczasowego aresztowania;”;</w:t>
      </w:r>
    </w:p>
    <w:p w14:paraId="4C93E0D2"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5)</w:t>
      </w:r>
      <w:r>
        <w:rPr>
          <w:rFonts w:ascii="Times" w:eastAsia="Times" w:hAnsi="Times" w:cs="Times"/>
          <w:color w:val="000000"/>
          <w:sz w:val="24"/>
          <w:szCs w:val="24"/>
        </w:rPr>
        <w:tab/>
        <w:t>w art. 156:</w:t>
      </w:r>
    </w:p>
    <w:p w14:paraId="6024B892"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color w:val="000000"/>
          <w:sz w:val="24"/>
          <w:szCs w:val="24"/>
        </w:rPr>
        <w:tab/>
        <w:t>w § 5 dodaje się zdanie siódme w brzmieniu:</w:t>
      </w:r>
    </w:p>
    <w:p w14:paraId="7BC9A289" w14:textId="77777777" w:rsidR="00C202F3" w:rsidRDefault="00C202F3" w:rsidP="00C202F3">
      <w:pPr>
        <w:pBdr>
          <w:top w:val="nil"/>
          <w:left w:val="nil"/>
          <w:bottom w:val="nil"/>
          <w:right w:val="nil"/>
          <w:between w:val="nil"/>
        </w:pBdr>
        <w:spacing w:after="0" w:line="360" w:lineRule="auto"/>
        <w:ind w:left="987" w:hanging="9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wniosek podejrzanego lub jego obrońcy prokurator udostępnia akta w postaci elektronicznej.”,</w:t>
      </w:r>
    </w:p>
    <w:p w14:paraId="016D5863"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b)</w:t>
      </w:r>
      <w:r>
        <w:rPr>
          <w:rFonts w:ascii="Times" w:eastAsia="Times" w:hAnsi="Times" w:cs="Times"/>
          <w:color w:val="000000"/>
          <w:sz w:val="24"/>
          <w:szCs w:val="24"/>
        </w:rPr>
        <w:tab/>
        <w:t>§ 5a otrzymuje brzmienie:</w:t>
      </w:r>
    </w:p>
    <w:p w14:paraId="5AE46FC2"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xml:space="preserve">„§ 5a. W razie złożenia w toku postępowania przygotowawczego wniosku o zastosowanie albo przedłużenie tymczasowego aresztowania podejrzanemu i jego obrońcy prokurator udostępnia niezwłocznie akta sprawy w części zawierającej treść </w:t>
      </w:r>
      <w:r>
        <w:rPr>
          <w:rFonts w:ascii="Times" w:eastAsia="Times" w:hAnsi="Times" w:cs="Times"/>
          <w:color w:val="000000"/>
          <w:sz w:val="24"/>
          <w:szCs w:val="24"/>
        </w:rPr>
        <w:lastRenderedPageBreak/>
        <w:t>dowodów dołączonych do wniosku, z wyłączeniem dowodów z zeznań świadków, o których mowa w art. 250 § 2b. Akta sprawy powinny zostać udostępnione podejrzanemu i jego obrońcy w terminie umożliwiającym przygotowanie się do obrony, uwzględniając stopień złożoności sprawy oraz obszerność akt postępowania.”;</w:t>
      </w:r>
    </w:p>
    <w:p w14:paraId="08A03C40"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6)</w:t>
      </w:r>
      <w:r>
        <w:rPr>
          <w:rFonts w:ascii="Times" w:eastAsia="Times" w:hAnsi="Times" w:cs="Times"/>
          <w:color w:val="000000"/>
          <w:sz w:val="24"/>
          <w:szCs w:val="24"/>
        </w:rPr>
        <w:tab/>
        <w:t>art. 159 otrzymuje brzmienie:</w:t>
      </w:r>
    </w:p>
    <w:p w14:paraId="063408DE"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„Art. 159. Na odmowę udostępnienia akt w postępowaniu przygotowawczym, w tym na postanowienie prokuratora o utrzymaniu w mocy zarządzenia prowadzącego postępowanie o odmowie udostępnienia akt oraz sporządzenia odpisów lub kopii przysługuje stronom oraz zatrzymanemu zażalenie; na zarządzenie prokuratora zażalenie przysługuje do sądu.”;</w:t>
      </w:r>
    </w:p>
    <w:p w14:paraId="1544E72C"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7)</w:t>
      </w:r>
      <w:r>
        <w:rPr>
          <w:rFonts w:ascii="Times" w:eastAsia="Times" w:hAnsi="Times" w:cs="Times"/>
          <w:color w:val="000000"/>
          <w:sz w:val="24"/>
          <w:szCs w:val="24"/>
        </w:rPr>
        <w:tab/>
        <w:t>w art. 182 w § 3 dodaje się zdanie drugie w brzmieniu:</w:t>
      </w:r>
    </w:p>
    <w:p w14:paraId="0F653125" w14:textId="77777777" w:rsidR="00C202F3" w:rsidRDefault="00C202F3" w:rsidP="00C202F3">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„Nie dotyczy to osoby, o której mowa w art. 60 § 3 Kodeksu karnego.”;</w:t>
      </w:r>
    </w:p>
    <w:p w14:paraId="381B07B9"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8)</w:t>
      </w:r>
      <w:r>
        <w:rPr>
          <w:rFonts w:ascii="Times" w:eastAsia="Times" w:hAnsi="Times" w:cs="Times"/>
          <w:color w:val="000000"/>
          <w:sz w:val="24"/>
          <w:szCs w:val="24"/>
        </w:rPr>
        <w:tab/>
        <w:t>art. 245 otrzymuje brzmienie:</w:t>
      </w:r>
    </w:p>
    <w:p w14:paraId="00040F4A"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„Art. 245. § 1. Zatrzymanemu na jego żądanie należy niezwłocznie umożliwić nawiązanie w dostępnej formie kontaktu z obrońcą, a także bezpośrednią z nim rozmowę. W wyjątkowych wypadkach, uzasadnionych szczególnymi okolicznościami, zatrzymujący może zastrzec, że będzie przy niej obecny.</w:t>
      </w:r>
    </w:p>
    <w:p w14:paraId="36CB3D82"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2. Dla umożliwienia zatrzymanemu korzystania z pomocy obrońcy ustanawia się obowiązek pełnienia przez adwokatów i radców prawnych dyżurów. W celu umożliwienia realizacji prawa określonego w § 1 zatrzymanemu udostępnia się listę obrońców pełniących dyżur. Koszty pomocy prawnej świadczonej przez obrońcę pełniącego dyżur, o której mowa w § 1, ponosi Skarb Państwa.</w:t>
      </w:r>
    </w:p>
    <w:p w14:paraId="2E0383D7"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3. Przepisy art. 261 stosuje się odpowiednio. Zawiadomienie następuje na żądanie zatrzymanego, chyba że nie ukończył on 18 lat.</w:t>
      </w:r>
    </w:p>
    <w:p w14:paraId="57E587C0"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4. Osoba zatrzymana ma prawo do jednorazowego porozumienia się z wskazaną przez siebie osobą, na zasadach określonych przez zatrzymującego. W wyjątkowych wypadkach, uzasadnionych szczególnymi okolicznościami, zatrzymujący może odmówić zatrzymanemu zezwolenia na kontakt z tą osobą.</w:t>
      </w:r>
    </w:p>
    <w:p w14:paraId="1B95B6E1"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 5. Minister Sprawiedliwości określi, w drodze rozporządzenia, sposób zapewnienia zatrzymanemu korzystania z pomocy obrońcy i możliwości jego wyboru, w tym organizacji dyżurów, o których mowa w § 2, mając na uwadze prawidłowy przebieg </w:t>
      </w:r>
      <w:r>
        <w:rPr>
          <w:rFonts w:ascii="Times" w:eastAsia="Times" w:hAnsi="Times" w:cs="Times"/>
          <w:color w:val="000000"/>
          <w:sz w:val="24"/>
          <w:szCs w:val="24"/>
        </w:rPr>
        <w:lastRenderedPageBreak/>
        <w:t>postępowania przygotowawczego i postępowania przyspieszonego oraz konieczność zapewnienia zatrzymanemu możliwości wyboru obrońcy.”;</w:t>
      </w:r>
    </w:p>
    <w:p w14:paraId="59959F51"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9)</w:t>
      </w:r>
      <w:r>
        <w:rPr>
          <w:rFonts w:ascii="Times" w:eastAsia="Times" w:hAnsi="Times" w:cs="Times"/>
          <w:color w:val="000000"/>
          <w:sz w:val="24"/>
          <w:szCs w:val="24"/>
        </w:rPr>
        <w:tab/>
        <w:t>w art. 246 po § 1 dodaje się § 1a w brzmieniu: </w:t>
      </w:r>
    </w:p>
    <w:p w14:paraId="5C0DCE80"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1a. Zatrzymanemu oraz jego obrońcy udostępnia się akta postępowania przygotowawczego w zakresie dotyczącym podstaw zatrzymania.”; </w:t>
      </w:r>
    </w:p>
    <w:p w14:paraId="18B7E9CE"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10)</w:t>
      </w:r>
      <w:r>
        <w:rPr>
          <w:rFonts w:ascii="Times" w:eastAsia="Times" w:hAnsi="Times" w:cs="Times"/>
          <w:color w:val="000000"/>
          <w:sz w:val="24"/>
          <w:szCs w:val="24"/>
        </w:rPr>
        <w:tab/>
        <w:t>w art. 249:</w:t>
      </w:r>
    </w:p>
    <w:p w14:paraId="62914D7D"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color w:val="000000"/>
          <w:sz w:val="24"/>
          <w:szCs w:val="24"/>
        </w:rPr>
        <w:tab/>
        <w:t>§ 2 otrzymuje brzmienie:</w:t>
      </w:r>
    </w:p>
    <w:p w14:paraId="7B56A373"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2 W postępowaniu przygotowawczym można stosować środki zapobiegawcze tylko względem osoby, wobec której wydano postanowienie o przedstawieniu zarzutów i tylko w zakresie przedstawionych zarzutów.”,</w:t>
      </w:r>
    </w:p>
    <w:p w14:paraId="45C97A53"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b)</w:t>
      </w:r>
      <w:r>
        <w:rPr>
          <w:rFonts w:ascii="Times" w:eastAsia="Times" w:hAnsi="Times" w:cs="Times"/>
          <w:color w:val="000000"/>
          <w:sz w:val="24"/>
          <w:szCs w:val="24"/>
        </w:rPr>
        <w:tab/>
        <w:t>w § 3 zdanie drugie otrzymuje brzmienie:</w:t>
      </w:r>
    </w:p>
    <w:p w14:paraId="5D668C41" w14:textId="77777777" w:rsidR="00C202F3" w:rsidRDefault="00C202F3" w:rsidP="00C202F3">
      <w:pPr>
        <w:pBdr>
          <w:top w:val="nil"/>
          <w:left w:val="nil"/>
          <w:bottom w:val="nil"/>
          <w:right w:val="nil"/>
          <w:between w:val="nil"/>
        </w:pBdr>
        <w:spacing w:after="0" w:line="360" w:lineRule="auto"/>
        <w:ind w:left="987" w:hanging="9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przesłuchaniu ma prawo wziąć udział obrońca, chyba że oskarżony wyrazi zgodę na przeprowadzenie czynności bez udziału obrońcy, którego udział nie jest obowiązkowy, a nie utrudni to przeprowadzenia czynności.”; </w:t>
      </w:r>
    </w:p>
    <w:p w14:paraId="421F8C1B"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11)</w:t>
      </w:r>
      <w:r>
        <w:rPr>
          <w:rFonts w:ascii="Times" w:eastAsia="Times" w:hAnsi="Times" w:cs="Times"/>
          <w:color w:val="000000"/>
          <w:sz w:val="24"/>
          <w:szCs w:val="24"/>
        </w:rPr>
        <w:tab/>
        <w:t>w art. 250:</w:t>
      </w:r>
    </w:p>
    <w:p w14:paraId="4F4EB043"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color w:val="000000"/>
          <w:sz w:val="24"/>
          <w:szCs w:val="24"/>
        </w:rPr>
        <w:tab/>
        <w:t>w § 1 dodaje się zdanie drugie w brzmieniu:</w:t>
      </w:r>
    </w:p>
    <w:p w14:paraId="18CCECFC" w14:textId="77777777" w:rsidR="00C202F3" w:rsidRDefault="00C202F3" w:rsidP="00C202F3">
      <w:pPr>
        <w:pBdr>
          <w:top w:val="nil"/>
          <w:left w:val="nil"/>
          <w:bottom w:val="nil"/>
          <w:right w:val="nil"/>
          <w:between w:val="nil"/>
        </w:pBdr>
        <w:spacing w:after="0" w:line="360" w:lineRule="auto"/>
        <w:ind w:left="987" w:hanging="9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„Każdy aresztowany ma prawo być sądzony w rozsądnym terminie albo zwolniony na czas postępowania.”,</w:t>
      </w:r>
    </w:p>
    <w:p w14:paraId="08AC2F94"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b)</w:t>
      </w:r>
      <w:r>
        <w:rPr>
          <w:rFonts w:ascii="Times" w:eastAsia="Times" w:hAnsi="Times" w:cs="Times"/>
          <w:color w:val="000000"/>
          <w:sz w:val="24"/>
          <w:szCs w:val="24"/>
        </w:rPr>
        <w:tab/>
        <w:t>§ 3 otrzymuje brzmienie:</w:t>
      </w:r>
    </w:p>
    <w:p w14:paraId="50AA04CD"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3. Prokurator, przesyłając wraz z aktami sprawy wniosek, o którym mowa w § 2, doręcza odpis wniosku podejrzanemu i jego obrońcy. Równocześnie prokurator poucza podejrzanego o przysługujących mu w wypadku zastosowania tymczasowego aresztowania uprawnieniach oraz zarządza jednocześnie doprowadzenie go do sądu. Sąd może zarządzić doprowadzenie podejrzanego na posiedzenie w przedmiocie przedłużenia tymczasowego aresztowania, a zarządza jego doprowadzenie na wniosek podejrzanego lub jego obrońcy.”,</w:t>
      </w:r>
    </w:p>
    <w:p w14:paraId="2587039E"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c)</w:t>
      </w:r>
      <w:r>
        <w:rPr>
          <w:rFonts w:ascii="Times" w:eastAsia="Times" w:hAnsi="Times" w:cs="Times"/>
          <w:color w:val="000000"/>
          <w:sz w:val="24"/>
          <w:szCs w:val="24"/>
        </w:rPr>
        <w:tab/>
        <w:t>po § 3 dodaje się § 3a w brzmieniu:</w:t>
      </w:r>
    </w:p>
    <w:p w14:paraId="47A28164"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3a. Składając wniosek o zastosowanie tymczasowego aresztowania prokurator przesyła sądowi odpis wniosku w postaci elektronicznej. Na wniosek obrońcy sąd niezwłocznie przesyła wniosek na wskazany przez obrońcę adres poczty elektronicznej.”;</w:t>
      </w:r>
    </w:p>
    <w:p w14:paraId="404AAD9F"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12)</w:t>
      </w:r>
      <w:r>
        <w:rPr>
          <w:rFonts w:ascii="Times" w:eastAsia="Times" w:hAnsi="Times" w:cs="Times"/>
          <w:color w:val="000000"/>
          <w:sz w:val="24"/>
          <w:szCs w:val="24"/>
        </w:rPr>
        <w:tab/>
        <w:t>po art. 250 dodaje się art. 250a i art. 250b w brzmieniu:</w:t>
      </w:r>
    </w:p>
    <w:p w14:paraId="0BF393DE"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„Art. 250a. Sąd, rozpoznając wniosek w przedmiocie zastosowania lub przedłużenia stosowania tymczasowego aresztowania, dokonuje jego kontroli, również w zakresie prawidłowości i zasadności przyjętego przez prokuratora opisu czynu oraz zawartej we wniosku kwalifikacji prawnej, przy uwzględnieniu tylko dowodów jawnych dla oskarżonego i jego obrońcy. </w:t>
      </w:r>
    </w:p>
    <w:p w14:paraId="1A7C5CBB"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Art. 250b. § 1. Sąd rozpoznaje wniosek o zastosowanie tymczasowego aresztowania niezwłocznie, nie później jednak niż przed upływem 24 godzin od jego złożenia.</w:t>
      </w:r>
    </w:p>
    <w:p w14:paraId="2FFE2470"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2. Udział prokuratora w posiedzeniu w przedmiocie zastosowania tymczasowego aresztowania jest obowiązkowy. Niestawiennictwo prokuratora uważa się za cofnięcie wniosku. W takim przypadku sąd pozostawia wniosek bez rozpoznania.</w:t>
      </w:r>
    </w:p>
    <w:p w14:paraId="43C8A07F"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 3. Na żądanie oskarżonego, który nie ma obrońcy, wyznacza się do tej czynności obrońcę z urzędu. Zarządzenie może wydać także referendarz sądowy. Niestawiennictwo obrońcy zawiadomionego o terminie nie tamuje rozpoznania sprawy. </w:t>
      </w:r>
    </w:p>
    <w:p w14:paraId="02C210BE"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xml:space="preserve">§ 4 Posiedzenie rozpoczyna się od odczytania przez prokuratora wniosku </w:t>
      </w:r>
      <w:r>
        <w:rPr>
          <w:rFonts w:ascii="Times" w:eastAsia="Times" w:hAnsi="Times" w:cs="Times"/>
          <w:color w:val="000000"/>
          <w:sz w:val="24"/>
          <w:szCs w:val="24"/>
        </w:rPr>
        <w:br/>
        <w:t>o zastosowanie tymczasowego aresztowania oraz zwięzłego przedstawienia uzasadnienia tego wniosku, wraz ze wskazaniem powodów, dla których inne środki zapobiegawcze w ocenie prokuratora nie są wystarczające dla prawidłowego zabezpieczenia przebiegu postępowania. Prokurator przedstawia również uzasadnienie dla wskazanego we wniosku terminu stosowania tymczasowego aresztowania wraz z wykazem czynności, które planuje przeprowadzić w okresie stosowania tego środka.</w:t>
      </w:r>
    </w:p>
    <w:p w14:paraId="6A08EC03"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5. Przewodniczący, po odczytaniu wniosku o zastosowanie tymczasowego aresztowania, poucza oskarżonego o prawie składania wyjaśnień, odmowy wyjaśnień lub odpowiedzi na pytania, po czym pyta go, czy przyznaje się do zarzucanego mu czynu oraz czy chce złożyć wyjaśnienia i jakie.”;</w:t>
      </w:r>
    </w:p>
    <w:p w14:paraId="735328A0"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13)</w:t>
      </w:r>
      <w:r>
        <w:rPr>
          <w:rFonts w:ascii="Times" w:eastAsia="Times" w:hAnsi="Times" w:cs="Times"/>
          <w:color w:val="000000"/>
          <w:sz w:val="24"/>
          <w:szCs w:val="24"/>
        </w:rPr>
        <w:tab/>
        <w:t>w art. 252 po § 1 dodaje się § 1a w brzmieniu:</w:t>
      </w:r>
    </w:p>
    <w:p w14:paraId="584A646E"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1a. Zażalenie na postanowienie w przedmiocie stosowania tymczasowego aresztowania sąd rozpoznaje w składzie trzech sędziów.”;</w:t>
      </w:r>
    </w:p>
    <w:p w14:paraId="38FBB5CA"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14)</w:t>
      </w:r>
      <w:r>
        <w:rPr>
          <w:rFonts w:ascii="Times" w:eastAsia="Times" w:hAnsi="Times" w:cs="Times"/>
          <w:color w:val="000000"/>
          <w:sz w:val="24"/>
          <w:szCs w:val="24"/>
        </w:rPr>
        <w:tab/>
        <w:t>w art. 257 uchyla się § 3;</w:t>
      </w:r>
    </w:p>
    <w:p w14:paraId="2B79DA74"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15)</w:t>
      </w:r>
      <w:r>
        <w:rPr>
          <w:rFonts w:ascii="Times" w:eastAsia="Times" w:hAnsi="Times" w:cs="Times"/>
          <w:color w:val="000000"/>
          <w:sz w:val="24"/>
          <w:szCs w:val="24"/>
        </w:rPr>
        <w:tab/>
        <w:t>w art. 258 § 1 i 2 otrzymują brzmienie:</w:t>
      </w:r>
    </w:p>
    <w:p w14:paraId="7CBE6655"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1. Tymczasowe aresztowanie i pozostałe środki zapobiegawcze można stosować, jeżeli zachodzi:</w:t>
      </w:r>
    </w:p>
    <w:p w14:paraId="2F68D50C" w14:textId="77777777" w:rsidR="00C202F3" w:rsidRDefault="00C202F3" w:rsidP="00C202F3">
      <w:pPr>
        <w:pBdr>
          <w:top w:val="nil"/>
          <w:left w:val="nil"/>
          <w:bottom w:val="nil"/>
          <w:right w:val="nil"/>
          <w:between w:val="nil"/>
        </w:pBdr>
        <w:spacing w:after="0" w:line="360" w:lineRule="auto"/>
        <w:ind w:left="1020" w:hanging="1020"/>
        <w:jc w:val="both"/>
        <w:rPr>
          <w:rFonts w:ascii="Times" w:eastAsia="Times" w:hAnsi="Times" w:cs="Times"/>
          <w:color w:val="000000"/>
          <w:sz w:val="24"/>
          <w:szCs w:val="24"/>
        </w:rPr>
      </w:pPr>
      <w:r>
        <w:rPr>
          <w:rFonts w:ascii="Times" w:eastAsia="Times" w:hAnsi="Times" w:cs="Times"/>
          <w:color w:val="000000"/>
          <w:sz w:val="24"/>
          <w:szCs w:val="24"/>
        </w:rPr>
        <w:t xml:space="preserve">1) </w:t>
      </w:r>
      <w:r>
        <w:rPr>
          <w:rFonts w:ascii="Times" w:eastAsia="Times" w:hAnsi="Times" w:cs="Times"/>
          <w:color w:val="000000"/>
          <w:sz w:val="24"/>
          <w:szCs w:val="24"/>
        </w:rPr>
        <w:tab/>
        <w:t>realna obawa ucieczki lub ukrycia się oskarżonego, zwłaszcza wtedy, gdy nie można ustalić jego tożsamości;</w:t>
      </w:r>
    </w:p>
    <w:p w14:paraId="63C20519" w14:textId="77777777" w:rsidR="00C202F3" w:rsidRDefault="00C202F3" w:rsidP="00C202F3">
      <w:pPr>
        <w:pBdr>
          <w:top w:val="nil"/>
          <w:left w:val="nil"/>
          <w:bottom w:val="nil"/>
          <w:right w:val="nil"/>
          <w:between w:val="nil"/>
        </w:pBdr>
        <w:spacing w:after="0" w:line="360" w:lineRule="auto"/>
        <w:ind w:left="1020" w:hanging="1020"/>
        <w:jc w:val="both"/>
        <w:rPr>
          <w:rFonts w:ascii="Times" w:eastAsia="Times" w:hAnsi="Times" w:cs="Times"/>
          <w:color w:val="000000"/>
          <w:sz w:val="24"/>
          <w:szCs w:val="24"/>
        </w:rPr>
      </w:pPr>
      <w:r>
        <w:rPr>
          <w:rFonts w:ascii="Times" w:eastAsia="Times" w:hAnsi="Times" w:cs="Times"/>
          <w:color w:val="000000"/>
          <w:sz w:val="24"/>
          <w:szCs w:val="24"/>
        </w:rPr>
        <w:lastRenderedPageBreak/>
        <w:t>2)</w:t>
      </w:r>
      <w:r>
        <w:rPr>
          <w:rFonts w:ascii="Times" w:eastAsia="Times" w:hAnsi="Times" w:cs="Times"/>
          <w:color w:val="000000"/>
          <w:sz w:val="24"/>
          <w:szCs w:val="24"/>
        </w:rPr>
        <w:tab/>
        <w:t>realna na danym etapie postępowania obawa, że oskarżony w zakresie przedstawionych mu zarzutów będzie nakłaniał do składania fałszywych zeznań lub wyjaśnień albo w inny bezprawny sposób utrudniał postępowanie karne.</w:t>
      </w:r>
    </w:p>
    <w:p w14:paraId="254A84D2"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2. W razie skazania przez sąd pierwszej instancji na karę pozbawienia wolności nie niższą niż 3 lata, potrzeba zastosowania tymczasowego aresztowania w celu zabezpieczenia prawidłowego toku postępowania może być uzasadniona grożącą oskarżonemu surową karą.”;</w:t>
      </w:r>
    </w:p>
    <w:p w14:paraId="36D645FB"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16)</w:t>
      </w:r>
      <w:r>
        <w:rPr>
          <w:rFonts w:ascii="Times" w:eastAsia="Times" w:hAnsi="Times" w:cs="Times"/>
          <w:color w:val="000000"/>
          <w:sz w:val="24"/>
          <w:szCs w:val="24"/>
        </w:rPr>
        <w:tab/>
        <w:t>art. 258a otrzymuje brzmienie:</w:t>
      </w:r>
    </w:p>
    <w:p w14:paraId="554771EB"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„Art. 258a. Jeżeli oskarżony uniemożliwia lub utrudnia wykonywanie zastosowanego wobec niego środka zapobiegawczego lub umyślnie naruszył obowiązek lub zakaz związany ze stosowaniem takiego środka, sąd lub prokurator może zastosować środek zapobiegawczy gwarantujący skuteczną realizację celów jego stosowania.”;</w:t>
      </w:r>
    </w:p>
    <w:p w14:paraId="30EA2601"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17)</w:t>
      </w:r>
      <w:r>
        <w:rPr>
          <w:rFonts w:ascii="Times" w:eastAsia="Times" w:hAnsi="Times" w:cs="Times"/>
          <w:color w:val="000000"/>
          <w:sz w:val="24"/>
          <w:szCs w:val="24"/>
        </w:rPr>
        <w:tab/>
        <w:t>w art. 259 § 3 otrzymuje brzmienie:</w:t>
      </w:r>
    </w:p>
    <w:p w14:paraId="21C0C1D7"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3. Tymczasowe aresztowanie nie może być stosowane, jeżeli przestępstwo zagrożone jest karą pozbawienia wolności nieprzekraczającą 2 lat.”;</w:t>
      </w:r>
    </w:p>
    <w:p w14:paraId="7AD927E6"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18)</w:t>
      </w:r>
      <w:r>
        <w:rPr>
          <w:rFonts w:ascii="Times" w:eastAsia="Times" w:hAnsi="Times" w:cs="Times"/>
          <w:color w:val="000000"/>
          <w:sz w:val="24"/>
          <w:szCs w:val="24"/>
        </w:rPr>
        <w:tab/>
        <w:t>w art. 261 po § 1 dodaje się § 1a w brzmieniu:</w:t>
      </w:r>
    </w:p>
    <w:p w14:paraId="77DC97BD"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1a. O zastosowaniu tymczasowego aresztowania wobec osoby, która nie ukończyła 18 lat sąd jest obowiązany bezzwłocznie zawiadomić jej przedstawiciela ustawowego lub osobę, pod której pieczą oskarżony pozostaje, chyba że zawiadomienie tych osób może prowadzić do naruszenia praw lub interesów oskarżonego lub jest niecelowe ze względu na jego dobro. Jeżeli zawiadomienie tych osób nie jest możliwe albo dopuszczalne z uwagi na okoliczności wskazane w zdaniu pierwszym, zawiadamia się inną osobę pełnoletnią, którą może wskazać oskarżony, albo innego członka rodziny, chyba że również nie jest to możliwe albo dopuszczalne z uwagi na okoliczności, o których mowa w zdaniu pierwszym. W takim wypadku zawiadamia się przedstawiciela organizacji społecznej lub instytucji zajmującej się ochroną praw i wolności osób, które nie ukończyły 18 lat.”;</w:t>
      </w:r>
    </w:p>
    <w:p w14:paraId="64B63128"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19)</w:t>
      </w:r>
      <w:r>
        <w:rPr>
          <w:rFonts w:ascii="Times" w:eastAsia="Times" w:hAnsi="Times" w:cs="Times"/>
          <w:color w:val="000000"/>
          <w:sz w:val="24"/>
          <w:szCs w:val="24"/>
        </w:rPr>
        <w:tab/>
        <w:t>w art. 263:</w:t>
      </w:r>
    </w:p>
    <w:p w14:paraId="3C88C358"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color w:val="000000"/>
          <w:sz w:val="24"/>
          <w:szCs w:val="24"/>
        </w:rPr>
        <w:tab/>
        <w:t>w § 1 wyrazy „3 miesiące” zastępuje się wyrazami „1 miesiąc”,</w:t>
      </w:r>
    </w:p>
    <w:p w14:paraId="65BACB74"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b)</w:t>
      </w:r>
      <w:r>
        <w:rPr>
          <w:rFonts w:ascii="Times" w:eastAsia="Times" w:hAnsi="Times" w:cs="Times"/>
          <w:color w:val="000000"/>
          <w:sz w:val="24"/>
          <w:szCs w:val="24"/>
        </w:rPr>
        <w:tab/>
        <w:t xml:space="preserve">w § 2 otrzymuje brzmienie: </w:t>
      </w:r>
    </w:p>
    <w:p w14:paraId="4A1BFBBB"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highlight w:val="white"/>
        </w:rPr>
        <w:t xml:space="preserve">„§ 2. Jeżeli ze względu na szczególne okoliczności sprawy nie można było ukończyć postępowania przygotowawczego w terminie określonym w § 1, na wniosek prokuratora, sąd pierwszej instancji właściwy do rozpoznania sprawy, gdy zachodzi </w:t>
      </w:r>
      <w:r>
        <w:rPr>
          <w:rFonts w:ascii="Times" w:eastAsia="Times" w:hAnsi="Times" w:cs="Times"/>
          <w:color w:val="000000"/>
          <w:sz w:val="24"/>
          <w:szCs w:val="24"/>
          <w:highlight w:val="white"/>
        </w:rPr>
        <w:lastRenderedPageBreak/>
        <w:t xml:space="preserve">tego potrzeba, może przedłużyć tymczasowe aresztowanie na okres, który łącznie nie może przekroczyć 12 miesięcy. Sąd przedłużając tymczasowe aresztowanie oznacza jego termin na okres nie dłuższy niż 3 miesiące.”, </w:t>
      </w:r>
    </w:p>
    <w:p w14:paraId="2E94FF90"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c)</w:t>
      </w:r>
      <w:r>
        <w:rPr>
          <w:rFonts w:ascii="Times" w:eastAsia="Times" w:hAnsi="Times" w:cs="Times"/>
          <w:color w:val="000000"/>
          <w:sz w:val="24"/>
          <w:szCs w:val="24"/>
        </w:rPr>
        <w:tab/>
        <w:t>po § 2 dodaje się § 2a w brzmieniu:</w:t>
      </w:r>
    </w:p>
    <w:p w14:paraId="251D0DDB"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2a. Prokurator, składając wniosek o przedłużenie tymczasowego aresztowania, wskazuje szczegółowo czynności podjęte w czasie stosowania tego środka, okoliczności uzasadniające jego dalsze stosowanie oraz czynności konieczne do przeprowadzenia w trakcie wnioskowanego czasu tymczasowego aresztowania.”,</w:t>
      </w:r>
    </w:p>
    <w:p w14:paraId="66A95C87"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d)</w:t>
      </w:r>
      <w:r>
        <w:rPr>
          <w:rFonts w:ascii="Times" w:eastAsia="Times" w:hAnsi="Times" w:cs="Times"/>
          <w:color w:val="000000"/>
          <w:sz w:val="24"/>
          <w:szCs w:val="24"/>
        </w:rPr>
        <w:tab/>
        <w:t>§ 4 otrzymuje brzmienie:</w:t>
      </w:r>
    </w:p>
    <w:p w14:paraId="0A4F9C4F"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4. Przedłużenia stosowania tymczasowego aresztowania na okres oznaczony, przekraczający terminy określone w § 2 i 3 może dokonać sąd apelacyjny, w którego okręgu prowadzi się postępowanie na wniosek sądu, przed którym sprawa się toczy, a w postępowaniu przygotowawczym na wniosek właściwego prokuratora bezpośrednio przełożonego wobec prokuratora prowadzącego lub nadzorującego śledztwo – jeżeli konieczność taka powstaje w związku z zawieszeniem postępowania karnego, czynnościami zmierzającymi do ustalenia lub potwierdzenia tożsamości oskarżonego, a także celowym przewlekaniem postępowania przez oskarżonego.”,</w:t>
      </w:r>
    </w:p>
    <w:p w14:paraId="2B2C4071"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e)</w:t>
      </w:r>
      <w:r>
        <w:rPr>
          <w:rFonts w:ascii="Times" w:eastAsia="Times" w:hAnsi="Times" w:cs="Times"/>
          <w:color w:val="000000"/>
          <w:sz w:val="24"/>
          <w:szCs w:val="24"/>
        </w:rPr>
        <w:tab/>
        <w:t>po § 4b dodaje się § 4c w następującym brzmieniu:</w:t>
      </w:r>
    </w:p>
    <w:p w14:paraId="5BB0FC4D"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xml:space="preserve">„§ 4c. Sąd odmawia przedłużenia stosowania tymczasowego aresztowania </w:t>
      </w:r>
      <w:r>
        <w:rPr>
          <w:rFonts w:ascii="Times" w:eastAsia="Times" w:hAnsi="Times" w:cs="Times"/>
          <w:color w:val="000000"/>
          <w:sz w:val="24"/>
          <w:szCs w:val="24"/>
        </w:rPr>
        <w:br/>
        <w:t>w przypadku, w którym prokurator bez uzasadnionego powodu nie przeprowadził planowanych czynności procesowych na wcześniejszym etapie stosowania tego środka.”,</w:t>
      </w:r>
    </w:p>
    <w:p w14:paraId="2FCBFA3A"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f)</w:t>
      </w:r>
      <w:r>
        <w:rPr>
          <w:rFonts w:ascii="Times" w:eastAsia="Times" w:hAnsi="Times" w:cs="Times"/>
          <w:color w:val="000000"/>
          <w:sz w:val="24"/>
          <w:szCs w:val="24"/>
        </w:rPr>
        <w:tab/>
        <w:t>§ 5 otrzymuje brzmienie:</w:t>
      </w:r>
    </w:p>
    <w:p w14:paraId="3F4B5E42" w14:textId="77777777" w:rsidR="00C202F3" w:rsidRDefault="00C202F3" w:rsidP="00C202F3">
      <w:pPr>
        <w:pBdr>
          <w:top w:val="nil"/>
          <w:left w:val="nil"/>
          <w:bottom w:val="nil"/>
          <w:right w:val="nil"/>
          <w:between w:val="nil"/>
        </w:pBdr>
        <w:spacing w:after="0" w:line="360" w:lineRule="auto"/>
        <w:ind w:left="987" w:hanging="477"/>
        <w:jc w:val="both"/>
        <w:rPr>
          <w:rFonts w:ascii="Times" w:eastAsia="Times" w:hAnsi="Times" w:cs="Times"/>
          <w:color w:val="000000"/>
          <w:sz w:val="24"/>
          <w:szCs w:val="24"/>
        </w:rPr>
      </w:pPr>
      <w:r>
        <w:rPr>
          <w:rFonts w:ascii="Times" w:eastAsia="Times" w:hAnsi="Times" w:cs="Times"/>
          <w:color w:val="000000"/>
          <w:sz w:val="24"/>
          <w:szCs w:val="24"/>
        </w:rPr>
        <w:t>„§ 5. Na postanowienie sądu apelacyjnego wydane na podstawie § 4 przysługuje zażalenie do sądu apelacyjnego.”;</w:t>
      </w:r>
    </w:p>
    <w:p w14:paraId="496BE5FD"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20)</w:t>
      </w:r>
      <w:r>
        <w:rPr>
          <w:rFonts w:ascii="Times" w:eastAsia="Times" w:hAnsi="Times" w:cs="Times"/>
          <w:color w:val="000000"/>
          <w:sz w:val="24"/>
          <w:szCs w:val="24"/>
        </w:rPr>
        <w:tab/>
        <w:t>w art. 266:</w:t>
      </w:r>
    </w:p>
    <w:p w14:paraId="4B62F6D9"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a)</w:t>
      </w:r>
      <w:r>
        <w:rPr>
          <w:rFonts w:ascii="Times" w:eastAsia="Times" w:hAnsi="Times" w:cs="Times"/>
          <w:color w:val="000000"/>
          <w:sz w:val="24"/>
          <w:szCs w:val="24"/>
        </w:rPr>
        <w:tab/>
        <w:t>uchyla się § 1a,</w:t>
      </w:r>
    </w:p>
    <w:p w14:paraId="2EA4B7CD" w14:textId="77777777" w:rsidR="00C202F3" w:rsidRDefault="00C202F3" w:rsidP="00C202F3">
      <w:pPr>
        <w:pBdr>
          <w:top w:val="nil"/>
          <w:left w:val="nil"/>
          <w:bottom w:val="nil"/>
          <w:right w:val="nil"/>
          <w:between w:val="nil"/>
        </w:pBdr>
        <w:spacing w:after="0" w:line="360" w:lineRule="auto"/>
        <w:ind w:left="986" w:hanging="476"/>
        <w:jc w:val="both"/>
        <w:rPr>
          <w:rFonts w:ascii="Times" w:eastAsia="Times" w:hAnsi="Times" w:cs="Times"/>
          <w:color w:val="000000"/>
          <w:sz w:val="24"/>
          <w:szCs w:val="24"/>
        </w:rPr>
      </w:pPr>
      <w:r>
        <w:rPr>
          <w:rFonts w:ascii="Times" w:eastAsia="Times" w:hAnsi="Times" w:cs="Times"/>
          <w:color w:val="000000"/>
          <w:sz w:val="24"/>
          <w:szCs w:val="24"/>
        </w:rPr>
        <w:t>b)</w:t>
      </w:r>
      <w:r>
        <w:rPr>
          <w:rFonts w:ascii="Times" w:eastAsia="Times" w:hAnsi="Times" w:cs="Times"/>
          <w:color w:val="000000"/>
          <w:sz w:val="24"/>
          <w:szCs w:val="24"/>
        </w:rPr>
        <w:tab/>
        <w:t>uchyla się § 3;</w:t>
      </w:r>
    </w:p>
    <w:p w14:paraId="002C0C91"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21)</w:t>
      </w:r>
      <w:r>
        <w:rPr>
          <w:rFonts w:ascii="Times" w:eastAsia="Times" w:hAnsi="Times" w:cs="Times"/>
          <w:color w:val="000000"/>
          <w:sz w:val="24"/>
          <w:szCs w:val="24"/>
        </w:rPr>
        <w:tab/>
        <w:t>w art. 374 po § 1a dodaje się § 1b w brzmieniu:</w:t>
      </w:r>
    </w:p>
    <w:p w14:paraId="34EAC907" w14:textId="77777777" w:rsidR="00C202F3" w:rsidRDefault="00C202F3" w:rsidP="00C202F3">
      <w:pPr>
        <w:pBdr>
          <w:top w:val="nil"/>
          <w:left w:val="nil"/>
          <w:bottom w:val="nil"/>
          <w:right w:val="nil"/>
          <w:between w:val="nil"/>
        </w:pBdr>
        <w:spacing w:after="0" w:line="360" w:lineRule="auto"/>
        <w:ind w:left="510"/>
        <w:jc w:val="both"/>
        <w:rPr>
          <w:rFonts w:ascii="Times" w:eastAsia="Times" w:hAnsi="Times" w:cs="Times"/>
          <w:color w:val="000000"/>
          <w:sz w:val="24"/>
          <w:szCs w:val="24"/>
        </w:rPr>
      </w:pPr>
      <w:r>
        <w:rPr>
          <w:rFonts w:ascii="Times" w:eastAsia="Times" w:hAnsi="Times" w:cs="Times"/>
          <w:color w:val="000000"/>
          <w:sz w:val="24"/>
          <w:szCs w:val="24"/>
        </w:rPr>
        <w:t>„§ 1b. Obecność osoby określonej w art. 60 § 3 Kodeksu karnego podczas czynności, o których mowa w art. 385 i art. 386, jest obowiązkowa.”;</w:t>
      </w:r>
    </w:p>
    <w:p w14:paraId="2E2EEDC8"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lastRenderedPageBreak/>
        <w:t>22)</w:t>
      </w:r>
      <w:r>
        <w:rPr>
          <w:rFonts w:ascii="Times" w:eastAsia="Times" w:hAnsi="Times" w:cs="Times"/>
          <w:color w:val="000000"/>
          <w:sz w:val="24"/>
          <w:szCs w:val="24"/>
        </w:rPr>
        <w:tab/>
        <w:t>w art. 540 w § 1 w pkt 2 w lit. c kropkę zastępuje się średnikiem i dodaje się pkt 3 w brzmieniu:</w:t>
      </w:r>
    </w:p>
    <w:p w14:paraId="5964EA85" w14:textId="77777777" w:rsidR="00C202F3" w:rsidRDefault="00C202F3" w:rsidP="00C202F3">
      <w:pPr>
        <w:pBdr>
          <w:top w:val="nil"/>
          <w:left w:val="nil"/>
          <w:bottom w:val="nil"/>
          <w:right w:val="nil"/>
          <w:between w:val="nil"/>
        </w:pBdr>
        <w:spacing w:after="0" w:line="360" w:lineRule="auto"/>
        <w:ind w:left="1020" w:hanging="1020"/>
        <w:jc w:val="both"/>
        <w:rPr>
          <w:rFonts w:ascii="Times" w:eastAsia="Times" w:hAnsi="Times" w:cs="Times"/>
          <w:color w:val="000000"/>
          <w:sz w:val="24"/>
          <w:szCs w:val="24"/>
        </w:rPr>
      </w:pPr>
      <w:r>
        <w:rPr>
          <w:rFonts w:ascii="Times" w:eastAsia="Times" w:hAnsi="Times" w:cs="Times"/>
          <w:color w:val="000000"/>
          <w:sz w:val="24"/>
          <w:szCs w:val="24"/>
        </w:rPr>
        <w:t>„3)</w:t>
      </w:r>
      <w:r>
        <w:rPr>
          <w:rFonts w:ascii="Times" w:eastAsia="Times" w:hAnsi="Times" w:cs="Times"/>
          <w:color w:val="000000"/>
          <w:sz w:val="24"/>
          <w:szCs w:val="24"/>
        </w:rPr>
        <w:tab/>
        <w:t>skazany, do którego zastosowano przepis art. 60 § 3 lub 4 Kodeksu karnego lub art. 36 § 3 Kodeksu karnego skarbowego, nie potwierdził w postępowaniu karnym ujawnionych przez siebie informacji.”;</w:t>
      </w:r>
    </w:p>
    <w:p w14:paraId="0F85DA7E"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23)</w:t>
      </w:r>
      <w:r>
        <w:rPr>
          <w:rFonts w:ascii="Times" w:eastAsia="Times" w:hAnsi="Times" w:cs="Times"/>
          <w:color w:val="000000"/>
          <w:sz w:val="24"/>
          <w:szCs w:val="24"/>
        </w:rPr>
        <w:tab/>
        <w:t>w art. 540a uchyla się pkt 1.</w:t>
      </w:r>
    </w:p>
    <w:p w14:paraId="1D1BD603"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2.</w:t>
      </w:r>
      <w:r>
        <w:rPr>
          <w:rFonts w:ascii="Times" w:eastAsia="Times" w:hAnsi="Times" w:cs="Times"/>
          <w:color w:val="000000"/>
          <w:sz w:val="24"/>
          <w:szCs w:val="24"/>
        </w:rPr>
        <w:t xml:space="preserve"> Przepisy ustawy zmienianej w art. 1, w brzmieniu nadanym niniejszą ustawą, stosuje się do spraw wszczętych przed dniem jej wejścia w życie, jeżeli przepisy poniższe nie stanowią inaczej.</w:t>
      </w:r>
    </w:p>
    <w:p w14:paraId="4FEDFA72"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3.</w:t>
      </w:r>
      <w:r>
        <w:rPr>
          <w:rFonts w:ascii="Times" w:eastAsia="Times" w:hAnsi="Times" w:cs="Times"/>
          <w:color w:val="000000"/>
          <w:sz w:val="24"/>
          <w:szCs w:val="24"/>
        </w:rPr>
        <w:t xml:space="preserve"> Czynności procesowe dokonane przed dniem wejścia w życie niniejszej ustawy są skuteczne, jeżeli dokonano ich z zachowaniem przepisów dotychczasowych.</w:t>
      </w:r>
    </w:p>
    <w:p w14:paraId="77ADBA95"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4.</w:t>
      </w:r>
      <w:r>
        <w:rPr>
          <w:rFonts w:ascii="Times" w:eastAsia="Times" w:hAnsi="Times" w:cs="Times"/>
          <w:color w:val="000000"/>
          <w:sz w:val="24"/>
          <w:szCs w:val="24"/>
        </w:rPr>
        <w:t xml:space="preserve"> W razie wątpliwości, czy stosować prawo dotychczasowe, czy przepisy ustawy zmienianej w art. 1 w brzmieniu nadanym niniejszą ustawą, stosuje się przepisy ustawy zmienianej w art. 1 w brzmieniu nadanym niniejszą ustawą.</w:t>
      </w:r>
    </w:p>
    <w:p w14:paraId="5EDBD7CB"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5.</w:t>
      </w:r>
      <w:r>
        <w:rPr>
          <w:rFonts w:ascii="Times" w:eastAsia="Times" w:hAnsi="Times" w:cs="Times"/>
          <w:color w:val="000000"/>
          <w:sz w:val="24"/>
          <w:szCs w:val="24"/>
        </w:rPr>
        <w:t xml:space="preserve"> Jeżeli na podstawie niniejszej ustawy nastąpiła zmiana składu sądu, do czasu zakończenia postępowania w danej instancji orzeka sąd dotychczasowym składzie</w:t>
      </w:r>
    </w:p>
    <w:p w14:paraId="32F275B7"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 xml:space="preserve">Art. 6. </w:t>
      </w:r>
      <w:r>
        <w:rPr>
          <w:rFonts w:ascii="Times" w:eastAsia="Times" w:hAnsi="Times" w:cs="Times"/>
          <w:color w:val="000000"/>
          <w:sz w:val="24"/>
          <w:szCs w:val="24"/>
        </w:rPr>
        <w:t>1. W sprawach, w których przed dniem wejścia w życie niniejszej ustawy złożono wniosek o zastosowanie lub przedłużenie tymczasowego aresztowania albo zastosowanie innego środka zapobiegawczego lub zabezpieczenia majątkowego, sąd, przed jego rozpoznaniem, może wyznaczyć termin na zmianę wniosku uwzględniającą zmiany dokonane niniejszą ustawą.</w:t>
      </w:r>
    </w:p>
    <w:p w14:paraId="1A9AC7B2"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2. Jeżeli po dniu wejścia w życie niniejszej ustawy brak jest podstaw prawnych do stosowania środka zapobiegawczego lub zabezpieczenia majątkowego, taki środek lub zabezpieczenie należy niezwłocznie uchylić lub zmienić.</w:t>
      </w:r>
    </w:p>
    <w:p w14:paraId="3EEBC5D1"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7.</w:t>
      </w:r>
      <w:r>
        <w:rPr>
          <w:rFonts w:ascii="Times" w:eastAsia="Times" w:hAnsi="Times" w:cs="Times"/>
          <w:color w:val="000000"/>
          <w:sz w:val="24"/>
          <w:szCs w:val="24"/>
        </w:rPr>
        <w:t xml:space="preserve"> Art. 263 § 1 ustawy zmienianej w art. 1 w brzmieniu nadanym niniejszą ustawą stosuje się do orzeczeń w przedmiocie tymczasowego aresztowania wydanych po wejściu w życie niniejszej ustawy.</w:t>
      </w:r>
    </w:p>
    <w:p w14:paraId="7610A7B5" w14:textId="77777777" w:rsidR="00C202F3" w:rsidRDefault="00C202F3" w:rsidP="00C202F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b/>
          <w:color w:val="000000"/>
          <w:sz w:val="24"/>
          <w:szCs w:val="24"/>
        </w:rPr>
        <w:t>Art. 8.</w:t>
      </w:r>
      <w:r>
        <w:rPr>
          <w:rFonts w:ascii="Times" w:eastAsia="Times" w:hAnsi="Times" w:cs="Times"/>
          <w:color w:val="000000"/>
          <w:sz w:val="24"/>
          <w:szCs w:val="24"/>
        </w:rPr>
        <w:t xml:space="preserve"> Ustawa wchodzi w życie po upływie 3 miesięcy od dnia ogłoszenia.</w:t>
      </w:r>
    </w:p>
    <w:p w14:paraId="77FEC136" w14:textId="77777777" w:rsidR="00C202F3" w:rsidRDefault="00C202F3" w:rsidP="00C202F3">
      <w:pPr>
        <w:spacing w:after="0" w:line="360" w:lineRule="auto"/>
      </w:pPr>
      <w:r>
        <w:br w:type="page"/>
      </w:r>
    </w:p>
    <w:p w14:paraId="03473B91" w14:textId="77777777" w:rsidR="00C202F3" w:rsidRDefault="00C202F3" w:rsidP="00C202F3">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lastRenderedPageBreak/>
        <w:t>Uzasadnienie</w:t>
      </w:r>
    </w:p>
    <w:p w14:paraId="5EC4E265"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highlight w:val="yellow"/>
        </w:rPr>
      </w:pPr>
      <w:r>
        <w:rPr>
          <w:rFonts w:ascii="Times" w:eastAsia="Times" w:hAnsi="Times" w:cs="Times"/>
          <w:color w:val="000000"/>
          <w:sz w:val="24"/>
          <w:szCs w:val="24"/>
        </w:rPr>
        <w:t xml:space="preserve">Celem projektowanej nowelizacji jest reforma instytucji tymczasowego aresztowania w Polsce. Obowiązujący stan prawny i wynikająca z niego praktyka sądowa wymagają pilnego dostosowania do standardów wyznaczanych przez Konstytucję Rzeczypospolitej Polskiej oraz wiążące akty prawa międzynarodowego, w tym Europejską Konwencję Praw Człowieka. </w:t>
      </w:r>
    </w:p>
    <w:p w14:paraId="422E29CA"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Stan prawny i ukształtowane na jego gruncie praktyki dotyczące tymczasowego aresztowania w Polsce są przedmiotem krytyki na poziomie instytucjonalnym w orzecznictwie Europejskiego Trybunału Praw Człowieka – zob. m.in. wyrok ETPC z dnia 3.02.2009 r. </w:t>
      </w:r>
      <w:r>
        <w:rPr>
          <w:rFonts w:ascii="Times" w:eastAsia="Times" w:hAnsi="Times" w:cs="Times"/>
          <w:color w:val="000000"/>
          <w:sz w:val="24"/>
          <w:szCs w:val="24"/>
        </w:rPr>
        <w:br/>
        <w:t xml:space="preserve">w sprawie Kauczor przeciwko Polsce, skarga nr 45219/06, wyrok ETPC z dnia 6.02.2007 r. </w:t>
      </w:r>
      <w:r>
        <w:rPr>
          <w:rFonts w:ascii="Times" w:eastAsia="Times" w:hAnsi="Times" w:cs="Times"/>
          <w:color w:val="000000"/>
          <w:sz w:val="24"/>
          <w:szCs w:val="24"/>
        </w:rPr>
        <w:br/>
        <w:t xml:space="preserve">w sprawie Garycki przeciwko Polsce, skarga nr 14348/02 czy 10 wyroków skoncentrowanych wokół wyroku ETPC z dnia 18.10.2018 r. w sprawie Burża przeciwko Polsce, skarga </w:t>
      </w:r>
      <w:r>
        <w:rPr>
          <w:rFonts w:ascii="Times" w:eastAsia="Times" w:hAnsi="Times" w:cs="Times"/>
          <w:color w:val="000000"/>
          <w:sz w:val="24"/>
          <w:szCs w:val="24"/>
        </w:rPr>
        <w:br/>
        <w:t xml:space="preserve">nr 15333/16, zob. A. Klepczyński, K. Wiśniewska, w: P. Kładoczny, K. Wiśniewska (red.), </w:t>
      </w:r>
      <w:hyperlink r:id="rId6">
        <w:r>
          <w:rPr>
            <w:rFonts w:ascii="Times" w:eastAsia="Times" w:hAnsi="Times" w:cs="Times"/>
            <w:color w:val="000000"/>
            <w:sz w:val="24"/>
            <w:szCs w:val="24"/>
          </w:rPr>
          <w:t>Wyrok w Strasbourgu to nie koniec! Raport na temat wykonywania wyroków Europejskiego Trybunału Praw Człowieka,</w:t>
        </w:r>
      </w:hyperlink>
      <w:r>
        <w:rPr>
          <w:rFonts w:ascii="Times" w:eastAsia="Times" w:hAnsi="Times" w:cs="Times"/>
          <w:color w:val="000000"/>
          <w:sz w:val="24"/>
          <w:szCs w:val="24"/>
        </w:rPr>
        <w:t xml:space="preserve"> Warszawa 2020, s. 27-30. </w:t>
      </w:r>
    </w:p>
    <w:p w14:paraId="000606D9"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Mankamenty przepisów dotyczących tymczasowego aresztowania wskazywane są </w:t>
      </w:r>
      <w:r>
        <w:rPr>
          <w:rFonts w:ascii="Times" w:eastAsia="Times" w:hAnsi="Times" w:cs="Times"/>
          <w:color w:val="000000"/>
          <w:sz w:val="24"/>
          <w:szCs w:val="24"/>
        </w:rPr>
        <w:br/>
        <w:t xml:space="preserve">w ramach krajowego systemu ochrony praw obywatela, sprawowanego przez Rzecznika Praw Obywatelskich – zob. m.in. </w:t>
      </w:r>
      <w:hyperlink r:id="rId7">
        <w:r>
          <w:rPr>
            <w:rFonts w:ascii="Times" w:eastAsia="Times" w:hAnsi="Times" w:cs="Times"/>
            <w:color w:val="000000"/>
            <w:sz w:val="24"/>
            <w:szCs w:val="24"/>
          </w:rPr>
          <w:t>pismo RPO do Ministra Sprawiedliwości z dnia 22 stycznia 2024 r.</w:t>
        </w:r>
      </w:hyperlink>
      <w:r>
        <w:rPr>
          <w:rFonts w:ascii="Times" w:eastAsia="Times" w:hAnsi="Times" w:cs="Times"/>
          <w:color w:val="000000"/>
          <w:sz w:val="24"/>
          <w:szCs w:val="24"/>
        </w:rPr>
        <w:t xml:space="preserve"> w przedmiocie problematyki związanej z praktyką stosowania oraz przedłużania tymczasowego aresztowania. </w:t>
      </w:r>
    </w:p>
    <w:p w14:paraId="02416BDB"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Omawiana instytucja prawna jest przedmiotem krytyki w licznych opracowaniach naukowych, raportach prezentujących dane statystyczne oraz ekspertyzach opublikowanych na przestrzeni ostatnich lat – zob. S. Tarapata, D. Zając, W. Górowski, M. Słomka, </w:t>
      </w:r>
      <w:hyperlink r:id="rId8">
        <w:r>
          <w:rPr>
            <w:rFonts w:ascii="Times" w:eastAsia="Times" w:hAnsi="Times" w:cs="Times"/>
            <w:color w:val="000000"/>
            <w:sz w:val="24"/>
            <w:szCs w:val="24"/>
          </w:rPr>
          <w:t>Tymczasowe aresztowanie w Polsce. Dlaczego jest źle? Jak powinno być? Analiza prawna na tle przepisów państw Europy</w:t>
        </w:r>
      </w:hyperlink>
      <w:r>
        <w:rPr>
          <w:rFonts w:ascii="Times" w:eastAsia="Times" w:hAnsi="Times" w:cs="Times"/>
          <w:color w:val="000000"/>
          <w:sz w:val="24"/>
          <w:szCs w:val="24"/>
        </w:rPr>
        <w:t xml:space="preserve">, red. M. Małecki, Kraków 2023; Z. Ganczewska, P. Kładoczny, </w:t>
      </w:r>
      <w:r>
        <w:rPr>
          <w:rFonts w:ascii="Times" w:eastAsia="Times" w:hAnsi="Times" w:cs="Times"/>
          <w:color w:val="000000"/>
          <w:sz w:val="24"/>
          <w:szCs w:val="24"/>
        </w:rPr>
        <w:br/>
        <w:t xml:space="preserve">P. Kubaszewski, B. Wiercziński, </w:t>
      </w:r>
      <w:hyperlink r:id="rId9">
        <w:r>
          <w:rPr>
            <w:rFonts w:ascii="Times" w:eastAsia="Times" w:hAnsi="Times" w:cs="Times"/>
            <w:color w:val="000000"/>
            <w:sz w:val="24"/>
            <w:szCs w:val="24"/>
          </w:rPr>
          <w:t>O standardzie, który się nie przyjął (w Polsce). Praktyka stosowania tymczasowego aresztowania w świetle przepisów Europejskiej Konwencji Praw Człowieka</w:t>
        </w:r>
      </w:hyperlink>
      <w:r>
        <w:rPr>
          <w:rFonts w:ascii="Times" w:eastAsia="Times" w:hAnsi="Times" w:cs="Times"/>
          <w:color w:val="000000"/>
          <w:sz w:val="24"/>
          <w:szCs w:val="24"/>
        </w:rPr>
        <w:t xml:space="preserve">, red. P. Kładoczny, Warszawa 2023; B. Pilitowski (oprac.), </w:t>
      </w:r>
      <w:hyperlink r:id="rId10">
        <w:r>
          <w:rPr>
            <w:rFonts w:ascii="Times" w:eastAsia="Times" w:hAnsi="Times" w:cs="Times"/>
            <w:color w:val="000000"/>
            <w:sz w:val="24"/>
            <w:szCs w:val="24"/>
          </w:rPr>
          <w:t>Aktualna praktyka stosowania tymczasowego aresztowania w Polsce. Raport z badań empirycznych.</w:t>
        </w:r>
      </w:hyperlink>
      <w:r>
        <w:rPr>
          <w:rFonts w:ascii="Times" w:eastAsia="Times" w:hAnsi="Times" w:cs="Times"/>
          <w:color w:val="000000"/>
          <w:sz w:val="24"/>
          <w:szCs w:val="24"/>
        </w:rPr>
        <w:t xml:space="preserve"> Toruń 2019; A. Klepczyński, P. Kładoczny, K. Wiśniewska, </w:t>
      </w:r>
      <w:hyperlink r:id="rId11">
        <w:r>
          <w:rPr>
            <w:rFonts w:ascii="Times" w:eastAsia="Times" w:hAnsi="Times" w:cs="Times"/>
            <w:color w:val="000000"/>
            <w:sz w:val="24"/>
            <w:szCs w:val="24"/>
          </w:rPr>
          <w:t>Tymczasowe aresztowanie. (Nie)tymczasowy problem. Analiza aktualnej praktyki stosowania tymczasowego aresztowania.</w:t>
        </w:r>
      </w:hyperlink>
      <w:r>
        <w:rPr>
          <w:rFonts w:ascii="Times" w:eastAsia="Times" w:hAnsi="Times" w:cs="Times"/>
          <w:color w:val="000000"/>
          <w:sz w:val="24"/>
          <w:szCs w:val="24"/>
        </w:rPr>
        <w:t xml:space="preserve"> Warszawa, 2019; P. Karlik, B. Pilitowski, Stosowanie tymczasowego aresztowania. Analiza praktyczna, red. B. Pilitowski, Warszawa 2022; M. Gnusowski (oprac.), </w:t>
      </w:r>
      <w:hyperlink r:id="rId12">
        <w:r>
          <w:rPr>
            <w:rFonts w:ascii="Times" w:eastAsia="Times" w:hAnsi="Times" w:cs="Times"/>
            <w:color w:val="000000"/>
            <w:sz w:val="24"/>
            <w:szCs w:val="24"/>
          </w:rPr>
          <w:t>Ocena przepisów i standardów stosowania tymczasowego aresztowania w Polsce przez adwokatów i aplikantów adwokackich</w:t>
        </w:r>
      </w:hyperlink>
      <w:r>
        <w:rPr>
          <w:rFonts w:ascii="Times" w:eastAsia="Times" w:hAnsi="Times" w:cs="Times"/>
          <w:color w:val="000000"/>
          <w:sz w:val="24"/>
          <w:szCs w:val="24"/>
        </w:rPr>
        <w:t xml:space="preserve">, </w:t>
      </w:r>
      <w:r>
        <w:rPr>
          <w:rFonts w:ascii="Times" w:eastAsia="Times" w:hAnsi="Times" w:cs="Times"/>
          <w:color w:val="000000"/>
          <w:sz w:val="24"/>
          <w:szCs w:val="24"/>
        </w:rPr>
        <w:lastRenderedPageBreak/>
        <w:t xml:space="preserve">Warszawa 2023; B. Pilitowski, A. Rekowska, Z. Branicka, J. Michalski, M. Hoffman, </w:t>
      </w:r>
      <w:hyperlink r:id="rId13">
        <w:r>
          <w:rPr>
            <w:rFonts w:ascii="Times" w:eastAsia="Times" w:hAnsi="Times" w:cs="Times"/>
            <w:color w:val="000000"/>
            <w:sz w:val="24"/>
            <w:szCs w:val="24"/>
          </w:rPr>
          <w:t>Stosowanie tymczasowego aresztowania w Polsce. Wyniki badań ilościowych i jakościowych</w:t>
        </w:r>
      </w:hyperlink>
      <w:r>
        <w:rPr>
          <w:rFonts w:ascii="Times" w:eastAsia="Times" w:hAnsi="Times" w:cs="Times"/>
          <w:color w:val="000000"/>
          <w:sz w:val="24"/>
          <w:szCs w:val="24"/>
        </w:rPr>
        <w:t>, red. B. Pilitowski, Toruń 2024; Z. Ganczewska, W. Górowski, P. Kładoczny, P. Kubaszewski, M. Małecki, B. Wiercziński, M. Słomka, S. Tarapata, D. Zając Tymczasowe aresztowanie. Standardy, które nie przyjęły się w Polsce. Dlaczego jest źle? Jak powinno być?, Kraków 2024.</w:t>
      </w:r>
    </w:p>
    <w:p w14:paraId="22D36CCE"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Tymczasowe aresztowanie jest najdotkliwszym spośród środków zapobiegawczych. Polega na objęciu przez państwo daleko idącej kontroli nad człowiekiem, zaś reżim jego wykonywania swoją dolegliwością wykracza nawet poza standardowe ramy warunków odbywania kary pozbawienia wolności. Tymczasowe aresztowanie nie jest karą, jego stosowanie nie może być uznawane i traktowane jako odpłata za wyrządzone zło, lecz ma jedynie zabezpieczać prawidłowy tok sprawy karnej do wydania wyroku i ewentualnego rozpoczęcia wykonywana kary przez skazanego. Omawiany środek zapobiegawczy jest pozbawieniem człowieka wolności, czyli bardzo dotkliwą ingerencją w dobra osobiste obywatela (zob. T. Sroka. Prewencyjne pozbawienie wolności, Kraków 2022, s. 26 i n.). Środek ten stosowany jest wobec osoby w świetle prawa niewinnej – w tym wypadku ingerencja państwa w prawa i wolności człowieka musi ściśle wypełniać konstytucyjne zasady proporcjonalności, celowości i konieczności.</w:t>
      </w:r>
    </w:p>
    <w:p w14:paraId="2401DD78"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Tymczasowe aresztowanie jako instytucja prawna nie jest środkiem dla zapewnienia komfortu pracy policji i prokuratury, lecz sytuacją, w ramach której system prawny zakłada, iż na organach ścigania zaczynają ciążyć dodatkowe obowiązki, w szczególności konieczność prowadzenia czynności procesowych w sposób zaplanowany, celowy i szybki. Przetrzymywanie obywatela w areszcie uzasadnione jest wyłącznie wtedy, gdy organy ścigania realizują w prawidłowy sposób swoje kompetencje. Szczególną rolę w procesie stosowania tymczasowego aresztowania spełnia niezależny sąd, który powinien weryfikować, czy zastosowanie i utrzymywanie izolacyjnego środka zapobiegawczego jest usprawiedliwione okolicznościami sprawy i sposobem prowadzenia czynności przez organy władzy. Powinien on także zbadać, czy zastosowanie tymczasowego aresztowania spełnia wynikający z Konstytucji test proporcjonalności. Zakłada on, że jednostka może być ograniczona w swych prawach lub wolnościach jedynie wówczas, gdy jest to konieczne, celowe (celem tym jest zabezpieczenie prawidłowego toku postępowania) oraz proporcjonalne. </w:t>
      </w:r>
    </w:p>
    <w:p w14:paraId="769A028E"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Proponowana nowelizacja stanowi pierwszy i niezbędny krok w kierunku dostosowania instytucji tymczasowego aresztowania do podstawowych wymogów ukształtowanych przez współczesne standardy europejskie. Kompleksowa reforma przepisów dotyczących szeroko </w:t>
      </w:r>
      <w:r>
        <w:rPr>
          <w:rFonts w:ascii="Times" w:eastAsia="Times" w:hAnsi="Times" w:cs="Times"/>
          <w:color w:val="000000"/>
          <w:sz w:val="24"/>
          <w:szCs w:val="24"/>
        </w:rPr>
        <w:lastRenderedPageBreak/>
        <w:t>rozumianej polityki penalnej państwa powinna zmierzać do wydobycia wymiaru sprawiedliwości ze społecznej, organizacyjnej oraz prawnej zapaści, wywołanej latami zaniedbań, ignorowania głosów środowisk eksperckich i traktowania tego obszaru kompetencji państwa jedynie jako narzędzia do budowania politycznego poparcia. Konieczna jest kompleksowa reforma systemu prawa karnego (procesowego, materialnego i wykonawczego), pozwalająca na wyposażenie wymiaru sprawiedliwości w doskonalsze narzędzia zabezpieczenia toku postępowania karnego, sprzyjająca zarazem powstawaniu wartościowych wzorców postępowania, co jest jednym z celów proponowanych regulacji.</w:t>
      </w:r>
    </w:p>
    <w:p w14:paraId="0D610A1C"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Nowelizacja przyniesie znaczące korzyści społeczne i finansowe, przyczyniając się do poprawy funkcjonowania wymiaru sprawiedliwości, ochrony praw człowieka oraz wzmocnienia zaufania do instytucji państwowych. </w:t>
      </w:r>
    </w:p>
    <w:p w14:paraId="5ECD85D9"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Długość stosowania tymczasowego aresztu oraz brak efektywnego nadzoru sądowego nad jego zasadnością prowadzą do sytuacji, w której osoby oczekujące na wyrok często spędzają w areszcie czas znacznie dłuższy niż sama kara orzeczona po wyroku. Tak długotrwałe stosowanie aresztów godzi w konstytucyjne zasady proporcjonalności i konieczności. Dotychczasowa praktyka wskazuje, że aresztowanie bywa stosowane automatycznie, co często skutkuje zbędnym obciążeniem zarówno dla aresztowanych, jak i systemu sądownictwa. Brak efektywnej kontroli sądowej nad zasadnością przedłużania aresztu narusza również standardy Konstytucji RP, a szczególnie prawo do obrony, proporcjonalności w stosowaniu środków przymusu oraz zasady państwa prawa.</w:t>
      </w:r>
    </w:p>
    <w:p w14:paraId="0D94C015"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Nowelizacja przyniesie znaczące korzyści społeczne i finansowe, przyczyniając się do poprawy funkcjonowania wymiaru sprawiedliwości, ochrony praw człowieka oraz wzmocnienia zaufania do instytucji państwowych. Szczegółowe skutki proponowanych zmian i różnice pomiędzy dotychczasowym a nowym stanem prawnym opisano w Deklarowanych skutkach regulacji. </w:t>
      </w:r>
    </w:p>
    <w:p w14:paraId="1E99AED6"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p>
    <w:p w14:paraId="08D50CFB"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Wejście w życie ustawy związane jest koniecznością wydania przez Ministra Sprawiedliwości rozporządzenia na podstawie art. 245 § 5 Kodeksu postępowania karnego, w którym ma określić sposób zapewnienia zatrzymanemu korzystania z pomocy obrońcy i możliwości jego wyboru, w tym organizacji dyżurów adwokatów i radców prawnych. Podstawowe założenia treści rozporządzenia:</w:t>
      </w:r>
    </w:p>
    <w:p w14:paraId="705FA65D"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lastRenderedPageBreak/>
        <w:t>–</w:t>
      </w:r>
      <w:r>
        <w:rPr>
          <w:rFonts w:ascii="Times" w:eastAsia="Times" w:hAnsi="Times" w:cs="Times"/>
          <w:color w:val="000000"/>
          <w:sz w:val="24"/>
          <w:szCs w:val="24"/>
        </w:rPr>
        <w:tab/>
        <w:t>określenie sądów przy jakich organizowane są dyżury adwokatów i radców prawnych, prezes sądu będzie odpowiedzialny za organizację i koordynację systemu dyżurów obrońców z urzędu na obszarze właściwości sądu,</w:t>
      </w:r>
    </w:p>
    <w:p w14:paraId="207E2BEF"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dyżury obrońców z urzędu będą pełnione w sposób ciągły, obejmujący 24 godziny na dobę, przez cały tydzień, w tym dni wolne od pracy według harmonogramu dyżurów ustalanego przez prezesa sądu w porozumieniu z okręgowymi radami adwokackimi i radami okręgowych izb radców prawnych,</w:t>
      </w:r>
    </w:p>
    <w:p w14:paraId="236823E7"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liczba dyżurujących obrońców będzie dostosowana do potrzeb danego obszaru, uwzględniając statystyki zatrzymań i dostępność adwokatów oraz radców prawnych; dyżury będą pełnione w sposób rotacyjny, aby równomiernie rozłożyć obciążenia między prawnikami i zapewnić ich dostępność,</w:t>
      </w:r>
    </w:p>
    <w:p w14:paraId="6D36119C"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listy adwokatów i radców prawnych pełniących dyżury będą zawierać: imię i nazwisko obrońcy, numer wpisu na listę adwokatów lub radców prawnych, dane kontaktowe umożliwiające natychmiastowy kontakt (numer telefonu komórkowego), informację o znajomości języków obcych, w celu zapewnienia pomocy cudzoziemcom,</w:t>
      </w:r>
    </w:p>
    <w:p w14:paraId="4E4E6C75"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sposób udostępniania zatrzymanym list adwokatów i radców prawnych pełniących dyżury, w tym terminów dyżurów, określonych datami i godzinami,</w:t>
      </w:r>
    </w:p>
    <w:p w14:paraId="31A395CD"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obowiązki organów ścigania wobec zatrzymanego: niezwłoczne poinformowanie zatrzymanego o jego prawach, w tym o prawie do korzystania z pomocy obrońcy, udostępnienie aktualnej listy dyżurujących obrońców z urzędu z danego obszaru właściwości, zapewnienie możliwości skontaktowania się z wybranym obrońcą, w sposób umożliwiający zachowanie poufności rozmowy, umożliwienie kontaktu zatrzymanego z obrońcą, zapewnienie warunków poufności podczas rozmowy zatrzymanego z obrońcą,</w:t>
      </w:r>
    </w:p>
    <w:p w14:paraId="6BB6B662" w14:textId="77777777" w:rsidR="00C202F3" w:rsidRDefault="00C202F3" w:rsidP="00C202F3">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wejście w życie rozporządzenie z dniem wejścia w życie ustawy zawierającej upoważnienie do wydania rozporządzenia.</w:t>
      </w:r>
    </w:p>
    <w:p w14:paraId="5B7FB06E" w14:textId="77777777" w:rsidR="00C202F3" w:rsidRDefault="00C202F3" w:rsidP="00C202F3">
      <w:pPr>
        <w:pBdr>
          <w:top w:val="nil"/>
          <w:left w:val="nil"/>
          <w:bottom w:val="nil"/>
          <w:right w:val="nil"/>
          <w:between w:val="nil"/>
        </w:pBdr>
        <w:spacing w:before="120" w:after="0" w:line="360" w:lineRule="auto"/>
        <w:jc w:val="both"/>
        <w:rPr>
          <w:rFonts w:ascii="Times" w:eastAsia="Times" w:hAnsi="Times" w:cs="Times"/>
          <w:color w:val="000000"/>
          <w:sz w:val="24"/>
          <w:szCs w:val="24"/>
        </w:rPr>
      </w:pPr>
    </w:p>
    <w:p w14:paraId="4CA05C47" w14:textId="77777777" w:rsidR="00C202F3" w:rsidRDefault="00C202F3" w:rsidP="00C202F3">
      <w:pPr>
        <w:pBdr>
          <w:top w:val="nil"/>
          <w:left w:val="nil"/>
          <w:bottom w:val="nil"/>
          <w:right w:val="nil"/>
          <w:between w:val="nil"/>
        </w:pBdr>
        <w:spacing w:before="120" w:after="0" w:line="360" w:lineRule="auto"/>
        <w:jc w:val="both"/>
        <w:rPr>
          <w:rFonts w:ascii="Times" w:eastAsia="Times" w:hAnsi="Times" w:cs="Times"/>
          <w:color w:val="000000"/>
          <w:sz w:val="24"/>
          <w:szCs w:val="24"/>
        </w:rPr>
      </w:pPr>
      <w:r>
        <w:rPr>
          <w:rFonts w:ascii="Times" w:eastAsia="Times" w:hAnsi="Times" w:cs="Times"/>
          <w:color w:val="000000"/>
          <w:sz w:val="24"/>
          <w:szCs w:val="24"/>
        </w:rPr>
        <w:t>Projekt jest zgodny z prawem Unii Europejskiej.</w:t>
      </w:r>
    </w:p>
    <w:p w14:paraId="3F00F459" w14:textId="77777777" w:rsidR="00C202F3" w:rsidRDefault="00C202F3" w:rsidP="00C202F3">
      <w:pPr>
        <w:pBdr>
          <w:top w:val="nil"/>
          <w:left w:val="nil"/>
          <w:bottom w:val="nil"/>
          <w:right w:val="nil"/>
          <w:between w:val="nil"/>
        </w:pBdr>
        <w:spacing w:after="0" w:line="360" w:lineRule="auto"/>
        <w:jc w:val="both"/>
        <w:rPr>
          <w:rFonts w:ascii="Times" w:eastAsia="Times" w:hAnsi="Times" w:cs="Times"/>
          <w:color w:val="000000"/>
          <w:sz w:val="24"/>
          <w:szCs w:val="24"/>
        </w:rPr>
      </w:pPr>
    </w:p>
    <w:p w14:paraId="609AA6E5" w14:textId="77777777" w:rsidR="00F740E1" w:rsidRDefault="00F740E1"/>
    <w:sectPr w:rsidR="00F740E1" w:rsidSect="00C202F3">
      <w:headerReference w:type="default" r:id="rId14"/>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4C836" w14:textId="77777777" w:rsidR="000172B4" w:rsidRDefault="000172B4">
      <w:pPr>
        <w:spacing w:after="0" w:line="240" w:lineRule="auto"/>
      </w:pPr>
      <w:r>
        <w:separator/>
      </w:r>
    </w:p>
  </w:endnote>
  <w:endnote w:type="continuationSeparator" w:id="0">
    <w:p w14:paraId="20CDF067" w14:textId="77777777" w:rsidR="000172B4" w:rsidRDefault="0001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68DFB" w14:textId="77777777" w:rsidR="000172B4" w:rsidRDefault="000172B4">
      <w:pPr>
        <w:spacing w:after="0" w:line="240" w:lineRule="auto"/>
      </w:pPr>
      <w:r>
        <w:separator/>
      </w:r>
    </w:p>
  </w:footnote>
  <w:footnote w:type="continuationSeparator" w:id="0">
    <w:p w14:paraId="08F088B4" w14:textId="77777777" w:rsidR="000172B4" w:rsidRDefault="0001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BD70" w14:textId="77777777" w:rsidR="002B6DFD" w:rsidRDefault="00000000">
    <w:pPr>
      <w:pBdr>
        <w:top w:val="nil"/>
        <w:left w:val="nil"/>
        <w:bottom w:val="nil"/>
        <w:right w:val="nil"/>
        <w:between w:val="nil"/>
      </w:pBdr>
      <w:tabs>
        <w:tab w:val="center" w:pos="4536"/>
        <w:tab w:val="right" w:pos="9072"/>
      </w:tabs>
      <w:jc w:val="cente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noProof/>
        <w:color w:val="000000"/>
      </w:rPr>
      <w:t>2</w:t>
    </w:r>
    <w:r>
      <w:rPr>
        <w:rFonts w:ascii="Times" w:eastAsia="Times" w:hAnsi="Times" w:cs="Times"/>
        <w:color w:val="000000"/>
      </w:rPr>
      <w:fldChar w:fldCharType="end"/>
    </w:r>
    <w:r>
      <w:rPr>
        <w:rFonts w:ascii="Times" w:eastAsia="Times" w:hAnsi="Times" w:cs="Times"/>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F3"/>
    <w:rsid w:val="000172B4"/>
    <w:rsid w:val="001B7544"/>
    <w:rsid w:val="00214237"/>
    <w:rsid w:val="002B6DFD"/>
    <w:rsid w:val="00524A88"/>
    <w:rsid w:val="00C202F3"/>
    <w:rsid w:val="00CE7AEB"/>
    <w:rsid w:val="00EC6228"/>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F8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2F3"/>
    <w:rPr>
      <w:rFonts w:ascii="Calibri" w:eastAsia="Calibri" w:hAnsi="Calibri" w:cs="Calibri"/>
      <w:kern w:val="0"/>
      <w:lang w:eastAsia="pl-PL"/>
    </w:rPr>
  </w:style>
  <w:style w:type="paragraph" w:styleId="Nagwek1">
    <w:name w:val="heading 1"/>
    <w:basedOn w:val="Normalny"/>
    <w:next w:val="Normalny"/>
    <w:link w:val="Nagwek1Znak"/>
    <w:uiPriority w:val="9"/>
    <w:qFormat/>
    <w:rsid w:val="00C2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02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02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02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02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02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02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02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02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02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02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02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202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202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02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02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02F3"/>
    <w:rPr>
      <w:rFonts w:eastAsiaTheme="majorEastAsia" w:cstheme="majorBidi"/>
      <w:color w:val="272727" w:themeColor="text1" w:themeTint="D8"/>
    </w:rPr>
  </w:style>
  <w:style w:type="paragraph" w:styleId="Tytu">
    <w:name w:val="Title"/>
    <w:basedOn w:val="Normalny"/>
    <w:next w:val="Normalny"/>
    <w:link w:val="TytuZnak"/>
    <w:uiPriority w:val="10"/>
    <w:qFormat/>
    <w:rsid w:val="00C2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02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02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02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02F3"/>
    <w:pPr>
      <w:spacing w:before="160"/>
      <w:jc w:val="center"/>
    </w:pPr>
    <w:rPr>
      <w:i/>
      <w:iCs/>
      <w:color w:val="404040" w:themeColor="text1" w:themeTint="BF"/>
    </w:rPr>
  </w:style>
  <w:style w:type="character" w:customStyle="1" w:styleId="CytatZnak">
    <w:name w:val="Cytat Znak"/>
    <w:basedOn w:val="Domylnaczcionkaakapitu"/>
    <w:link w:val="Cytat"/>
    <w:uiPriority w:val="29"/>
    <w:rsid w:val="00C202F3"/>
    <w:rPr>
      <w:i/>
      <w:iCs/>
      <w:color w:val="404040" w:themeColor="text1" w:themeTint="BF"/>
    </w:rPr>
  </w:style>
  <w:style w:type="paragraph" w:styleId="Akapitzlist">
    <w:name w:val="List Paragraph"/>
    <w:basedOn w:val="Normalny"/>
    <w:uiPriority w:val="34"/>
    <w:qFormat/>
    <w:rsid w:val="00C202F3"/>
    <w:pPr>
      <w:ind w:left="720"/>
      <w:contextualSpacing/>
    </w:pPr>
  </w:style>
  <w:style w:type="character" w:styleId="Wyrnienieintensywne">
    <w:name w:val="Intense Emphasis"/>
    <w:basedOn w:val="Domylnaczcionkaakapitu"/>
    <w:uiPriority w:val="21"/>
    <w:qFormat/>
    <w:rsid w:val="00C202F3"/>
    <w:rPr>
      <w:i/>
      <w:iCs/>
      <w:color w:val="0F4761" w:themeColor="accent1" w:themeShade="BF"/>
    </w:rPr>
  </w:style>
  <w:style w:type="paragraph" w:styleId="Cytatintensywny">
    <w:name w:val="Intense Quote"/>
    <w:basedOn w:val="Normalny"/>
    <w:next w:val="Normalny"/>
    <w:link w:val="CytatintensywnyZnak"/>
    <w:uiPriority w:val="30"/>
    <w:qFormat/>
    <w:rsid w:val="00C2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02F3"/>
    <w:rPr>
      <w:i/>
      <w:iCs/>
      <w:color w:val="0F4761" w:themeColor="accent1" w:themeShade="BF"/>
    </w:rPr>
  </w:style>
  <w:style w:type="character" w:styleId="Odwoanieintensywne">
    <w:name w:val="Intense Reference"/>
    <w:basedOn w:val="Domylnaczcionkaakapitu"/>
    <w:uiPriority w:val="32"/>
    <w:qFormat/>
    <w:rsid w:val="00C202F3"/>
    <w:rPr>
      <w:b/>
      <w:bCs/>
      <w:smallCaps/>
      <w:color w:val="0F4761" w:themeColor="accent1" w:themeShade="BF"/>
      <w:spacing w:val="5"/>
    </w:rPr>
  </w:style>
  <w:style w:type="paragraph" w:styleId="Nagwek">
    <w:name w:val="header"/>
    <w:basedOn w:val="Normalny"/>
    <w:link w:val="NagwekZnak"/>
    <w:uiPriority w:val="99"/>
    <w:unhideWhenUsed/>
    <w:rsid w:val="00EC6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228"/>
    <w:rPr>
      <w:rFonts w:ascii="Calibri" w:eastAsia="Calibri" w:hAnsi="Calibri" w:cs="Calibri"/>
      <w:kern w:val="0"/>
      <w:lang w:eastAsia="pl-PL"/>
    </w:rPr>
  </w:style>
  <w:style w:type="paragraph" w:styleId="Stopka">
    <w:name w:val="footer"/>
    <w:basedOn w:val="Normalny"/>
    <w:link w:val="StopkaZnak"/>
    <w:uiPriority w:val="99"/>
    <w:unhideWhenUsed/>
    <w:rsid w:val="00EC6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228"/>
    <w:rPr>
      <w:rFonts w:ascii="Calibri" w:eastAsia="Calibri" w:hAnsi="Calibri" w:cs="Calibr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pk.pl/ekspertyzy/tymczasowe_aresztowanie_raport/" TargetMode="External"/><Relationship Id="rId13" Type="http://schemas.openxmlformats.org/officeDocument/2006/relationships/hyperlink" Target="https://courtwatch.pl/wp-content/uploads/2024/03/FCWP_Stosowanie_tymczasowego_aresztowania_2024.pdf" TargetMode="External"/><Relationship Id="rId3" Type="http://schemas.openxmlformats.org/officeDocument/2006/relationships/webSettings" Target="webSettings.xml"/><Relationship Id="rId7" Type="http://schemas.openxmlformats.org/officeDocument/2006/relationships/hyperlink" Target="https://bip.brpo.gov.pl/pl/content/rpo-areszty-dlugotrwalosc-termin-ms-wideo" TargetMode="External"/><Relationship Id="rId12" Type="http://schemas.openxmlformats.org/officeDocument/2006/relationships/hyperlink" Target="https://www.adwokatura.pl/z-zycia-nra/tymczasowe-aresztowanie-w-ocenie-adwokatow-raport-nr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chiwum.hfhr.pl/wyrok-w-strasburgu-to-nie-koniec-drugie-wydanie-raportu-na-temat-wykonywania-wyrokow-europejskiego-trybunalu-praw-czlowieka/" TargetMode="External"/><Relationship Id="rId11" Type="http://schemas.openxmlformats.org/officeDocument/2006/relationships/hyperlink" Target="https://archiwum.hfhr.pl/raport-hfpc-tymczasowe-aresztowanie-nietymczasowy-probl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ourtwatch.pl/wp-content/uploads/2019/12/tymczasowe_aresztowania_FCWP.pdf" TargetMode="External"/><Relationship Id="rId4" Type="http://schemas.openxmlformats.org/officeDocument/2006/relationships/footnotes" Target="footnotes.xml"/><Relationship Id="rId9" Type="http://schemas.openxmlformats.org/officeDocument/2006/relationships/hyperlink" Target="https://hfhr.pl/publikacje/raport-praktyka-stosowania-tymczasowego-aresztowania-2023"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3503</Words>
  <Characters>21019</Characters>
  <Application>Microsoft Office Word</Application>
  <DocSecurity>0</DocSecurity>
  <Lines>175</Lines>
  <Paragraphs>48</Paragraphs>
  <ScaleCrop>false</ScaleCrop>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2024-11-26T16:47:00Z</dcterms:created>
  <dcterms:modified xsi:type="dcterms:W3CDTF">2024-11-26T16:47:00Z</dcterms:modified>
</cp:coreProperties>
</file>