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FD29" w14:textId="77777777" w:rsidR="00F546E0" w:rsidRPr="00FF41FD" w:rsidRDefault="00F546E0" w:rsidP="00F546E0">
      <w:pPr>
        <w:rPr>
          <w:color w:val="000000" w:themeColor="text1"/>
          <w:sz w:val="22"/>
          <w:szCs w:val="22"/>
        </w:rPr>
      </w:pPr>
    </w:p>
    <w:p w14:paraId="2E88B5CE" w14:textId="77777777" w:rsidR="005C272F" w:rsidRPr="00FF41FD" w:rsidRDefault="005C272F" w:rsidP="005C272F">
      <w:pPr>
        <w:keepNext/>
        <w:suppressAutoHyphens/>
        <w:spacing w:before="0" w:line="360" w:lineRule="auto"/>
        <w:jc w:val="center"/>
        <w:rPr>
          <w:rFonts w:ascii="Times New Roman" w:eastAsia="Times New Roman" w:hAnsi="Times New Roman" w:cs="Times New Roman"/>
          <w:b/>
          <w:bCs/>
          <w:caps/>
          <w:color w:val="000000" w:themeColor="text1"/>
          <w:spacing w:val="54"/>
          <w:kern w:val="24"/>
          <w:lang w:eastAsia="pl-PL"/>
          <w14:ligatures w14:val="none"/>
        </w:rPr>
      </w:pPr>
      <w:bookmarkStart w:id="0" w:name="_Hlk172801897"/>
      <w:r w:rsidRPr="00FF41FD">
        <w:rPr>
          <w:rFonts w:ascii="Times New Roman" w:eastAsia="Times New Roman" w:hAnsi="Times New Roman" w:cs="Times New Roman"/>
          <w:b/>
          <w:bCs/>
          <w:caps/>
          <w:color w:val="000000" w:themeColor="text1"/>
          <w:spacing w:val="54"/>
          <w:kern w:val="24"/>
          <w:lang w:eastAsia="pl-PL"/>
          <w14:ligatures w14:val="none"/>
        </w:rPr>
        <w:t>USTAWA</w:t>
      </w:r>
    </w:p>
    <w:bookmarkEnd w:id="0"/>
    <w:p w14:paraId="4DB365E5" w14:textId="77777777" w:rsidR="005C272F" w:rsidRPr="00FF41FD" w:rsidRDefault="005C272F" w:rsidP="005C272F">
      <w:pPr>
        <w:suppressAutoHyphens/>
        <w:spacing w:before="0" w:after="160" w:line="360" w:lineRule="auto"/>
        <w:jc w:val="center"/>
        <w:rPr>
          <w:rFonts w:ascii="Times New Roman" w:eastAsia="SimSun" w:hAnsi="Times New Roman" w:cs="Times New Roman"/>
          <w:bCs/>
          <w:color w:val="000000" w:themeColor="text1"/>
          <w:kern w:val="0"/>
          <w:lang w:eastAsia="ar-SA"/>
          <w14:ligatures w14:val="none"/>
        </w:rPr>
      </w:pPr>
      <w:r w:rsidRPr="00FF41FD">
        <w:rPr>
          <w:rFonts w:ascii="Times New Roman" w:eastAsia="SimSun" w:hAnsi="Times New Roman" w:cs="Times New Roman"/>
          <w:bCs/>
          <w:color w:val="000000" w:themeColor="text1"/>
          <w:kern w:val="0"/>
          <w:lang w:eastAsia="ar-SA"/>
          <w14:ligatures w14:val="none"/>
        </w:rPr>
        <w:t>z dnia …</w:t>
      </w:r>
    </w:p>
    <w:p w14:paraId="7658D5A9" w14:textId="3D560B6C" w:rsidR="005C272F" w:rsidRPr="00FF41FD" w:rsidRDefault="005C272F" w:rsidP="005C272F">
      <w:pPr>
        <w:suppressAutoHyphens/>
        <w:spacing w:before="0" w:after="0" w:line="360" w:lineRule="auto"/>
        <w:jc w:val="center"/>
        <w:rPr>
          <w:rFonts w:ascii="Times New Roman" w:eastAsia="SimSun" w:hAnsi="Times New Roman" w:cs="Times New Roman"/>
          <w:color w:val="000000" w:themeColor="text1"/>
          <w:kern w:val="0"/>
          <w:lang w:eastAsia="ar-SA"/>
          <w14:ligatures w14:val="none"/>
        </w:rPr>
      </w:pPr>
      <w:r w:rsidRPr="00FF41FD">
        <w:rPr>
          <w:rFonts w:ascii="Times New Roman" w:eastAsia="SimSun" w:hAnsi="Times New Roman" w:cs="Times New Roman"/>
          <w:b/>
          <w:color w:val="000000" w:themeColor="text1"/>
          <w:kern w:val="0"/>
          <w:lang w:eastAsia="ar-SA"/>
          <w14:ligatures w14:val="none"/>
        </w:rPr>
        <w:t>o zmianie ustawy o podatkach i opłatach lokalnych oraz ustawy – Ordynacja podatkowa</w:t>
      </w:r>
    </w:p>
    <w:p w14:paraId="20ECCFC2" w14:textId="77777777" w:rsidR="00F546E0" w:rsidRPr="00FF41FD" w:rsidRDefault="00F546E0" w:rsidP="005C272F">
      <w:pPr>
        <w:spacing w:line="360" w:lineRule="auto"/>
        <w:rPr>
          <w:rFonts w:ascii="Times New Roman" w:hAnsi="Times New Roman" w:cs="Times New Roman"/>
          <w:color w:val="000000" w:themeColor="text1"/>
        </w:rPr>
      </w:pPr>
    </w:p>
    <w:p w14:paraId="61B33E5C" w14:textId="084588A2" w:rsidR="00F546E0" w:rsidRPr="00FF41FD" w:rsidRDefault="005C272F" w:rsidP="005C272F">
      <w:pPr>
        <w:spacing w:line="360" w:lineRule="auto"/>
        <w:ind w:firstLine="708"/>
        <w:rPr>
          <w:rFonts w:ascii="Times New Roman" w:hAnsi="Times New Roman" w:cs="Times New Roman"/>
          <w:color w:val="000000" w:themeColor="text1"/>
        </w:rPr>
      </w:pPr>
      <w:r w:rsidRPr="00FF41FD">
        <w:rPr>
          <w:rFonts w:ascii="Times New Roman" w:hAnsi="Times New Roman" w:cs="Times New Roman"/>
          <w:b/>
          <w:bCs/>
          <w:color w:val="000000" w:themeColor="text1"/>
        </w:rPr>
        <w:t>Art. 1.</w:t>
      </w:r>
      <w:r w:rsidRPr="00FF41FD">
        <w:rPr>
          <w:rFonts w:ascii="Times New Roman" w:hAnsi="Times New Roman" w:cs="Times New Roman"/>
          <w:color w:val="000000" w:themeColor="text1"/>
        </w:rPr>
        <w:t xml:space="preserve"> W ustawie z dnia 12 stycznia 1991 r. </w:t>
      </w:r>
      <w:bookmarkStart w:id="1" w:name="_Hlk181106819"/>
      <w:r w:rsidRPr="00FF41FD">
        <w:rPr>
          <w:rFonts w:ascii="Times New Roman" w:hAnsi="Times New Roman" w:cs="Times New Roman"/>
          <w:color w:val="000000" w:themeColor="text1"/>
        </w:rPr>
        <w:t xml:space="preserve">o podatkach i opłatach lokalnych </w:t>
      </w:r>
      <w:bookmarkEnd w:id="1"/>
      <w:r w:rsidRPr="00FF41FD">
        <w:rPr>
          <w:rFonts w:ascii="Times New Roman" w:hAnsi="Times New Roman" w:cs="Times New Roman"/>
          <w:color w:val="000000" w:themeColor="text1"/>
        </w:rPr>
        <w:t>(Dz. U. z 2023 r. poz. 70, 1313 i 2291)</w:t>
      </w:r>
      <w:r w:rsidR="00F546E0" w:rsidRPr="00FF41FD">
        <w:rPr>
          <w:rFonts w:ascii="Times New Roman" w:hAnsi="Times New Roman" w:cs="Times New Roman"/>
          <w:color w:val="000000" w:themeColor="text1"/>
        </w:rPr>
        <w:t xml:space="preserve"> </w:t>
      </w:r>
      <w:r w:rsidR="00C91B55" w:rsidRPr="00FF41FD">
        <w:rPr>
          <w:rFonts w:ascii="Times New Roman" w:hAnsi="Times New Roman" w:cs="Times New Roman"/>
          <w:color w:val="000000" w:themeColor="text1"/>
        </w:rPr>
        <w:t xml:space="preserve">po art. </w:t>
      </w:r>
      <w:r w:rsidR="00F546E0" w:rsidRPr="00FF41FD">
        <w:rPr>
          <w:rFonts w:ascii="Times New Roman" w:hAnsi="Times New Roman" w:cs="Times New Roman"/>
          <w:color w:val="000000" w:themeColor="text1"/>
        </w:rPr>
        <w:t xml:space="preserve">7b </w:t>
      </w:r>
      <w:r w:rsidR="00C91B55" w:rsidRPr="00FF41FD">
        <w:rPr>
          <w:rFonts w:ascii="Times New Roman" w:hAnsi="Times New Roman" w:cs="Times New Roman"/>
          <w:color w:val="000000" w:themeColor="text1"/>
        </w:rPr>
        <w:t>dodaje się art. 7c w brzmieniu:</w:t>
      </w:r>
    </w:p>
    <w:p w14:paraId="346C4A01" w14:textId="1D156D98" w:rsidR="00F546E0" w:rsidRPr="00FF41FD" w:rsidRDefault="00F546E0" w:rsidP="005C272F">
      <w:pPr>
        <w:spacing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w:t>
      </w:r>
      <w:r w:rsidR="00C91B55" w:rsidRPr="00FF41FD">
        <w:rPr>
          <w:rFonts w:ascii="Times New Roman" w:hAnsi="Times New Roman" w:cs="Times New Roman"/>
          <w:color w:val="000000" w:themeColor="text1"/>
        </w:rPr>
        <w:t>Art. 7c. 1</w:t>
      </w:r>
      <w:r w:rsidRPr="00FF41FD">
        <w:rPr>
          <w:rFonts w:ascii="Times New Roman" w:hAnsi="Times New Roman" w:cs="Times New Roman"/>
          <w:color w:val="000000" w:themeColor="text1"/>
        </w:rPr>
        <w:t xml:space="preserve">. </w:t>
      </w:r>
      <w:r w:rsidR="006F2CFD" w:rsidRPr="00FF41FD">
        <w:rPr>
          <w:rFonts w:ascii="Times New Roman" w:hAnsi="Times New Roman" w:cs="Times New Roman"/>
          <w:color w:val="000000" w:themeColor="text1"/>
        </w:rPr>
        <w:t>Przewodniczący r</w:t>
      </w:r>
      <w:r w:rsidRPr="00FF41FD">
        <w:rPr>
          <w:rFonts w:ascii="Times New Roman" w:hAnsi="Times New Roman" w:cs="Times New Roman"/>
          <w:color w:val="000000" w:themeColor="text1"/>
        </w:rPr>
        <w:t>ad</w:t>
      </w:r>
      <w:r w:rsidR="006F2CFD" w:rsidRPr="00FF41FD">
        <w:rPr>
          <w:rFonts w:ascii="Times New Roman" w:hAnsi="Times New Roman" w:cs="Times New Roman"/>
          <w:color w:val="000000" w:themeColor="text1"/>
        </w:rPr>
        <w:t>y</w:t>
      </w:r>
      <w:r w:rsidRPr="00FF41FD">
        <w:rPr>
          <w:rFonts w:ascii="Times New Roman" w:hAnsi="Times New Roman" w:cs="Times New Roman"/>
          <w:color w:val="000000" w:themeColor="text1"/>
        </w:rPr>
        <w:t xml:space="preserve"> gminy przesyła </w:t>
      </w:r>
      <w:bookmarkStart w:id="2" w:name="_Hlk181107490"/>
      <w:r w:rsidR="0010310B" w:rsidRPr="00FF41FD">
        <w:rPr>
          <w:rFonts w:ascii="Times New Roman" w:hAnsi="Times New Roman" w:cs="Times New Roman"/>
          <w:color w:val="000000" w:themeColor="text1"/>
        </w:rPr>
        <w:t xml:space="preserve">ministrowi właściwemu do spraw finansów publicznych </w:t>
      </w:r>
      <w:bookmarkEnd w:id="2"/>
      <w:r w:rsidRPr="00FF41FD">
        <w:rPr>
          <w:rFonts w:ascii="Times New Roman" w:hAnsi="Times New Roman" w:cs="Times New Roman"/>
          <w:color w:val="000000" w:themeColor="text1"/>
        </w:rPr>
        <w:t>informację o wysokości stawek</w:t>
      </w:r>
      <w:r w:rsidR="00801454" w:rsidRPr="00FF41FD">
        <w:rPr>
          <w:rFonts w:ascii="Times New Roman" w:hAnsi="Times New Roman" w:cs="Times New Roman"/>
          <w:color w:val="000000" w:themeColor="text1"/>
        </w:rPr>
        <w:t xml:space="preserve"> podatku od nieruchomości,</w:t>
      </w:r>
      <w:r w:rsidRPr="00FF41FD">
        <w:rPr>
          <w:rFonts w:ascii="Times New Roman" w:hAnsi="Times New Roman" w:cs="Times New Roman"/>
          <w:color w:val="000000" w:themeColor="text1"/>
        </w:rPr>
        <w:t xml:space="preserve"> określonych na dany rok, w terminie do 30 listopada roku, w którym podjęta została uchwała</w:t>
      </w:r>
      <w:r w:rsidR="00801454" w:rsidRPr="00FF41FD">
        <w:rPr>
          <w:rFonts w:ascii="Times New Roman" w:hAnsi="Times New Roman" w:cs="Times New Roman"/>
          <w:color w:val="000000" w:themeColor="text1"/>
        </w:rPr>
        <w:t xml:space="preserve"> określająca wysokość tych stawek.</w:t>
      </w:r>
      <w:r w:rsidRPr="00FF41FD">
        <w:rPr>
          <w:rFonts w:ascii="Times New Roman" w:hAnsi="Times New Roman" w:cs="Times New Roman"/>
          <w:color w:val="000000" w:themeColor="text1"/>
        </w:rPr>
        <w:t xml:space="preserve"> </w:t>
      </w:r>
    </w:p>
    <w:p w14:paraId="395FE87F" w14:textId="1472D8E7" w:rsidR="00F546E0" w:rsidRPr="00FF41FD" w:rsidRDefault="00C91B55" w:rsidP="005C272F">
      <w:pPr>
        <w:spacing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2</w:t>
      </w:r>
      <w:r w:rsidR="00F546E0" w:rsidRPr="00FF41FD">
        <w:rPr>
          <w:rFonts w:ascii="Times New Roman" w:hAnsi="Times New Roman" w:cs="Times New Roman"/>
          <w:color w:val="000000" w:themeColor="text1"/>
        </w:rPr>
        <w:t>. Informacja</w:t>
      </w:r>
      <w:r w:rsidR="00801454" w:rsidRPr="00FF41FD">
        <w:rPr>
          <w:rFonts w:ascii="Times New Roman" w:hAnsi="Times New Roman" w:cs="Times New Roman"/>
          <w:color w:val="000000" w:themeColor="text1"/>
        </w:rPr>
        <w:t xml:space="preserve">, </w:t>
      </w:r>
      <w:r w:rsidR="006B0C78" w:rsidRPr="00FF41FD">
        <w:rPr>
          <w:rFonts w:ascii="Times New Roman" w:hAnsi="Times New Roman" w:cs="Times New Roman"/>
          <w:color w:val="000000" w:themeColor="text1"/>
        </w:rPr>
        <w:t>o</w:t>
      </w:r>
      <w:r w:rsidR="00801454" w:rsidRPr="00FF41FD">
        <w:rPr>
          <w:rFonts w:ascii="Times New Roman" w:hAnsi="Times New Roman" w:cs="Times New Roman"/>
          <w:color w:val="000000" w:themeColor="text1"/>
        </w:rPr>
        <w:t xml:space="preserve"> wysokości stawek, o których mowa w ust. 1</w:t>
      </w:r>
      <w:r w:rsidR="00F546E0" w:rsidRPr="00FF41FD">
        <w:rPr>
          <w:rFonts w:ascii="Times New Roman" w:hAnsi="Times New Roman" w:cs="Times New Roman"/>
          <w:color w:val="000000" w:themeColor="text1"/>
        </w:rPr>
        <w:t xml:space="preserve"> jest </w:t>
      </w:r>
      <w:r w:rsidR="00A90D24" w:rsidRPr="00FF41FD">
        <w:rPr>
          <w:rFonts w:ascii="Times New Roman" w:hAnsi="Times New Roman" w:cs="Times New Roman"/>
          <w:color w:val="000000" w:themeColor="text1"/>
        </w:rPr>
        <w:t xml:space="preserve">sporządzana na formularzu </w:t>
      </w:r>
      <w:r w:rsidR="00F546E0" w:rsidRPr="00FF41FD">
        <w:rPr>
          <w:rFonts w:ascii="Times New Roman" w:hAnsi="Times New Roman" w:cs="Times New Roman"/>
          <w:color w:val="000000" w:themeColor="text1"/>
        </w:rPr>
        <w:t xml:space="preserve">według wzoru określonego przez </w:t>
      </w:r>
      <w:r w:rsidR="0010310B" w:rsidRPr="00FF41FD">
        <w:rPr>
          <w:rFonts w:ascii="Times New Roman" w:hAnsi="Times New Roman" w:cs="Times New Roman"/>
          <w:color w:val="000000" w:themeColor="text1"/>
        </w:rPr>
        <w:t xml:space="preserve">ministra właściwego do spraw finansów publicznych </w:t>
      </w:r>
      <w:r w:rsidR="00F546E0" w:rsidRPr="00FF41FD">
        <w:rPr>
          <w:rFonts w:ascii="Times New Roman" w:hAnsi="Times New Roman" w:cs="Times New Roman"/>
          <w:color w:val="000000" w:themeColor="text1"/>
        </w:rPr>
        <w:t>w drodze obwieszczenia</w:t>
      </w:r>
      <w:r w:rsidR="0010310B" w:rsidRPr="00FF41FD">
        <w:rPr>
          <w:rFonts w:ascii="Times New Roman" w:hAnsi="Times New Roman" w:cs="Times New Roman"/>
          <w:color w:val="000000" w:themeColor="text1"/>
        </w:rPr>
        <w:t>.</w:t>
      </w:r>
      <w:r w:rsidR="00F546E0" w:rsidRPr="00FF41FD">
        <w:rPr>
          <w:rFonts w:ascii="Times New Roman" w:hAnsi="Times New Roman" w:cs="Times New Roman"/>
          <w:color w:val="000000" w:themeColor="text1"/>
        </w:rPr>
        <w:t xml:space="preserve"> </w:t>
      </w:r>
      <w:r w:rsidR="0010310B" w:rsidRPr="00FF41FD">
        <w:rPr>
          <w:rFonts w:ascii="Times New Roman" w:hAnsi="Times New Roman" w:cs="Times New Roman"/>
          <w:color w:val="000000" w:themeColor="text1"/>
        </w:rPr>
        <w:t xml:space="preserve">Obwieszczenie, o którym mowa w zdaniu pierwszym </w:t>
      </w:r>
      <w:r w:rsidR="00F546E0" w:rsidRPr="00FF41FD">
        <w:rPr>
          <w:rFonts w:ascii="Times New Roman" w:hAnsi="Times New Roman" w:cs="Times New Roman"/>
          <w:color w:val="000000" w:themeColor="text1"/>
        </w:rPr>
        <w:t xml:space="preserve">publikowane </w:t>
      </w:r>
      <w:r w:rsidR="0010310B" w:rsidRPr="00FF41FD">
        <w:rPr>
          <w:rFonts w:ascii="Times New Roman" w:hAnsi="Times New Roman" w:cs="Times New Roman"/>
          <w:color w:val="000000" w:themeColor="text1"/>
        </w:rPr>
        <w:t xml:space="preserve">jest </w:t>
      </w:r>
      <w:r w:rsidR="00F546E0" w:rsidRPr="00FF41FD">
        <w:rPr>
          <w:rFonts w:ascii="Times New Roman" w:hAnsi="Times New Roman" w:cs="Times New Roman"/>
          <w:color w:val="000000" w:themeColor="text1"/>
        </w:rPr>
        <w:t>w Biuletynie Informacji Publicznej na stronie podmiotowej obsługującej ministra właściwego do spraw finansów publicznych.</w:t>
      </w:r>
    </w:p>
    <w:p w14:paraId="1BBA4EBD" w14:textId="7D3DA821" w:rsidR="00A90D24" w:rsidRPr="00FF41FD" w:rsidRDefault="00C91B55" w:rsidP="005C272F">
      <w:pPr>
        <w:spacing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3</w:t>
      </w:r>
      <w:r w:rsidR="00F546E0" w:rsidRPr="00FF41FD">
        <w:rPr>
          <w:rFonts w:ascii="Times New Roman" w:hAnsi="Times New Roman" w:cs="Times New Roman"/>
          <w:color w:val="000000" w:themeColor="text1"/>
        </w:rPr>
        <w:t xml:space="preserve">. </w:t>
      </w:r>
      <w:bookmarkStart w:id="3" w:name="_Hlk181108093"/>
      <w:r w:rsidR="00A90D24" w:rsidRPr="00FF41FD">
        <w:rPr>
          <w:rFonts w:ascii="Times New Roman" w:hAnsi="Times New Roman" w:cs="Times New Roman"/>
          <w:color w:val="000000" w:themeColor="text1"/>
        </w:rPr>
        <w:t>Informacja, w wysokości stawek, o których mowa w ust. 1 jest przesyłana za pośrednictwem systemu teleinformatycznego.</w:t>
      </w:r>
    </w:p>
    <w:p w14:paraId="2F672BB3" w14:textId="25F8F4A0" w:rsidR="00F546E0" w:rsidRPr="00FF41FD" w:rsidRDefault="00A90D24" w:rsidP="005C272F">
      <w:pPr>
        <w:spacing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 xml:space="preserve">4. </w:t>
      </w:r>
      <w:r w:rsidR="00F546E0" w:rsidRPr="00FF41FD">
        <w:rPr>
          <w:rFonts w:ascii="Times New Roman" w:hAnsi="Times New Roman" w:cs="Times New Roman"/>
          <w:color w:val="000000" w:themeColor="text1"/>
        </w:rPr>
        <w:t xml:space="preserve">Minister </w:t>
      </w:r>
      <w:r w:rsidR="006F2CFD" w:rsidRPr="00FF41FD">
        <w:rPr>
          <w:rFonts w:ascii="Times New Roman" w:hAnsi="Times New Roman" w:cs="Times New Roman"/>
          <w:color w:val="000000" w:themeColor="text1"/>
        </w:rPr>
        <w:t>właściwy do spraw finansów publicznych</w:t>
      </w:r>
      <w:r w:rsidR="00F546E0" w:rsidRPr="00FF41FD">
        <w:rPr>
          <w:rFonts w:ascii="Times New Roman" w:hAnsi="Times New Roman" w:cs="Times New Roman"/>
          <w:color w:val="000000" w:themeColor="text1"/>
        </w:rPr>
        <w:t xml:space="preserve"> </w:t>
      </w:r>
      <w:bookmarkEnd w:id="3"/>
      <w:r w:rsidR="00F546E0" w:rsidRPr="00FF41FD">
        <w:rPr>
          <w:rFonts w:ascii="Times New Roman" w:hAnsi="Times New Roman" w:cs="Times New Roman"/>
          <w:color w:val="000000" w:themeColor="text1"/>
        </w:rPr>
        <w:t xml:space="preserve">w terminie do 31 grudnia danego roku publikuje informację o wysokości stawek określonych przez </w:t>
      </w:r>
      <w:r w:rsidR="006F2CFD" w:rsidRPr="00FF41FD">
        <w:rPr>
          <w:rFonts w:ascii="Times New Roman" w:hAnsi="Times New Roman" w:cs="Times New Roman"/>
          <w:color w:val="000000" w:themeColor="text1"/>
        </w:rPr>
        <w:t xml:space="preserve">radę </w:t>
      </w:r>
      <w:r w:rsidR="00F546E0" w:rsidRPr="00FF41FD">
        <w:rPr>
          <w:rFonts w:ascii="Times New Roman" w:hAnsi="Times New Roman" w:cs="Times New Roman"/>
          <w:color w:val="000000" w:themeColor="text1"/>
        </w:rPr>
        <w:t xml:space="preserve">gminy na następny rok </w:t>
      </w:r>
      <w:bookmarkStart w:id="4" w:name="_Hlk181184799"/>
      <w:r w:rsidR="00F546E0" w:rsidRPr="00FF41FD">
        <w:rPr>
          <w:rFonts w:ascii="Times New Roman" w:hAnsi="Times New Roman" w:cs="Times New Roman"/>
          <w:color w:val="000000" w:themeColor="text1"/>
        </w:rPr>
        <w:t xml:space="preserve">w Biuletynie Informacji Publicznej na stronie podmiotowej obsługującej ministra właściwego do spraw finansów publicznych oraz udostępnia te informacje </w:t>
      </w:r>
      <w:bookmarkStart w:id="5" w:name="_Hlk181184772"/>
      <w:bookmarkEnd w:id="4"/>
      <w:r w:rsidR="00C91B55" w:rsidRPr="00FF41FD">
        <w:rPr>
          <w:rFonts w:ascii="Times New Roman" w:hAnsi="Times New Roman" w:cs="Times New Roman"/>
          <w:color w:val="000000" w:themeColor="text1"/>
        </w:rPr>
        <w:t>w systemie teleinformatycznym w sposób zapewniający</w:t>
      </w:r>
      <w:r w:rsidR="00F546E0" w:rsidRPr="00FF41FD">
        <w:rPr>
          <w:rFonts w:ascii="Times New Roman" w:hAnsi="Times New Roman" w:cs="Times New Roman"/>
          <w:color w:val="000000" w:themeColor="text1"/>
        </w:rPr>
        <w:t xml:space="preserve"> korzystani</w:t>
      </w:r>
      <w:r w:rsidR="00C91B55" w:rsidRPr="00FF41FD">
        <w:rPr>
          <w:rFonts w:ascii="Times New Roman" w:hAnsi="Times New Roman" w:cs="Times New Roman"/>
          <w:color w:val="000000" w:themeColor="text1"/>
        </w:rPr>
        <w:t>e</w:t>
      </w:r>
      <w:r w:rsidR="00F546E0" w:rsidRPr="00FF41FD">
        <w:rPr>
          <w:rFonts w:ascii="Times New Roman" w:hAnsi="Times New Roman" w:cs="Times New Roman"/>
          <w:color w:val="000000" w:themeColor="text1"/>
        </w:rPr>
        <w:t xml:space="preserve"> </w:t>
      </w:r>
      <w:r w:rsidR="00C91B55" w:rsidRPr="00FF41FD">
        <w:rPr>
          <w:rFonts w:ascii="Times New Roman" w:hAnsi="Times New Roman" w:cs="Times New Roman"/>
          <w:color w:val="000000" w:themeColor="text1"/>
        </w:rPr>
        <w:t xml:space="preserve">z tych informacji </w:t>
      </w:r>
      <w:r w:rsidR="00F546E0" w:rsidRPr="00FF41FD">
        <w:rPr>
          <w:rFonts w:ascii="Times New Roman" w:hAnsi="Times New Roman" w:cs="Times New Roman"/>
          <w:color w:val="000000" w:themeColor="text1"/>
        </w:rPr>
        <w:t>przez podatników</w:t>
      </w:r>
      <w:bookmarkEnd w:id="5"/>
      <w:r w:rsidR="00F546E0" w:rsidRPr="00FF41FD">
        <w:rPr>
          <w:rFonts w:ascii="Times New Roman" w:hAnsi="Times New Roman" w:cs="Times New Roman"/>
          <w:color w:val="000000" w:themeColor="text1"/>
        </w:rPr>
        <w:t>.</w:t>
      </w:r>
      <w:r w:rsidR="006F2CFD" w:rsidRPr="00FF41FD">
        <w:rPr>
          <w:rFonts w:ascii="Times New Roman" w:hAnsi="Times New Roman" w:cs="Times New Roman"/>
          <w:color w:val="000000" w:themeColor="text1"/>
        </w:rPr>
        <w:t xml:space="preserve"> </w:t>
      </w:r>
    </w:p>
    <w:p w14:paraId="53AB97A6" w14:textId="1F4F8ED9" w:rsidR="00F546E0" w:rsidRPr="00FF41FD" w:rsidRDefault="00A90D24" w:rsidP="005C272F">
      <w:pPr>
        <w:spacing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5</w:t>
      </w:r>
      <w:r w:rsidR="00F546E0" w:rsidRPr="00FF41FD">
        <w:rPr>
          <w:rFonts w:ascii="Times New Roman" w:hAnsi="Times New Roman" w:cs="Times New Roman"/>
          <w:color w:val="000000" w:themeColor="text1"/>
        </w:rPr>
        <w:t xml:space="preserve">. Jeśli </w:t>
      </w:r>
      <w:r w:rsidR="000C6F0A" w:rsidRPr="00FF41FD">
        <w:rPr>
          <w:rFonts w:ascii="Times New Roman" w:hAnsi="Times New Roman" w:cs="Times New Roman"/>
          <w:color w:val="000000" w:themeColor="text1"/>
        </w:rPr>
        <w:t>przewodniczący rady</w:t>
      </w:r>
      <w:r w:rsidR="00F546E0" w:rsidRPr="00FF41FD">
        <w:rPr>
          <w:rFonts w:ascii="Times New Roman" w:hAnsi="Times New Roman" w:cs="Times New Roman"/>
          <w:color w:val="000000" w:themeColor="text1"/>
        </w:rPr>
        <w:t xml:space="preserve"> gmin</w:t>
      </w:r>
      <w:r w:rsidR="000C6F0A" w:rsidRPr="00FF41FD">
        <w:rPr>
          <w:rFonts w:ascii="Times New Roman" w:hAnsi="Times New Roman" w:cs="Times New Roman"/>
          <w:color w:val="000000" w:themeColor="text1"/>
        </w:rPr>
        <w:t>y</w:t>
      </w:r>
      <w:r w:rsidR="00F546E0" w:rsidRPr="00FF41FD">
        <w:rPr>
          <w:rFonts w:ascii="Times New Roman" w:hAnsi="Times New Roman" w:cs="Times New Roman"/>
          <w:color w:val="000000" w:themeColor="text1"/>
        </w:rPr>
        <w:t xml:space="preserve"> nie przekaże informacji o wysokości stawek</w:t>
      </w:r>
      <w:r w:rsidR="00C91B55" w:rsidRPr="00FF41FD">
        <w:rPr>
          <w:rFonts w:ascii="Times New Roman" w:hAnsi="Times New Roman" w:cs="Times New Roman"/>
          <w:color w:val="000000" w:themeColor="text1"/>
        </w:rPr>
        <w:t xml:space="preserve"> w</w:t>
      </w:r>
      <w:r w:rsidR="00F546E0" w:rsidRPr="00FF41FD">
        <w:rPr>
          <w:rFonts w:ascii="Times New Roman" w:hAnsi="Times New Roman" w:cs="Times New Roman"/>
          <w:color w:val="000000" w:themeColor="text1"/>
        </w:rPr>
        <w:t xml:space="preserve"> terminie,</w:t>
      </w:r>
      <w:r w:rsidR="00C91B55" w:rsidRPr="00FF41FD">
        <w:rPr>
          <w:rFonts w:ascii="Times New Roman" w:hAnsi="Times New Roman" w:cs="Times New Roman"/>
          <w:color w:val="000000" w:themeColor="text1"/>
        </w:rPr>
        <w:t xml:space="preserve"> o którym mowa w ust. 1</w:t>
      </w:r>
      <w:r w:rsidR="00F546E0" w:rsidRPr="00FF41FD">
        <w:rPr>
          <w:rFonts w:ascii="Times New Roman" w:hAnsi="Times New Roman" w:cs="Times New Roman"/>
          <w:color w:val="000000" w:themeColor="text1"/>
        </w:rPr>
        <w:t xml:space="preserve"> </w:t>
      </w:r>
      <w:r w:rsidR="000C6F0A" w:rsidRPr="00FF41FD">
        <w:rPr>
          <w:rFonts w:ascii="Times New Roman" w:hAnsi="Times New Roman" w:cs="Times New Roman"/>
          <w:color w:val="000000" w:themeColor="text1"/>
        </w:rPr>
        <w:t xml:space="preserve">minister właściwy do spraw finansów publicznych </w:t>
      </w:r>
      <w:r w:rsidR="00F546E0" w:rsidRPr="00FF41FD">
        <w:rPr>
          <w:rFonts w:ascii="Times New Roman" w:hAnsi="Times New Roman" w:cs="Times New Roman"/>
          <w:color w:val="000000" w:themeColor="text1"/>
        </w:rPr>
        <w:t xml:space="preserve">publikuje dla tej gminy wysokość stawek przyjętych w poprzednim roku. W takiej sytuacji podatnik może skorzystać z wysokości stawki podatku publikowanej przez </w:t>
      </w:r>
      <w:r w:rsidR="000C6F0A" w:rsidRPr="00FF41FD">
        <w:rPr>
          <w:rFonts w:ascii="Times New Roman" w:hAnsi="Times New Roman" w:cs="Times New Roman"/>
          <w:color w:val="000000" w:themeColor="text1"/>
        </w:rPr>
        <w:t>ministra właściwego do spraw finansów publicznych</w:t>
      </w:r>
      <w:r w:rsidR="00F546E0" w:rsidRPr="00FF41FD">
        <w:rPr>
          <w:rFonts w:ascii="Times New Roman" w:hAnsi="Times New Roman" w:cs="Times New Roman"/>
          <w:color w:val="000000" w:themeColor="text1"/>
        </w:rPr>
        <w:t>”</w:t>
      </w:r>
      <w:r w:rsidR="00C91B55" w:rsidRPr="00FF41FD">
        <w:rPr>
          <w:rFonts w:ascii="Times New Roman" w:hAnsi="Times New Roman" w:cs="Times New Roman"/>
          <w:color w:val="000000" w:themeColor="text1"/>
        </w:rPr>
        <w:t>.</w:t>
      </w:r>
    </w:p>
    <w:p w14:paraId="78E59225" w14:textId="77777777" w:rsidR="00F546E0" w:rsidRPr="00FF41FD" w:rsidRDefault="00F546E0" w:rsidP="005C272F">
      <w:pPr>
        <w:spacing w:before="0" w:after="160" w:line="360" w:lineRule="auto"/>
        <w:rPr>
          <w:rFonts w:ascii="Times New Roman" w:hAnsi="Times New Roman" w:cs="Times New Roman"/>
          <w:color w:val="000000" w:themeColor="text1"/>
        </w:rPr>
      </w:pPr>
    </w:p>
    <w:p w14:paraId="05CD6C4D" w14:textId="68FDF82F" w:rsidR="00F546E0" w:rsidRPr="00FF41FD" w:rsidRDefault="005C272F" w:rsidP="005C272F">
      <w:pPr>
        <w:spacing w:before="0" w:after="160" w:line="360" w:lineRule="auto"/>
        <w:ind w:firstLine="708"/>
        <w:rPr>
          <w:rFonts w:ascii="Times New Roman" w:hAnsi="Times New Roman" w:cs="Times New Roman"/>
          <w:color w:val="000000" w:themeColor="text1"/>
        </w:rPr>
      </w:pPr>
      <w:bookmarkStart w:id="6" w:name="_Hlk181108753"/>
      <w:r w:rsidRPr="00FF41FD">
        <w:rPr>
          <w:rFonts w:ascii="Times New Roman" w:hAnsi="Times New Roman" w:cs="Times New Roman"/>
          <w:b/>
          <w:bCs/>
          <w:color w:val="000000" w:themeColor="text1"/>
        </w:rPr>
        <w:lastRenderedPageBreak/>
        <w:t>Art. 2.</w:t>
      </w:r>
      <w:r w:rsidRPr="00FF41FD">
        <w:rPr>
          <w:rFonts w:ascii="Times New Roman" w:hAnsi="Times New Roman" w:cs="Times New Roman"/>
          <w:color w:val="000000" w:themeColor="text1"/>
        </w:rPr>
        <w:t xml:space="preserve"> </w:t>
      </w:r>
      <w:bookmarkEnd w:id="6"/>
      <w:r w:rsidR="00F546E0" w:rsidRPr="00FF41FD">
        <w:rPr>
          <w:rFonts w:ascii="Times New Roman" w:hAnsi="Times New Roman" w:cs="Times New Roman"/>
          <w:color w:val="000000" w:themeColor="text1"/>
        </w:rPr>
        <w:t xml:space="preserve">W ustawie z dnia 29 sierpnia 1997 r. – </w:t>
      </w:r>
      <w:bookmarkStart w:id="7" w:name="_Hlk181184853"/>
      <w:r w:rsidR="00F546E0" w:rsidRPr="00FF41FD">
        <w:rPr>
          <w:rFonts w:ascii="Times New Roman" w:hAnsi="Times New Roman" w:cs="Times New Roman"/>
          <w:color w:val="000000" w:themeColor="text1"/>
        </w:rPr>
        <w:t xml:space="preserve">Ordynacja podatkowa </w:t>
      </w:r>
      <w:bookmarkEnd w:id="7"/>
      <w:r w:rsidR="00F546E0" w:rsidRPr="00FF41FD">
        <w:rPr>
          <w:rFonts w:ascii="Times New Roman" w:hAnsi="Times New Roman" w:cs="Times New Roman"/>
          <w:color w:val="000000" w:themeColor="text1"/>
        </w:rPr>
        <w:t>(Dz. U. z 2023 r. poz. 2383) wprowadza się następujące zmiany:</w:t>
      </w:r>
    </w:p>
    <w:p w14:paraId="34C08537" w14:textId="71D2AB6B" w:rsidR="00F546E0" w:rsidRPr="00FF41FD" w:rsidRDefault="00F546E0" w:rsidP="005C272F">
      <w:pPr>
        <w:pStyle w:val="Akapitzlist"/>
        <w:numPr>
          <w:ilvl w:val="0"/>
          <w:numId w:val="1"/>
        </w:numPr>
        <w:spacing w:before="0" w:after="160"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w art. 14i po §</w:t>
      </w:r>
      <w:r w:rsidR="001357DC" w:rsidRPr="00FF41FD">
        <w:rPr>
          <w:rFonts w:ascii="Times New Roman" w:hAnsi="Times New Roman" w:cs="Times New Roman"/>
          <w:color w:val="000000" w:themeColor="text1"/>
        </w:rPr>
        <w:t xml:space="preserve"> </w:t>
      </w:r>
      <w:r w:rsidRPr="00FF41FD">
        <w:rPr>
          <w:rFonts w:ascii="Times New Roman" w:hAnsi="Times New Roman" w:cs="Times New Roman"/>
          <w:color w:val="000000" w:themeColor="text1"/>
        </w:rPr>
        <w:t>5 dodaje się §</w:t>
      </w:r>
      <w:r w:rsidR="001357DC" w:rsidRPr="00FF41FD">
        <w:rPr>
          <w:rFonts w:ascii="Times New Roman" w:hAnsi="Times New Roman" w:cs="Times New Roman"/>
          <w:color w:val="000000" w:themeColor="text1"/>
        </w:rPr>
        <w:t xml:space="preserve"> </w:t>
      </w:r>
      <w:r w:rsidRPr="00FF41FD">
        <w:rPr>
          <w:rFonts w:ascii="Times New Roman" w:hAnsi="Times New Roman" w:cs="Times New Roman"/>
          <w:color w:val="000000" w:themeColor="text1"/>
        </w:rPr>
        <w:t>6 w brzmieniu:</w:t>
      </w:r>
    </w:p>
    <w:p w14:paraId="58C34E25" w14:textId="628CDD3E" w:rsidR="00F546E0" w:rsidRPr="00FF41FD" w:rsidRDefault="001357DC" w:rsidP="005C272F">
      <w:pPr>
        <w:spacing w:before="0" w:after="160"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w:t>
      </w:r>
      <w:r w:rsidR="00F546E0" w:rsidRPr="00FF41FD">
        <w:rPr>
          <w:rFonts w:ascii="Times New Roman" w:hAnsi="Times New Roman" w:cs="Times New Roman"/>
          <w:color w:val="000000" w:themeColor="text1"/>
        </w:rPr>
        <w:t>§</w:t>
      </w:r>
      <w:r w:rsidRPr="00FF41FD">
        <w:rPr>
          <w:rFonts w:ascii="Times New Roman" w:hAnsi="Times New Roman" w:cs="Times New Roman"/>
          <w:color w:val="000000" w:themeColor="text1"/>
        </w:rPr>
        <w:t xml:space="preserve"> </w:t>
      </w:r>
      <w:r w:rsidR="00F546E0" w:rsidRPr="00FF41FD">
        <w:rPr>
          <w:rFonts w:ascii="Times New Roman" w:hAnsi="Times New Roman" w:cs="Times New Roman"/>
          <w:color w:val="000000" w:themeColor="text1"/>
        </w:rPr>
        <w:t>6. W Biuletynie Informacji Publicznej na stronie podmiotowej urzędu obsługującego ministra właściwego do spraw finansów publicznych zamieszcza się interpretacje indywidualne dotyczące podatku od nieruchomości, wydawane przez wójta, burmistrza (prezydenta miasta</w:t>
      </w:r>
      <w:r w:rsidR="00FF41FD" w:rsidRPr="00FF41FD">
        <w:rPr>
          <w:rFonts w:ascii="Times New Roman" w:hAnsi="Times New Roman" w:cs="Times New Roman"/>
          <w:color w:val="000000" w:themeColor="text1"/>
        </w:rPr>
        <w:t>),</w:t>
      </w:r>
      <w:r w:rsidR="00FF41FD" w:rsidRPr="00FF41FD">
        <w:rPr>
          <w:color w:val="000000" w:themeColor="text1"/>
        </w:rPr>
        <w:t xml:space="preserve"> </w:t>
      </w:r>
      <w:r w:rsidR="00FF41FD" w:rsidRPr="00FF41FD">
        <w:rPr>
          <w:rFonts w:ascii="Times New Roman" w:hAnsi="Times New Roman" w:cs="Times New Roman"/>
          <w:color w:val="000000" w:themeColor="text1"/>
        </w:rPr>
        <w:t>a</w:t>
      </w:r>
      <w:r w:rsidR="00F546E0" w:rsidRPr="00FF41FD">
        <w:rPr>
          <w:rFonts w:ascii="Times New Roman" w:hAnsi="Times New Roman" w:cs="Times New Roman"/>
          <w:color w:val="000000" w:themeColor="text1"/>
        </w:rPr>
        <w:t xml:space="preserve"> także o informacj</w:t>
      </w:r>
      <w:r w:rsidRPr="00FF41FD">
        <w:rPr>
          <w:rFonts w:ascii="Times New Roman" w:hAnsi="Times New Roman" w:cs="Times New Roman"/>
          <w:color w:val="000000" w:themeColor="text1"/>
        </w:rPr>
        <w:t>ę</w:t>
      </w:r>
      <w:r w:rsidR="00F546E0" w:rsidRPr="00FF41FD">
        <w:rPr>
          <w:rFonts w:ascii="Times New Roman" w:hAnsi="Times New Roman" w:cs="Times New Roman"/>
          <w:color w:val="000000" w:themeColor="text1"/>
        </w:rPr>
        <w:t xml:space="preserve"> o zmianie, uchyleniu oraz stwierdzeniu wygaśnięcia takiej interpretacji indywidualnej.</w:t>
      </w:r>
      <w:r w:rsidRPr="00FF41FD">
        <w:rPr>
          <w:rFonts w:ascii="Times New Roman" w:hAnsi="Times New Roman" w:cs="Times New Roman"/>
          <w:color w:val="000000" w:themeColor="text1"/>
        </w:rPr>
        <w:t>”;</w:t>
      </w:r>
      <w:r w:rsidR="00F546E0" w:rsidRPr="00FF41FD">
        <w:rPr>
          <w:rFonts w:ascii="Times New Roman" w:hAnsi="Times New Roman" w:cs="Times New Roman"/>
          <w:color w:val="000000" w:themeColor="text1"/>
        </w:rPr>
        <w:t xml:space="preserve"> </w:t>
      </w:r>
    </w:p>
    <w:p w14:paraId="5799C000" w14:textId="438A3813" w:rsidR="00F546E0" w:rsidRPr="00FF41FD" w:rsidRDefault="00A90D24" w:rsidP="005C272F">
      <w:pPr>
        <w:pStyle w:val="Akapitzlist"/>
        <w:numPr>
          <w:ilvl w:val="0"/>
          <w:numId w:val="1"/>
        </w:numPr>
        <w:spacing w:before="0" w:after="160"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w</w:t>
      </w:r>
      <w:r w:rsidR="00F546E0" w:rsidRPr="00FF41FD">
        <w:rPr>
          <w:rFonts w:ascii="Times New Roman" w:hAnsi="Times New Roman" w:cs="Times New Roman"/>
          <w:color w:val="000000" w:themeColor="text1"/>
        </w:rPr>
        <w:t xml:space="preserve"> art. 14j po §</w:t>
      </w:r>
      <w:r w:rsidR="001357DC" w:rsidRPr="00FF41FD">
        <w:rPr>
          <w:rFonts w:ascii="Times New Roman" w:hAnsi="Times New Roman" w:cs="Times New Roman"/>
          <w:color w:val="000000" w:themeColor="text1"/>
        </w:rPr>
        <w:t xml:space="preserve"> </w:t>
      </w:r>
      <w:r w:rsidR="00F546E0" w:rsidRPr="00FF41FD">
        <w:rPr>
          <w:rFonts w:ascii="Times New Roman" w:hAnsi="Times New Roman" w:cs="Times New Roman"/>
          <w:color w:val="000000" w:themeColor="text1"/>
        </w:rPr>
        <w:t>2a dodaje się §</w:t>
      </w:r>
      <w:r w:rsidR="001357DC" w:rsidRPr="00FF41FD">
        <w:rPr>
          <w:rFonts w:ascii="Times New Roman" w:hAnsi="Times New Roman" w:cs="Times New Roman"/>
          <w:color w:val="000000" w:themeColor="text1"/>
        </w:rPr>
        <w:t xml:space="preserve"> </w:t>
      </w:r>
      <w:r w:rsidR="00F546E0" w:rsidRPr="00FF41FD">
        <w:rPr>
          <w:rFonts w:ascii="Times New Roman" w:hAnsi="Times New Roman" w:cs="Times New Roman"/>
          <w:color w:val="000000" w:themeColor="text1"/>
        </w:rPr>
        <w:t>2b w brzmieniu:</w:t>
      </w:r>
    </w:p>
    <w:p w14:paraId="4067A2AE" w14:textId="1CC38526" w:rsidR="00F546E0" w:rsidRPr="00FF41FD" w:rsidRDefault="001357DC" w:rsidP="005C272F">
      <w:pPr>
        <w:spacing w:before="0" w:after="160" w:line="360" w:lineRule="auto"/>
        <w:rPr>
          <w:rFonts w:ascii="Times New Roman" w:hAnsi="Times New Roman" w:cs="Times New Roman"/>
          <w:color w:val="000000" w:themeColor="text1"/>
        </w:rPr>
      </w:pPr>
      <w:r w:rsidRPr="00FF41FD">
        <w:rPr>
          <w:rFonts w:ascii="Times New Roman" w:hAnsi="Times New Roman" w:cs="Times New Roman"/>
          <w:color w:val="000000" w:themeColor="text1"/>
        </w:rPr>
        <w:t>„</w:t>
      </w:r>
      <w:r w:rsidR="00F546E0" w:rsidRPr="00FF41FD">
        <w:rPr>
          <w:rFonts w:ascii="Times New Roman" w:hAnsi="Times New Roman" w:cs="Times New Roman"/>
          <w:color w:val="000000" w:themeColor="text1"/>
        </w:rPr>
        <w:t>§</w:t>
      </w:r>
      <w:r w:rsidRPr="00FF41FD">
        <w:rPr>
          <w:rFonts w:ascii="Times New Roman" w:hAnsi="Times New Roman" w:cs="Times New Roman"/>
          <w:color w:val="000000" w:themeColor="text1"/>
        </w:rPr>
        <w:t xml:space="preserve"> </w:t>
      </w:r>
      <w:r w:rsidR="00F546E0" w:rsidRPr="00FF41FD">
        <w:rPr>
          <w:rFonts w:ascii="Times New Roman" w:hAnsi="Times New Roman" w:cs="Times New Roman"/>
          <w:color w:val="000000" w:themeColor="text1"/>
        </w:rPr>
        <w:t xml:space="preserve">2b. Wójt, burmistrz (prezydent miasta), </w:t>
      </w:r>
      <w:bookmarkStart w:id="8" w:name="_Hlk181189544"/>
      <w:r w:rsidR="00F546E0" w:rsidRPr="00FF41FD">
        <w:rPr>
          <w:rFonts w:ascii="Times New Roman" w:hAnsi="Times New Roman" w:cs="Times New Roman"/>
          <w:color w:val="000000" w:themeColor="text1"/>
        </w:rPr>
        <w:t>przesyła bez zbędnej zwłoki wydaną interpretację indywidualną dotyczącą podatku od nieruchomości do Dyrektora Krajowej Informacji Skarbowej oraz informację o zmianie, uchyleniu oraz stwierdzeniu wygaśnięcia takiej interpretacji indywidualnej</w:t>
      </w:r>
      <w:bookmarkEnd w:id="8"/>
      <w:r w:rsidR="00F546E0" w:rsidRPr="00FF41FD">
        <w:rPr>
          <w:rFonts w:ascii="Times New Roman" w:hAnsi="Times New Roman" w:cs="Times New Roman"/>
          <w:color w:val="000000" w:themeColor="text1"/>
        </w:rPr>
        <w:t>.</w:t>
      </w:r>
      <w:r w:rsidRPr="00FF41FD">
        <w:rPr>
          <w:rFonts w:ascii="Times New Roman" w:hAnsi="Times New Roman" w:cs="Times New Roman"/>
          <w:color w:val="000000" w:themeColor="text1"/>
        </w:rPr>
        <w:t>”.</w:t>
      </w:r>
    </w:p>
    <w:p w14:paraId="62D8CF84" w14:textId="425D8F60" w:rsidR="00F546E0" w:rsidRPr="00FF41FD" w:rsidRDefault="001357DC" w:rsidP="001357DC">
      <w:pPr>
        <w:spacing w:line="360" w:lineRule="auto"/>
        <w:ind w:firstLine="708"/>
        <w:rPr>
          <w:rFonts w:ascii="Times New Roman" w:hAnsi="Times New Roman" w:cs="Times New Roman"/>
          <w:color w:val="000000" w:themeColor="text1"/>
        </w:rPr>
      </w:pPr>
      <w:r w:rsidRPr="00FF41FD">
        <w:rPr>
          <w:rFonts w:ascii="Times New Roman" w:hAnsi="Times New Roman" w:cs="Times New Roman"/>
          <w:b/>
          <w:bCs/>
          <w:color w:val="000000" w:themeColor="text1"/>
        </w:rPr>
        <w:t>Art. 3.</w:t>
      </w:r>
      <w:r w:rsidRPr="00FF41FD">
        <w:rPr>
          <w:rFonts w:ascii="Times New Roman" w:hAnsi="Times New Roman" w:cs="Times New Roman"/>
          <w:color w:val="000000" w:themeColor="text1"/>
        </w:rPr>
        <w:t xml:space="preserve"> Ustawa wchodzi w życie po upływie 14 dni od dnia ogłoszenia</w:t>
      </w:r>
      <w:r w:rsidR="00C91B55" w:rsidRPr="00FF41FD">
        <w:rPr>
          <w:rFonts w:ascii="Times New Roman" w:hAnsi="Times New Roman" w:cs="Times New Roman"/>
          <w:color w:val="000000" w:themeColor="text1"/>
        </w:rPr>
        <w:t>.</w:t>
      </w:r>
    </w:p>
    <w:p w14:paraId="5AE9B496" w14:textId="77777777" w:rsidR="00C91B55" w:rsidRPr="00FF41FD" w:rsidRDefault="00C91B55" w:rsidP="001357DC">
      <w:pPr>
        <w:spacing w:line="360" w:lineRule="auto"/>
        <w:ind w:firstLine="708"/>
        <w:rPr>
          <w:rFonts w:ascii="Times New Roman" w:hAnsi="Times New Roman" w:cs="Times New Roman"/>
          <w:color w:val="000000" w:themeColor="text1"/>
        </w:rPr>
      </w:pPr>
    </w:p>
    <w:p w14:paraId="7F8524D8"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7B239FB7"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1347D4C6"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1A2582B9"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325C15F1"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6F6BBC5F"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45E2227A"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414942C5"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5855ADE9"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4460EF42"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6430D1EA"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3F596A52" w14:textId="77777777" w:rsidR="006B0C78" w:rsidRPr="00FF41FD" w:rsidRDefault="006B0C78" w:rsidP="001357DC">
      <w:pPr>
        <w:spacing w:line="360" w:lineRule="auto"/>
        <w:ind w:firstLine="708"/>
        <w:rPr>
          <w:rFonts w:ascii="Times New Roman" w:hAnsi="Times New Roman" w:cs="Times New Roman"/>
          <w:color w:val="000000" w:themeColor="text1"/>
        </w:rPr>
      </w:pPr>
    </w:p>
    <w:p w14:paraId="27AAF9D0" w14:textId="77777777" w:rsidR="005C272F" w:rsidRPr="00FF41FD" w:rsidRDefault="005C272F" w:rsidP="005C272F">
      <w:pPr>
        <w:keepNext/>
        <w:suppressAutoHyphens/>
        <w:spacing w:before="0" w:line="360" w:lineRule="auto"/>
        <w:jc w:val="center"/>
        <w:rPr>
          <w:rFonts w:ascii="Times New Roman" w:eastAsia="Times New Roman" w:hAnsi="Times New Roman" w:cs="Times New Roman"/>
          <w:b/>
          <w:bCs/>
          <w:caps/>
          <w:color w:val="000000" w:themeColor="text1"/>
          <w:spacing w:val="54"/>
          <w:kern w:val="24"/>
          <w:lang w:eastAsia="pl-PL"/>
          <w14:ligatures w14:val="none"/>
        </w:rPr>
      </w:pPr>
      <w:r w:rsidRPr="00FF41FD">
        <w:rPr>
          <w:rFonts w:ascii="Times New Roman" w:eastAsia="Times New Roman" w:hAnsi="Times New Roman" w:cs="Times New Roman"/>
          <w:b/>
          <w:bCs/>
          <w:caps/>
          <w:color w:val="000000" w:themeColor="text1"/>
          <w:spacing w:val="54"/>
          <w:kern w:val="24"/>
          <w:lang w:eastAsia="pl-PL"/>
          <w14:ligatures w14:val="none"/>
        </w:rPr>
        <w:lastRenderedPageBreak/>
        <w:t>UZASADNIENIE</w:t>
      </w:r>
    </w:p>
    <w:p w14:paraId="01B5E848" w14:textId="35122EAA" w:rsidR="006B0C78" w:rsidRPr="00FF41FD" w:rsidRDefault="006B0C78" w:rsidP="006B0C78">
      <w:pPr>
        <w:keepNext/>
        <w:suppressAutoHyphens/>
        <w:spacing w:before="0" w:line="360" w:lineRule="auto"/>
        <w:rPr>
          <w:rFonts w:ascii="Times New Roman" w:eastAsia="Times New Roman" w:hAnsi="Times New Roman" w:cs="Times New Roman"/>
          <w:b/>
          <w:bCs/>
          <w:caps/>
          <w:color w:val="000000" w:themeColor="text1"/>
          <w:spacing w:val="54"/>
          <w:kern w:val="24"/>
          <w:lang w:eastAsia="pl-PL"/>
          <w14:ligatures w14:val="none"/>
        </w:rPr>
      </w:pPr>
    </w:p>
    <w:p w14:paraId="71A78E4F" w14:textId="77777777" w:rsidR="00930737" w:rsidRPr="00FF41FD" w:rsidRDefault="006B0C78" w:rsidP="006B0C78">
      <w:pPr>
        <w:spacing w:line="360" w:lineRule="auto"/>
        <w:ind w:firstLine="708"/>
        <w:rPr>
          <w:rFonts w:ascii="Times New Roman" w:hAnsi="Times New Roman" w:cs="Times New Roman"/>
          <w:color w:val="000000" w:themeColor="text1"/>
        </w:rPr>
      </w:pPr>
      <w:bookmarkStart w:id="9" w:name="_Hlk181184833"/>
      <w:r w:rsidRPr="00FF41FD">
        <w:rPr>
          <w:rFonts w:ascii="Times New Roman" w:hAnsi="Times New Roman" w:cs="Times New Roman"/>
          <w:b/>
          <w:bCs/>
          <w:color w:val="000000" w:themeColor="text1"/>
        </w:rPr>
        <w:t>Z</w:t>
      </w:r>
      <w:r w:rsidR="00930737" w:rsidRPr="00FF41FD">
        <w:rPr>
          <w:rFonts w:ascii="Times New Roman" w:hAnsi="Times New Roman" w:cs="Times New Roman"/>
          <w:b/>
          <w:bCs/>
          <w:color w:val="000000" w:themeColor="text1"/>
        </w:rPr>
        <w:t>miany w ustawie o podatkach i opłatach lokalnych</w:t>
      </w:r>
      <w:r w:rsidR="00930737" w:rsidRPr="00FF41FD">
        <w:rPr>
          <w:rFonts w:ascii="Times New Roman" w:hAnsi="Times New Roman" w:cs="Times New Roman"/>
          <w:color w:val="000000" w:themeColor="text1"/>
        </w:rPr>
        <w:t xml:space="preserve"> </w:t>
      </w:r>
    </w:p>
    <w:bookmarkEnd w:id="9"/>
    <w:p w14:paraId="6D2D0404" w14:textId="1A1E8237" w:rsidR="006B0C78" w:rsidRPr="00FF41FD" w:rsidRDefault="00930737" w:rsidP="006B0C78">
      <w:pPr>
        <w:spacing w:line="360" w:lineRule="auto"/>
        <w:ind w:firstLine="708"/>
        <w:rPr>
          <w:rFonts w:ascii="Times New Roman" w:hAnsi="Times New Roman" w:cs="Times New Roman"/>
          <w:color w:val="000000" w:themeColor="text1"/>
        </w:rPr>
      </w:pPr>
      <w:r w:rsidRPr="00FF41FD">
        <w:rPr>
          <w:rFonts w:ascii="Times New Roman" w:hAnsi="Times New Roman" w:cs="Times New Roman"/>
          <w:color w:val="000000" w:themeColor="text1"/>
        </w:rPr>
        <w:t>Z</w:t>
      </w:r>
      <w:r w:rsidR="006B0C78" w:rsidRPr="00FF41FD">
        <w:rPr>
          <w:rFonts w:ascii="Times New Roman" w:hAnsi="Times New Roman" w:cs="Times New Roman"/>
          <w:color w:val="000000" w:themeColor="text1"/>
        </w:rPr>
        <w:t>godnie z przepisami ustawy o podatkach i opłatach lokalnych, wysokość stawek podatku od nieruchomości jest uchwalana przez poszczególne gminy. Ustawa wskazuje tylko maksymalne stawki.  Zgodnie z art. 7b ust. 1 ustawy, organy podatkowe właściwe w sprawach podatku od nieruchomości sporządzają co roku sprawozdanie podatkowe w zakresie podatku od nieruchomości. Takie sprawozdanie zawiera informacje o stawka</w:t>
      </w:r>
      <w:r w:rsidR="00EB6E28" w:rsidRPr="00FF41FD">
        <w:rPr>
          <w:rFonts w:ascii="Times New Roman" w:hAnsi="Times New Roman" w:cs="Times New Roman"/>
          <w:color w:val="000000" w:themeColor="text1"/>
        </w:rPr>
        <w:t>ch</w:t>
      </w:r>
      <w:r w:rsidR="006B0C78" w:rsidRPr="00FF41FD">
        <w:rPr>
          <w:rFonts w:ascii="Times New Roman" w:hAnsi="Times New Roman" w:cs="Times New Roman"/>
          <w:color w:val="000000" w:themeColor="text1"/>
        </w:rPr>
        <w:t xml:space="preserve"> </w:t>
      </w:r>
      <w:r w:rsidRPr="00FF41FD">
        <w:rPr>
          <w:rFonts w:ascii="Times New Roman" w:hAnsi="Times New Roman" w:cs="Times New Roman"/>
          <w:color w:val="000000" w:themeColor="text1"/>
        </w:rPr>
        <w:t xml:space="preserve">podatku </w:t>
      </w:r>
      <w:r w:rsidR="006B0C78" w:rsidRPr="00FF41FD">
        <w:rPr>
          <w:rFonts w:ascii="Times New Roman" w:hAnsi="Times New Roman" w:cs="Times New Roman"/>
          <w:color w:val="000000" w:themeColor="text1"/>
        </w:rPr>
        <w:t>o</w:t>
      </w:r>
      <w:r w:rsidRPr="00FF41FD">
        <w:rPr>
          <w:rFonts w:ascii="Times New Roman" w:hAnsi="Times New Roman" w:cs="Times New Roman"/>
          <w:color w:val="000000" w:themeColor="text1"/>
        </w:rPr>
        <w:t>d nieruchomości</w:t>
      </w:r>
      <w:r w:rsidR="00EB6E28" w:rsidRPr="00FF41FD">
        <w:rPr>
          <w:rFonts w:ascii="Times New Roman" w:hAnsi="Times New Roman" w:cs="Times New Roman"/>
          <w:color w:val="000000" w:themeColor="text1"/>
        </w:rPr>
        <w:t xml:space="preserve"> (dalej podatek od nieruchomości we właściwych przypadkach)</w:t>
      </w:r>
      <w:r w:rsidR="006B0C78" w:rsidRPr="00FF41FD">
        <w:rPr>
          <w:rFonts w:ascii="Times New Roman" w:hAnsi="Times New Roman" w:cs="Times New Roman"/>
          <w:color w:val="000000" w:themeColor="text1"/>
        </w:rPr>
        <w:t xml:space="preserve"> i jest przekazywane do Ministra Finansów w terminie do końca I kwartału danego roku podatkowego. Termin zapłaty pierwszej raty podatku przypada w lutym danego roku podatkowego. W tym terminie podatnicy muszą już znać stawki podatków uchwalone przez gminy na ten nowy rok, ponieważ muszą wyliczyć zobowiązanie podatkowe i wysokość pierwszej raty za styczeń tego roku. Sprawozdanie przekazywane do końca I kwartału danego roku podatkowego jest więc dla podatników bezwartościowe. Ponadto, informacje ze sprawozdań przekazywanych przez gminy są publikowane przez Ministra Finansów w formie załączonego na stronie pliku typu excel. </w:t>
      </w:r>
      <w:r w:rsidRPr="00FF41FD">
        <w:rPr>
          <w:rFonts w:ascii="Times New Roman" w:hAnsi="Times New Roman" w:cs="Times New Roman"/>
          <w:color w:val="000000" w:themeColor="text1"/>
        </w:rPr>
        <w:t xml:space="preserve"> </w:t>
      </w:r>
    </w:p>
    <w:p w14:paraId="60E57CB6" w14:textId="436D75B6" w:rsidR="006B0C78" w:rsidRPr="00FF41FD" w:rsidRDefault="006B0C78" w:rsidP="00930737">
      <w:pPr>
        <w:spacing w:line="360" w:lineRule="auto"/>
        <w:ind w:firstLine="708"/>
        <w:rPr>
          <w:rFonts w:ascii="Times New Roman" w:hAnsi="Times New Roman" w:cs="Times New Roman"/>
          <w:color w:val="000000" w:themeColor="text1"/>
        </w:rPr>
      </w:pPr>
      <w:r w:rsidRPr="00FF41FD">
        <w:rPr>
          <w:rFonts w:ascii="Times New Roman" w:hAnsi="Times New Roman" w:cs="Times New Roman"/>
          <w:color w:val="000000" w:themeColor="text1"/>
        </w:rPr>
        <w:t xml:space="preserve">Potrzebne jest </w:t>
      </w:r>
      <w:r w:rsidR="00EB6E28" w:rsidRPr="00FF41FD">
        <w:rPr>
          <w:rFonts w:ascii="Times New Roman" w:hAnsi="Times New Roman" w:cs="Times New Roman"/>
          <w:color w:val="000000" w:themeColor="text1"/>
        </w:rPr>
        <w:t>rozwiązanie</w:t>
      </w:r>
      <w:r w:rsidRPr="00FF41FD">
        <w:rPr>
          <w:rFonts w:ascii="Times New Roman" w:hAnsi="Times New Roman" w:cs="Times New Roman"/>
          <w:color w:val="000000" w:themeColor="text1"/>
        </w:rPr>
        <w:t xml:space="preserve">, </w:t>
      </w:r>
      <w:r w:rsidR="00930737" w:rsidRPr="00FF41FD">
        <w:rPr>
          <w:rFonts w:ascii="Times New Roman" w:hAnsi="Times New Roman" w:cs="Times New Roman"/>
          <w:color w:val="000000" w:themeColor="text1"/>
        </w:rPr>
        <w:t xml:space="preserve">polegające na </w:t>
      </w:r>
      <w:r w:rsidRPr="00FF41FD">
        <w:rPr>
          <w:rFonts w:ascii="Times New Roman" w:hAnsi="Times New Roman" w:cs="Times New Roman"/>
          <w:color w:val="000000" w:themeColor="text1"/>
        </w:rPr>
        <w:t>udostępni</w:t>
      </w:r>
      <w:r w:rsidR="00930737" w:rsidRPr="00FF41FD">
        <w:rPr>
          <w:rFonts w:ascii="Times New Roman" w:hAnsi="Times New Roman" w:cs="Times New Roman"/>
          <w:color w:val="000000" w:themeColor="text1"/>
        </w:rPr>
        <w:t>aniu</w:t>
      </w:r>
      <w:r w:rsidRPr="00FF41FD">
        <w:rPr>
          <w:rFonts w:ascii="Times New Roman" w:hAnsi="Times New Roman" w:cs="Times New Roman"/>
          <w:color w:val="000000" w:themeColor="text1"/>
        </w:rPr>
        <w:t xml:space="preserve"> przez Ministra Finansów, </w:t>
      </w:r>
      <w:r w:rsidR="00930737" w:rsidRPr="00FF41FD">
        <w:rPr>
          <w:rFonts w:ascii="Times New Roman" w:hAnsi="Times New Roman" w:cs="Times New Roman"/>
          <w:color w:val="000000" w:themeColor="text1"/>
        </w:rPr>
        <w:t xml:space="preserve">informacje o nowych stawkach podatku od nieruchomości, </w:t>
      </w:r>
      <w:r w:rsidRPr="00FF41FD">
        <w:rPr>
          <w:rFonts w:ascii="Times New Roman" w:hAnsi="Times New Roman" w:cs="Times New Roman"/>
          <w:color w:val="000000" w:themeColor="text1"/>
        </w:rPr>
        <w:t xml:space="preserve">dzięki któremu podatnicy będą mogli pozyskać </w:t>
      </w:r>
      <w:r w:rsidR="00930737" w:rsidRPr="00FF41FD">
        <w:rPr>
          <w:rFonts w:ascii="Times New Roman" w:hAnsi="Times New Roman" w:cs="Times New Roman"/>
          <w:color w:val="000000" w:themeColor="text1"/>
        </w:rPr>
        <w:t xml:space="preserve">te informacje </w:t>
      </w:r>
      <w:r w:rsidRPr="00FF41FD">
        <w:rPr>
          <w:rFonts w:ascii="Times New Roman" w:hAnsi="Times New Roman" w:cs="Times New Roman"/>
          <w:color w:val="000000" w:themeColor="text1"/>
        </w:rPr>
        <w:t xml:space="preserve">w ciągu kilku chwil, bez konieczności weryfikacji stawek osobno z każdą gminą. Należy </w:t>
      </w:r>
      <w:r w:rsidR="00EB6E28" w:rsidRPr="00FF41FD">
        <w:rPr>
          <w:rFonts w:ascii="Times New Roman" w:hAnsi="Times New Roman" w:cs="Times New Roman"/>
          <w:color w:val="000000" w:themeColor="text1"/>
        </w:rPr>
        <w:t xml:space="preserve">przy tym </w:t>
      </w:r>
      <w:r w:rsidRPr="00FF41FD">
        <w:rPr>
          <w:rFonts w:ascii="Times New Roman" w:hAnsi="Times New Roman" w:cs="Times New Roman"/>
          <w:color w:val="000000" w:themeColor="text1"/>
        </w:rPr>
        <w:t xml:space="preserve">podkreślić, że są w Polsce podatnicy, którzy mają nieruchomości rozsiane </w:t>
      </w:r>
      <w:r w:rsidR="00930737" w:rsidRPr="00FF41FD">
        <w:rPr>
          <w:rFonts w:ascii="Times New Roman" w:hAnsi="Times New Roman" w:cs="Times New Roman"/>
          <w:color w:val="000000" w:themeColor="text1"/>
        </w:rPr>
        <w:t>w wielu gminach</w:t>
      </w:r>
      <w:r w:rsidRPr="00FF41FD">
        <w:rPr>
          <w:rFonts w:ascii="Times New Roman" w:hAnsi="Times New Roman" w:cs="Times New Roman"/>
          <w:color w:val="000000" w:themeColor="text1"/>
        </w:rPr>
        <w:t xml:space="preserve">. Proces ustalenia przez takich podatników stawek podatku dla każdej z gmin zajmuje kilka tygodni żmudnej, ręcznej pracy, powtarzanej co roku. Proces ustalania tych stawek nie może być zautomatyzowany, z uwagi na to, że gminy publikują uchwały na dany rok w różny sposób: jako skan samej uchwały, bezpośrednio na stronie, w PDF, itp. </w:t>
      </w:r>
      <w:r w:rsidR="00930737" w:rsidRPr="00FF41FD">
        <w:rPr>
          <w:rFonts w:ascii="Times New Roman" w:hAnsi="Times New Roman" w:cs="Times New Roman"/>
          <w:color w:val="000000" w:themeColor="text1"/>
        </w:rPr>
        <w:t xml:space="preserve"> </w:t>
      </w:r>
    </w:p>
    <w:p w14:paraId="5EEE2AC1" w14:textId="33766CAE" w:rsidR="006B0C78" w:rsidRPr="00FF41FD" w:rsidRDefault="006B0C78" w:rsidP="00EB6E28">
      <w:pPr>
        <w:spacing w:line="360" w:lineRule="auto"/>
        <w:ind w:firstLine="708"/>
        <w:rPr>
          <w:rFonts w:ascii="Times New Roman" w:hAnsi="Times New Roman" w:cs="Times New Roman"/>
          <w:color w:val="000000" w:themeColor="text1"/>
        </w:rPr>
      </w:pPr>
      <w:r w:rsidRPr="00FF41FD">
        <w:rPr>
          <w:rFonts w:ascii="Times New Roman" w:hAnsi="Times New Roman" w:cs="Times New Roman"/>
          <w:color w:val="000000" w:themeColor="text1"/>
        </w:rPr>
        <w:t xml:space="preserve">Proponowane rozwiązanie to nałożenie na </w:t>
      </w:r>
      <w:r w:rsidR="00DF3737" w:rsidRPr="00FF41FD">
        <w:rPr>
          <w:rFonts w:ascii="Times New Roman" w:hAnsi="Times New Roman" w:cs="Times New Roman"/>
          <w:color w:val="000000" w:themeColor="text1"/>
        </w:rPr>
        <w:t xml:space="preserve">przewodniczącego rady </w:t>
      </w:r>
      <w:r w:rsidRPr="00FF41FD">
        <w:rPr>
          <w:rFonts w:ascii="Times New Roman" w:hAnsi="Times New Roman" w:cs="Times New Roman"/>
          <w:color w:val="000000" w:themeColor="text1"/>
        </w:rPr>
        <w:t xml:space="preserve">gminy obowiązku przesyłania do Ministra Finansów wysokości stawek podatku od nieruchomości uchwalanych na każdy rok do 30 listopada roku </w:t>
      </w:r>
      <w:r w:rsidR="001E26F4">
        <w:rPr>
          <w:rFonts w:ascii="Times New Roman" w:hAnsi="Times New Roman" w:cs="Times New Roman"/>
          <w:color w:val="000000" w:themeColor="text1"/>
        </w:rPr>
        <w:t>poprzedzającego</w:t>
      </w:r>
      <w:r w:rsidR="001E26F4" w:rsidRPr="00FF41FD">
        <w:rPr>
          <w:rFonts w:ascii="Times New Roman" w:hAnsi="Times New Roman" w:cs="Times New Roman"/>
          <w:color w:val="000000" w:themeColor="text1"/>
        </w:rPr>
        <w:t xml:space="preserve"> </w:t>
      </w:r>
      <w:r w:rsidRPr="00FF41FD">
        <w:rPr>
          <w:rFonts w:ascii="Times New Roman" w:hAnsi="Times New Roman" w:cs="Times New Roman"/>
          <w:color w:val="000000" w:themeColor="text1"/>
        </w:rPr>
        <w:t xml:space="preserve"> rok, na który uchwalone zostały nowe stawki. Następnie Minister Finansów publikowałby te stawki do końca roku </w:t>
      </w:r>
      <w:r w:rsidR="00DF3737" w:rsidRPr="00FF41FD">
        <w:rPr>
          <w:rFonts w:ascii="Times New Roman" w:hAnsi="Times New Roman" w:cs="Times New Roman"/>
          <w:color w:val="000000" w:themeColor="text1"/>
        </w:rPr>
        <w:t xml:space="preserve">w Biuletynie Informacji Publicznej na stronie podmiotowej obsługującej ministra właściwego do spraw </w:t>
      </w:r>
      <w:r w:rsidR="00DF3737" w:rsidRPr="00FF41FD">
        <w:rPr>
          <w:rFonts w:ascii="Times New Roman" w:hAnsi="Times New Roman" w:cs="Times New Roman"/>
          <w:color w:val="000000" w:themeColor="text1"/>
        </w:rPr>
        <w:lastRenderedPageBreak/>
        <w:t>finansów publicznych oraz udostępniał te informacje w systemie teleinformatycznym w sposób zapewniający korzystanie z tych informacji przez podatników.</w:t>
      </w:r>
    </w:p>
    <w:p w14:paraId="1312852F" w14:textId="488C0F7A" w:rsidR="006B0C78" w:rsidRPr="00FF41FD" w:rsidRDefault="006B0C78" w:rsidP="00DF3737">
      <w:pPr>
        <w:spacing w:line="360" w:lineRule="auto"/>
        <w:ind w:firstLine="708"/>
        <w:rPr>
          <w:rFonts w:ascii="Times New Roman" w:hAnsi="Times New Roman" w:cs="Times New Roman"/>
          <w:color w:val="000000" w:themeColor="text1"/>
        </w:rPr>
      </w:pPr>
      <w:r w:rsidRPr="00FF41FD">
        <w:rPr>
          <w:rFonts w:ascii="Times New Roman" w:hAnsi="Times New Roman" w:cs="Times New Roman"/>
          <w:color w:val="000000" w:themeColor="text1"/>
        </w:rPr>
        <w:t>Sprawdzanie stawek podatku dałoby się wówczas zautomatyzować, proces ten skróciłby się z dni i tygodni do minut. Podatnicy mieliby również pewność, że przyjmują właściwe stawki, wyeliminowane zostałyby możliwość pomyłek.</w:t>
      </w:r>
    </w:p>
    <w:p w14:paraId="5A6A3A05" w14:textId="77777777" w:rsidR="00EB6E28" w:rsidRPr="00FF41FD" w:rsidRDefault="00EB6E28" w:rsidP="006B0C78">
      <w:pPr>
        <w:spacing w:line="360" w:lineRule="auto"/>
        <w:rPr>
          <w:rFonts w:ascii="Times New Roman" w:hAnsi="Times New Roman" w:cs="Times New Roman"/>
          <w:color w:val="000000" w:themeColor="text1"/>
        </w:rPr>
      </w:pPr>
    </w:p>
    <w:p w14:paraId="5ECC4C79" w14:textId="5D3EDD9D" w:rsidR="006B0C78" w:rsidRPr="00FF41FD" w:rsidRDefault="006B0C78" w:rsidP="006B0C78">
      <w:pPr>
        <w:spacing w:line="360" w:lineRule="auto"/>
        <w:ind w:firstLine="708"/>
        <w:rPr>
          <w:rFonts w:ascii="Times New Roman" w:hAnsi="Times New Roman" w:cs="Times New Roman"/>
          <w:b/>
          <w:bCs/>
          <w:color w:val="000000" w:themeColor="text1"/>
        </w:rPr>
      </w:pPr>
      <w:r w:rsidRPr="00FF41FD">
        <w:rPr>
          <w:rFonts w:ascii="Times New Roman" w:hAnsi="Times New Roman" w:cs="Times New Roman"/>
          <w:b/>
          <w:bCs/>
          <w:color w:val="000000" w:themeColor="text1"/>
        </w:rPr>
        <w:t>Zmian</w:t>
      </w:r>
      <w:r w:rsidR="00DF3737" w:rsidRPr="00FF41FD">
        <w:rPr>
          <w:rFonts w:ascii="Times New Roman" w:hAnsi="Times New Roman" w:cs="Times New Roman"/>
          <w:b/>
          <w:bCs/>
          <w:color w:val="000000" w:themeColor="text1"/>
        </w:rPr>
        <w:t>y w ustawie -</w:t>
      </w:r>
      <w:r w:rsidR="00DF3737" w:rsidRPr="00FF41FD">
        <w:rPr>
          <w:color w:val="000000" w:themeColor="text1"/>
        </w:rPr>
        <w:t xml:space="preserve"> </w:t>
      </w:r>
      <w:r w:rsidR="00DF3737" w:rsidRPr="00FF41FD">
        <w:rPr>
          <w:rFonts w:ascii="Times New Roman" w:hAnsi="Times New Roman" w:cs="Times New Roman"/>
          <w:b/>
          <w:bCs/>
          <w:color w:val="000000" w:themeColor="text1"/>
        </w:rPr>
        <w:t>Ordynacja podatkowa</w:t>
      </w:r>
    </w:p>
    <w:p w14:paraId="1B6E8C0F" w14:textId="43C72111" w:rsidR="006B0C78" w:rsidRPr="00FF41FD" w:rsidRDefault="00DF3737" w:rsidP="006B0C78">
      <w:pPr>
        <w:spacing w:line="360" w:lineRule="auto"/>
        <w:ind w:firstLine="708"/>
        <w:rPr>
          <w:rFonts w:ascii="Times New Roman" w:hAnsi="Times New Roman" w:cs="Times New Roman"/>
          <w:color w:val="000000" w:themeColor="text1"/>
        </w:rPr>
      </w:pPr>
      <w:r w:rsidRPr="00FF41FD">
        <w:rPr>
          <w:rFonts w:ascii="Times New Roman" w:hAnsi="Times New Roman" w:cs="Times New Roman"/>
          <w:color w:val="000000" w:themeColor="text1"/>
        </w:rPr>
        <w:t xml:space="preserve">Zgodnie z ustawą </w:t>
      </w:r>
      <w:r w:rsidR="00FF41FD">
        <w:rPr>
          <w:rFonts w:ascii="Times New Roman" w:hAnsi="Times New Roman" w:cs="Times New Roman"/>
          <w:color w:val="000000" w:themeColor="text1"/>
        </w:rPr>
        <w:t>w</w:t>
      </w:r>
      <w:r w:rsidR="006B0C78" w:rsidRPr="00FF41FD">
        <w:rPr>
          <w:rFonts w:ascii="Times New Roman" w:hAnsi="Times New Roman" w:cs="Times New Roman"/>
          <w:color w:val="000000" w:themeColor="text1"/>
        </w:rPr>
        <w:t xml:space="preserve">ójt, burmistrz lub prezydent </w:t>
      </w:r>
      <w:r w:rsidR="001E26F4">
        <w:rPr>
          <w:rFonts w:ascii="Times New Roman" w:hAnsi="Times New Roman" w:cs="Times New Roman"/>
          <w:color w:val="000000" w:themeColor="text1"/>
        </w:rPr>
        <w:t xml:space="preserve">miasta </w:t>
      </w:r>
      <w:r w:rsidR="006B0C78" w:rsidRPr="00FF41FD">
        <w:rPr>
          <w:rFonts w:ascii="Times New Roman" w:hAnsi="Times New Roman" w:cs="Times New Roman"/>
          <w:color w:val="000000" w:themeColor="text1"/>
        </w:rPr>
        <w:t>są organami podatkowymi w zakresie podatku od nieruchomości. Zatem interpretacje indywidualne dotyczące podatku od nieruchomości są wydawane przez wójtów lub burmistrzów i prezydentów miast. Powoduje to, że nie ma żadnego mechanizmu, który zapewniałby ujednolicanie linii interpretacyjnej w podatku od nieruchomości. Co gmina, to może być inne rozstrzygnięcie tej samej kwestii. Podatnicy mogą więc być postawieni wobec problemu, jak podejść do opodatkowania np. nietypowych części nieruchomości. Dla jednej gminy podjazd do garażu będzie stanowił budowlę, dla innej będzie częścią budynku. Dla jednej gminy rusztowanie pod fotowoltaikę stanowi budowlę, dla innej może nie być opodatkowane, jeśli jest tylko przykręcone do fundamentów. Przy czym ani podatnicy, ani same gminy nie mają możliwości sprawdzenia, jaka linia interpretacyjna jest przeważająca. Interpretacje indywidualne wydawane przez wójtów, burmistrzów i prezydentów miast nie są bowiem publikowane w Systemie Informacji Celno-Skarbowej Eureka, ani w żadnej innej bazie interpretacji indywidualnych. W najgorszej sytuacji są duże podmioty, które mają swoje nieruchomości w różnych gminach. Z każdą gminą muszą indywidualnie podchodzić do tych samych stanów faktycznych, otrzymując często różne rozstrzygnięcia.</w:t>
      </w:r>
    </w:p>
    <w:p w14:paraId="26158EBC" w14:textId="4BFC26B4" w:rsidR="00EB6E28" w:rsidRDefault="006B0C78" w:rsidP="00A2739F">
      <w:pPr>
        <w:spacing w:line="360" w:lineRule="auto"/>
        <w:ind w:firstLine="708"/>
        <w:rPr>
          <w:rFonts w:ascii="Times New Roman" w:hAnsi="Times New Roman" w:cs="Times New Roman"/>
          <w:color w:val="000000" w:themeColor="text1"/>
        </w:rPr>
      </w:pPr>
      <w:r w:rsidRPr="00FF41FD">
        <w:rPr>
          <w:rFonts w:ascii="Times New Roman" w:hAnsi="Times New Roman" w:cs="Times New Roman"/>
          <w:color w:val="000000" w:themeColor="text1"/>
        </w:rPr>
        <w:t xml:space="preserve">Propozycja </w:t>
      </w:r>
      <w:r w:rsidR="004B451E" w:rsidRPr="00FF41FD">
        <w:rPr>
          <w:rFonts w:ascii="Times New Roman" w:hAnsi="Times New Roman" w:cs="Times New Roman"/>
          <w:color w:val="000000" w:themeColor="text1"/>
        </w:rPr>
        <w:t>nakłada</w:t>
      </w:r>
      <w:r w:rsidRPr="00FF41FD">
        <w:rPr>
          <w:rFonts w:ascii="Times New Roman" w:hAnsi="Times New Roman" w:cs="Times New Roman"/>
          <w:color w:val="000000" w:themeColor="text1"/>
        </w:rPr>
        <w:t xml:space="preserve"> na wójta, burmistrza i prezydenta miasta obowiązek przesyłania </w:t>
      </w:r>
      <w:r w:rsidR="004B451E" w:rsidRPr="00FF41FD">
        <w:rPr>
          <w:rFonts w:ascii="Times New Roman" w:hAnsi="Times New Roman" w:cs="Times New Roman"/>
          <w:color w:val="000000" w:themeColor="text1"/>
        </w:rPr>
        <w:t>bez zbędnej zwłoki wydanych interpretacji indywidualnych dotyczącą podatku od nieruchomości do Dyrektora Krajowej Informacji Skarbowej oraz informację o zmianie, uchyleniu oraz stwierdzeniu wygaśnięcia takiej interpretacji indywidualnej</w:t>
      </w:r>
      <w:r w:rsidRPr="00FF41FD">
        <w:rPr>
          <w:rFonts w:ascii="Times New Roman" w:hAnsi="Times New Roman" w:cs="Times New Roman"/>
          <w:color w:val="000000" w:themeColor="text1"/>
        </w:rPr>
        <w:t>.</w:t>
      </w:r>
      <w:r w:rsidR="004B451E" w:rsidRPr="00FF41FD">
        <w:rPr>
          <w:color w:val="000000" w:themeColor="text1"/>
        </w:rPr>
        <w:t xml:space="preserve"> </w:t>
      </w:r>
      <w:r w:rsidR="004B451E" w:rsidRPr="00FF41FD">
        <w:rPr>
          <w:rFonts w:ascii="Times New Roman" w:hAnsi="Times New Roman" w:cs="Times New Roman"/>
          <w:color w:val="000000" w:themeColor="text1"/>
        </w:rPr>
        <w:t>Interpretacje indywidualne</w:t>
      </w:r>
      <w:r w:rsidRPr="00FF41FD">
        <w:rPr>
          <w:rFonts w:ascii="Times New Roman" w:hAnsi="Times New Roman" w:cs="Times New Roman"/>
          <w:color w:val="000000" w:themeColor="text1"/>
        </w:rPr>
        <w:t xml:space="preserve"> </w:t>
      </w:r>
      <w:r w:rsidR="004B451E" w:rsidRPr="00FF41FD">
        <w:rPr>
          <w:rFonts w:ascii="Times New Roman" w:hAnsi="Times New Roman" w:cs="Times New Roman"/>
          <w:color w:val="000000" w:themeColor="text1"/>
        </w:rPr>
        <w:t>byłyby publikowane w Biuletynie Informacji Publicznej na stronie podmiotowej urzędu obsługującego ministra właściwego do spraw finansów publicznych</w:t>
      </w:r>
      <w:r w:rsidR="00A2739F">
        <w:rPr>
          <w:rFonts w:ascii="Times New Roman" w:hAnsi="Times New Roman" w:cs="Times New Roman"/>
          <w:color w:val="000000" w:themeColor="text1"/>
        </w:rPr>
        <w:t xml:space="preserve"> i zostałyby włączone do </w:t>
      </w:r>
      <w:r w:rsidR="00A2739F" w:rsidRPr="00FF41FD">
        <w:rPr>
          <w:rFonts w:ascii="Times New Roman" w:hAnsi="Times New Roman" w:cs="Times New Roman"/>
          <w:color w:val="000000" w:themeColor="text1"/>
        </w:rPr>
        <w:t>System</w:t>
      </w:r>
      <w:r w:rsidR="00A2739F">
        <w:rPr>
          <w:rFonts w:ascii="Times New Roman" w:hAnsi="Times New Roman" w:cs="Times New Roman"/>
          <w:color w:val="000000" w:themeColor="text1"/>
        </w:rPr>
        <w:t>u</w:t>
      </w:r>
      <w:r w:rsidR="00A2739F" w:rsidRPr="00FF41FD">
        <w:rPr>
          <w:rFonts w:ascii="Times New Roman" w:hAnsi="Times New Roman" w:cs="Times New Roman"/>
          <w:color w:val="000000" w:themeColor="text1"/>
        </w:rPr>
        <w:t xml:space="preserve"> Informacji Celno-Skarbowej Eureka</w:t>
      </w:r>
      <w:r w:rsidR="00A2739F">
        <w:rPr>
          <w:rFonts w:ascii="Times New Roman" w:hAnsi="Times New Roman" w:cs="Times New Roman"/>
          <w:color w:val="000000" w:themeColor="text1"/>
        </w:rPr>
        <w:t>.</w:t>
      </w:r>
    </w:p>
    <w:p w14:paraId="4A81A93F" w14:textId="77777777" w:rsidR="00A2739F" w:rsidRPr="00FF41FD" w:rsidRDefault="00A2739F" w:rsidP="00A2739F">
      <w:pPr>
        <w:spacing w:line="360" w:lineRule="auto"/>
        <w:ind w:firstLine="708"/>
        <w:rPr>
          <w:rFonts w:ascii="Times New Roman" w:hAnsi="Times New Roman" w:cs="Times New Roman"/>
          <w:color w:val="000000" w:themeColor="text1"/>
        </w:rPr>
      </w:pPr>
    </w:p>
    <w:p w14:paraId="508074D4" w14:textId="77777777" w:rsidR="00EB6E28" w:rsidRPr="00FF41FD" w:rsidRDefault="00EB6E28" w:rsidP="006B0C78">
      <w:pPr>
        <w:spacing w:line="360" w:lineRule="auto"/>
        <w:rPr>
          <w:rFonts w:ascii="Times New Roman" w:hAnsi="Times New Roman" w:cs="Times New Roman"/>
          <w:color w:val="000000" w:themeColor="text1"/>
        </w:rPr>
      </w:pPr>
    </w:p>
    <w:p w14:paraId="52CE697A" w14:textId="77777777" w:rsidR="00EB6E28" w:rsidRPr="00FF41FD" w:rsidRDefault="00EB6E28" w:rsidP="00EB6E28">
      <w:pPr>
        <w:spacing w:after="0" w:line="240" w:lineRule="auto"/>
        <w:jc w:val="center"/>
        <w:rPr>
          <w:rFonts w:ascii="Arial" w:hAnsi="Arial" w:cs="Arial"/>
          <w:b/>
          <w:bCs/>
          <w:color w:val="000000" w:themeColor="text1"/>
        </w:rPr>
      </w:pPr>
      <w:r w:rsidRPr="00FF41FD">
        <w:rPr>
          <w:rFonts w:ascii="Arial" w:hAnsi="Arial" w:cs="Arial"/>
          <w:b/>
          <w:bCs/>
          <w:color w:val="000000" w:themeColor="text1"/>
        </w:rPr>
        <w:lastRenderedPageBreak/>
        <w:t>DEKLAROWANE SKUTKI REGULACJI (DSR)</w:t>
      </w:r>
    </w:p>
    <w:p w14:paraId="1C9B976B" w14:textId="79216B0A" w:rsidR="00EB6E28" w:rsidRPr="00FF41FD" w:rsidRDefault="00EB6E28" w:rsidP="00A2739F">
      <w:pPr>
        <w:spacing w:after="0" w:line="240" w:lineRule="auto"/>
        <w:jc w:val="center"/>
        <w:rPr>
          <w:rFonts w:ascii="Arial" w:hAnsi="Arial" w:cs="Arial"/>
          <w:b/>
          <w:bCs/>
          <w:color w:val="000000" w:themeColor="text1"/>
        </w:rPr>
      </w:pPr>
      <w:r w:rsidRPr="00FF41FD">
        <w:rPr>
          <w:rFonts w:ascii="Arial" w:hAnsi="Arial" w:cs="Arial"/>
          <w:b/>
          <w:bCs/>
          <w:color w:val="000000" w:themeColor="text1"/>
        </w:rPr>
        <w:t>projektu ustawy</w:t>
      </w:r>
    </w:p>
    <w:p w14:paraId="180CAF8D" w14:textId="77777777" w:rsidR="00EB6E28" w:rsidRPr="00FF41FD" w:rsidRDefault="00EB6E28" w:rsidP="00EB6E28">
      <w:pPr>
        <w:tabs>
          <w:tab w:val="left" w:pos="2834"/>
        </w:tabs>
        <w:spacing w:after="0" w:line="240" w:lineRule="auto"/>
        <w:rPr>
          <w:rFonts w:ascii="Arial" w:hAnsi="Arial" w:cs="Arial"/>
          <w:b/>
          <w:bCs/>
          <w:color w:val="000000" w:themeColor="text1"/>
        </w:rPr>
      </w:pPr>
      <w:r w:rsidRPr="00FF41FD">
        <w:rPr>
          <w:rFonts w:ascii="Arial" w:hAnsi="Arial" w:cs="Arial"/>
          <w:b/>
          <w:bCs/>
          <w:color w:val="000000" w:themeColor="text1"/>
        </w:rPr>
        <w:tab/>
      </w:r>
    </w:p>
    <w:p w14:paraId="39B7793B" w14:textId="77777777" w:rsidR="00EB6E28" w:rsidRPr="00FF41FD" w:rsidRDefault="00EB6E28" w:rsidP="00EB6E28">
      <w:pPr>
        <w:tabs>
          <w:tab w:val="left" w:pos="6290"/>
        </w:tabs>
        <w:rPr>
          <w:rFonts w:ascii="Arial" w:hAnsi="Arial" w:cs="Arial"/>
          <w:b/>
          <w:bCs/>
          <w:color w:val="000000" w:themeColor="text1"/>
        </w:rPr>
      </w:pPr>
      <w:r w:rsidRPr="00FF41FD">
        <w:rPr>
          <w:rFonts w:ascii="Arial" w:hAnsi="Arial" w:cs="Arial"/>
          <w:b/>
          <w:bCs/>
          <w:color w:val="000000" w:themeColor="text1"/>
        </w:rPr>
        <w:t>Informacja o projekcie</w:t>
      </w:r>
      <w:r w:rsidRPr="00FF41FD">
        <w:rPr>
          <w:rFonts w:ascii="Arial" w:hAnsi="Arial" w:cs="Arial"/>
          <w:b/>
          <w:bCs/>
          <w:color w:val="000000" w:themeColor="text1"/>
        </w:rPr>
        <w:tab/>
      </w:r>
    </w:p>
    <w:p w14:paraId="4EB2B170" w14:textId="77777777" w:rsidR="00EB6E28" w:rsidRPr="00FF41FD" w:rsidRDefault="00EB6E28" w:rsidP="00EB6E28">
      <w:pPr>
        <w:ind w:left="360"/>
        <w:rPr>
          <w:rFonts w:ascii="Arial" w:hAnsi="Arial" w:cs="Arial"/>
          <w:color w:val="000000" w:themeColor="text1"/>
        </w:rPr>
      </w:pPr>
      <w:r w:rsidRPr="00FF41FD">
        <w:rPr>
          <w:rFonts w:ascii="Arial" w:hAnsi="Arial" w:cs="Arial"/>
          <w:color w:val="000000" w:themeColor="text1"/>
        </w:rPr>
        <w:t>a) Tytuł projektu:</w:t>
      </w:r>
    </w:p>
    <w:tbl>
      <w:tblPr>
        <w:tblStyle w:val="Tabela-Siatka"/>
        <w:tblW w:w="9182" w:type="dxa"/>
        <w:tblLook w:val="04A0" w:firstRow="1" w:lastRow="0" w:firstColumn="1" w:lastColumn="0" w:noHBand="0" w:noVBand="1"/>
      </w:tblPr>
      <w:tblGrid>
        <w:gridCol w:w="9182"/>
      </w:tblGrid>
      <w:tr w:rsidR="00EB6E28" w:rsidRPr="00FF41FD" w14:paraId="187191D4" w14:textId="77777777" w:rsidTr="004473FB">
        <w:trPr>
          <w:trHeight w:val="410"/>
        </w:trPr>
        <w:tc>
          <w:tcPr>
            <w:tcW w:w="9182" w:type="dxa"/>
          </w:tcPr>
          <w:p w14:paraId="384DE9D5" w14:textId="77777777" w:rsidR="00EB6E28" w:rsidRPr="00FF41FD" w:rsidRDefault="00EB6E28" w:rsidP="004473FB">
            <w:pPr>
              <w:ind w:left="360"/>
              <w:rPr>
                <w:rFonts w:ascii="Arial" w:hAnsi="Arial" w:cs="Arial"/>
                <w:bCs/>
                <w:color w:val="000000" w:themeColor="text1"/>
                <w:sz w:val="20"/>
                <w:szCs w:val="20"/>
              </w:rPr>
            </w:pPr>
            <w:bookmarkStart w:id="10" w:name="_Hlk174516121"/>
          </w:p>
          <w:p w14:paraId="30ADD92E" w14:textId="25424C98" w:rsidR="00EB6E28" w:rsidRPr="00FF41FD" w:rsidRDefault="00EB6E28" w:rsidP="00EB6E28">
            <w:pPr>
              <w:suppressAutoHyphens/>
              <w:spacing w:before="0" w:after="0" w:line="360" w:lineRule="auto"/>
              <w:jc w:val="center"/>
              <w:rPr>
                <w:rFonts w:ascii="Times New Roman" w:eastAsia="SimSun" w:hAnsi="Times New Roman" w:cs="Times New Roman"/>
                <w:b/>
                <w:color w:val="000000" w:themeColor="text1"/>
                <w:kern w:val="0"/>
                <w:sz w:val="24"/>
                <w:szCs w:val="24"/>
                <w:lang w:eastAsia="ar-SA"/>
                <w14:ligatures w14:val="none"/>
              </w:rPr>
            </w:pPr>
            <w:r w:rsidRPr="00FF41FD">
              <w:rPr>
                <w:rFonts w:ascii="Times New Roman" w:eastAsia="SimSun" w:hAnsi="Times New Roman" w:cs="Times New Roman"/>
                <w:b/>
                <w:color w:val="000000" w:themeColor="text1"/>
                <w:kern w:val="0"/>
                <w:sz w:val="24"/>
                <w:szCs w:val="24"/>
                <w:lang w:eastAsia="ar-SA"/>
                <w14:ligatures w14:val="none"/>
              </w:rPr>
              <w:t>Projekt ustawy o zmianie ustawy o podatkach i opłatach lokalnych oraz ustawy – Ordynacja podatkowa</w:t>
            </w:r>
          </w:p>
        </w:tc>
      </w:tr>
      <w:bookmarkEnd w:id="10"/>
    </w:tbl>
    <w:p w14:paraId="57F43CDE" w14:textId="77777777" w:rsidR="00EB6E28" w:rsidRPr="00FF41FD" w:rsidRDefault="00EB6E28" w:rsidP="00EB6E28">
      <w:pPr>
        <w:rPr>
          <w:rFonts w:ascii="Arial" w:hAnsi="Arial" w:cs="Arial"/>
          <w:b/>
          <w:bCs/>
          <w:color w:val="000000" w:themeColor="text1"/>
        </w:rPr>
      </w:pPr>
    </w:p>
    <w:p w14:paraId="4FCFFC18" w14:textId="77777777" w:rsidR="00EB6E28" w:rsidRPr="00FF41FD" w:rsidRDefault="00EB6E28" w:rsidP="00EB6E28">
      <w:pPr>
        <w:ind w:left="360"/>
        <w:rPr>
          <w:rFonts w:ascii="Arial" w:eastAsia="Times New Roman" w:hAnsi="Arial" w:cs="Arial"/>
          <w:color w:val="000000" w:themeColor="text1"/>
          <w14:ligatures w14:val="none"/>
        </w:rPr>
      </w:pPr>
      <w:r w:rsidRPr="00FF41FD">
        <w:rPr>
          <w:rFonts w:ascii="Arial" w:eastAsia="Times New Roman" w:hAnsi="Arial" w:cs="Arial"/>
          <w:color w:val="000000" w:themeColor="text1"/>
          <w14:ligatures w14:val="none"/>
        </w:rPr>
        <w:t>b) Przedstawiciel wnioskodawcy:</w:t>
      </w:r>
    </w:p>
    <w:tbl>
      <w:tblPr>
        <w:tblStyle w:val="Tabela-Siatka"/>
        <w:tblW w:w="9209" w:type="dxa"/>
        <w:tblLook w:val="04A0" w:firstRow="1" w:lastRow="0" w:firstColumn="1" w:lastColumn="0" w:noHBand="0" w:noVBand="1"/>
      </w:tblPr>
      <w:tblGrid>
        <w:gridCol w:w="9209"/>
      </w:tblGrid>
      <w:tr w:rsidR="00EB6E28" w:rsidRPr="00FF41FD" w14:paraId="4C30BD76" w14:textId="77777777" w:rsidTr="004473FB">
        <w:trPr>
          <w:trHeight w:val="671"/>
        </w:trPr>
        <w:tc>
          <w:tcPr>
            <w:tcW w:w="9209" w:type="dxa"/>
          </w:tcPr>
          <w:p w14:paraId="790710B0" w14:textId="77777777" w:rsidR="00EB6E28" w:rsidRPr="00FF41FD" w:rsidRDefault="00EB6E28" w:rsidP="004473FB">
            <w:pPr>
              <w:ind w:left="360"/>
              <w:rPr>
                <w:rFonts w:ascii="Arial" w:hAnsi="Arial" w:cs="Arial"/>
                <w:color w:val="000000" w:themeColor="text1"/>
                <w:sz w:val="20"/>
                <w:szCs w:val="20"/>
              </w:rPr>
            </w:pPr>
          </w:p>
          <w:p w14:paraId="1F182654" w14:textId="0A684C7B" w:rsidR="00EB6E28" w:rsidRPr="00FF41FD" w:rsidRDefault="00EB6E28" w:rsidP="004473FB">
            <w:pPr>
              <w:ind w:left="360"/>
              <w:rPr>
                <w:rFonts w:ascii="Times New Roman" w:eastAsia="Times New Roman" w:hAnsi="Times New Roman" w:cs="Times New Roman"/>
                <w:color w:val="000000" w:themeColor="text1"/>
                <w:sz w:val="24"/>
                <w:szCs w:val="24"/>
                <w14:ligatures w14:val="none"/>
              </w:rPr>
            </w:pPr>
            <w:r w:rsidRPr="00FF41FD">
              <w:rPr>
                <w:rFonts w:ascii="Times New Roman" w:eastAsia="Times New Roman" w:hAnsi="Times New Roman" w:cs="Times New Roman"/>
                <w:color w:val="000000" w:themeColor="text1"/>
                <w:sz w:val="24"/>
                <w:szCs w:val="24"/>
                <w14:ligatures w14:val="none"/>
              </w:rPr>
              <w:t>Janusz Kowalski</w:t>
            </w:r>
          </w:p>
          <w:p w14:paraId="7C8317B0" w14:textId="77777777" w:rsidR="00EB6E28" w:rsidRPr="00FF41FD" w:rsidRDefault="00EB6E28" w:rsidP="004473FB">
            <w:pPr>
              <w:rPr>
                <w:rFonts w:ascii="Arial" w:eastAsia="Times New Roman" w:hAnsi="Arial" w:cs="Arial"/>
                <w:color w:val="000000" w:themeColor="text1"/>
                <w:sz w:val="20"/>
                <w:szCs w:val="20"/>
                <w14:ligatures w14:val="none"/>
              </w:rPr>
            </w:pPr>
          </w:p>
        </w:tc>
      </w:tr>
    </w:tbl>
    <w:p w14:paraId="04E141E5" w14:textId="77777777" w:rsidR="00EB6E28" w:rsidRPr="00FF41FD" w:rsidRDefault="00EB6E28" w:rsidP="00EB6E28">
      <w:pPr>
        <w:rPr>
          <w:rFonts w:ascii="Arial" w:hAnsi="Arial" w:cs="Arial"/>
          <w:b/>
          <w:bCs/>
          <w:color w:val="000000" w:themeColor="text1"/>
        </w:rPr>
      </w:pPr>
    </w:p>
    <w:p w14:paraId="50A9A27E" w14:textId="77777777" w:rsidR="00EB6E28" w:rsidRPr="00FF41FD" w:rsidRDefault="00EB6E28" w:rsidP="00EB6E28">
      <w:pPr>
        <w:rPr>
          <w:rFonts w:ascii="Arial" w:hAnsi="Arial" w:cs="Arial"/>
          <w:b/>
          <w:bCs/>
          <w:color w:val="000000" w:themeColor="text1"/>
        </w:rPr>
      </w:pPr>
    </w:p>
    <w:p w14:paraId="16CB8D60" w14:textId="77777777" w:rsidR="00EB6E28" w:rsidRPr="00FF41FD" w:rsidRDefault="00EB6E28" w:rsidP="00EB6E28">
      <w:pPr>
        <w:rPr>
          <w:rFonts w:ascii="Arial" w:hAnsi="Arial" w:cs="Arial"/>
          <w:color w:val="000000" w:themeColor="text1"/>
        </w:rPr>
      </w:pPr>
      <w:r w:rsidRPr="00FF41FD">
        <w:rPr>
          <w:rFonts w:ascii="Arial" w:hAnsi="Arial" w:cs="Arial"/>
          <w:b/>
          <w:color w:val="000000" w:themeColor="text1"/>
        </w:rPr>
        <w:t>I. Część wstępna</w:t>
      </w:r>
    </w:p>
    <w:p w14:paraId="19FB47EF"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[1] Zwięzły opis zidentyfikowanego problemu i proponowanych rozwiązań.</w:t>
      </w:r>
    </w:p>
    <w:tbl>
      <w:tblPr>
        <w:tblStyle w:val="Tabela-Siatka"/>
        <w:tblW w:w="0" w:type="auto"/>
        <w:tblLook w:val="04A0" w:firstRow="1" w:lastRow="0" w:firstColumn="1" w:lastColumn="0" w:noHBand="0" w:noVBand="1"/>
      </w:tblPr>
      <w:tblGrid>
        <w:gridCol w:w="9062"/>
      </w:tblGrid>
      <w:tr w:rsidR="00EB6E28" w:rsidRPr="00FF41FD" w14:paraId="42EAA396" w14:textId="77777777" w:rsidTr="004473FB">
        <w:tc>
          <w:tcPr>
            <w:tcW w:w="9062" w:type="dxa"/>
          </w:tcPr>
          <w:p w14:paraId="352D3398" w14:textId="693256E9" w:rsidR="00EB6E28" w:rsidRPr="00FF41FD" w:rsidRDefault="00EB6E28" w:rsidP="00EB6E28">
            <w:pPr>
              <w:rPr>
                <w:rFonts w:ascii="Times New Roman" w:eastAsia="Times New Roman" w:hAnsi="Times New Roman" w:cs="Times New Roman"/>
                <w:color w:val="000000" w:themeColor="text1"/>
                <w:sz w:val="24"/>
                <w:szCs w:val="24"/>
                <w14:ligatures w14:val="none"/>
              </w:rPr>
            </w:pPr>
            <w:r w:rsidRPr="00FF41FD">
              <w:rPr>
                <w:rFonts w:ascii="Times New Roman" w:eastAsia="Times New Roman" w:hAnsi="Times New Roman" w:cs="Times New Roman"/>
                <w:color w:val="000000" w:themeColor="text1"/>
                <w:sz w:val="24"/>
                <w:szCs w:val="24"/>
                <w14:ligatures w14:val="none"/>
              </w:rPr>
              <w:t xml:space="preserve">Projekt ustawy </w:t>
            </w:r>
            <w:r w:rsidR="00FF41FD" w:rsidRPr="00FF41FD">
              <w:rPr>
                <w:rFonts w:ascii="Times New Roman" w:eastAsia="Times New Roman" w:hAnsi="Times New Roman" w:cs="Times New Roman"/>
                <w:color w:val="000000" w:themeColor="text1"/>
                <w:sz w:val="24"/>
                <w:szCs w:val="24"/>
                <w14:ligatures w14:val="none"/>
              </w:rPr>
              <w:t>zakłada nałożenie</w:t>
            </w:r>
            <w:r w:rsidR="004B451E" w:rsidRPr="00FF41FD">
              <w:rPr>
                <w:rFonts w:ascii="Times New Roman" w:eastAsia="Times New Roman" w:hAnsi="Times New Roman" w:cs="Times New Roman"/>
                <w:color w:val="000000" w:themeColor="text1"/>
                <w:sz w:val="24"/>
                <w:szCs w:val="24"/>
                <w14:ligatures w14:val="none"/>
              </w:rPr>
              <w:t xml:space="preserve"> na przewodniczącego rady gminy obowiązku przesyłania do Ministra Finansów wysokości stawek podatku od nieruchomości uchwalanych na każdy rok do 30 listopada roku </w:t>
            </w:r>
            <w:r w:rsidR="001E26F4">
              <w:rPr>
                <w:rFonts w:ascii="Times New Roman" w:eastAsia="Times New Roman" w:hAnsi="Times New Roman" w:cs="Times New Roman"/>
                <w:color w:val="000000" w:themeColor="text1"/>
                <w:sz w:val="24"/>
                <w:szCs w:val="24"/>
                <w14:ligatures w14:val="none"/>
              </w:rPr>
              <w:t>poprzedzającego</w:t>
            </w:r>
            <w:r w:rsidR="001E26F4" w:rsidRPr="00FF41FD">
              <w:rPr>
                <w:rFonts w:ascii="Times New Roman" w:eastAsia="Times New Roman" w:hAnsi="Times New Roman" w:cs="Times New Roman"/>
                <w:color w:val="000000" w:themeColor="text1"/>
                <w:sz w:val="24"/>
                <w:szCs w:val="24"/>
                <w14:ligatures w14:val="none"/>
              </w:rPr>
              <w:t xml:space="preserve"> </w:t>
            </w:r>
            <w:r w:rsidR="004B451E" w:rsidRPr="00FF41FD">
              <w:rPr>
                <w:rFonts w:ascii="Times New Roman" w:eastAsia="Times New Roman" w:hAnsi="Times New Roman" w:cs="Times New Roman"/>
                <w:color w:val="000000" w:themeColor="text1"/>
                <w:sz w:val="24"/>
                <w:szCs w:val="24"/>
                <w14:ligatures w14:val="none"/>
              </w:rPr>
              <w:t xml:space="preserve"> rok, na który uchwalone zostały nowe stawki. Następnie Minister Finansów publikowałby te stawki do końca roku w Biuletynie Informacji Publicznej na stronie podmiotowej obsługującej ministra właściwego do spraw finansów publicznych oraz udostępniał te informacje w systemie teleinformatycznym w sposób zapewniający korzystanie z tych informacji przez podatników.</w:t>
            </w:r>
          </w:p>
          <w:p w14:paraId="305A99C3" w14:textId="15217B13" w:rsidR="00EB6E28" w:rsidRPr="00FF41FD" w:rsidRDefault="00EB6E28" w:rsidP="00EB6E28">
            <w:pPr>
              <w:rPr>
                <w:rFonts w:ascii="Times New Roman" w:eastAsia="Times New Roman" w:hAnsi="Times New Roman" w:cs="Times New Roman"/>
                <w:color w:val="000000" w:themeColor="text1"/>
                <w:sz w:val="24"/>
                <w:szCs w:val="24"/>
                <w14:ligatures w14:val="none"/>
              </w:rPr>
            </w:pPr>
            <w:r w:rsidRPr="00FF41FD">
              <w:rPr>
                <w:rFonts w:ascii="Times New Roman" w:eastAsia="Times New Roman" w:hAnsi="Times New Roman" w:cs="Times New Roman"/>
                <w:color w:val="000000" w:themeColor="text1"/>
                <w:sz w:val="24"/>
                <w:szCs w:val="24"/>
                <w14:ligatures w14:val="none"/>
              </w:rPr>
              <w:t xml:space="preserve">Projekt ustawy zakłada również </w:t>
            </w:r>
            <w:r w:rsidR="004B451E" w:rsidRPr="00FF41FD">
              <w:rPr>
                <w:rFonts w:ascii="Times New Roman" w:eastAsia="Times New Roman" w:hAnsi="Times New Roman" w:cs="Times New Roman"/>
                <w:color w:val="000000" w:themeColor="text1"/>
                <w:sz w:val="24"/>
                <w:szCs w:val="24"/>
                <w14:ligatures w14:val="none"/>
              </w:rPr>
              <w:t xml:space="preserve">wprowadzenie na wójta, burmistrza i prezydenta miasta obowiązku przesyłania bez zbędnej zwłoki wydanych interpretacji indywidualnych dotyczącą podatku od nieruchomości do Dyrektora Krajowej Informacji Skarbowej oraz informację o zmianie, uchyleniu oraz stwierdzeniu wygaśnięcia takiej interpretacji indywidualnej. </w:t>
            </w:r>
            <w:r w:rsidR="00A2739F" w:rsidRPr="00A2739F">
              <w:rPr>
                <w:rFonts w:ascii="Times New Roman" w:eastAsia="Times New Roman" w:hAnsi="Times New Roman" w:cs="Times New Roman"/>
                <w:color w:val="000000" w:themeColor="text1"/>
                <w:sz w:val="24"/>
                <w:szCs w:val="24"/>
                <w14:ligatures w14:val="none"/>
              </w:rPr>
              <w:t>Interpretacje indywidualne byłyby publikowane w Biuletynie Informacji Publicznej na stronie podmiotowej urzędu obsługującego ministra właściwego do spraw finansów publicznych i zostałyby włączone do Systemu Informacji Celno-Skarbowej Eureka.</w:t>
            </w:r>
          </w:p>
          <w:p w14:paraId="21A89AE4" w14:textId="77777777" w:rsidR="00B76F35" w:rsidRPr="00FF41FD" w:rsidRDefault="00EB6E28" w:rsidP="00EB6E28">
            <w:pPr>
              <w:rPr>
                <w:rFonts w:ascii="Times New Roman" w:eastAsia="Times New Roman" w:hAnsi="Times New Roman" w:cs="Times New Roman"/>
                <w:color w:val="000000" w:themeColor="text1"/>
                <w:sz w:val="24"/>
                <w:szCs w:val="24"/>
                <w14:ligatures w14:val="none"/>
              </w:rPr>
            </w:pPr>
            <w:r w:rsidRPr="00FF41FD">
              <w:rPr>
                <w:rFonts w:ascii="Times New Roman" w:eastAsia="Times New Roman" w:hAnsi="Times New Roman" w:cs="Times New Roman"/>
                <w:color w:val="000000" w:themeColor="text1"/>
                <w:sz w:val="24"/>
                <w:szCs w:val="24"/>
                <w14:ligatures w14:val="none"/>
              </w:rPr>
              <w:t xml:space="preserve">Źródłem danych wykorzystanych do identyfikacji problemu </w:t>
            </w:r>
            <w:r w:rsidR="00B76F35" w:rsidRPr="00FF41FD">
              <w:rPr>
                <w:rFonts w:ascii="Times New Roman" w:eastAsia="Times New Roman" w:hAnsi="Times New Roman" w:cs="Times New Roman"/>
                <w:color w:val="000000" w:themeColor="text1"/>
                <w:sz w:val="24"/>
                <w:szCs w:val="24"/>
                <w14:ligatures w14:val="none"/>
              </w:rPr>
              <w:t>są</w:t>
            </w:r>
            <w:r w:rsidRPr="00FF41FD">
              <w:rPr>
                <w:rFonts w:ascii="Times New Roman" w:eastAsia="Times New Roman" w:hAnsi="Times New Roman" w:cs="Times New Roman"/>
                <w:color w:val="000000" w:themeColor="text1"/>
                <w:sz w:val="24"/>
                <w:szCs w:val="24"/>
                <w14:ligatures w14:val="none"/>
              </w:rPr>
              <w:t xml:space="preserve"> obowiązujące przepisy i </w:t>
            </w:r>
            <w:r w:rsidR="00B76F35" w:rsidRPr="00FF41FD">
              <w:rPr>
                <w:rFonts w:ascii="Times New Roman" w:eastAsia="Times New Roman" w:hAnsi="Times New Roman" w:cs="Times New Roman"/>
                <w:color w:val="000000" w:themeColor="text1"/>
                <w:sz w:val="24"/>
                <w:szCs w:val="24"/>
                <w14:ligatures w14:val="none"/>
              </w:rPr>
              <w:t>praktyka petentów w urzędach.</w:t>
            </w:r>
          </w:p>
          <w:p w14:paraId="362D52AC" w14:textId="3CD2B5C2" w:rsidR="00EB6E28" w:rsidRPr="00FF41FD" w:rsidRDefault="00B76F35" w:rsidP="00EB6E28">
            <w:pPr>
              <w:rPr>
                <w:rFonts w:ascii="Times New Roman" w:eastAsia="Times New Roman" w:hAnsi="Times New Roman" w:cs="Times New Roman"/>
                <w:color w:val="000000" w:themeColor="text1"/>
                <w:sz w:val="24"/>
                <w:szCs w:val="24"/>
                <w14:ligatures w14:val="none"/>
              </w:rPr>
            </w:pPr>
            <w:r w:rsidRPr="00FF41FD">
              <w:rPr>
                <w:rFonts w:ascii="Times New Roman" w:eastAsia="Times New Roman" w:hAnsi="Times New Roman" w:cs="Times New Roman"/>
                <w:color w:val="000000" w:themeColor="text1"/>
                <w:sz w:val="24"/>
                <w:szCs w:val="24"/>
                <w14:ligatures w14:val="none"/>
              </w:rPr>
              <w:lastRenderedPageBreak/>
              <w:t xml:space="preserve"> </w:t>
            </w:r>
            <w:r w:rsidR="00EB6E28" w:rsidRPr="00FF41FD">
              <w:rPr>
                <w:rFonts w:ascii="Times New Roman" w:eastAsia="Times New Roman" w:hAnsi="Times New Roman" w:cs="Times New Roman"/>
                <w:color w:val="000000" w:themeColor="text1"/>
                <w:sz w:val="24"/>
                <w:szCs w:val="24"/>
                <w14:ligatures w14:val="none"/>
              </w:rPr>
              <w:t xml:space="preserve">W przypadku braku zmiany stanu obecnego będziemy mieli do czynienia z status quo tj. </w:t>
            </w:r>
            <w:r w:rsidRPr="00FF41FD">
              <w:rPr>
                <w:rFonts w:ascii="Times New Roman" w:eastAsia="Times New Roman" w:hAnsi="Times New Roman" w:cs="Times New Roman"/>
                <w:color w:val="000000" w:themeColor="text1"/>
                <w:sz w:val="24"/>
                <w:szCs w:val="24"/>
                <w14:ligatures w14:val="none"/>
              </w:rPr>
              <w:t xml:space="preserve">z </w:t>
            </w:r>
            <w:r w:rsidR="00EB6E28" w:rsidRPr="00FF41FD">
              <w:rPr>
                <w:rFonts w:ascii="Times New Roman" w:eastAsia="Times New Roman" w:hAnsi="Times New Roman" w:cs="Times New Roman"/>
                <w:color w:val="000000" w:themeColor="text1"/>
                <w:sz w:val="24"/>
                <w:szCs w:val="24"/>
                <w14:ligatures w14:val="none"/>
              </w:rPr>
              <w:t xml:space="preserve">utrudnieniami dla obywateli, którzy mają utrudnione zdobycie wiedzy na temat wysokości podatków. </w:t>
            </w:r>
          </w:p>
          <w:p w14:paraId="6B7A03A4" w14:textId="7A93B149" w:rsidR="00EB6E28" w:rsidRPr="00FF41FD" w:rsidRDefault="00EB6E28" w:rsidP="00B76F35">
            <w:pPr>
              <w:spacing w:before="0" w:after="0" w:line="240" w:lineRule="auto"/>
              <w:rPr>
                <w:rFonts w:ascii="Arial" w:eastAsia="Times New Roman" w:hAnsi="Arial" w:cs="Arial"/>
                <w:color w:val="000000" w:themeColor="text1"/>
                <w:sz w:val="20"/>
                <w:szCs w:val="20"/>
                <w14:ligatures w14:val="none"/>
              </w:rPr>
            </w:pPr>
            <w:r w:rsidRPr="00FF41FD">
              <w:rPr>
                <w:rFonts w:ascii="Arial" w:eastAsia="Times New Roman" w:hAnsi="Arial" w:cs="Arial"/>
                <w:color w:val="000000" w:themeColor="text1"/>
                <w:sz w:val="20"/>
                <w:szCs w:val="20"/>
                <w14:ligatures w14:val="none"/>
              </w:rPr>
              <w:t>.</w:t>
            </w:r>
          </w:p>
        </w:tc>
      </w:tr>
    </w:tbl>
    <w:p w14:paraId="3E9298D2" w14:textId="77777777" w:rsidR="00EB6E28" w:rsidRPr="00FF41FD" w:rsidRDefault="00EB6E28" w:rsidP="00EB6E28">
      <w:pPr>
        <w:rPr>
          <w:rFonts w:ascii="Arial" w:hAnsi="Arial" w:cs="Arial"/>
          <w:color w:val="000000" w:themeColor="text1"/>
        </w:rPr>
      </w:pPr>
    </w:p>
    <w:p w14:paraId="18FD7646"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[2] Czy były rozważane rozwiązania alternatywne?</w:t>
      </w:r>
    </w:p>
    <w:p w14:paraId="309BC0C2" w14:textId="77777777" w:rsidR="00EB6E28" w:rsidRPr="00FF41FD" w:rsidRDefault="00EB6E28" w:rsidP="00EB6E28">
      <w:pPr>
        <w:pStyle w:val="Akapitzlist"/>
        <w:numPr>
          <w:ilvl w:val="0"/>
          <w:numId w:val="2"/>
        </w:numPr>
        <w:spacing w:before="0" w:after="160" w:line="240" w:lineRule="auto"/>
        <w:rPr>
          <w:rFonts w:ascii="Arial" w:hAnsi="Arial" w:cs="Arial"/>
          <w:color w:val="000000" w:themeColor="text1"/>
        </w:rPr>
      </w:pPr>
      <w:r w:rsidRPr="00FF41FD">
        <w:rPr>
          <w:rFonts w:ascii="Arial" w:hAnsi="Arial" w:cs="Arial"/>
          <w:color w:val="000000" w:themeColor="text1"/>
        </w:rPr>
        <w:t>Nie</w:t>
      </w:r>
    </w:p>
    <w:tbl>
      <w:tblPr>
        <w:tblStyle w:val="Tabela-Siatka"/>
        <w:tblW w:w="0" w:type="auto"/>
        <w:tblLook w:val="04A0" w:firstRow="1" w:lastRow="0" w:firstColumn="1" w:lastColumn="0" w:noHBand="0" w:noVBand="1"/>
      </w:tblPr>
      <w:tblGrid>
        <w:gridCol w:w="9062"/>
      </w:tblGrid>
      <w:tr w:rsidR="00FF41FD" w:rsidRPr="00FF41FD" w14:paraId="437A6C8A" w14:textId="77777777" w:rsidTr="004473FB">
        <w:tc>
          <w:tcPr>
            <w:tcW w:w="9062" w:type="dxa"/>
          </w:tcPr>
          <w:p w14:paraId="0317CF5A" w14:textId="3539BC99" w:rsidR="00EB6E28" w:rsidRPr="00FF41FD" w:rsidRDefault="00B76F35" w:rsidP="00B76F35">
            <w:pPr>
              <w:ind w:left="360"/>
              <w:rPr>
                <w:rFonts w:ascii="Times New Roman" w:eastAsia="Times New Roman" w:hAnsi="Times New Roman" w:cs="Times New Roman"/>
                <w:color w:val="000000" w:themeColor="text1"/>
                <w:sz w:val="24"/>
                <w:szCs w:val="24"/>
                <w14:ligatures w14:val="none"/>
              </w:rPr>
            </w:pPr>
            <w:bookmarkStart w:id="11" w:name="_Hlk174441549"/>
            <w:r w:rsidRPr="00FF41FD">
              <w:rPr>
                <w:rFonts w:ascii="Times New Roman" w:eastAsia="Times New Roman" w:hAnsi="Times New Roman" w:cs="Times New Roman"/>
                <w:color w:val="000000" w:themeColor="text1"/>
                <w:sz w:val="24"/>
                <w:szCs w:val="24"/>
                <w14:ligatures w14:val="none"/>
              </w:rPr>
              <w:t xml:space="preserve">Nie rozważano rozwiązań </w:t>
            </w:r>
            <w:r w:rsidR="00FF41FD" w:rsidRPr="00FF41FD">
              <w:rPr>
                <w:rFonts w:ascii="Times New Roman" w:eastAsia="Times New Roman" w:hAnsi="Times New Roman" w:cs="Times New Roman"/>
                <w:color w:val="000000" w:themeColor="text1"/>
                <w:sz w:val="24"/>
                <w:szCs w:val="24"/>
                <w14:ligatures w14:val="none"/>
              </w:rPr>
              <w:t>alternatywnych,</w:t>
            </w:r>
            <w:r w:rsidRPr="00FF41FD">
              <w:rPr>
                <w:rFonts w:ascii="Times New Roman" w:eastAsia="Times New Roman" w:hAnsi="Times New Roman" w:cs="Times New Roman"/>
                <w:color w:val="000000" w:themeColor="text1"/>
                <w:sz w:val="24"/>
                <w:szCs w:val="24"/>
                <w14:ligatures w14:val="none"/>
              </w:rPr>
              <w:t xml:space="preserve"> gdyż przyjęto najprostsze rozwiązanie wskazanego problemu </w:t>
            </w:r>
            <w:r w:rsidR="00FF41FD" w:rsidRPr="00FF41FD">
              <w:rPr>
                <w:rFonts w:ascii="Times New Roman" w:eastAsia="Times New Roman" w:hAnsi="Times New Roman" w:cs="Times New Roman"/>
                <w:color w:val="000000" w:themeColor="text1"/>
                <w:sz w:val="24"/>
                <w:szCs w:val="24"/>
                <w14:ligatures w14:val="none"/>
              </w:rPr>
              <w:t>tj.</w:t>
            </w:r>
            <w:r w:rsidRPr="00FF41FD">
              <w:rPr>
                <w:rFonts w:ascii="Times New Roman" w:eastAsia="Times New Roman" w:hAnsi="Times New Roman" w:cs="Times New Roman"/>
                <w:color w:val="000000" w:themeColor="text1"/>
                <w:sz w:val="24"/>
                <w:szCs w:val="24"/>
                <w14:ligatures w14:val="none"/>
              </w:rPr>
              <w:t xml:space="preserve"> w przypadku braku</w:t>
            </w:r>
            <w:r w:rsidR="007A30C7" w:rsidRPr="00FF41FD">
              <w:rPr>
                <w:rFonts w:ascii="Times New Roman" w:eastAsia="Times New Roman" w:hAnsi="Times New Roman" w:cs="Times New Roman"/>
                <w:color w:val="000000" w:themeColor="text1"/>
                <w:sz w:val="24"/>
                <w:szCs w:val="24"/>
                <w14:ligatures w14:val="none"/>
              </w:rPr>
              <w:t xml:space="preserve"> </w:t>
            </w:r>
            <w:r w:rsidR="00AB1CA5" w:rsidRPr="00FF41FD">
              <w:rPr>
                <w:rFonts w:ascii="Times New Roman" w:eastAsia="Times New Roman" w:hAnsi="Times New Roman" w:cs="Times New Roman"/>
                <w:color w:val="000000" w:themeColor="text1"/>
                <w:sz w:val="24"/>
                <w:szCs w:val="24"/>
                <w14:ligatures w14:val="none"/>
              </w:rPr>
              <w:t xml:space="preserve">dla petentów </w:t>
            </w:r>
            <w:r w:rsidR="007A30C7" w:rsidRPr="00FF41FD">
              <w:rPr>
                <w:rFonts w:ascii="Times New Roman" w:eastAsia="Times New Roman" w:hAnsi="Times New Roman" w:cs="Times New Roman"/>
                <w:color w:val="000000" w:themeColor="text1"/>
                <w:sz w:val="24"/>
                <w:szCs w:val="24"/>
                <w14:ligatures w14:val="none"/>
              </w:rPr>
              <w:t xml:space="preserve">dostępu </w:t>
            </w:r>
            <w:r w:rsidR="00AB1CA5" w:rsidRPr="00FF41FD">
              <w:rPr>
                <w:rFonts w:ascii="Times New Roman" w:eastAsia="Times New Roman" w:hAnsi="Times New Roman" w:cs="Times New Roman"/>
                <w:color w:val="000000" w:themeColor="text1"/>
                <w:sz w:val="24"/>
                <w:szCs w:val="24"/>
                <w14:ligatures w14:val="none"/>
              </w:rPr>
              <w:t>do</w:t>
            </w:r>
            <w:r w:rsidRPr="00FF41FD">
              <w:rPr>
                <w:rFonts w:ascii="Times New Roman" w:eastAsia="Times New Roman" w:hAnsi="Times New Roman" w:cs="Times New Roman"/>
                <w:color w:val="000000" w:themeColor="text1"/>
                <w:sz w:val="24"/>
                <w:szCs w:val="24"/>
                <w14:ligatures w14:val="none"/>
              </w:rPr>
              <w:t xml:space="preserve"> informacji zobowiązano urzędy do ich przekazywania. </w:t>
            </w:r>
          </w:p>
        </w:tc>
      </w:tr>
    </w:tbl>
    <w:bookmarkEnd w:id="11"/>
    <w:p w14:paraId="5E59B1C1" w14:textId="53AE8421" w:rsidR="00EB6E28" w:rsidRPr="00FF41FD" w:rsidRDefault="00EB6E28" w:rsidP="00EB6E28">
      <w:pPr>
        <w:rPr>
          <w:rFonts w:ascii="Arial" w:hAnsi="Arial" w:cs="Arial"/>
          <w:color w:val="000000" w:themeColor="text1"/>
        </w:rPr>
      </w:pPr>
      <w:r w:rsidRPr="00FF41FD">
        <w:rPr>
          <w:rFonts w:ascii="Arial" w:hAnsi="Arial" w:cs="Arial"/>
          <w:b/>
          <w:color w:val="000000" w:themeColor="text1"/>
        </w:rPr>
        <w:t>II. Wymogi określone w art. 34 ust. 2 pkt 3–5 regulaminu Sejmu</w:t>
      </w:r>
    </w:p>
    <w:p w14:paraId="32052D1A"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[3] Jakie są przewidywane skutki prawne projektowanych rozwiązań?</w:t>
      </w:r>
    </w:p>
    <w:tbl>
      <w:tblPr>
        <w:tblStyle w:val="Tabela-Siatka"/>
        <w:tblW w:w="0" w:type="auto"/>
        <w:tblLook w:val="04A0" w:firstRow="1" w:lastRow="0" w:firstColumn="1" w:lastColumn="0" w:noHBand="0" w:noVBand="1"/>
      </w:tblPr>
      <w:tblGrid>
        <w:gridCol w:w="9062"/>
      </w:tblGrid>
      <w:tr w:rsidR="00EB6E28" w:rsidRPr="00FF41FD" w14:paraId="04B89711" w14:textId="77777777" w:rsidTr="004473FB">
        <w:tc>
          <w:tcPr>
            <w:tcW w:w="9062" w:type="dxa"/>
          </w:tcPr>
          <w:p w14:paraId="6792C5BB" w14:textId="1D6DDD5D" w:rsidR="00EB6E28" w:rsidRPr="00FF41FD" w:rsidRDefault="00A26F84" w:rsidP="004473FB">
            <w:pPr>
              <w:rPr>
                <w:rFonts w:ascii="Times New Roman" w:eastAsia="Times New Roman" w:hAnsi="Times New Roman" w:cs="Times New Roman"/>
                <w:color w:val="000000" w:themeColor="text1"/>
                <w:sz w:val="24"/>
                <w:szCs w:val="24"/>
                <w14:ligatures w14:val="none"/>
              </w:rPr>
            </w:pPr>
            <w:r w:rsidRPr="00FF41FD">
              <w:rPr>
                <w:rFonts w:ascii="Times New Roman" w:eastAsia="Times New Roman" w:hAnsi="Times New Roman" w:cs="Times New Roman"/>
                <w:color w:val="000000" w:themeColor="text1"/>
                <w:sz w:val="24"/>
                <w:szCs w:val="24"/>
                <w14:ligatures w14:val="none"/>
              </w:rPr>
              <w:t xml:space="preserve">Skutki prawne projektu ustawy a dokładnie </w:t>
            </w:r>
            <w:r w:rsidR="00EB6E28" w:rsidRPr="00FF41FD">
              <w:rPr>
                <w:rFonts w:ascii="Times New Roman" w:eastAsia="Times New Roman" w:hAnsi="Times New Roman" w:cs="Times New Roman"/>
                <w:color w:val="000000" w:themeColor="text1"/>
                <w:sz w:val="24"/>
                <w:szCs w:val="24"/>
                <w14:ligatures w14:val="none"/>
              </w:rPr>
              <w:t>różnic</w:t>
            </w:r>
            <w:r w:rsidRPr="00FF41FD">
              <w:rPr>
                <w:rFonts w:ascii="Times New Roman" w:eastAsia="Times New Roman" w:hAnsi="Times New Roman" w:cs="Times New Roman"/>
                <w:color w:val="000000" w:themeColor="text1"/>
                <w:sz w:val="24"/>
                <w:szCs w:val="24"/>
                <w14:ligatures w14:val="none"/>
              </w:rPr>
              <w:t>e</w:t>
            </w:r>
            <w:r w:rsidR="00EB6E28" w:rsidRPr="00FF41FD">
              <w:rPr>
                <w:rFonts w:ascii="Times New Roman" w:eastAsia="Times New Roman" w:hAnsi="Times New Roman" w:cs="Times New Roman"/>
                <w:color w:val="000000" w:themeColor="text1"/>
                <w:sz w:val="24"/>
                <w:szCs w:val="24"/>
                <w14:ligatures w14:val="none"/>
              </w:rPr>
              <w:t xml:space="preserve"> pomiędzy dotychczasowym a projektowanym stanem prawnym</w:t>
            </w:r>
            <w:r w:rsidRPr="00FF41FD">
              <w:rPr>
                <w:rFonts w:ascii="Times New Roman" w:eastAsia="Times New Roman" w:hAnsi="Times New Roman" w:cs="Times New Roman"/>
                <w:color w:val="000000" w:themeColor="text1"/>
                <w:sz w:val="24"/>
                <w:szCs w:val="24"/>
                <w14:ligatures w14:val="none"/>
              </w:rPr>
              <w:t xml:space="preserve"> zostały już opisane w części ogólnej uzasadnienia</w:t>
            </w:r>
            <w:r w:rsidR="00EB6E28" w:rsidRPr="00FF41FD">
              <w:rPr>
                <w:rFonts w:ascii="Times New Roman" w:eastAsia="Times New Roman" w:hAnsi="Times New Roman" w:cs="Times New Roman"/>
                <w:color w:val="000000" w:themeColor="text1"/>
                <w:sz w:val="24"/>
                <w:szCs w:val="24"/>
                <w14:ligatures w14:val="none"/>
              </w:rPr>
              <w:t xml:space="preserve">. Ponadto </w:t>
            </w:r>
            <w:r w:rsidRPr="00FF41FD">
              <w:rPr>
                <w:rFonts w:ascii="Times New Roman" w:eastAsia="Times New Roman" w:hAnsi="Times New Roman" w:cs="Times New Roman"/>
                <w:color w:val="000000" w:themeColor="text1"/>
                <w:sz w:val="24"/>
                <w:szCs w:val="24"/>
                <w14:ligatures w14:val="none"/>
              </w:rPr>
              <w:t>projekt ustawy jest spó</w:t>
            </w:r>
            <w:r w:rsidR="00EB6E28" w:rsidRPr="00FF41FD">
              <w:rPr>
                <w:rFonts w:ascii="Times New Roman" w:eastAsia="Times New Roman" w:hAnsi="Times New Roman" w:cs="Times New Roman"/>
                <w:color w:val="000000" w:themeColor="text1"/>
                <w:sz w:val="24"/>
                <w:szCs w:val="24"/>
                <w14:ligatures w14:val="none"/>
              </w:rPr>
              <w:t>jn</w:t>
            </w:r>
            <w:r w:rsidRPr="00FF41FD">
              <w:rPr>
                <w:rFonts w:ascii="Times New Roman" w:eastAsia="Times New Roman" w:hAnsi="Times New Roman" w:cs="Times New Roman"/>
                <w:color w:val="000000" w:themeColor="text1"/>
                <w:sz w:val="24"/>
                <w:szCs w:val="24"/>
                <w14:ligatures w14:val="none"/>
              </w:rPr>
              <w:t>y z</w:t>
            </w:r>
            <w:r w:rsidR="00EB6E28" w:rsidRPr="00FF41FD">
              <w:rPr>
                <w:rFonts w:ascii="Times New Roman" w:eastAsia="Times New Roman" w:hAnsi="Times New Roman" w:cs="Times New Roman"/>
                <w:color w:val="000000" w:themeColor="text1"/>
                <w:sz w:val="24"/>
                <w:szCs w:val="24"/>
                <w14:ligatures w14:val="none"/>
              </w:rPr>
              <w:t xml:space="preserve"> dotychczasowymi regulacjami</w:t>
            </w:r>
            <w:r w:rsidRPr="00FF41FD">
              <w:rPr>
                <w:rFonts w:ascii="Times New Roman" w:eastAsia="Times New Roman" w:hAnsi="Times New Roman" w:cs="Times New Roman"/>
                <w:color w:val="000000" w:themeColor="text1"/>
                <w:sz w:val="24"/>
                <w:szCs w:val="24"/>
                <w14:ligatures w14:val="none"/>
              </w:rPr>
              <w:t xml:space="preserve">, zgodny z </w:t>
            </w:r>
            <w:r w:rsidR="00EB6E28" w:rsidRPr="00FF41FD">
              <w:rPr>
                <w:rFonts w:ascii="Times New Roman" w:eastAsia="Times New Roman" w:hAnsi="Times New Roman" w:cs="Times New Roman"/>
                <w:color w:val="000000" w:themeColor="text1"/>
                <w:sz w:val="24"/>
                <w:szCs w:val="24"/>
                <w14:ligatures w14:val="none"/>
              </w:rPr>
              <w:t>Konstytucją RP, w tym z konstytucyjnym standardem ochrony wolności i praw</w:t>
            </w:r>
            <w:r w:rsidRPr="00FF41FD">
              <w:rPr>
                <w:rFonts w:ascii="Times New Roman" w:eastAsia="Times New Roman" w:hAnsi="Times New Roman" w:cs="Times New Roman"/>
                <w:color w:val="000000" w:themeColor="text1"/>
                <w:sz w:val="24"/>
                <w:szCs w:val="24"/>
                <w14:ligatures w14:val="none"/>
              </w:rPr>
              <w:t>.</w:t>
            </w:r>
          </w:p>
        </w:tc>
      </w:tr>
    </w:tbl>
    <w:p w14:paraId="38880B84" w14:textId="77777777" w:rsidR="00EB6E28" w:rsidRPr="00FF41FD" w:rsidRDefault="00EB6E28" w:rsidP="00EB6E28">
      <w:pPr>
        <w:rPr>
          <w:rFonts w:ascii="Arial" w:hAnsi="Arial" w:cs="Arial"/>
          <w:color w:val="000000" w:themeColor="text1"/>
        </w:rPr>
      </w:pPr>
    </w:p>
    <w:p w14:paraId="562EA476"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 xml:space="preserve">[4] Jakie są </w:t>
      </w:r>
      <w:bookmarkStart w:id="12" w:name="_Hlk174443131"/>
      <w:r w:rsidRPr="00FF41FD">
        <w:rPr>
          <w:rFonts w:ascii="Arial" w:hAnsi="Arial" w:cs="Arial"/>
          <w:color w:val="000000" w:themeColor="text1"/>
        </w:rPr>
        <w:t>przewidywane</w:t>
      </w:r>
      <w:bookmarkEnd w:id="12"/>
      <w:r w:rsidRPr="00FF41FD">
        <w:rPr>
          <w:rFonts w:ascii="Arial" w:hAnsi="Arial" w:cs="Arial"/>
          <w:color w:val="000000" w:themeColor="text1"/>
        </w:rPr>
        <w:t xml:space="preserve"> skutki społeczne projektowanych rozwiązań?</w:t>
      </w:r>
    </w:p>
    <w:tbl>
      <w:tblPr>
        <w:tblStyle w:val="Tabela-Siatka"/>
        <w:tblW w:w="0" w:type="auto"/>
        <w:tblLook w:val="04A0" w:firstRow="1" w:lastRow="0" w:firstColumn="1" w:lastColumn="0" w:noHBand="0" w:noVBand="1"/>
      </w:tblPr>
      <w:tblGrid>
        <w:gridCol w:w="9062"/>
      </w:tblGrid>
      <w:tr w:rsidR="00EB6E28" w:rsidRPr="00FF41FD" w14:paraId="09D4B88F" w14:textId="77777777" w:rsidTr="004473FB">
        <w:tc>
          <w:tcPr>
            <w:tcW w:w="9062" w:type="dxa"/>
          </w:tcPr>
          <w:p w14:paraId="4BCCC600" w14:textId="4EEE7393" w:rsidR="00EB6E28" w:rsidRPr="00FF41FD" w:rsidRDefault="00EB6E28" w:rsidP="00A26F84">
            <w:pPr>
              <w:rPr>
                <w:rFonts w:ascii="Times New Roman" w:hAnsi="Times New Roman" w:cs="Times New Roman"/>
                <w:color w:val="000000" w:themeColor="text1"/>
                <w:sz w:val="24"/>
                <w:szCs w:val="24"/>
              </w:rPr>
            </w:pPr>
            <w:r w:rsidRPr="00FF41FD">
              <w:rPr>
                <w:rFonts w:ascii="Times New Roman" w:hAnsi="Times New Roman" w:cs="Times New Roman"/>
                <w:color w:val="000000" w:themeColor="text1"/>
                <w:sz w:val="24"/>
                <w:szCs w:val="24"/>
              </w:rPr>
              <w:t xml:space="preserve">Skutki społeczne </w:t>
            </w:r>
            <w:r w:rsidR="00A26F84" w:rsidRPr="00FF41FD">
              <w:rPr>
                <w:rFonts w:ascii="Times New Roman" w:hAnsi="Times New Roman" w:cs="Times New Roman"/>
                <w:color w:val="000000" w:themeColor="text1"/>
                <w:sz w:val="24"/>
                <w:szCs w:val="24"/>
              </w:rPr>
              <w:t xml:space="preserve">projektu ustawy obejmą szeroki zakres podmiotów, gdyż będą nimi wszyscy płatnicy podatku od nieruchomości. Proponowane zmiany będą dla nich zdecydowanie korzystne, choć nie będą to korzyści stricte finansowe. Proponowane zmiany będą polegały na szerszym dostępie do informacji potencjalnie istotnych dla płatników ww. podatku. </w:t>
            </w:r>
          </w:p>
        </w:tc>
      </w:tr>
    </w:tbl>
    <w:p w14:paraId="40B8EF29" w14:textId="77777777" w:rsidR="00EB6E28" w:rsidRPr="00FF41FD" w:rsidRDefault="00EB6E28" w:rsidP="00EB6E28">
      <w:pPr>
        <w:rPr>
          <w:rFonts w:ascii="Arial" w:hAnsi="Arial" w:cs="Arial"/>
          <w:color w:val="000000" w:themeColor="text1"/>
        </w:rPr>
      </w:pPr>
    </w:p>
    <w:p w14:paraId="11BBCDFE"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[5] Jakie są przewidywane skutki gospodarcze projektowanych rozwiązań?</w:t>
      </w:r>
    </w:p>
    <w:p w14:paraId="7344392A" w14:textId="158EC098" w:rsidR="00B76F35" w:rsidRPr="00FF41FD" w:rsidRDefault="00B76F35" w:rsidP="00EB6E28">
      <w:pPr>
        <w:pBdr>
          <w:top w:val="single" w:sz="4" w:space="1" w:color="auto"/>
          <w:left w:val="single" w:sz="4" w:space="0" w:color="auto"/>
          <w:bottom w:val="single" w:sz="4" w:space="1" w:color="auto"/>
          <w:right w:val="single" w:sz="4" w:space="4" w:color="auto"/>
        </w:pBdr>
        <w:rPr>
          <w:rFonts w:ascii="Times New Roman" w:hAnsi="Times New Roman" w:cs="Times New Roman"/>
          <w:color w:val="000000" w:themeColor="text1"/>
        </w:rPr>
      </w:pPr>
      <w:r w:rsidRPr="00FF41FD">
        <w:rPr>
          <w:rFonts w:ascii="Times New Roman" w:hAnsi="Times New Roman" w:cs="Times New Roman"/>
          <w:color w:val="000000" w:themeColor="text1"/>
        </w:rPr>
        <w:t xml:space="preserve">Projekt ustawy wywołuje pozytywne skutki gospodarcze poprzez dostęp do informacji istotnej dla osób płacących podatek od nieruchomości, co pozwoli na spokojne gospodarowanie posiadanymi zasobami pieniężnymi poprzez zdobycie wiedzy o pierwszej racie podatku. </w:t>
      </w:r>
    </w:p>
    <w:p w14:paraId="4A74E9D7" w14:textId="1507C934" w:rsidR="007A30C7" w:rsidRPr="00FF41FD" w:rsidRDefault="00B76F35" w:rsidP="007A30C7">
      <w:pPr>
        <w:pBdr>
          <w:top w:val="single" w:sz="4" w:space="1" w:color="auto"/>
          <w:left w:val="single" w:sz="4" w:space="0" w:color="auto"/>
          <w:bottom w:val="single" w:sz="4" w:space="1" w:color="auto"/>
          <w:right w:val="single" w:sz="4" w:space="4" w:color="auto"/>
        </w:pBdr>
        <w:rPr>
          <w:rFonts w:ascii="Times New Roman" w:hAnsi="Times New Roman" w:cs="Times New Roman"/>
          <w:color w:val="000000" w:themeColor="text1"/>
        </w:rPr>
      </w:pPr>
      <w:r w:rsidRPr="00FF41FD">
        <w:rPr>
          <w:rFonts w:ascii="Times New Roman" w:hAnsi="Times New Roman" w:cs="Times New Roman"/>
          <w:color w:val="000000" w:themeColor="text1"/>
        </w:rPr>
        <w:t xml:space="preserve">Projekt ustawy pozytywnie wpłynie na mikroprzedsiębiorców, małych i średnich przedsiębiorców (MŚP) jednak będzie to wpływ </w:t>
      </w:r>
      <w:r w:rsidR="007A30C7" w:rsidRPr="00FF41FD">
        <w:rPr>
          <w:rFonts w:ascii="Times New Roman" w:hAnsi="Times New Roman" w:cs="Times New Roman"/>
          <w:color w:val="000000" w:themeColor="text1"/>
        </w:rPr>
        <w:t>niewielki, co bardzo istotne pozytywny, choć nie w wymiarze finansowym</w:t>
      </w:r>
      <w:r w:rsidRPr="00FF41FD">
        <w:rPr>
          <w:rFonts w:ascii="Times New Roman" w:hAnsi="Times New Roman" w:cs="Times New Roman"/>
          <w:color w:val="000000" w:themeColor="text1"/>
        </w:rPr>
        <w:t>.</w:t>
      </w:r>
    </w:p>
    <w:p w14:paraId="499B1FEE" w14:textId="77777777" w:rsidR="007A30C7" w:rsidRPr="00FF41FD" w:rsidRDefault="007A30C7" w:rsidP="00EB6E28">
      <w:pPr>
        <w:rPr>
          <w:rFonts w:ascii="Arial" w:hAnsi="Arial" w:cs="Arial"/>
          <w:color w:val="000000" w:themeColor="text1"/>
        </w:rPr>
      </w:pPr>
    </w:p>
    <w:p w14:paraId="5ABBE2FA" w14:textId="023BC256" w:rsidR="00EB6E28" w:rsidRPr="00FF41FD" w:rsidRDefault="00EB6E28" w:rsidP="00EB6E28">
      <w:pPr>
        <w:rPr>
          <w:rFonts w:ascii="Arial" w:hAnsi="Arial" w:cs="Arial"/>
          <w:color w:val="000000" w:themeColor="text1"/>
        </w:rPr>
      </w:pPr>
      <w:r w:rsidRPr="00FF41FD">
        <w:rPr>
          <w:rFonts w:ascii="Arial" w:hAnsi="Arial" w:cs="Arial"/>
          <w:color w:val="000000" w:themeColor="text1"/>
        </w:rPr>
        <w:lastRenderedPageBreak/>
        <w:t>[6] Jakie są przewidywane skutki finansowe projektowanych rozwiązań, w szczególności wpływ na sektor finansów publicznych, w tym na budżet państwa i budżety jednostek samorządu terytorialnego?</w:t>
      </w:r>
    </w:p>
    <w:tbl>
      <w:tblPr>
        <w:tblStyle w:val="Tabela-Siatka"/>
        <w:tblW w:w="0" w:type="auto"/>
        <w:tblLook w:val="04A0" w:firstRow="1" w:lastRow="0" w:firstColumn="1" w:lastColumn="0" w:noHBand="0" w:noVBand="1"/>
      </w:tblPr>
      <w:tblGrid>
        <w:gridCol w:w="9062"/>
      </w:tblGrid>
      <w:tr w:rsidR="00EB6E28" w:rsidRPr="00FF41FD" w14:paraId="16DC1DAE" w14:textId="77777777" w:rsidTr="004473FB">
        <w:tc>
          <w:tcPr>
            <w:tcW w:w="9062" w:type="dxa"/>
          </w:tcPr>
          <w:p w14:paraId="174D9865" w14:textId="37219B4C" w:rsidR="00EB6E28" w:rsidRPr="00FF41FD" w:rsidRDefault="007A30C7" w:rsidP="004473FB">
            <w:pPr>
              <w:rPr>
                <w:rFonts w:ascii="Arial" w:hAnsi="Arial" w:cs="Arial"/>
                <w:color w:val="000000" w:themeColor="text1"/>
                <w:sz w:val="20"/>
                <w:szCs w:val="20"/>
              </w:rPr>
            </w:pPr>
            <w:r w:rsidRPr="00FF41FD">
              <w:rPr>
                <w:rFonts w:ascii="Times New Roman" w:hAnsi="Times New Roman" w:cs="Times New Roman"/>
                <w:color w:val="000000" w:themeColor="text1"/>
                <w:sz w:val="24"/>
                <w:szCs w:val="24"/>
              </w:rPr>
              <w:t>Projekt nie wywołuje skutków finansowych w tym dla</w:t>
            </w:r>
            <w:r w:rsidRPr="00FF41FD">
              <w:rPr>
                <w:color w:val="000000" w:themeColor="text1"/>
              </w:rPr>
              <w:t xml:space="preserve"> </w:t>
            </w:r>
            <w:r w:rsidRPr="00FF41FD">
              <w:rPr>
                <w:rFonts w:ascii="Times New Roman" w:hAnsi="Times New Roman" w:cs="Times New Roman"/>
                <w:color w:val="000000" w:themeColor="text1"/>
                <w:sz w:val="24"/>
                <w:szCs w:val="24"/>
              </w:rPr>
              <w:t xml:space="preserve">sektora finansów publicznych, na budżet państwa i budżety jednostek samorządu </w:t>
            </w:r>
            <w:r w:rsidR="00FF41FD" w:rsidRPr="00FF41FD">
              <w:rPr>
                <w:rFonts w:ascii="Times New Roman" w:hAnsi="Times New Roman" w:cs="Times New Roman"/>
                <w:color w:val="000000" w:themeColor="text1"/>
                <w:sz w:val="24"/>
                <w:szCs w:val="24"/>
              </w:rPr>
              <w:t>terytorialnego.</w:t>
            </w:r>
            <w:r w:rsidRPr="00FF41FD">
              <w:rPr>
                <w:rFonts w:ascii="Arial" w:hAnsi="Arial" w:cs="Arial"/>
                <w:color w:val="000000" w:themeColor="text1"/>
                <w:sz w:val="20"/>
                <w:szCs w:val="20"/>
              </w:rPr>
              <w:t xml:space="preserve"> </w:t>
            </w:r>
          </w:p>
        </w:tc>
      </w:tr>
    </w:tbl>
    <w:p w14:paraId="156B5E87" w14:textId="77777777" w:rsidR="00EB6E28" w:rsidRPr="00FF41FD" w:rsidRDefault="00EB6E28" w:rsidP="00EB6E28">
      <w:pPr>
        <w:rPr>
          <w:rFonts w:ascii="Arial" w:hAnsi="Arial" w:cs="Arial"/>
          <w:color w:val="000000" w:themeColor="text1"/>
        </w:rPr>
      </w:pPr>
    </w:p>
    <w:p w14:paraId="53160B01"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[7] Wykaz źródeł finansowania, jeśli projekt ustawy pociąga za sobą obciążenie budżetu państwa lub budżetów jednostek samorządu terytorialnego.</w:t>
      </w:r>
    </w:p>
    <w:tbl>
      <w:tblPr>
        <w:tblStyle w:val="Tabela-Siatka"/>
        <w:tblW w:w="0" w:type="auto"/>
        <w:tblLook w:val="04A0" w:firstRow="1" w:lastRow="0" w:firstColumn="1" w:lastColumn="0" w:noHBand="0" w:noVBand="1"/>
      </w:tblPr>
      <w:tblGrid>
        <w:gridCol w:w="9062"/>
      </w:tblGrid>
      <w:tr w:rsidR="00EB6E28" w:rsidRPr="00FF41FD" w14:paraId="4F74C59E" w14:textId="77777777" w:rsidTr="004473FB">
        <w:tc>
          <w:tcPr>
            <w:tcW w:w="9062" w:type="dxa"/>
          </w:tcPr>
          <w:p w14:paraId="4C896F04" w14:textId="1E01C4A1" w:rsidR="00EB6E28" w:rsidRPr="00FF41FD" w:rsidRDefault="007A30C7" w:rsidP="004473FB">
            <w:pPr>
              <w:rPr>
                <w:rFonts w:ascii="Times New Roman" w:hAnsi="Times New Roman" w:cs="Times New Roman"/>
                <w:color w:val="000000" w:themeColor="text1"/>
                <w:sz w:val="24"/>
                <w:szCs w:val="24"/>
              </w:rPr>
            </w:pPr>
            <w:r w:rsidRPr="00FF41FD">
              <w:rPr>
                <w:rFonts w:ascii="Times New Roman" w:hAnsi="Times New Roman" w:cs="Times New Roman"/>
                <w:color w:val="000000" w:themeColor="text1"/>
                <w:sz w:val="24"/>
                <w:szCs w:val="24"/>
              </w:rPr>
              <w:t>Projekt nie wywołuje skutków finansowych.</w:t>
            </w:r>
          </w:p>
        </w:tc>
      </w:tr>
    </w:tbl>
    <w:p w14:paraId="4DCE1E15" w14:textId="77777777" w:rsidR="00EB6E28" w:rsidRPr="00FF41FD" w:rsidRDefault="00EB6E28" w:rsidP="00EB6E28">
      <w:pPr>
        <w:rPr>
          <w:rFonts w:ascii="Arial" w:hAnsi="Arial" w:cs="Arial"/>
          <w:color w:val="000000" w:themeColor="text1"/>
        </w:rPr>
      </w:pPr>
    </w:p>
    <w:p w14:paraId="7764E3BE"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 xml:space="preserve">[8] Czy projekt ustawy podlega procedurze notyfikacyjnej? </w:t>
      </w:r>
    </w:p>
    <w:p w14:paraId="7481E13D" w14:textId="77777777" w:rsidR="00EB6E28" w:rsidRPr="00FF41FD" w:rsidRDefault="00EB6E28" w:rsidP="00EB6E28">
      <w:pPr>
        <w:pStyle w:val="Akapitzlist"/>
        <w:numPr>
          <w:ilvl w:val="0"/>
          <w:numId w:val="2"/>
        </w:numPr>
        <w:spacing w:before="0" w:after="160" w:line="240" w:lineRule="auto"/>
        <w:rPr>
          <w:rFonts w:ascii="Arial" w:hAnsi="Arial" w:cs="Arial"/>
          <w:color w:val="000000" w:themeColor="text1"/>
        </w:rPr>
      </w:pPr>
      <w:r w:rsidRPr="00FF41FD">
        <w:rPr>
          <w:rFonts w:ascii="Arial" w:hAnsi="Arial" w:cs="Arial"/>
          <w:color w:val="000000" w:themeColor="text1"/>
        </w:rPr>
        <w:t xml:space="preserve">Nie </w:t>
      </w:r>
    </w:p>
    <w:p w14:paraId="2E0638CB" w14:textId="36CC6126" w:rsidR="00EB6E28" w:rsidRPr="00FF41FD" w:rsidRDefault="00EB6E28" w:rsidP="00EB6E28">
      <w:pPr>
        <w:rPr>
          <w:rFonts w:ascii="Arial" w:hAnsi="Arial" w:cs="Arial"/>
          <w:b/>
          <w:color w:val="000000" w:themeColor="text1"/>
        </w:rPr>
      </w:pPr>
    </w:p>
    <w:p w14:paraId="3FBDA095" w14:textId="77777777" w:rsidR="00EB6E28" w:rsidRPr="00FF41FD" w:rsidRDefault="00EB6E28" w:rsidP="00EB6E28">
      <w:pPr>
        <w:rPr>
          <w:rFonts w:ascii="Arial" w:hAnsi="Arial" w:cs="Arial"/>
          <w:b/>
          <w:color w:val="000000" w:themeColor="text1"/>
        </w:rPr>
      </w:pPr>
      <w:r w:rsidRPr="00FF41FD">
        <w:rPr>
          <w:rFonts w:ascii="Arial" w:hAnsi="Arial" w:cs="Arial"/>
          <w:b/>
          <w:color w:val="000000" w:themeColor="text1"/>
        </w:rPr>
        <w:t xml:space="preserve">III. </w:t>
      </w:r>
      <w:bookmarkStart w:id="13" w:name="_Hlk174441212"/>
      <w:r w:rsidRPr="00FF41FD">
        <w:rPr>
          <w:rFonts w:ascii="Arial" w:hAnsi="Arial" w:cs="Arial"/>
          <w:b/>
          <w:color w:val="000000" w:themeColor="text1"/>
        </w:rPr>
        <w:t>Wymogi określone w art. 34 ust. 2a i 2b regulaminu Sejmu</w:t>
      </w:r>
    </w:p>
    <w:p w14:paraId="68C64FFD" w14:textId="77777777" w:rsidR="00EB6E28" w:rsidRPr="00FF41FD" w:rsidRDefault="00EB6E28" w:rsidP="00EB6E28">
      <w:pPr>
        <w:rPr>
          <w:rFonts w:ascii="Arial" w:hAnsi="Arial" w:cs="Arial"/>
          <w:b/>
          <w:color w:val="000000" w:themeColor="text1"/>
        </w:rPr>
      </w:pPr>
      <w:r w:rsidRPr="00FF41FD">
        <w:rPr>
          <w:rFonts w:ascii="Arial" w:hAnsi="Arial" w:cs="Arial"/>
          <w:b/>
          <w:color w:val="000000" w:themeColor="text1"/>
        </w:rPr>
        <w:t xml:space="preserve"> </w:t>
      </w:r>
      <w:bookmarkEnd w:id="13"/>
    </w:p>
    <w:p w14:paraId="1AF79147"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[9] Czy projekt ustawy zawiera przepisy określające zasady podejmowania, wykonywania lub zakończenia działalności gospodarczej (art. 34 ust. 2a regulaminu Sejmu)?</w:t>
      </w:r>
    </w:p>
    <w:p w14:paraId="268D07A4" w14:textId="77777777" w:rsidR="00EB6E28" w:rsidRPr="00FF41FD" w:rsidRDefault="00EB6E28" w:rsidP="00EB6E28">
      <w:pPr>
        <w:pStyle w:val="Akapitzlist"/>
        <w:numPr>
          <w:ilvl w:val="0"/>
          <w:numId w:val="2"/>
        </w:numPr>
        <w:spacing w:before="0" w:after="160" w:line="240" w:lineRule="auto"/>
        <w:rPr>
          <w:rFonts w:ascii="Arial" w:hAnsi="Arial" w:cs="Arial"/>
          <w:color w:val="000000" w:themeColor="text1"/>
        </w:rPr>
      </w:pPr>
      <w:r w:rsidRPr="00FF41FD">
        <w:rPr>
          <w:rFonts w:ascii="Arial" w:hAnsi="Arial" w:cs="Arial"/>
          <w:color w:val="000000" w:themeColor="text1"/>
        </w:rPr>
        <w:t>Nie</w:t>
      </w:r>
    </w:p>
    <w:p w14:paraId="598F49EF" w14:textId="77777777" w:rsidR="00EB6E28" w:rsidRPr="00FF41FD" w:rsidRDefault="00EB6E28" w:rsidP="00EB6E28">
      <w:pPr>
        <w:spacing w:line="240" w:lineRule="auto"/>
        <w:rPr>
          <w:rFonts w:ascii="Arial" w:hAnsi="Arial" w:cs="Arial"/>
          <w:color w:val="000000" w:themeColor="text1"/>
        </w:rPr>
      </w:pPr>
    </w:p>
    <w:p w14:paraId="6914379A"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[10] Czy wdrożenie projektowanych przepisów spowoduje obciążenia administracyjne mikroprzedsiębiorców, małych i średnich przedsiębiorców (art. 34 ust. 2a regulaminu Sejmu)?</w:t>
      </w:r>
    </w:p>
    <w:p w14:paraId="47A610B9" w14:textId="77777777" w:rsidR="00EB6E28" w:rsidRPr="00FF41FD" w:rsidRDefault="00EB6E28" w:rsidP="00EB6E28">
      <w:pPr>
        <w:pStyle w:val="Akapitzlist"/>
        <w:numPr>
          <w:ilvl w:val="0"/>
          <w:numId w:val="2"/>
        </w:numPr>
        <w:spacing w:before="0" w:after="160" w:line="240" w:lineRule="auto"/>
        <w:rPr>
          <w:rFonts w:ascii="Arial" w:hAnsi="Arial" w:cs="Arial"/>
          <w:color w:val="000000" w:themeColor="text1"/>
        </w:rPr>
      </w:pPr>
      <w:r w:rsidRPr="00FF41FD">
        <w:rPr>
          <w:rFonts w:ascii="Arial" w:hAnsi="Arial" w:cs="Arial"/>
          <w:color w:val="000000" w:themeColor="text1"/>
        </w:rPr>
        <w:t>Nie</w:t>
      </w:r>
    </w:p>
    <w:p w14:paraId="56CB3D33" w14:textId="77777777" w:rsidR="00EB6E28" w:rsidRPr="00FF41FD" w:rsidRDefault="00EB6E28" w:rsidP="00EB6E28">
      <w:pPr>
        <w:spacing w:line="240" w:lineRule="auto"/>
        <w:rPr>
          <w:rFonts w:ascii="Arial" w:hAnsi="Arial" w:cs="Arial"/>
          <w:color w:val="000000" w:themeColor="text1"/>
        </w:rPr>
      </w:pPr>
    </w:p>
    <w:p w14:paraId="4DF79F38" w14:textId="77777777" w:rsidR="00EB6E28" w:rsidRPr="00FF41FD" w:rsidRDefault="00EB6E28" w:rsidP="00EB6E28">
      <w:pPr>
        <w:rPr>
          <w:rFonts w:ascii="Arial" w:hAnsi="Arial" w:cs="Arial"/>
          <w:color w:val="000000" w:themeColor="text1"/>
        </w:rPr>
      </w:pPr>
      <w:r w:rsidRPr="00FF41FD">
        <w:rPr>
          <w:rFonts w:ascii="Arial" w:hAnsi="Arial" w:cs="Arial"/>
          <w:color w:val="000000" w:themeColor="text1"/>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2FA3F8DE" w14:textId="77777777" w:rsidR="00EB6E28" w:rsidRPr="00FF41FD" w:rsidRDefault="00EB6E28" w:rsidP="00EB6E28">
      <w:pPr>
        <w:pStyle w:val="Akapitzlist"/>
        <w:numPr>
          <w:ilvl w:val="0"/>
          <w:numId w:val="3"/>
        </w:numPr>
        <w:spacing w:before="0" w:after="160" w:line="259" w:lineRule="auto"/>
        <w:ind w:left="714" w:hanging="357"/>
        <w:rPr>
          <w:rFonts w:ascii="Arial" w:hAnsi="Arial" w:cs="Arial"/>
          <w:color w:val="000000" w:themeColor="text1"/>
        </w:rPr>
      </w:pPr>
      <w:r w:rsidRPr="00FF41FD">
        <w:rPr>
          <w:rFonts w:ascii="Arial" w:hAnsi="Arial" w:cs="Arial"/>
          <w:color w:val="000000" w:themeColor="text1"/>
        </w:rPr>
        <w:t xml:space="preserve">Nie </w:t>
      </w:r>
    </w:p>
    <w:p w14:paraId="4F3E876C" w14:textId="77777777" w:rsidR="00EB6E28" w:rsidRPr="00FF41FD" w:rsidRDefault="00EB6E28" w:rsidP="00EB6E28">
      <w:pPr>
        <w:rPr>
          <w:rFonts w:ascii="Arial" w:hAnsi="Arial" w:cs="Arial"/>
          <w:color w:val="000000" w:themeColor="text1"/>
        </w:rPr>
      </w:pPr>
    </w:p>
    <w:p w14:paraId="13FCEEC1" w14:textId="77777777" w:rsidR="00EB6E28" w:rsidRPr="00FF41FD" w:rsidRDefault="00EB6E28" w:rsidP="006B0C78">
      <w:pPr>
        <w:spacing w:line="360" w:lineRule="auto"/>
        <w:rPr>
          <w:rFonts w:ascii="Times New Roman" w:hAnsi="Times New Roman" w:cs="Times New Roman"/>
          <w:color w:val="000000" w:themeColor="text1"/>
        </w:rPr>
      </w:pPr>
    </w:p>
    <w:p w14:paraId="011A8DD0" w14:textId="77777777" w:rsidR="00B209EC" w:rsidRPr="00FF41FD" w:rsidRDefault="00B209EC" w:rsidP="005C272F">
      <w:pPr>
        <w:spacing w:line="360" w:lineRule="auto"/>
        <w:rPr>
          <w:rFonts w:ascii="Times New Roman" w:hAnsi="Times New Roman" w:cs="Times New Roman"/>
          <w:color w:val="000000" w:themeColor="text1"/>
        </w:rPr>
      </w:pPr>
    </w:p>
    <w:sectPr w:rsidR="00B209EC" w:rsidRPr="00FF4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0910"/>
    <w:multiLevelType w:val="hybridMultilevel"/>
    <w:tmpl w:val="948EB548"/>
    <w:lvl w:ilvl="0" w:tplc="19EA727E">
      <w:start w:val="1"/>
      <w:numFmt w:val="lowerLetter"/>
      <w:lvlText w:val="%1)"/>
      <w:lvlJc w:val="left"/>
      <w:pPr>
        <w:ind w:left="720" w:hanging="360"/>
      </w:pPr>
      <w:rPr>
        <w:rFonts w:ascii="Arial" w:hAnsi="Arial" w:cs="Arial"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121ACD"/>
    <w:multiLevelType w:val="hybridMultilevel"/>
    <w:tmpl w:val="46BAA04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B56306"/>
    <w:multiLevelType w:val="hybridMultilevel"/>
    <w:tmpl w:val="3F167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9B3C0A"/>
    <w:multiLevelType w:val="hybridMultilevel"/>
    <w:tmpl w:val="7D80F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783B01"/>
    <w:multiLevelType w:val="hybridMultilevel"/>
    <w:tmpl w:val="D06EB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951C87"/>
    <w:multiLevelType w:val="hybridMultilevel"/>
    <w:tmpl w:val="54522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C96C9E"/>
    <w:multiLevelType w:val="hybridMultilevel"/>
    <w:tmpl w:val="64129D4C"/>
    <w:lvl w:ilvl="0" w:tplc="06647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93898">
    <w:abstractNumId w:val="3"/>
  </w:num>
  <w:num w:numId="2" w16cid:durableId="973487502">
    <w:abstractNumId w:val="8"/>
  </w:num>
  <w:num w:numId="3" w16cid:durableId="1496339664">
    <w:abstractNumId w:val="6"/>
  </w:num>
  <w:num w:numId="4" w16cid:durableId="426854597">
    <w:abstractNumId w:val="7"/>
  </w:num>
  <w:num w:numId="5" w16cid:durableId="1663312661">
    <w:abstractNumId w:val="1"/>
  </w:num>
  <w:num w:numId="6" w16cid:durableId="1643582389">
    <w:abstractNumId w:val="0"/>
  </w:num>
  <w:num w:numId="7" w16cid:durableId="1981155">
    <w:abstractNumId w:val="4"/>
  </w:num>
  <w:num w:numId="8" w16cid:durableId="1460806802">
    <w:abstractNumId w:val="2"/>
  </w:num>
  <w:num w:numId="9" w16cid:durableId="1826236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E0"/>
    <w:rsid w:val="00023AA0"/>
    <w:rsid w:val="000C6F0A"/>
    <w:rsid w:val="0010310B"/>
    <w:rsid w:val="001357DC"/>
    <w:rsid w:val="001E26F4"/>
    <w:rsid w:val="002223AE"/>
    <w:rsid w:val="00250A5B"/>
    <w:rsid w:val="00383035"/>
    <w:rsid w:val="003D0536"/>
    <w:rsid w:val="00444A2D"/>
    <w:rsid w:val="004B451E"/>
    <w:rsid w:val="004D3443"/>
    <w:rsid w:val="004D7A1E"/>
    <w:rsid w:val="00574F7B"/>
    <w:rsid w:val="005C272F"/>
    <w:rsid w:val="005F721E"/>
    <w:rsid w:val="006B0C78"/>
    <w:rsid w:val="006F2CFD"/>
    <w:rsid w:val="007A30C7"/>
    <w:rsid w:val="00801454"/>
    <w:rsid w:val="00804790"/>
    <w:rsid w:val="00817000"/>
    <w:rsid w:val="008B7481"/>
    <w:rsid w:val="008D5658"/>
    <w:rsid w:val="00930737"/>
    <w:rsid w:val="0098608B"/>
    <w:rsid w:val="00A26F84"/>
    <w:rsid w:val="00A2739F"/>
    <w:rsid w:val="00A90D24"/>
    <w:rsid w:val="00AB1CA5"/>
    <w:rsid w:val="00AE76D8"/>
    <w:rsid w:val="00B209EC"/>
    <w:rsid w:val="00B76F35"/>
    <w:rsid w:val="00BF15AA"/>
    <w:rsid w:val="00C91B55"/>
    <w:rsid w:val="00CA5014"/>
    <w:rsid w:val="00CC4D08"/>
    <w:rsid w:val="00D104AB"/>
    <w:rsid w:val="00D11A15"/>
    <w:rsid w:val="00D147F6"/>
    <w:rsid w:val="00D33FA3"/>
    <w:rsid w:val="00DF3737"/>
    <w:rsid w:val="00EB6E28"/>
    <w:rsid w:val="00EC7B75"/>
    <w:rsid w:val="00F546E0"/>
    <w:rsid w:val="00F63BB7"/>
    <w:rsid w:val="00F72845"/>
    <w:rsid w:val="00FF4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D905"/>
  <w15:chartTrackingRefBased/>
  <w15:docId w15:val="{8DC88F0E-2726-914A-8D44-2565E713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E28"/>
    <w:pPr>
      <w:spacing w:before="120" w:after="120" w:line="320" w:lineRule="exact"/>
      <w:jc w:val="both"/>
    </w:pPr>
    <w:rPr>
      <w:rFonts w:ascii="Century Gothic" w:hAnsi="Century Gothic"/>
    </w:rPr>
  </w:style>
  <w:style w:type="paragraph" w:styleId="Nagwek1">
    <w:name w:val="heading 1"/>
    <w:basedOn w:val="Normalny"/>
    <w:next w:val="Normalny"/>
    <w:link w:val="Nagwek1Znak"/>
    <w:uiPriority w:val="9"/>
    <w:qFormat/>
    <w:rsid w:val="00F546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546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546E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546E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546E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546E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546E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546E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546E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46E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546E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546E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546E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546E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546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546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546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546E0"/>
    <w:rPr>
      <w:rFonts w:eastAsiaTheme="majorEastAsia" w:cstheme="majorBidi"/>
      <w:color w:val="272727" w:themeColor="text1" w:themeTint="D8"/>
    </w:rPr>
  </w:style>
  <w:style w:type="paragraph" w:styleId="Tytu">
    <w:name w:val="Title"/>
    <w:basedOn w:val="Normalny"/>
    <w:next w:val="Normalny"/>
    <w:link w:val="TytuZnak"/>
    <w:uiPriority w:val="10"/>
    <w:qFormat/>
    <w:rsid w:val="00F546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546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546E0"/>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546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546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F546E0"/>
    <w:rPr>
      <w:i/>
      <w:iCs/>
      <w:color w:val="404040" w:themeColor="text1" w:themeTint="BF"/>
    </w:rPr>
  </w:style>
  <w:style w:type="paragraph" w:styleId="Akapitzlist">
    <w:name w:val="List Paragraph"/>
    <w:basedOn w:val="Normalny"/>
    <w:uiPriority w:val="34"/>
    <w:qFormat/>
    <w:rsid w:val="00F546E0"/>
    <w:pPr>
      <w:ind w:left="720"/>
      <w:contextualSpacing/>
    </w:pPr>
  </w:style>
  <w:style w:type="character" w:styleId="Wyrnienieintensywne">
    <w:name w:val="Intense Emphasis"/>
    <w:basedOn w:val="Domylnaczcionkaakapitu"/>
    <w:uiPriority w:val="21"/>
    <w:qFormat/>
    <w:rsid w:val="00F546E0"/>
    <w:rPr>
      <w:i/>
      <w:iCs/>
      <w:color w:val="2F5496" w:themeColor="accent1" w:themeShade="BF"/>
    </w:rPr>
  </w:style>
  <w:style w:type="paragraph" w:styleId="Cytatintensywny">
    <w:name w:val="Intense Quote"/>
    <w:basedOn w:val="Normalny"/>
    <w:next w:val="Normalny"/>
    <w:link w:val="CytatintensywnyZnak"/>
    <w:uiPriority w:val="30"/>
    <w:qFormat/>
    <w:rsid w:val="00F54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546E0"/>
    <w:rPr>
      <w:i/>
      <w:iCs/>
      <w:color w:val="2F5496" w:themeColor="accent1" w:themeShade="BF"/>
    </w:rPr>
  </w:style>
  <w:style w:type="character" w:styleId="Odwoanieintensywne">
    <w:name w:val="Intense Reference"/>
    <w:basedOn w:val="Domylnaczcionkaakapitu"/>
    <w:uiPriority w:val="32"/>
    <w:qFormat/>
    <w:rsid w:val="00F546E0"/>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A90D24"/>
    <w:rPr>
      <w:sz w:val="16"/>
      <w:szCs w:val="16"/>
    </w:rPr>
  </w:style>
  <w:style w:type="paragraph" w:styleId="Tekstkomentarza">
    <w:name w:val="annotation text"/>
    <w:basedOn w:val="Normalny"/>
    <w:link w:val="TekstkomentarzaZnak"/>
    <w:uiPriority w:val="99"/>
    <w:unhideWhenUsed/>
    <w:rsid w:val="00A90D24"/>
    <w:pPr>
      <w:spacing w:line="240" w:lineRule="auto"/>
    </w:pPr>
    <w:rPr>
      <w:sz w:val="20"/>
      <w:szCs w:val="20"/>
    </w:rPr>
  </w:style>
  <w:style w:type="character" w:customStyle="1" w:styleId="TekstkomentarzaZnak">
    <w:name w:val="Tekst komentarza Znak"/>
    <w:basedOn w:val="Domylnaczcionkaakapitu"/>
    <w:link w:val="Tekstkomentarza"/>
    <w:uiPriority w:val="99"/>
    <w:rsid w:val="00A90D24"/>
    <w:rPr>
      <w:rFonts w:ascii="Century Gothic" w:hAnsi="Century Gothic"/>
      <w:sz w:val="20"/>
      <w:szCs w:val="20"/>
    </w:rPr>
  </w:style>
  <w:style w:type="paragraph" w:styleId="Tematkomentarza">
    <w:name w:val="annotation subject"/>
    <w:basedOn w:val="Tekstkomentarza"/>
    <w:next w:val="Tekstkomentarza"/>
    <w:link w:val="TematkomentarzaZnak"/>
    <w:uiPriority w:val="99"/>
    <w:semiHidden/>
    <w:unhideWhenUsed/>
    <w:rsid w:val="00A90D24"/>
    <w:rPr>
      <w:b/>
      <w:bCs/>
    </w:rPr>
  </w:style>
  <w:style w:type="character" w:customStyle="1" w:styleId="TematkomentarzaZnak">
    <w:name w:val="Temat komentarza Znak"/>
    <w:basedOn w:val="TekstkomentarzaZnak"/>
    <w:link w:val="Tematkomentarza"/>
    <w:uiPriority w:val="99"/>
    <w:semiHidden/>
    <w:rsid w:val="00A90D24"/>
    <w:rPr>
      <w:rFonts w:ascii="Century Gothic" w:hAnsi="Century Gothic"/>
      <w:b/>
      <w:bCs/>
      <w:sz w:val="20"/>
      <w:szCs w:val="20"/>
    </w:rPr>
  </w:style>
  <w:style w:type="table" w:styleId="Tabela-Siatka">
    <w:name w:val="Table Grid"/>
    <w:basedOn w:val="Standardowy"/>
    <w:uiPriority w:val="39"/>
    <w:rsid w:val="00EB6E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26F4"/>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1742</Words>
  <Characters>10452</Characters>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2024-11-04T07:49:00Z</dcterms:created>
  <dcterms:modified xsi:type="dcterms:W3CDTF">2024-11-04T12:30:00Z</dcterms:modified>
</cp:coreProperties>
</file>