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F838C" w14:textId="77777777" w:rsidR="00F36735" w:rsidRDefault="00F36735" w:rsidP="00F36735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ind w:firstLine="510"/>
        <w:jc w:val="both"/>
        <w:rPr>
          <w:rFonts w:ascii="Times" w:eastAsia="Times" w:hAnsi="Times" w:cs="Times"/>
          <w:b/>
          <w:color w:val="000000"/>
          <w:szCs w:val="24"/>
        </w:rPr>
      </w:pPr>
    </w:p>
    <w:p w14:paraId="6A968A7E" w14:textId="77777777" w:rsidR="00F36735" w:rsidRDefault="00F36735" w:rsidP="00F36735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 w:cs="Times New Roman"/>
          <w:color w:val="000000"/>
          <w:szCs w:val="24"/>
          <w:u w:val="single"/>
        </w:rPr>
      </w:pPr>
      <w:r>
        <w:rPr>
          <w:rFonts w:eastAsia="Times New Roman" w:cs="Times New Roman"/>
          <w:color w:val="000000"/>
          <w:szCs w:val="24"/>
          <w:u w:val="single"/>
        </w:rPr>
        <w:t xml:space="preserve">Projekt </w:t>
      </w:r>
    </w:p>
    <w:p w14:paraId="2C4BEE8C" w14:textId="77777777" w:rsidR="00F36735" w:rsidRDefault="00F36735" w:rsidP="00F36735">
      <w:pPr>
        <w:keepNext/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imes" w:eastAsia="Times" w:hAnsi="Times" w:cs="Times"/>
          <w:b/>
          <w:smallCaps/>
          <w:color w:val="000000"/>
          <w:szCs w:val="24"/>
        </w:rPr>
      </w:pPr>
      <w:r>
        <w:rPr>
          <w:rFonts w:ascii="Times" w:eastAsia="Times" w:hAnsi="Times" w:cs="Times"/>
          <w:b/>
          <w:smallCaps/>
          <w:color w:val="000000"/>
          <w:szCs w:val="24"/>
        </w:rPr>
        <w:t xml:space="preserve">USTAWA </w:t>
      </w:r>
    </w:p>
    <w:p w14:paraId="780B447A" w14:textId="77777777" w:rsidR="00F36735" w:rsidRDefault="00F36735" w:rsidP="00F36735">
      <w:pPr>
        <w:keepNext/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" w:eastAsia="Times" w:hAnsi="Times" w:cs="Times"/>
          <w:color w:val="000000"/>
          <w:szCs w:val="24"/>
        </w:rPr>
      </w:pPr>
      <w:r>
        <w:rPr>
          <w:rFonts w:ascii="Times" w:eastAsia="Times" w:hAnsi="Times" w:cs="Times"/>
          <w:color w:val="000000"/>
          <w:szCs w:val="24"/>
        </w:rPr>
        <w:t>z dnia … r.</w:t>
      </w:r>
    </w:p>
    <w:p w14:paraId="634EF16E" w14:textId="77777777" w:rsidR="00F36735" w:rsidRDefault="00F36735" w:rsidP="00F36735">
      <w:pPr>
        <w:keepNext/>
        <w:widowControl/>
        <w:pBdr>
          <w:top w:val="nil"/>
          <w:left w:val="nil"/>
          <w:bottom w:val="nil"/>
          <w:right w:val="nil"/>
          <w:between w:val="nil"/>
        </w:pBdr>
        <w:spacing w:before="120" w:after="360"/>
        <w:jc w:val="center"/>
        <w:rPr>
          <w:rFonts w:ascii="Times" w:eastAsia="Times" w:hAnsi="Times" w:cs="Times"/>
          <w:b/>
          <w:color w:val="000000"/>
          <w:szCs w:val="24"/>
        </w:rPr>
      </w:pPr>
      <w:r>
        <w:rPr>
          <w:rFonts w:ascii="Times" w:eastAsia="Times" w:hAnsi="Times" w:cs="Times"/>
          <w:b/>
          <w:color w:val="000000"/>
          <w:szCs w:val="24"/>
        </w:rPr>
        <w:t>o zmianie ustawy o broni i amunicji</w:t>
      </w:r>
    </w:p>
    <w:p w14:paraId="66910591" w14:textId="77777777" w:rsidR="00F36735" w:rsidRDefault="00F36735" w:rsidP="00F36735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ind w:firstLine="510"/>
        <w:jc w:val="both"/>
        <w:rPr>
          <w:rFonts w:ascii="Times" w:eastAsia="Times" w:hAnsi="Times" w:cs="Times"/>
          <w:color w:val="000000"/>
          <w:szCs w:val="24"/>
        </w:rPr>
      </w:pPr>
      <w:r>
        <w:rPr>
          <w:rFonts w:ascii="Times" w:eastAsia="Times" w:hAnsi="Times" w:cs="Times"/>
          <w:b/>
          <w:color w:val="000000"/>
          <w:szCs w:val="24"/>
        </w:rPr>
        <w:t>Art. 1.</w:t>
      </w:r>
      <w:r>
        <w:rPr>
          <w:rFonts w:ascii="Times" w:eastAsia="Times" w:hAnsi="Times" w:cs="Times"/>
          <w:color w:val="000000"/>
          <w:szCs w:val="24"/>
        </w:rPr>
        <w:t xml:space="preserve"> W ustawie z dnia 21 maja 1999 r. o broni i amunicji (Dz. U. z 2024 r. poz. 485) w art. 15 w ust. 4 zdanie pierwsze otrzymuje brzmienie:</w:t>
      </w:r>
    </w:p>
    <w:p w14:paraId="648F6823" w14:textId="77777777" w:rsidR="00F36735" w:rsidRDefault="00F36735" w:rsidP="00F36735">
      <w:pPr>
        <w:widowControl/>
        <w:pBdr>
          <w:top w:val="nil"/>
          <w:left w:val="nil"/>
          <w:bottom w:val="nil"/>
          <w:right w:val="nil"/>
          <w:between w:val="nil"/>
        </w:pBdr>
        <w:ind w:left="510" w:hanging="510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"Do ukończenia 70. roku życia – raz na 5 lat, a po ukończeniu 70. roku życia – raz na 2 lata, osoba posiadająca pozwolenie na broń wydane w celu określonym w art. 10 ust. 2 pkt 1–3 obowiązana jest przedstawić właściwemu organowi Policji orzeczenia lekarskie i psychologiczne, o których mowa w ust. 3, wystawione nie wcześniej niż 3 miesiące przed upływem tego terminu.”.</w:t>
      </w:r>
    </w:p>
    <w:p w14:paraId="6C9AE619" w14:textId="77777777" w:rsidR="00F36735" w:rsidRDefault="00F36735" w:rsidP="00F36735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ind w:firstLine="510"/>
        <w:jc w:val="both"/>
        <w:rPr>
          <w:rFonts w:ascii="Times" w:eastAsia="Times" w:hAnsi="Times" w:cs="Times"/>
          <w:color w:val="000000"/>
          <w:szCs w:val="24"/>
        </w:rPr>
      </w:pPr>
      <w:r>
        <w:rPr>
          <w:rFonts w:ascii="Times" w:eastAsia="Times" w:hAnsi="Times" w:cs="Times"/>
          <w:b/>
          <w:color w:val="000000"/>
          <w:szCs w:val="24"/>
        </w:rPr>
        <w:t>Art. 2.</w:t>
      </w:r>
      <w:r>
        <w:rPr>
          <w:rFonts w:ascii="Times" w:eastAsia="Times" w:hAnsi="Times" w:cs="Times"/>
          <w:color w:val="000000"/>
          <w:szCs w:val="24"/>
        </w:rPr>
        <w:t xml:space="preserve"> 1. Osoba, o której mowa w art. 10 ust. 2 pkt 1 i 2 ustawy zmienianej w art. 1, posiadająca orzeczenia lekarskie i psychologiczne, o których mowa w art. 15 ust. 3 ustawy zmienianej w art. 1, wydane przed dniem wejścia w życie niniejszej ustawy, jest obowiązana przedstawić właściwemu organowi Policji następne orzeczenia w terminie określonym na podstawie przepisów dotychczasowych. Kolejne orzeczenia przedstawia w terminach określonych w art. 15 ust. 4 zdanie pierwsze ustawy zmienianej w art. 1, w brzmieniu nadanym niniejszą ustawą.</w:t>
      </w:r>
    </w:p>
    <w:p w14:paraId="0D7A2FB1" w14:textId="77777777" w:rsidR="00F36735" w:rsidRDefault="00F36735" w:rsidP="00F36735">
      <w:pPr>
        <w:widowControl/>
        <w:pBdr>
          <w:top w:val="nil"/>
          <w:left w:val="nil"/>
          <w:bottom w:val="nil"/>
          <w:right w:val="nil"/>
          <w:between w:val="nil"/>
        </w:pBdr>
        <w:ind w:firstLine="510"/>
        <w:jc w:val="both"/>
        <w:rPr>
          <w:rFonts w:ascii="Times" w:eastAsia="Times" w:hAnsi="Times" w:cs="Times"/>
          <w:color w:val="000000"/>
          <w:szCs w:val="24"/>
        </w:rPr>
      </w:pPr>
      <w:r>
        <w:rPr>
          <w:rFonts w:ascii="Times" w:eastAsia="Times" w:hAnsi="Times" w:cs="Times"/>
          <w:color w:val="000000"/>
          <w:szCs w:val="24"/>
        </w:rPr>
        <w:t xml:space="preserve">2. Osoba, o której mowa w art. 10 ust. 2 pkt 3 ustawy zmienianej w art. 1, posiadająca w dniu wejścia w życie niniejszej ustawy orzeczenia lekarskie i psychologiczne, o których mowa w art. 15 ust. 3 ustawy zmienianej w art. 1, wydane: </w:t>
      </w:r>
    </w:p>
    <w:p w14:paraId="23844E47" w14:textId="77777777" w:rsidR="00F36735" w:rsidRDefault="00F36735" w:rsidP="00F36735">
      <w:pPr>
        <w:widowControl/>
        <w:pBdr>
          <w:top w:val="nil"/>
          <w:left w:val="nil"/>
          <w:bottom w:val="nil"/>
          <w:right w:val="nil"/>
          <w:between w:val="nil"/>
        </w:pBdr>
        <w:ind w:left="510" w:hanging="510"/>
        <w:jc w:val="both"/>
        <w:rPr>
          <w:rFonts w:ascii="Times" w:eastAsia="Times" w:hAnsi="Times" w:cs="Times"/>
          <w:color w:val="000000"/>
          <w:szCs w:val="24"/>
        </w:rPr>
      </w:pPr>
      <w:r>
        <w:rPr>
          <w:rFonts w:ascii="Times" w:eastAsia="Times" w:hAnsi="Times" w:cs="Times"/>
          <w:color w:val="000000"/>
          <w:szCs w:val="24"/>
        </w:rPr>
        <w:t>1)</w:t>
      </w:r>
      <w:r>
        <w:rPr>
          <w:rFonts w:ascii="Times" w:eastAsia="Times" w:hAnsi="Times" w:cs="Times"/>
          <w:color w:val="000000"/>
          <w:szCs w:val="24"/>
        </w:rPr>
        <w:tab/>
        <w:t xml:space="preserve">wcześniej niż 5 lat przed dniem wejścia w życie niniejszej ustawy, w przypadku osoby, której wiek w dniu wejścia w życie niniejszej ustawy nie przekroczył 70 lat, </w:t>
      </w:r>
    </w:p>
    <w:p w14:paraId="25BBBD61" w14:textId="77777777" w:rsidR="00F36735" w:rsidRDefault="00F36735" w:rsidP="00F36735">
      <w:pPr>
        <w:widowControl/>
        <w:pBdr>
          <w:top w:val="nil"/>
          <w:left w:val="nil"/>
          <w:bottom w:val="nil"/>
          <w:right w:val="nil"/>
          <w:between w:val="nil"/>
        </w:pBdr>
        <w:ind w:left="510" w:hanging="510"/>
        <w:jc w:val="both"/>
        <w:rPr>
          <w:rFonts w:ascii="Times" w:eastAsia="Times" w:hAnsi="Times" w:cs="Times"/>
          <w:color w:val="000000"/>
          <w:szCs w:val="24"/>
        </w:rPr>
      </w:pPr>
      <w:r>
        <w:rPr>
          <w:rFonts w:ascii="Times" w:eastAsia="Times" w:hAnsi="Times" w:cs="Times"/>
          <w:color w:val="000000"/>
          <w:szCs w:val="24"/>
        </w:rPr>
        <w:t>2)</w:t>
      </w:r>
      <w:r>
        <w:rPr>
          <w:rFonts w:ascii="Times" w:eastAsia="Times" w:hAnsi="Times" w:cs="Times"/>
          <w:color w:val="000000"/>
          <w:szCs w:val="24"/>
        </w:rPr>
        <w:tab/>
        <w:t xml:space="preserve">wcześniej niż 2 lata przed dniem wejścia w życie niniejszej ustawy, w przypadku osoby, której wiek w dniu wejścia w życie niniejszej ustawy przekroczył 70 lat </w:t>
      </w:r>
    </w:p>
    <w:p w14:paraId="2E5D05EF" w14:textId="77777777" w:rsidR="00F36735" w:rsidRDefault="00F36735" w:rsidP="00F36735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color w:val="000000"/>
          <w:szCs w:val="24"/>
        </w:rPr>
      </w:pPr>
      <w:r>
        <w:rPr>
          <w:rFonts w:ascii="Times" w:eastAsia="Times" w:hAnsi="Times" w:cs="Times"/>
          <w:color w:val="000000"/>
          <w:szCs w:val="24"/>
        </w:rPr>
        <w:t>–</w:t>
      </w:r>
      <w:r>
        <w:rPr>
          <w:rFonts w:ascii="Times" w:eastAsia="Times" w:hAnsi="Times" w:cs="Times"/>
          <w:color w:val="000000"/>
          <w:szCs w:val="24"/>
        </w:rPr>
        <w:tab/>
        <w:t>przedstawia właściwemu organowi Policji nowe orzeczenia w terminie 12 miesięcy od dnia wejścia w życie niniejszej ustawy.</w:t>
      </w:r>
    </w:p>
    <w:p w14:paraId="41B9778B" w14:textId="77777777" w:rsidR="00F36735" w:rsidRDefault="00F36735" w:rsidP="00F36735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ind w:firstLine="510"/>
        <w:jc w:val="both"/>
        <w:rPr>
          <w:rFonts w:ascii="Times" w:eastAsia="Times" w:hAnsi="Times" w:cs="Times"/>
          <w:color w:val="000000"/>
          <w:szCs w:val="24"/>
        </w:rPr>
      </w:pPr>
      <w:r>
        <w:rPr>
          <w:rFonts w:ascii="Times" w:eastAsia="Times" w:hAnsi="Times" w:cs="Times"/>
          <w:b/>
          <w:color w:val="000000"/>
          <w:szCs w:val="24"/>
        </w:rPr>
        <w:t>Art. 3.</w:t>
      </w:r>
      <w:r>
        <w:rPr>
          <w:rFonts w:ascii="Times" w:eastAsia="Times" w:hAnsi="Times" w:cs="Times"/>
          <w:color w:val="000000"/>
          <w:szCs w:val="24"/>
        </w:rPr>
        <w:t xml:space="preserve"> Ustawa wchodzi w życie po upływie 3 miesięcy od dnia ogłoszenia.</w:t>
      </w:r>
    </w:p>
    <w:p w14:paraId="032BE18C" w14:textId="77777777" w:rsidR="00F36735" w:rsidRDefault="00F36735" w:rsidP="00F36735">
      <w:pPr>
        <w:widowControl/>
        <w:rPr>
          <w:rFonts w:ascii="Times" w:eastAsia="Times" w:hAnsi="Times" w:cs="Times"/>
        </w:rPr>
      </w:pPr>
      <w:r>
        <w:br w:type="page"/>
      </w:r>
    </w:p>
    <w:p w14:paraId="4578675D" w14:textId="77777777" w:rsidR="00F36735" w:rsidRDefault="00F36735" w:rsidP="00F36735">
      <w:pPr>
        <w:keepNext/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imes" w:eastAsia="Times" w:hAnsi="Times" w:cs="Times"/>
          <w:b/>
          <w:smallCaps/>
          <w:color w:val="000000"/>
          <w:szCs w:val="24"/>
        </w:rPr>
      </w:pPr>
      <w:r>
        <w:rPr>
          <w:rFonts w:ascii="Times" w:eastAsia="Times" w:hAnsi="Times" w:cs="Times"/>
          <w:b/>
          <w:smallCaps/>
          <w:color w:val="000000"/>
          <w:szCs w:val="24"/>
        </w:rPr>
        <w:lastRenderedPageBreak/>
        <w:t>UZASADNIENIE</w:t>
      </w:r>
    </w:p>
    <w:p w14:paraId="37223AC6" w14:textId="77777777" w:rsidR="00F36735" w:rsidRDefault="00F36735" w:rsidP="00F36735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b/>
          <w:color w:val="000000"/>
          <w:szCs w:val="24"/>
        </w:rPr>
      </w:pPr>
    </w:p>
    <w:p w14:paraId="37357C32" w14:textId="77777777" w:rsidR="00F36735" w:rsidRDefault="00F36735" w:rsidP="00F36735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b/>
          <w:color w:val="000000"/>
          <w:szCs w:val="24"/>
        </w:rPr>
      </w:pPr>
      <w:r>
        <w:rPr>
          <w:rFonts w:ascii="Times" w:eastAsia="Times" w:hAnsi="Times" w:cs="Times"/>
          <w:b/>
          <w:color w:val="000000"/>
          <w:szCs w:val="24"/>
        </w:rPr>
        <w:t>Wyjaśnienie potrzeby i celu wydania ustawy</w:t>
      </w:r>
    </w:p>
    <w:p w14:paraId="19EA61D5" w14:textId="77777777" w:rsidR="00F36735" w:rsidRDefault="00F36735" w:rsidP="00F36735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color w:val="000000"/>
          <w:szCs w:val="24"/>
        </w:rPr>
      </w:pPr>
      <w:r>
        <w:rPr>
          <w:rFonts w:ascii="Times" w:eastAsia="Times" w:hAnsi="Times" w:cs="Times"/>
          <w:color w:val="000000"/>
          <w:szCs w:val="24"/>
        </w:rPr>
        <w:t xml:space="preserve">Korzystanie z broni przez osoby cywilne to sfera, która podlega szczególnej reglamentacji. Zagrożenia i niebezpieczeństwa związane z jej używaniem dotyczą ochrony wartości najwyższych – zdrowia i życia ludzi. W tym zakresie Państwo ma obowiązek wprowadzać najwyższe standardy ochrony przed niekontrolowanym użyciem broni. Dotyczy to zwłaszcza zabezpieczenia społeczeństwa przed osobami, które mogą użyć broni w sposób niezgodny z pozwoleniem na jej posiadanie. Takie pozwolenie mogą uzyskiwać osoby, które spełniają szereg kryteriów zdrowotnych, w tym psychicznych. Niestety obecne regulacje nie gwarantują spełniania tego wymogu przez wszystkie osoby posiadające pozwolenie, a jednocześnie nie biorą pod uwagę uwarunkowań związanych z wiekiem posiadaczy broni. </w:t>
      </w:r>
    </w:p>
    <w:p w14:paraId="4FB7EFC9" w14:textId="77777777" w:rsidR="00F36735" w:rsidRDefault="00F36735" w:rsidP="00F36735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color w:val="000000"/>
          <w:szCs w:val="24"/>
        </w:rPr>
      </w:pPr>
      <w:r>
        <w:rPr>
          <w:rFonts w:ascii="Times" w:eastAsia="Times" w:hAnsi="Times" w:cs="Times"/>
          <w:color w:val="000000"/>
          <w:szCs w:val="24"/>
        </w:rPr>
        <w:t>Potrzeba ustawy wynika po pierwsze z konieczności, zrównania wymogów i obowiązków jakie mają osoby, które uzyskały pozwolenie na broń w celu ochrony osobistej i ochrony osób i mienia i łowieckich. Obecnie myśliwi przechodzą badania lekarskie i psychologiczne wyłącznie przy uzyskiwaniu pozwolenia na posiadanie broni, a obywatele uzyskujący pozwolenie ze względu na potrzeby ochrony osobistej i osoby zawodowo trudniący się ochroną osób i mieni</w:t>
      </w:r>
      <w:r>
        <w:rPr>
          <w:rFonts w:ascii="Times" w:eastAsia="Times" w:hAnsi="Times" w:cs="Times"/>
        </w:rPr>
        <w:t>a</w:t>
      </w:r>
      <w:r>
        <w:rPr>
          <w:rFonts w:ascii="Times" w:eastAsia="Times" w:hAnsi="Times" w:cs="Times"/>
          <w:color w:val="000000"/>
          <w:szCs w:val="24"/>
        </w:rPr>
        <w:t xml:space="preserve"> muszą ponawiać takie badania co pięć lat. Nie ma żadnego uzasadnienia dla takiej różnicy, choćby z tego powodu, że to myśliwi strzelają częściej niż przedstawiciele pozostałych wymienionych grup i to w sytuacjach, gdy ryzyko postrzelenia osoby postronnej jest bardzo wysokie. Po drugie, obecne regulacje przewidują jednakową częstotliwość obowiązku przeprowadzania badań niezależnie od wieku, a jest przecież oczywiste, że z wiekiem, zwłaszcza zaawansowanym, sprawność fizyczna i psychiczna osoby używającej broni znacznie spada i wzrasta zagrożenie niecelowego lub celowego niedozwolonego jej użycia. </w:t>
      </w:r>
    </w:p>
    <w:p w14:paraId="5E76CFD4" w14:textId="77777777" w:rsidR="00F36735" w:rsidRDefault="00F36735" w:rsidP="00F36735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color w:val="000000"/>
          <w:szCs w:val="24"/>
        </w:rPr>
      </w:pPr>
      <w:r>
        <w:rPr>
          <w:rFonts w:ascii="Times" w:eastAsia="Times" w:hAnsi="Times" w:cs="Times"/>
          <w:color w:val="000000"/>
          <w:szCs w:val="24"/>
        </w:rPr>
        <w:t>Taki stan rzeczy prowadzi do wysokiego zagrożenia wypadkami w związku z użyciem broni</w:t>
      </w:r>
      <w:r>
        <w:rPr>
          <w:rFonts w:ascii="Times" w:eastAsia="Times" w:hAnsi="Times" w:cs="Times"/>
        </w:rPr>
        <w:t xml:space="preserve"> i p</w:t>
      </w:r>
      <w:r>
        <w:rPr>
          <w:rFonts w:ascii="Times" w:eastAsia="Times" w:hAnsi="Times" w:cs="Times"/>
          <w:color w:val="000000"/>
          <w:szCs w:val="24"/>
        </w:rPr>
        <w:t xml:space="preserve">owoduje potencjalne zagrożenia dla całego społeczeństwa. Celem ustawy jest zwiększenie poczucia bezpieczeństwa związanego z posiadaniem broni i zapobieganie jej niedozwolonemu użyciu. Dlatego też należy zmienić obowiązujące przepisy ustawy z dnia z dnia 21 maja 1999 r. o broni i amunicji. </w:t>
      </w:r>
    </w:p>
    <w:p w14:paraId="0F0FE1BE" w14:textId="77777777" w:rsidR="00F36735" w:rsidRDefault="00F36735" w:rsidP="00F36735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color w:val="000000"/>
          <w:szCs w:val="24"/>
        </w:rPr>
      </w:pPr>
      <w:r>
        <w:rPr>
          <w:rFonts w:ascii="Times" w:eastAsia="Times" w:hAnsi="Times" w:cs="Times"/>
          <w:color w:val="000000"/>
          <w:szCs w:val="24"/>
        </w:rPr>
        <w:t xml:space="preserve">   </w:t>
      </w:r>
    </w:p>
    <w:p w14:paraId="6F53F4D0" w14:textId="77777777" w:rsidR="00F36735" w:rsidRDefault="00F36735" w:rsidP="00F36735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b/>
          <w:color w:val="000000"/>
          <w:szCs w:val="24"/>
        </w:rPr>
      </w:pPr>
      <w:r>
        <w:rPr>
          <w:rFonts w:ascii="Times" w:eastAsia="Times" w:hAnsi="Times" w:cs="Times"/>
          <w:b/>
          <w:color w:val="000000"/>
          <w:szCs w:val="24"/>
        </w:rPr>
        <w:t>Przedstawienie rzeczywistego stanu w dziedzinie, która ma być unormowana</w:t>
      </w:r>
    </w:p>
    <w:p w14:paraId="02E3B1A6" w14:textId="77777777" w:rsidR="00F36735" w:rsidRDefault="00F36735" w:rsidP="00F36735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color w:val="000000"/>
          <w:szCs w:val="24"/>
        </w:rPr>
      </w:pPr>
      <w:r>
        <w:rPr>
          <w:rFonts w:ascii="Times" w:eastAsia="Times" w:hAnsi="Times" w:cs="Times"/>
          <w:color w:val="000000"/>
          <w:szCs w:val="24"/>
        </w:rPr>
        <w:lastRenderedPageBreak/>
        <w:t>Obecnie pozwolenie na posiadanie broni w celu ochrony osobistej, ochrony osób i mienia oraz w celach łowieckich posiada 1</w:t>
      </w:r>
      <w:r>
        <w:rPr>
          <w:rFonts w:ascii="Times" w:eastAsia="Times" w:hAnsi="Times" w:cs="Times"/>
        </w:rPr>
        <w:t>73</w:t>
      </w:r>
      <w:r>
        <w:rPr>
          <w:rFonts w:ascii="Times" w:eastAsia="Times" w:hAnsi="Times" w:cs="Times"/>
          <w:color w:val="000000"/>
          <w:szCs w:val="24"/>
        </w:rPr>
        <w:t xml:space="preserve"> </w:t>
      </w:r>
      <w:r>
        <w:rPr>
          <w:rFonts w:ascii="Times" w:eastAsia="Times" w:hAnsi="Times" w:cs="Times"/>
        </w:rPr>
        <w:t>560</w:t>
      </w:r>
      <w:r>
        <w:rPr>
          <w:rFonts w:ascii="Times" w:eastAsia="Times" w:hAnsi="Times" w:cs="Times"/>
          <w:color w:val="000000"/>
          <w:szCs w:val="24"/>
        </w:rPr>
        <w:t xml:space="preserve"> osób (</w:t>
      </w:r>
      <w:r>
        <w:rPr>
          <w:rFonts w:ascii="Times" w:eastAsia="Times" w:hAnsi="Times" w:cs="Times"/>
        </w:rPr>
        <w:t>s</w:t>
      </w:r>
      <w:r>
        <w:rPr>
          <w:rFonts w:ascii="Times" w:eastAsia="Times" w:hAnsi="Times" w:cs="Times"/>
          <w:color w:val="000000"/>
          <w:szCs w:val="24"/>
        </w:rPr>
        <w:t>tan na 31.12.2023 r.)</w:t>
      </w:r>
      <w:r>
        <w:rPr>
          <w:rFonts w:ascii="Times" w:eastAsia="Times" w:hAnsi="Times" w:cs="Times"/>
          <w:color w:val="000000"/>
          <w:szCs w:val="24"/>
          <w:vertAlign w:val="superscript"/>
        </w:rPr>
        <w:footnoteReference w:id="1"/>
      </w:r>
      <w:r>
        <w:rPr>
          <w:rFonts w:ascii="Times" w:eastAsia="Times" w:hAnsi="Times" w:cs="Times"/>
          <w:color w:val="000000"/>
          <w:szCs w:val="24"/>
        </w:rPr>
        <w:t xml:space="preserve">. Pozwolenie wydawane jest w szczególności po uzyskaniu orzeczenia lekarskiego i orzeczenia psychologicznego potwierdzających, że posiadający broń nie należy do osób: </w:t>
      </w:r>
    </w:p>
    <w:p w14:paraId="7422D7F0" w14:textId="77777777" w:rsidR="00F36735" w:rsidRDefault="00F36735" w:rsidP="00F36735">
      <w:pPr>
        <w:widowControl/>
        <w:pBdr>
          <w:top w:val="nil"/>
          <w:left w:val="nil"/>
          <w:bottom w:val="nil"/>
          <w:right w:val="nil"/>
          <w:between w:val="nil"/>
        </w:pBdr>
        <w:ind w:left="510" w:hanging="510"/>
        <w:jc w:val="both"/>
        <w:rPr>
          <w:rFonts w:ascii="Times" w:eastAsia="Times" w:hAnsi="Times" w:cs="Times"/>
          <w:color w:val="000000"/>
          <w:szCs w:val="24"/>
        </w:rPr>
      </w:pPr>
      <w:r>
        <w:rPr>
          <w:rFonts w:ascii="Times" w:eastAsia="Times" w:hAnsi="Times" w:cs="Times"/>
          <w:color w:val="000000"/>
          <w:szCs w:val="24"/>
        </w:rPr>
        <w:t>–</w:t>
      </w:r>
      <w:r>
        <w:rPr>
          <w:rFonts w:ascii="Times" w:eastAsia="Times" w:hAnsi="Times" w:cs="Times"/>
          <w:color w:val="000000"/>
          <w:szCs w:val="24"/>
        </w:rPr>
        <w:tab/>
        <w:t xml:space="preserve">z zaburzeniami psychicznymi, o których mowa w ustawie z dnia 19 sierpnia 1994 r. o ochronie zdrowia psychicznego (Dz. U. z 2022 r. poz. 2123 oraz z 2023 r. poz. 1972), lub o znacznie ograniczonej sprawności psychofizycznej; </w:t>
      </w:r>
    </w:p>
    <w:p w14:paraId="77C2F996" w14:textId="77777777" w:rsidR="00F36735" w:rsidRDefault="00F36735" w:rsidP="00F36735">
      <w:pPr>
        <w:widowControl/>
        <w:pBdr>
          <w:top w:val="nil"/>
          <w:left w:val="nil"/>
          <w:bottom w:val="nil"/>
          <w:right w:val="nil"/>
          <w:between w:val="nil"/>
        </w:pBdr>
        <w:ind w:left="510" w:hanging="510"/>
        <w:jc w:val="both"/>
        <w:rPr>
          <w:rFonts w:ascii="Times" w:eastAsia="Times" w:hAnsi="Times" w:cs="Times"/>
          <w:color w:val="000000"/>
          <w:szCs w:val="24"/>
        </w:rPr>
      </w:pPr>
      <w:r>
        <w:rPr>
          <w:rFonts w:ascii="Times" w:eastAsia="Times" w:hAnsi="Times" w:cs="Times"/>
          <w:color w:val="000000"/>
          <w:szCs w:val="24"/>
        </w:rPr>
        <w:t>–</w:t>
      </w:r>
      <w:r>
        <w:rPr>
          <w:rFonts w:ascii="Times" w:eastAsia="Times" w:hAnsi="Times" w:cs="Times"/>
          <w:color w:val="000000"/>
          <w:szCs w:val="24"/>
        </w:rPr>
        <w:tab/>
        <w:t xml:space="preserve">wykazujących istotne zaburzenia funkcjonowania psychologicznego; </w:t>
      </w:r>
    </w:p>
    <w:p w14:paraId="0DEDF9E3" w14:textId="77777777" w:rsidR="00F36735" w:rsidRDefault="00F36735" w:rsidP="00F36735">
      <w:pPr>
        <w:widowControl/>
        <w:pBdr>
          <w:top w:val="nil"/>
          <w:left w:val="nil"/>
          <w:bottom w:val="nil"/>
          <w:right w:val="nil"/>
          <w:between w:val="nil"/>
        </w:pBdr>
        <w:ind w:left="510" w:hanging="510"/>
        <w:jc w:val="both"/>
        <w:rPr>
          <w:rFonts w:ascii="Times" w:eastAsia="Times" w:hAnsi="Times" w:cs="Times"/>
          <w:color w:val="000000"/>
          <w:szCs w:val="24"/>
        </w:rPr>
      </w:pPr>
      <w:r>
        <w:rPr>
          <w:rFonts w:ascii="Times" w:eastAsia="Times" w:hAnsi="Times" w:cs="Times"/>
          <w:color w:val="000000"/>
          <w:szCs w:val="24"/>
        </w:rPr>
        <w:t>–</w:t>
      </w:r>
      <w:r>
        <w:rPr>
          <w:rFonts w:ascii="Times" w:eastAsia="Times" w:hAnsi="Times" w:cs="Times"/>
          <w:color w:val="000000"/>
          <w:szCs w:val="24"/>
        </w:rPr>
        <w:tab/>
        <w:t>uzależnionych od alkoholu lub od substancji psychoaktywnych.</w:t>
      </w:r>
    </w:p>
    <w:p w14:paraId="7D983FD2" w14:textId="77777777" w:rsidR="00F36735" w:rsidRDefault="00F36735" w:rsidP="00F36735">
      <w:pPr>
        <w:widowControl/>
        <w:pBdr>
          <w:top w:val="nil"/>
          <w:left w:val="nil"/>
          <w:bottom w:val="nil"/>
          <w:right w:val="nil"/>
          <w:between w:val="nil"/>
        </w:pBdr>
        <w:ind w:left="510" w:hanging="510"/>
        <w:jc w:val="both"/>
        <w:rPr>
          <w:rFonts w:ascii="Times" w:eastAsia="Times" w:hAnsi="Times" w:cs="Times"/>
          <w:color w:val="000000"/>
          <w:szCs w:val="24"/>
        </w:rPr>
      </w:pPr>
    </w:p>
    <w:p w14:paraId="54D54AA2" w14:textId="77777777" w:rsidR="00F36735" w:rsidRDefault="00F36735" w:rsidP="00F36735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color w:val="000000"/>
          <w:szCs w:val="24"/>
        </w:rPr>
      </w:pPr>
      <w:r>
        <w:rPr>
          <w:rFonts w:ascii="Times" w:eastAsia="Times" w:hAnsi="Times" w:cs="Times"/>
          <w:color w:val="000000"/>
          <w:szCs w:val="24"/>
        </w:rPr>
        <w:t>Orzeczenia takie są wydawane jako warunek uzyskania pozwolenia, a osoby z pozwoleniami na broń w celach osobistych oraz ochrony osób i mienia muszą przedstawiać takie orzeczenia raz na 5 lat. Orzeczenia w związku z wydaniem pozwolenia na broń w celach łowieckich wymagane są jednorazowo, jedynie dla pozytywnego rozpatrzenia wniosku myśliwego.</w:t>
      </w:r>
    </w:p>
    <w:p w14:paraId="159CFFB2" w14:textId="77777777" w:rsidR="00F36735" w:rsidRDefault="00F36735" w:rsidP="00F36735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color w:val="000000"/>
          <w:szCs w:val="24"/>
        </w:rPr>
      </w:pPr>
      <w:r>
        <w:rPr>
          <w:rFonts w:ascii="Times" w:eastAsia="Times" w:hAnsi="Times" w:cs="Times"/>
          <w:color w:val="000000"/>
          <w:szCs w:val="24"/>
        </w:rPr>
        <w:t>Zgodnie z danymi Policji, w 2023 roku popełniono łącznie 603 przestępstwa z użyciem broni palnej, w tym 39 zabójstw (w tym także usiłowania</w:t>
      </w:r>
      <w:r>
        <w:rPr>
          <w:rFonts w:ascii="Times" w:eastAsia="Times" w:hAnsi="Times" w:cs="Times"/>
        </w:rPr>
        <w:t>)</w:t>
      </w:r>
      <w:r>
        <w:rPr>
          <w:rFonts w:ascii="Times" w:eastAsia="Times" w:hAnsi="Times" w:cs="Times"/>
          <w:color w:val="000000"/>
          <w:szCs w:val="24"/>
        </w:rPr>
        <w:t xml:space="preserve"> oraz 7 uszczerbków na zdrowiu. </w:t>
      </w:r>
    </w:p>
    <w:p w14:paraId="430A1725" w14:textId="77777777" w:rsidR="00F36735" w:rsidRDefault="00F36735" w:rsidP="00F36735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color w:val="000000"/>
          <w:szCs w:val="24"/>
        </w:rPr>
      </w:pPr>
    </w:p>
    <w:p w14:paraId="7526CB38" w14:textId="77777777" w:rsidR="00F36735" w:rsidRDefault="00F36735" w:rsidP="00F36735">
      <w:pPr>
        <w:widowControl/>
        <w:pBdr>
          <w:top w:val="nil"/>
          <w:left w:val="nil"/>
          <w:bottom w:val="nil"/>
          <w:right w:val="nil"/>
          <w:between w:val="nil"/>
        </w:pBdr>
        <w:ind w:firstLine="510"/>
        <w:jc w:val="both"/>
        <w:rPr>
          <w:rFonts w:ascii="Times" w:eastAsia="Times" w:hAnsi="Times" w:cs="Times"/>
          <w:color w:val="000000"/>
          <w:szCs w:val="24"/>
        </w:rPr>
      </w:pPr>
      <w:r>
        <w:rPr>
          <w:rFonts w:ascii="Times" w:eastAsia="Times" w:hAnsi="Times" w:cs="Times"/>
          <w:color w:val="000000"/>
          <w:szCs w:val="24"/>
        </w:rPr>
        <w:t>W minionych latach wyróżnić można liczne przypadki incydentów z bronią palną podczas polowań. Jako przykład można wymienić wypadek z listopada 2021 kiedy 57-letni Eugeniusz S., myśliwy z Nadarzyna, podczas polowania w gminie Rokitno przypadkowo postrzelił swojego kolegę, 64-letniego Wojciecha O., który dwa dni później zmarł w skutek poniesionych obrażeń. Innym przykładem jest sytuacja z 12 września 2021 roku. W Załakowie (powiat kartuski) 60-letni Piotr L., dyrektor lokalnej szkoły i podłowczy Koła Łowieckiego "Szarak", postrzelił 14-letniego ucznia swojej szkoły podczas polowania w skutek pomylenia go z dzikiem. W ciągu ostatnich pięciu lat podczas polowań doszło do co najmniej 13 wypadków śmiertelnych związanych z polowaniami. Ginęli myśliwi, naganiacze, a także zupełnie przypadkowe osoby. Ofiaram</w:t>
      </w:r>
      <w:r>
        <w:rPr>
          <w:rFonts w:ascii="Times" w:eastAsia="Times" w:hAnsi="Times" w:cs="Times"/>
        </w:rPr>
        <w:t xml:space="preserve">i myśliwych padają również zwierzęta z gatunków objętych ochroną. 25 sierpnia 2024 roku w Borach Tucholskich został zastrzelony wilk Lego, objęty programem badawczym, którego myśliwy rzekomo pomylił z lisem. Myśliwi nie będący w stanie odróżnić gatunków na które polują z powodu słabej kondycji psychofizycznej stanowią poważne zagrożenie dla ochrony przyrody.  </w:t>
      </w:r>
    </w:p>
    <w:p w14:paraId="6C4F08F2" w14:textId="77777777" w:rsidR="00F36735" w:rsidRDefault="00F36735" w:rsidP="00F36735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color w:val="000000"/>
          <w:szCs w:val="24"/>
        </w:rPr>
      </w:pPr>
    </w:p>
    <w:p w14:paraId="2F171171" w14:textId="77777777" w:rsidR="00F36735" w:rsidRDefault="00F36735" w:rsidP="00F36735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color w:val="000000"/>
          <w:szCs w:val="24"/>
        </w:rPr>
      </w:pPr>
      <w:r>
        <w:rPr>
          <w:rFonts w:ascii="Times" w:eastAsia="Times" w:hAnsi="Times" w:cs="Times"/>
          <w:color w:val="000000"/>
          <w:szCs w:val="24"/>
        </w:rPr>
        <w:t>Należy podkreślić, że rozciągnięcie obowiązku aktualizowania co 5 lat orzeczeń lekarskich i psychologicznych przez myśliwych było już wpisane do ustawy o broni i amunicji ustawą z dnia 22 marca 2018 r. o zmianie ustawy – Prawo łowieckie oraz niektórych innych ustaw. Zanim jednak przepisy te zaczęły działać w praktyce, obowiązek ten został zniesiony ustawą z dnia 26 stycznia 2023 r. o zmianie ustaw w celu likwidowania zbędnych barier administracyjnych i prawnych (Dz. U. poz. 803)</w:t>
      </w:r>
    </w:p>
    <w:p w14:paraId="2304FAB0" w14:textId="77777777" w:rsidR="00F36735" w:rsidRDefault="00F36735" w:rsidP="00F36735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color w:val="000000"/>
          <w:szCs w:val="24"/>
        </w:rPr>
      </w:pPr>
      <w:r>
        <w:rPr>
          <w:rFonts w:ascii="Times" w:eastAsia="Times" w:hAnsi="Times" w:cs="Times"/>
          <w:color w:val="000000"/>
          <w:szCs w:val="24"/>
        </w:rPr>
        <w:t>W tej sytuacji niezbędne są zmiany ustawowe, które zawiera proponowany projekt polegające na zwiększeniu częstotliwości badań lekarskich i psychologicznych po osiągnięciu wieku 70 lat oraz rozciągnięciu obowiązku poddawania się badaniom cyklicznym także przez myśliwych.</w:t>
      </w:r>
    </w:p>
    <w:p w14:paraId="1111F53A" w14:textId="77777777" w:rsidR="00F36735" w:rsidRDefault="00F36735" w:rsidP="00F36735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color w:val="000000"/>
          <w:szCs w:val="24"/>
        </w:rPr>
      </w:pPr>
    </w:p>
    <w:p w14:paraId="78F969E4" w14:textId="77777777" w:rsidR="00F36735" w:rsidRDefault="00F36735" w:rsidP="00F36735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color w:val="000000"/>
          <w:szCs w:val="24"/>
        </w:rPr>
      </w:pPr>
      <w:r>
        <w:rPr>
          <w:rFonts w:ascii="Times" w:eastAsia="Times" w:hAnsi="Times" w:cs="Times"/>
          <w:color w:val="000000"/>
          <w:szCs w:val="24"/>
        </w:rPr>
        <w:t>Wejście w życie ustawy nie wymaga wydania aktów wykonawczych.</w:t>
      </w:r>
    </w:p>
    <w:p w14:paraId="13603609" w14:textId="77777777" w:rsidR="00F36735" w:rsidRDefault="00F36735" w:rsidP="00F36735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" w:eastAsia="Times" w:hAnsi="Times" w:cs="Times"/>
          <w:color w:val="000000"/>
          <w:szCs w:val="24"/>
        </w:rPr>
      </w:pPr>
      <w:r>
        <w:rPr>
          <w:rFonts w:ascii="Times" w:eastAsia="Times" w:hAnsi="Times" w:cs="Times"/>
          <w:color w:val="000000"/>
          <w:szCs w:val="24"/>
        </w:rPr>
        <w:t>Projekt jest zgodny z prawem Unii Europejskiej.</w:t>
      </w:r>
    </w:p>
    <w:p w14:paraId="6D05A174" w14:textId="77777777" w:rsidR="00F36735" w:rsidRDefault="00F36735" w:rsidP="00F36735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ind w:firstLine="510"/>
        <w:jc w:val="both"/>
        <w:rPr>
          <w:rFonts w:ascii="Times" w:eastAsia="Times" w:hAnsi="Times" w:cs="Times"/>
          <w:color w:val="000000"/>
          <w:szCs w:val="24"/>
        </w:rPr>
      </w:pPr>
    </w:p>
    <w:p w14:paraId="0C0FC319" w14:textId="77777777" w:rsidR="00F36735" w:rsidRDefault="00F36735" w:rsidP="00F36735">
      <w:pPr>
        <w:widowControl/>
        <w:pBdr>
          <w:top w:val="nil"/>
          <w:left w:val="nil"/>
          <w:bottom w:val="nil"/>
          <w:right w:val="nil"/>
          <w:between w:val="nil"/>
        </w:pBdr>
        <w:ind w:left="510" w:hanging="510"/>
        <w:jc w:val="both"/>
        <w:rPr>
          <w:rFonts w:ascii="Times" w:eastAsia="Times" w:hAnsi="Times" w:cs="Times"/>
          <w:color w:val="000000"/>
          <w:szCs w:val="24"/>
        </w:rPr>
      </w:pPr>
    </w:p>
    <w:p w14:paraId="53BC558C" w14:textId="77777777" w:rsidR="00F36735" w:rsidRDefault="00F36735" w:rsidP="00F36735"/>
    <w:p w14:paraId="0FFB0B6F" w14:textId="77777777" w:rsidR="00F740E1" w:rsidRDefault="00F740E1"/>
    <w:sectPr w:rsidR="00F740E1" w:rsidSect="00F36735">
      <w:headerReference w:type="default" r:id="rId6"/>
      <w:pgSz w:w="11906" w:h="16838"/>
      <w:pgMar w:top="1560" w:right="1434" w:bottom="1560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A960E" w14:textId="77777777" w:rsidR="00C5110A" w:rsidRDefault="00C5110A" w:rsidP="00F36735">
      <w:pPr>
        <w:spacing w:line="240" w:lineRule="auto"/>
      </w:pPr>
      <w:r>
        <w:separator/>
      </w:r>
    </w:p>
  </w:endnote>
  <w:endnote w:type="continuationSeparator" w:id="0">
    <w:p w14:paraId="46C8A968" w14:textId="77777777" w:rsidR="00C5110A" w:rsidRDefault="00C5110A" w:rsidP="00F367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D42D1" w14:textId="77777777" w:rsidR="00C5110A" w:rsidRDefault="00C5110A" w:rsidP="00F36735">
      <w:pPr>
        <w:spacing w:line="240" w:lineRule="auto"/>
      </w:pPr>
      <w:r>
        <w:separator/>
      </w:r>
    </w:p>
  </w:footnote>
  <w:footnote w:type="continuationSeparator" w:id="0">
    <w:p w14:paraId="3AA164C7" w14:textId="77777777" w:rsidR="00C5110A" w:rsidRDefault="00C5110A" w:rsidP="00F36735">
      <w:pPr>
        <w:spacing w:line="240" w:lineRule="auto"/>
      </w:pPr>
      <w:r>
        <w:continuationSeparator/>
      </w:r>
    </w:p>
  </w:footnote>
  <w:footnote w:id="1">
    <w:p w14:paraId="7B2AAFED" w14:textId="274EDB73" w:rsidR="00F36735" w:rsidRDefault="00F36735" w:rsidP="00F36735">
      <w:pPr>
        <w:spacing w:line="240" w:lineRule="auto"/>
        <w:rPr>
          <w:sz w:val="20"/>
        </w:rPr>
      </w:pPr>
      <w:r>
        <w:rPr>
          <w:vertAlign w:val="superscript"/>
        </w:rPr>
        <w:footnoteRef/>
      </w:r>
      <w:r>
        <w:rPr>
          <w:sz w:val="20"/>
        </w:rPr>
        <w:t xml:space="preserve"> </w:t>
      </w:r>
      <w:hyperlink r:id="rId1">
        <w:r>
          <w:rPr>
            <w:color w:val="1155CC"/>
            <w:sz w:val="20"/>
            <w:u w:val="single"/>
          </w:rPr>
          <w:t>https://statystyka.policja.pl/st/wybrane-statystyki/bron/186394,Bron-pozwolenia.html</w:t>
        </w:r>
      </w:hyperlink>
      <w:r>
        <w:rPr>
          <w:sz w:val="20"/>
        </w:rPr>
        <w:t xml:space="preserve"> [dostęp dn. 06.11.2024</w:t>
      </w:r>
      <w:r>
        <w:rPr>
          <w:sz w:val="20"/>
        </w:rPr>
        <w:br/>
      </w:r>
      <w:r>
        <w:rPr>
          <w:sz w:val="20"/>
        </w:rPr>
        <w:t>r.]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C0FA9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imes" w:eastAsia="Times" w:hAnsi="Times" w:cs="Times"/>
        <w:color w:val="000000"/>
        <w:szCs w:val="24"/>
      </w:rPr>
    </w:pPr>
    <w:r>
      <w:rPr>
        <w:rFonts w:ascii="Times" w:eastAsia="Times" w:hAnsi="Times" w:cs="Times"/>
        <w:color w:val="000000"/>
        <w:szCs w:val="24"/>
      </w:rPr>
      <w:t xml:space="preserve">– </w:t>
    </w:r>
    <w:r>
      <w:rPr>
        <w:rFonts w:ascii="Times" w:eastAsia="Times" w:hAnsi="Times" w:cs="Times"/>
        <w:color w:val="000000"/>
        <w:szCs w:val="24"/>
      </w:rPr>
      <w:fldChar w:fldCharType="begin"/>
    </w:r>
    <w:r>
      <w:rPr>
        <w:rFonts w:ascii="Times" w:eastAsia="Times" w:hAnsi="Times" w:cs="Times"/>
        <w:color w:val="000000"/>
        <w:szCs w:val="24"/>
      </w:rPr>
      <w:instrText>PAGE</w:instrText>
    </w:r>
    <w:r>
      <w:rPr>
        <w:rFonts w:ascii="Times" w:eastAsia="Times" w:hAnsi="Times" w:cs="Times"/>
        <w:color w:val="000000"/>
        <w:szCs w:val="24"/>
      </w:rPr>
      <w:fldChar w:fldCharType="separate"/>
    </w:r>
    <w:r>
      <w:rPr>
        <w:rFonts w:ascii="Times" w:eastAsia="Times" w:hAnsi="Times" w:cs="Times"/>
        <w:noProof/>
        <w:color w:val="000000"/>
        <w:szCs w:val="24"/>
      </w:rPr>
      <w:t>2</w:t>
    </w:r>
    <w:r>
      <w:rPr>
        <w:rFonts w:ascii="Times" w:eastAsia="Times" w:hAnsi="Times" w:cs="Times"/>
        <w:color w:val="000000"/>
        <w:szCs w:val="24"/>
      </w:rPr>
      <w:fldChar w:fldCharType="end"/>
    </w:r>
    <w:r>
      <w:rPr>
        <w:rFonts w:ascii="Times" w:eastAsia="Times" w:hAnsi="Times" w:cs="Times"/>
        <w:color w:val="000000"/>
        <w:szCs w:val="24"/>
      </w:rP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735"/>
    <w:rsid w:val="00053DD8"/>
    <w:rsid w:val="001B7544"/>
    <w:rsid w:val="00C5110A"/>
    <w:rsid w:val="00CE7AEB"/>
    <w:rsid w:val="00F36735"/>
    <w:rsid w:val="00F7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BF79"/>
  <w15:chartTrackingRefBased/>
  <w15:docId w15:val="{6D2F5422-24BB-478C-B8C4-482AECBF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735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67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6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67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67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67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67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67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67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67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67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67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67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67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67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67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67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67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67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67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6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67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6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6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67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67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67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67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67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67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tatystyka.policja.pl/st/wybrane-statystyki/bron/186394,Bron-pozwolenia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1066</Words>
  <Characters>6396</Characters>
  <Application>Microsoft Office Word</Application>
  <DocSecurity>0</DocSecurity>
  <Lines>53</Lines>
  <Paragraphs>14</Paragraphs>
  <ScaleCrop>false</ScaleCrop>
  <Company>Kancelaria Sejmu</Company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Maurycy Przyrowski</dc:creator>
  <cp:keywords/>
  <dc:description/>
  <cp:lastModifiedBy>Maurycy Przyrowski</cp:lastModifiedBy>
  <cp:revision>1</cp:revision>
  <dcterms:created xsi:type="dcterms:W3CDTF">2024-11-06T14:17:00Z</dcterms:created>
  <dcterms:modified xsi:type="dcterms:W3CDTF">2024-11-06T14:17:00Z</dcterms:modified>
</cp:coreProperties>
</file>