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8CA55" w14:textId="1D0EE299" w:rsidR="000E3BFB" w:rsidRPr="00C36739" w:rsidRDefault="000E3BFB" w:rsidP="00412841">
      <w:pPr>
        <w:spacing w:after="240" w:line="360" w:lineRule="auto"/>
        <w:jc w:val="center"/>
        <w:rPr>
          <w:rFonts w:ascii="Times New Roman" w:eastAsia="Calibri" w:hAnsi="Times New Roman" w:cs="Times New Roman"/>
          <w:bCs/>
          <w:sz w:val="24"/>
          <w:szCs w:val="24"/>
          <w:lang w:eastAsia="pl-PL"/>
        </w:rPr>
      </w:pPr>
      <w:r w:rsidRPr="00412841">
        <w:rPr>
          <w:rFonts w:ascii="Times New Roman" w:eastAsia="Calibri" w:hAnsi="Times New Roman" w:cs="Times New Roman"/>
          <w:bCs/>
          <w:sz w:val="24"/>
          <w:szCs w:val="24"/>
          <w:lang w:eastAsia="pl-PL"/>
        </w:rPr>
        <w:t>UZASADNIENIE</w:t>
      </w:r>
    </w:p>
    <w:p w14:paraId="60834D3B" w14:textId="3086510C" w:rsidR="00710CB6" w:rsidRPr="00CE1385" w:rsidRDefault="000E3BFB" w:rsidP="00412841">
      <w:pPr>
        <w:spacing w:before="120" w:after="0" w:line="360" w:lineRule="auto"/>
        <w:jc w:val="both"/>
        <w:rPr>
          <w:rFonts w:ascii="Times New Roman" w:hAnsi="Times New Roman" w:cs="Times New Roman"/>
          <w:bCs/>
          <w:sz w:val="24"/>
          <w:szCs w:val="24"/>
        </w:rPr>
      </w:pPr>
      <w:bookmarkStart w:id="0" w:name="_Hlk156816656"/>
      <w:r w:rsidRPr="00CE1385">
        <w:rPr>
          <w:rFonts w:ascii="Times New Roman" w:eastAsia="Calibri" w:hAnsi="Times New Roman" w:cs="Times New Roman"/>
          <w:bCs/>
          <w:sz w:val="24"/>
          <w:szCs w:val="24"/>
          <w:lang w:eastAsia="pl-PL"/>
        </w:rPr>
        <w:t xml:space="preserve">Przedstawiony </w:t>
      </w:r>
      <w:r w:rsidRPr="00412841">
        <w:rPr>
          <w:rFonts w:ascii="Times New Roman" w:eastAsia="Calibri" w:hAnsi="Times New Roman" w:cs="Times New Roman"/>
          <w:bCs/>
          <w:sz w:val="24"/>
          <w:szCs w:val="24"/>
          <w:lang w:eastAsia="pl-PL"/>
        </w:rPr>
        <w:t>projekt ustawy</w:t>
      </w:r>
      <w:r w:rsidR="0031352B" w:rsidRPr="00412841">
        <w:rPr>
          <w:rFonts w:ascii="Times New Roman" w:eastAsia="Calibri" w:hAnsi="Times New Roman" w:cs="Times New Roman"/>
          <w:bCs/>
          <w:sz w:val="24"/>
          <w:szCs w:val="24"/>
          <w:lang w:eastAsia="pl-PL"/>
        </w:rPr>
        <w:t xml:space="preserve"> o </w:t>
      </w:r>
      <w:r w:rsidRPr="00412841">
        <w:rPr>
          <w:rFonts w:ascii="Times New Roman" w:eastAsia="Calibri" w:hAnsi="Times New Roman" w:cs="Times New Roman"/>
          <w:bCs/>
          <w:sz w:val="24"/>
          <w:szCs w:val="24"/>
          <w:lang w:eastAsia="pl-PL"/>
        </w:rPr>
        <w:t>zmianie ustawy – Kodeks karny</w:t>
      </w:r>
      <w:r w:rsidRPr="00CE1385">
        <w:rPr>
          <w:rFonts w:ascii="Times New Roman" w:eastAsia="Calibri" w:hAnsi="Times New Roman" w:cs="Times New Roman"/>
          <w:bCs/>
          <w:i/>
          <w:iCs/>
          <w:sz w:val="24"/>
          <w:szCs w:val="24"/>
          <w:lang w:eastAsia="pl-PL"/>
        </w:rPr>
        <w:t xml:space="preserve"> </w:t>
      </w:r>
      <w:r w:rsidR="00710CB6" w:rsidRPr="00CE1385">
        <w:rPr>
          <w:rFonts w:ascii="Times New Roman" w:hAnsi="Times New Roman" w:cs="Times New Roman"/>
          <w:bCs/>
          <w:sz w:val="24"/>
          <w:szCs w:val="24"/>
        </w:rPr>
        <w:t xml:space="preserve">ma na celu </w:t>
      </w:r>
      <w:r w:rsidR="00A87600" w:rsidRPr="00CE1385">
        <w:rPr>
          <w:rFonts w:ascii="Times New Roman" w:hAnsi="Times New Roman" w:cs="Times New Roman"/>
          <w:bCs/>
          <w:sz w:val="24"/>
          <w:szCs w:val="24"/>
        </w:rPr>
        <w:t xml:space="preserve">dokonanie zmian w zakresie katalogu znamion przestępstw </w:t>
      </w:r>
      <w:r w:rsidR="00E44885" w:rsidRPr="00CE1385">
        <w:rPr>
          <w:rFonts w:ascii="Times New Roman" w:hAnsi="Times New Roman" w:cs="Times New Roman"/>
          <w:bCs/>
          <w:sz w:val="24"/>
          <w:szCs w:val="24"/>
        </w:rPr>
        <w:t xml:space="preserve">określonych w art. 119 § 1 </w:t>
      </w:r>
      <w:r w:rsidR="00CE1385">
        <w:rPr>
          <w:rFonts w:ascii="Times New Roman" w:hAnsi="Times New Roman" w:cs="Times New Roman"/>
          <w:bCs/>
          <w:sz w:val="24"/>
          <w:szCs w:val="24"/>
        </w:rPr>
        <w:t xml:space="preserve">k.k. </w:t>
      </w:r>
      <w:r w:rsidR="00E44885" w:rsidRPr="00CE1385">
        <w:rPr>
          <w:rFonts w:ascii="Times New Roman" w:hAnsi="Times New Roman" w:cs="Times New Roman"/>
          <w:bCs/>
          <w:sz w:val="24"/>
          <w:szCs w:val="24"/>
        </w:rPr>
        <w:t>i art. 257 k.k</w:t>
      </w:r>
      <w:r w:rsidR="008658AE">
        <w:rPr>
          <w:rFonts w:ascii="Times New Roman" w:hAnsi="Times New Roman" w:cs="Times New Roman"/>
          <w:bCs/>
          <w:sz w:val="24"/>
          <w:szCs w:val="24"/>
        </w:rPr>
        <w:t>.</w:t>
      </w:r>
      <w:r w:rsidR="00E44885" w:rsidRPr="00CE1385">
        <w:rPr>
          <w:rFonts w:ascii="Times New Roman" w:hAnsi="Times New Roman" w:cs="Times New Roman"/>
          <w:bCs/>
          <w:sz w:val="24"/>
          <w:szCs w:val="24"/>
        </w:rPr>
        <w:t xml:space="preserve"> </w:t>
      </w:r>
      <w:r w:rsidR="005123F3" w:rsidRPr="00CE1385">
        <w:rPr>
          <w:rFonts w:ascii="Times New Roman" w:hAnsi="Times New Roman" w:cs="Times New Roman"/>
          <w:bCs/>
          <w:sz w:val="24"/>
          <w:szCs w:val="24"/>
        </w:rPr>
        <w:t>oraz</w:t>
      </w:r>
      <w:r w:rsidR="00E44885" w:rsidRPr="00CE1385">
        <w:rPr>
          <w:rFonts w:ascii="Times New Roman" w:hAnsi="Times New Roman" w:cs="Times New Roman"/>
          <w:bCs/>
          <w:sz w:val="24"/>
          <w:szCs w:val="24"/>
        </w:rPr>
        <w:t xml:space="preserve"> </w:t>
      </w:r>
      <w:r w:rsidR="00710CB6" w:rsidRPr="00CE1385">
        <w:rPr>
          <w:rFonts w:ascii="Times New Roman" w:hAnsi="Times New Roman" w:cs="Times New Roman"/>
          <w:bCs/>
          <w:sz w:val="24"/>
          <w:szCs w:val="24"/>
        </w:rPr>
        <w:t xml:space="preserve">wzmocnienie ochrony prawnokarnej przed przestępczymi zachowaniami motywowanymi przesłankami dyskryminacyjnymi ze względu na niepełnosprawność, </w:t>
      </w:r>
      <w:r w:rsidR="008451B7" w:rsidRPr="00CE1385">
        <w:rPr>
          <w:rFonts w:ascii="Times New Roman" w:hAnsi="Times New Roman" w:cs="Times New Roman"/>
          <w:bCs/>
          <w:sz w:val="24"/>
          <w:szCs w:val="24"/>
        </w:rPr>
        <w:t xml:space="preserve">wiek, </w:t>
      </w:r>
      <w:r w:rsidR="00710CB6" w:rsidRPr="00CE1385">
        <w:rPr>
          <w:rFonts w:ascii="Times New Roman" w:hAnsi="Times New Roman" w:cs="Times New Roman"/>
          <w:bCs/>
          <w:sz w:val="24"/>
          <w:szCs w:val="24"/>
        </w:rPr>
        <w:t>płeć</w:t>
      </w:r>
      <w:r w:rsidR="00B9352C" w:rsidRPr="00CE1385">
        <w:rPr>
          <w:rFonts w:ascii="Times New Roman" w:hAnsi="Times New Roman" w:cs="Times New Roman"/>
          <w:bCs/>
          <w:sz w:val="24"/>
          <w:szCs w:val="24"/>
        </w:rPr>
        <w:t xml:space="preserve"> i</w:t>
      </w:r>
      <w:r w:rsidR="00710CB6" w:rsidRPr="00CE1385">
        <w:rPr>
          <w:rFonts w:ascii="Times New Roman" w:hAnsi="Times New Roman" w:cs="Times New Roman"/>
          <w:bCs/>
          <w:sz w:val="24"/>
          <w:szCs w:val="24"/>
        </w:rPr>
        <w:t xml:space="preserve"> orientację seksualn</w:t>
      </w:r>
      <w:r w:rsidR="004F3F3A" w:rsidRPr="00CE1385">
        <w:rPr>
          <w:rFonts w:ascii="Times New Roman" w:hAnsi="Times New Roman" w:cs="Times New Roman"/>
          <w:bCs/>
          <w:sz w:val="24"/>
          <w:szCs w:val="24"/>
        </w:rPr>
        <w:t>ą</w:t>
      </w:r>
      <w:r w:rsidR="00C619E0" w:rsidRPr="00CE1385">
        <w:rPr>
          <w:rFonts w:ascii="Times New Roman" w:hAnsi="Times New Roman" w:cs="Times New Roman"/>
          <w:bCs/>
          <w:sz w:val="24"/>
          <w:szCs w:val="24"/>
        </w:rPr>
        <w:t>.</w:t>
      </w:r>
      <w:r w:rsidR="004037B8" w:rsidRPr="00CE1385">
        <w:rPr>
          <w:rFonts w:ascii="Times New Roman" w:hAnsi="Times New Roman" w:cs="Times New Roman"/>
          <w:bCs/>
          <w:sz w:val="24"/>
          <w:szCs w:val="24"/>
        </w:rPr>
        <w:t xml:space="preserve"> Konsekwencją tych zmian będzie także stosowna modyfikacja art. 53 </w:t>
      </w:r>
      <w:r w:rsidR="00CE1385">
        <w:rPr>
          <w:rFonts w:ascii="Times New Roman" w:hAnsi="Times New Roman" w:cs="Times New Roman"/>
          <w:bCs/>
          <w:sz w:val="24"/>
          <w:szCs w:val="24"/>
        </w:rPr>
        <w:t xml:space="preserve">k.k. </w:t>
      </w:r>
      <w:r w:rsidR="004037B8" w:rsidRPr="00CE1385">
        <w:rPr>
          <w:rFonts w:ascii="Times New Roman" w:hAnsi="Times New Roman" w:cs="Times New Roman"/>
          <w:bCs/>
          <w:sz w:val="24"/>
          <w:szCs w:val="24"/>
        </w:rPr>
        <w:t>oraz art.</w:t>
      </w:r>
      <w:r w:rsidR="00B73CA1">
        <w:rPr>
          <w:rFonts w:ascii="Times New Roman" w:hAnsi="Times New Roman" w:cs="Times New Roman"/>
          <w:bCs/>
          <w:sz w:val="24"/>
          <w:szCs w:val="24"/>
        </w:rPr>
        <w:t> </w:t>
      </w:r>
      <w:r w:rsidR="004037B8" w:rsidRPr="00CE1385">
        <w:rPr>
          <w:rFonts w:ascii="Times New Roman" w:hAnsi="Times New Roman" w:cs="Times New Roman"/>
          <w:bCs/>
          <w:sz w:val="24"/>
          <w:szCs w:val="24"/>
        </w:rPr>
        <w:t>256 k.k.</w:t>
      </w:r>
      <w:r w:rsidR="00C619E0" w:rsidRPr="00CE1385">
        <w:rPr>
          <w:rFonts w:ascii="Times New Roman" w:hAnsi="Times New Roman" w:cs="Times New Roman"/>
          <w:bCs/>
          <w:sz w:val="24"/>
          <w:szCs w:val="24"/>
        </w:rPr>
        <w:t xml:space="preserve"> Projektowana regulacja </w:t>
      </w:r>
      <w:r w:rsidR="004F3F3A" w:rsidRPr="00CE1385">
        <w:rPr>
          <w:rFonts w:ascii="Times New Roman" w:hAnsi="Times New Roman" w:cs="Times New Roman"/>
          <w:bCs/>
          <w:sz w:val="24"/>
          <w:szCs w:val="24"/>
        </w:rPr>
        <w:t>zapewni</w:t>
      </w:r>
      <w:r w:rsidR="00C619E0" w:rsidRPr="00CE1385">
        <w:rPr>
          <w:rFonts w:ascii="Times New Roman" w:hAnsi="Times New Roman" w:cs="Times New Roman"/>
          <w:bCs/>
          <w:sz w:val="24"/>
          <w:szCs w:val="24"/>
        </w:rPr>
        <w:t xml:space="preserve"> </w:t>
      </w:r>
      <w:r w:rsidR="00710CB6" w:rsidRPr="00CE1385">
        <w:rPr>
          <w:rFonts w:ascii="Times New Roman" w:hAnsi="Times New Roman" w:cs="Times New Roman"/>
          <w:bCs/>
          <w:sz w:val="24"/>
          <w:szCs w:val="24"/>
        </w:rPr>
        <w:t>pełniejsz</w:t>
      </w:r>
      <w:r w:rsidR="00C619E0" w:rsidRPr="00CE1385">
        <w:rPr>
          <w:rFonts w:ascii="Times New Roman" w:hAnsi="Times New Roman" w:cs="Times New Roman"/>
          <w:bCs/>
          <w:sz w:val="24"/>
          <w:szCs w:val="24"/>
        </w:rPr>
        <w:t>ą</w:t>
      </w:r>
      <w:r w:rsidR="00710CB6" w:rsidRPr="00CE1385">
        <w:rPr>
          <w:rFonts w:ascii="Times New Roman" w:hAnsi="Times New Roman" w:cs="Times New Roman"/>
          <w:bCs/>
          <w:sz w:val="24"/>
          <w:szCs w:val="24"/>
        </w:rPr>
        <w:t xml:space="preserve"> realizacj</w:t>
      </w:r>
      <w:r w:rsidR="00C619E0" w:rsidRPr="00CE1385">
        <w:rPr>
          <w:rFonts w:ascii="Times New Roman" w:hAnsi="Times New Roman" w:cs="Times New Roman"/>
          <w:bCs/>
          <w:sz w:val="24"/>
          <w:szCs w:val="24"/>
        </w:rPr>
        <w:t>ę</w:t>
      </w:r>
      <w:r w:rsidR="00710CB6" w:rsidRPr="00CE1385">
        <w:rPr>
          <w:rFonts w:ascii="Times New Roman" w:hAnsi="Times New Roman" w:cs="Times New Roman"/>
          <w:bCs/>
          <w:sz w:val="24"/>
          <w:szCs w:val="24"/>
        </w:rPr>
        <w:t xml:space="preserve"> konstytucyjnego zakazu dyskryminacji ze względu na jakąkolwiek przyczynę</w:t>
      </w:r>
      <w:r w:rsidR="004F3F3A" w:rsidRPr="00CE1385">
        <w:rPr>
          <w:rFonts w:ascii="Times New Roman" w:hAnsi="Times New Roman" w:cs="Times New Roman"/>
          <w:bCs/>
          <w:sz w:val="24"/>
          <w:szCs w:val="24"/>
        </w:rPr>
        <w:t>, a także</w:t>
      </w:r>
      <w:r w:rsidR="00710CB6" w:rsidRPr="00CE1385">
        <w:rPr>
          <w:rFonts w:ascii="Times New Roman" w:hAnsi="Times New Roman" w:cs="Times New Roman"/>
          <w:bCs/>
          <w:sz w:val="24"/>
          <w:szCs w:val="24"/>
        </w:rPr>
        <w:t xml:space="preserve"> realizacj</w:t>
      </w:r>
      <w:r w:rsidR="004F3F3A" w:rsidRPr="00CE1385">
        <w:rPr>
          <w:rFonts w:ascii="Times New Roman" w:hAnsi="Times New Roman" w:cs="Times New Roman"/>
          <w:bCs/>
          <w:sz w:val="24"/>
          <w:szCs w:val="24"/>
        </w:rPr>
        <w:t>ę</w:t>
      </w:r>
      <w:r w:rsidR="00710CB6" w:rsidRPr="00CE1385">
        <w:rPr>
          <w:rFonts w:ascii="Times New Roman" w:hAnsi="Times New Roman" w:cs="Times New Roman"/>
          <w:bCs/>
          <w:sz w:val="24"/>
          <w:szCs w:val="24"/>
        </w:rPr>
        <w:t xml:space="preserve"> międzynarodowych </w:t>
      </w:r>
      <w:r w:rsidR="005C3011" w:rsidRPr="00CE1385">
        <w:rPr>
          <w:rFonts w:ascii="Times New Roman" w:hAnsi="Times New Roman" w:cs="Times New Roman"/>
          <w:bCs/>
          <w:sz w:val="24"/>
          <w:szCs w:val="24"/>
        </w:rPr>
        <w:t>zaleceń</w:t>
      </w:r>
      <w:r w:rsidR="0010539D" w:rsidRPr="00CE1385">
        <w:rPr>
          <w:rFonts w:ascii="Times New Roman" w:hAnsi="Times New Roman" w:cs="Times New Roman"/>
          <w:bCs/>
          <w:sz w:val="24"/>
          <w:szCs w:val="24"/>
        </w:rPr>
        <w:t xml:space="preserve"> w </w:t>
      </w:r>
      <w:r w:rsidR="00710CB6" w:rsidRPr="00CE1385">
        <w:rPr>
          <w:rFonts w:ascii="Times New Roman" w:hAnsi="Times New Roman" w:cs="Times New Roman"/>
          <w:bCs/>
          <w:sz w:val="24"/>
          <w:szCs w:val="24"/>
        </w:rPr>
        <w:t>zakresie standardu ochrony przed mową nienawiści</w:t>
      </w:r>
      <w:r w:rsidR="0010539D" w:rsidRPr="00CE1385">
        <w:rPr>
          <w:rFonts w:ascii="Times New Roman" w:hAnsi="Times New Roman" w:cs="Times New Roman"/>
          <w:bCs/>
          <w:sz w:val="24"/>
          <w:szCs w:val="24"/>
        </w:rPr>
        <w:t xml:space="preserve"> i </w:t>
      </w:r>
      <w:r w:rsidR="00710CB6" w:rsidRPr="00CE1385">
        <w:rPr>
          <w:rFonts w:ascii="Times New Roman" w:hAnsi="Times New Roman" w:cs="Times New Roman"/>
          <w:bCs/>
          <w:sz w:val="24"/>
          <w:szCs w:val="24"/>
        </w:rPr>
        <w:t>przestępstwami</w:t>
      </w:r>
      <w:r w:rsidR="0001136D" w:rsidRPr="00CE1385">
        <w:rPr>
          <w:rFonts w:ascii="Times New Roman" w:hAnsi="Times New Roman" w:cs="Times New Roman"/>
          <w:bCs/>
          <w:sz w:val="24"/>
          <w:szCs w:val="24"/>
        </w:rPr>
        <w:t xml:space="preserve"> z </w:t>
      </w:r>
      <w:r w:rsidR="00710CB6" w:rsidRPr="00CE1385">
        <w:rPr>
          <w:rFonts w:ascii="Times New Roman" w:hAnsi="Times New Roman" w:cs="Times New Roman"/>
          <w:bCs/>
          <w:sz w:val="24"/>
          <w:szCs w:val="24"/>
        </w:rPr>
        <w:t xml:space="preserve">nienawiści. </w:t>
      </w:r>
      <w:r w:rsidR="00C619E0" w:rsidRPr="00CE1385">
        <w:rPr>
          <w:rFonts w:ascii="Times New Roman" w:hAnsi="Times New Roman" w:cs="Times New Roman"/>
          <w:bCs/>
          <w:sz w:val="24"/>
          <w:szCs w:val="24"/>
        </w:rPr>
        <w:t xml:space="preserve">Przyjęcie projektowanych rozwiązań </w:t>
      </w:r>
      <w:r w:rsidR="00710CB6" w:rsidRPr="00CE1385">
        <w:rPr>
          <w:rFonts w:ascii="Times New Roman" w:hAnsi="Times New Roman" w:cs="Times New Roman"/>
          <w:bCs/>
          <w:sz w:val="24"/>
          <w:szCs w:val="24"/>
        </w:rPr>
        <w:t>wpłynie na skuteczność</w:t>
      </w:r>
      <w:r w:rsidR="0010539D" w:rsidRPr="00CE1385">
        <w:rPr>
          <w:rFonts w:ascii="Times New Roman" w:hAnsi="Times New Roman" w:cs="Times New Roman"/>
          <w:bCs/>
          <w:sz w:val="24"/>
          <w:szCs w:val="24"/>
        </w:rPr>
        <w:t xml:space="preserve"> i </w:t>
      </w:r>
      <w:r w:rsidR="00710CB6" w:rsidRPr="00CE1385">
        <w:rPr>
          <w:rFonts w:ascii="Times New Roman" w:hAnsi="Times New Roman" w:cs="Times New Roman"/>
          <w:bCs/>
          <w:sz w:val="24"/>
          <w:szCs w:val="24"/>
        </w:rPr>
        <w:t xml:space="preserve">efektywniejsze ściganie czynów </w:t>
      </w:r>
      <w:r w:rsidR="00763344" w:rsidRPr="00CE1385">
        <w:rPr>
          <w:rFonts w:ascii="Times New Roman" w:hAnsi="Times New Roman" w:cs="Times New Roman"/>
          <w:bCs/>
          <w:sz w:val="24"/>
          <w:szCs w:val="24"/>
        </w:rPr>
        <w:t xml:space="preserve">motywowanych </w:t>
      </w:r>
      <w:r w:rsidR="0078338B" w:rsidRPr="00CE1385">
        <w:rPr>
          <w:rFonts w:ascii="Times New Roman" w:hAnsi="Times New Roman" w:cs="Times New Roman"/>
          <w:bCs/>
          <w:sz w:val="24"/>
          <w:szCs w:val="24"/>
        </w:rPr>
        <w:t>przesłankami</w:t>
      </w:r>
      <w:r w:rsidR="00A25E32" w:rsidRPr="00CE1385">
        <w:rPr>
          <w:rFonts w:ascii="Times New Roman" w:hAnsi="Times New Roman" w:cs="Times New Roman"/>
          <w:bCs/>
          <w:sz w:val="24"/>
          <w:szCs w:val="24"/>
        </w:rPr>
        <w:t xml:space="preserve"> </w:t>
      </w:r>
      <w:r w:rsidR="0078338B" w:rsidRPr="00CE1385">
        <w:rPr>
          <w:rFonts w:ascii="Times New Roman" w:hAnsi="Times New Roman" w:cs="Times New Roman"/>
          <w:bCs/>
          <w:sz w:val="24"/>
          <w:szCs w:val="24"/>
        </w:rPr>
        <w:t xml:space="preserve">dyskryminacyjnymi </w:t>
      </w:r>
      <w:r w:rsidR="00710CB6" w:rsidRPr="00CE1385">
        <w:rPr>
          <w:rFonts w:ascii="Times New Roman" w:hAnsi="Times New Roman" w:cs="Times New Roman"/>
          <w:bCs/>
          <w:sz w:val="24"/>
          <w:szCs w:val="24"/>
        </w:rPr>
        <w:t>oraz zwiększenie ochrony prawnokarnej pokrzywdzonych takimi czynami.</w:t>
      </w:r>
    </w:p>
    <w:p w14:paraId="02BEC80C" w14:textId="2BE00EDB" w:rsidR="00262057" w:rsidRPr="00CE1385" w:rsidRDefault="00262057" w:rsidP="00412841">
      <w:pPr>
        <w:spacing w:before="120" w:after="0" w:line="360" w:lineRule="auto"/>
        <w:jc w:val="both"/>
        <w:rPr>
          <w:rFonts w:ascii="Times New Roman" w:hAnsi="Times New Roman" w:cs="Times New Roman"/>
          <w:bCs/>
          <w:sz w:val="24"/>
          <w:szCs w:val="24"/>
        </w:rPr>
      </w:pPr>
      <w:r w:rsidRPr="00CE1385">
        <w:rPr>
          <w:rFonts w:ascii="Times New Roman" w:hAnsi="Times New Roman" w:cs="Times New Roman"/>
          <w:bCs/>
          <w:sz w:val="24"/>
          <w:szCs w:val="24"/>
        </w:rPr>
        <w:t>Obecnie art. 119 § 1 k.k. stanowi, że kto stosuje przemoc lub groźbę bezprawną wobec grupy osób lub poszczególnej osoby z powodu jej przynależności narodowej, etnicznej, rasowej, politycznej, wyznaniowej lub z powodu jej bezwyznaniowości, podlega karze pozbawienia wolności od 3 miesięcy do lat 5.</w:t>
      </w:r>
      <w:r w:rsidR="00A72F4C" w:rsidRPr="00CE1385">
        <w:rPr>
          <w:rFonts w:ascii="Times New Roman" w:hAnsi="Times New Roman" w:cs="Times New Roman"/>
          <w:bCs/>
          <w:sz w:val="24"/>
          <w:szCs w:val="24"/>
        </w:rPr>
        <w:t xml:space="preserve"> </w:t>
      </w:r>
      <w:r w:rsidR="00BD2832" w:rsidRPr="00CE1385">
        <w:rPr>
          <w:rFonts w:ascii="Times New Roman" w:hAnsi="Times New Roman" w:cs="Times New Roman"/>
          <w:bCs/>
          <w:sz w:val="24"/>
          <w:szCs w:val="24"/>
        </w:rPr>
        <w:t xml:space="preserve">Z kolei zgodnie z </w:t>
      </w:r>
      <w:r w:rsidR="00A72F4C" w:rsidRPr="00CE1385">
        <w:rPr>
          <w:rFonts w:ascii="Times New Roman" w:hAnsi="Times New Roman" w:cs="Times New Roman"/>
          <w:bCs/>
          <w:sz w:val="24"/>
          <w:szCs w:val="24"/>
        </w:rPr>
        <w:t xml:space="preserve">art. 257 </w:t>
      </w:r>
      <w:r w:rsidR="00DE2E69" w:rsidRPr="00CE1385">
        <w:rPr>
          <w:rFonts w:ascii="Times New Roman" w:hAnsi="Times New Roman" w:cs="Times New Roman"/>
          <w:bCs/>
          <w:sz w:val="24"/>
          <w:szCs w:val="24"/>
        </w:rPr>
        <w:t>k.k.</w:t>
      </w:r>
      <w:r w:rsidR="00293C4F" w:rsidRPr="00CE1385">
        <w:rPr>
          <w:rFonts w:ascii="Times New Roman" w:hAnsi="Times New Roman" w:cs="Times New Roman"/>
          <w:bCs/>
          <w:sz w:val="24"/>
          <w:szCs w:val="24"/>
        </w:rPr>
        <w:t xml:space="preserve"> </w:t>
      </w:r>
      <w:r w:rsidR="00DE2E69" w:rsidRPr="00CE1385">
        <w:rPr>
          <w:rFonts w:ascii="Times New Roman" w:hAnsi="Times New Roman" w:cs="Times New Roman"/>
          <w:bCs/>
          <w:sz w:val="24"/>
          <w:szCs w:val="24"/>
        </w:rPr>
        <w:t>kto publicznie znieważa grupę ludności albo poszczególną osobę z powodu jej przynależności narodowej, etnicznej, rasowej, wyznaniowej albo z powodu jej bezwyznaniowości lub z takich powodów narusza nietykalność cielesną innej osoby, podlega karze pozbawienia wolności do lat 3.</w:t>
      </w:r>
      <w:r w:rsidR="00441E20" w:rsidRPr="00CE1385">
        <w:rPr>
          <w:rFonts w:ascii="Times New Roman" w:hAnsi="Times New Roman" w:cs="Times New Roman"/>
          <w:bCs/>
          <w:sz w:val="24"/>
          <w:szCs w:val="24"/>
        </w:rPr>
        <w:t xml:space="preserve"> </w:t>
      </w:r>
    </w:p>
    <w:p w14:paraId="3B6B22C4" w14:textId="0D094943" w:rsidR="00783B45" w:rsidRPr="001F0B86" w:rsidRDefault="005A256F" w:rsidP="00412841">
      <w:pPr>
        <w:pStyle w:val="ARTartustawynprozporzdzenia"/>
        <w:ind w:firstLine="0"/>
        <w:rPr>
          <w:rFonts w:ascii="Times New Roman" w:hAnsi="Times New Roman" w:cs="Times New Roman"/>
          <w:szCs w:val="24"/>
        </w:rPr>
      </w:pPr>
      <w:r w:rsidRPr="001F0B86">
        <w:rPr>
          <w:rFonts w:ascii="Times New Roman" w:hAnsi="Times New Roman" w:cs="Times New Roman"/>
          <w:szCs w:val="24"/>
        </w:rPr>
        <w:t>Projekt rozszerza odpowiedzialność karną przez z</w:t>
      </w:r>
      <w:r w:rsidR="00C71A23" w:rsidRPr="001F0B86">
        <w:rPr>
          <w:rFonts w:ascii="Times New Roman" w:hAnsi="Times New Roman" w:cs="Times New Roman"/>
          <w:szCs w:val="24"/>
        </w:rPr>
        <w:t xml:space="preserve">astąpienie znamienia strony podmiotowej </w:t>
      </w:r>
      <w:r w:rsidR="00C552F5" w:rsidRPr="001F0B86">
        <w:rPr>
          <w:rFonts w:ascii="Times New Roman" w:hAnsi="Times New Roman" w:cs="Times New Roman"/>
          <w:szCs w:val="24"/>
        </w:rPr>
        <w:t>„z powodu jej przynależności” pojęciem „w związku z przynależnością”</w:t>
      </w:r>
      <w:r w:rsidRPr="001F0B86">
        <w:rPr>
          <w:rFonts w:ascii="Times New Roman" w:hAnsi="Times New Roman" w:cs="Times New Roman"/>
          <w:szCs w:val="24"/>
        </w:rPr>
        <w:t>, co</w:t>
      </w:r>
      <w:r w:rsidR="00C552F5" w:rsidRPr="001F0B86">
        <w:rPr>
          <w:rFonts w:ascii="Times New Roman" w:hAnsi="Times New Roman" w:cs="Times New Roman"/>
          <w:szCs w:val="24"/>
        </w:rPr>
        <w:t xml:space="preserve"> </w:t>
      </w:r>
      <w:r w:rsidR="00C71A23" w:rsidRPr="001F0B86">
        <w:rPr>
          <w:rFonts w:ascii="Times New Roman" w:hAnsi="Times New Roman" w:cs="Times New Roman"/>
          <w:szCs w:val="24"/>
        </w:rPr>
        <w:t xml:space="preserve">spowoduje, że odpowiedzialność karna za przestępstwa z art. 119 § 1 </w:t>
      </w:r>
      <w:r w:rsidR="00CE1385">
        <w:rPr>
          <w:rFonts w:ascii="Times New Roman" w:hAnsi="Times New Roman" w:cs="Times New Roman"/>
          <w:szCs w:val="24"/>
        </w:rPr>
        <w:t xml:space="preserve">k.k. </w:t>
      </w:r>
      <w:r w:rsidR="00C71A23" w:rsidRPr="001F0B86">
        <w:rPr>
          <w:rFonts w:ascii="Times New Roman" w:hAnsi="Times New Roman" w:cs="Times New Roman"/>
          <w:szCs w:val="24"/>
        </w:rPr>
        <w:t>i art. 257 k.k. będzie możliwa także wówczas, gdy pokrzywdzony nie będzie obdarzony cechą, która wywołała zachowanie sprawcy</w:t>
      </w:r>
      <w:r w:rsidR="001236F1">
        <w:rPr>
          <w:rFonts w:ascii="Times New Roman" w:hAnsi="Times New Roman" w:cs="Times New Roman"/>
          <w:szCs w:val="24"/>
        </w:rPr>
        <w:t>,</w:t>
      </w:r>
      <w:r w:rsidR="00C71A23" w:rsidRPr="001F0B86">
        <w:rPr>
          <w:rFonts w:ascii="Times New Roman" w:hAnsi="Times New Roman" w:cs="Times New Roman"/>
          <w:szCs w:val="24"/>
        </w:rPr>
        <w:t xml:space="preserve"> np. aktualizacja znamion przestępstwa stosowania przemocy w związku z bezwyznaniowością z art. 119 § 1 k.k. będzie możliwa także, gdy przemoc taką zastosowano wobec osoby wierzącej. </w:t>
      </w:r>
      <w:r w:rsidR="00783B45" w:rsidRPr="001F0B86">
        <w:rPr>
          <w:rFonts w:ascii="Times New Roman" w:hAnsi="Times New Roman" w:cs="Times New Roman"/>
          <w:szCs w:val="24"/>
        </w:rPr>
        <w:t xml:space="preserve">Aktualny zwrot </w:t>
      </w:r>
      <w:r w:rsidR="00783B45" w:rsidRPr="001F0B86">
        <w:rPr>
          <w:rStyle w:val="Kkursywa"/>
          <w:rFonts w:ascii="Times New Roman" w:hAnsi="Times New Roman" w:cs="Times New Roman"/>
          <w:i w:val="0"/>
          <w:iCs/>
          <w:szCs w:val="24"/>
        </w:rPr>
        <w:t xml:space="preserve">„z powodu jej przynależności” oznacza, że grupa lub osoba znieważona musi należeć do określonej narodowości itp., a gdy zniewaga skierowana jest przeciw grupie lub osobie w rzeczywistości nienależącej do takiej grupy, zachodzi karalne usiłowanie nieudolne </w:t>
      </w:r>
      <w:r w:rsidR="00783B45" w:rsidRPr="001F0B86">
        <w:rPr>
          <w:rFonts w:ascii="Times New Roman" w:hAnsi="Times New Roman" w:cs="Times New Roman"/>
          <w:szCs w:val="24"/>
        </w:rPr>
        <w:t xml:space="preserve">(B. Gadecki (red.), Kodeks karny. Art. 1–316. Komentarz, Warszawa 2023, Legalis). </w:t>
      </w:r>
      <w:r w:rsidR="00783B45" w:rsidRPr="001F0B86">
        <w:rPr>
          <w:rStyle w:val="Kkursywa"/>
          <w:rFonts w:ascii="Times New Roman" w:hAnsi="Times New Roman" w:cs="Times New Roman"/>
          <w:i w:val="0"/>
          <w:iCs/>
          <w:szCs w:val="24"/>
        </w:rPr>
        <w:t>Gdy sprawca np. znieważa osobę z powodu jej przynależności do określonej grupy, a osoba ta w istocie do grupy tej nie należy, zachowanie sprawcy należałoby oceniać jako usiłowanie występku z art. 257 k.k. ze względu na brak przedmiotu nadającego się do popełnienia na nim czynu zabronionego</w:t>
      </w:r>
      <w:r w:rsidR="00783B45" w:rsidRPr="001F0B86">
        <w:rPr>
          <w:rStyle w:val="Kkursywa"/>
          <w:rFonts w:ascii="Times New Roman" w:hAnsi="Times New Roman" w:cs="Times New Roman"/>
          <w:szCs w:val="24"/>
        </w:rPr>
        <w:t xml:space="preserve"> </w:t>
      </w:r>
      <w:r w:rsidR="00783B45" w:rsidRPr="001F0B86">
        <w:rPr>
          <w:rFonts w:ascii="Times New Roman" w:hAnsi="Times New Roman" w:cs="Times New Roman"/>
          <w:szCs w:val="24"/>
        </w:rPr>
        <w:t xml:space="preserve">(M. Królikowski, R. Zawłocki, (red.) Kodeks karny. </w:t>
      </w:r>
      <w:r w:rsidR="00783B45" w:rsidRPr="001F0B86">
        <w:rPr>
          <w:rFonts w:ascii="Times New Roman" w:hAnsi="Times New Roman" w:cs="Times New Roman"/>
          <w:szCs w:val="24"/>
        </w:rPr>
        <w:lastRenderedPageBreak/>
        <w:t xml:space="preserve">Część szczególna. Tom III. Komentarz do artykułów 222–316, Wyd. 5, Warszawa 2024, Legalis). </w:t>
      </w:r>
      <w:bookmarkStart w:id="1" w:name="_Hlk156222962"/>
    </w:p>
    <w:p w14:paraId="61F607CC" w14:textId="384C47D6" w:rsidR="00DB6B6C" w:rsidRPr="001F0B86" w:rsidRDefault="00321643" w:rsidP="00412841">
      <w:pPr>
        <w:pStyle w:val="ARTartustawynprozporzdzenia"/>
        <w:ind w:firstLine="0"/>
        <w:rPr>
          <w:rFonts w:ascii="Times New Roman" w:hAnsi="Times New Roman" w:cs="Times New Roman"/>
          <w:szCs w:val="24"/>
        </w:rPr>
      </w:pPr>
      <w:r w:rsidRPr="00CE1385">
        <w:rPr>
          <w:rFonts w:ascii="Times New Roman" w:hAnsi="Times New Roman" w:cs="Times New Roman"/>
          <w:bCs/>
          <w:szCs w:val="24"/>
        </w:rPr>
        <w:t>Zgodnie</w:t>
      </w:r>
      <w:r w:rsidR="0001136D" w:rsidRPr="00CE1385">
        <w:rPr>
          <w:rFonts w:ascii="Times New Roman" w:hAnsi="Times New Roman" w:cs="Times New Roman"/>
          <w:bCs/>
          <w:szCs w:val="24"/>
        </w:rPr>
        <w:t xml:space="preserve"> z</w:t>
      </w:r>
      <w:r w:rsidR="001236F1">
        <w:rPr>
          <w:rFonts w:ascii="Times New Roman" w:hAnsi="Times New Roman" w:cs="Times New Roman"/>
          <w:bCs/>
          <w:szCs w:val="24"/>
        </w:rPr>
        <w:t xml:space="preserve"> </w:t>
      </w:r>
      <w:r w:rsidRPr="00CE1385">
        <w:rPr>
          <w:rFonts w:ascii="Times New Roman" w:hAnsi="Times New Roman" w:cs="Times New Roman"/>
          <w:bCs/>
          <w:szCs w:val="24"/>
        </w:rPr>
        <w:t>o</w:t>
      </w:r>
      <w:r w:rsidR="00710CB6" w:rsidRPr="00CE1385">
        <w:rPr>
          <w:rFonts w:ascii="Times New Roman" w:hAnsi="Times New Roman" w:cs="Times New Roman"/>
          <w:bCs/>
          <w:szCs w:val="24"/>
        </w:rPr>
        <w:t>bowiązując</w:t>
      </w:r>
      <w:r w:rsidRPr="00CE1385">
        <w:rPr>
          <w:rFonts w:ascii="Times New Roman" w:hAnsi="Times New Roman" w:cs="Times New Roman"/>
          <w:bCs/>
          <w:szCs w:val="24"/>
        </w:rPr>
        <w:t>ymi</w:t>
      </w:r>
      <w:r w:rsidR="00710CB6" w:rsidRPr="00CE1385">
        <w:rPr>
          <w:rFonts w:ascii="Times New Roman" w:hAnsi="Times New Roman" w:cs="Times New Roman"/>
          <w:bCs/>
          <w:szCs w:val="24"/>
        </w:rPr>
        <w:t xml:space="preserve"> przepis</w:t>
      </w:r>
      <w:r w:rsidRPr="00CE1385">
        <w:rPr>
          <w:rFonts w:ascii="Times New Roman" w:hAnsi="Times New Roman" w:cs="Times New Roman"/>
          <w:bCs/>
          <w:szCs w:val="24"/>
        </w:rPr>
        <w:t xml:space="preserve">ami do kategorii przestępstw motywowanych uprzedzeniami należą przestępstwa popełnione ze względu na </w:t>
      </w:r>
      <w:r w:rsidR="00710CB6" w:rsidRPr="00CE1385">
        <w:rPr>
          <w:rFonts w:ascii="Times New Roman" w:hAnsi="Times New Roman" w:cs="Times New Roman"/>
          <w:bCs/>
          <w:szCs w:val="24"/>
        </w:rPr>
        <w:t>przynależność narodow</w:t>
      </w:r>
      <w:r w:rsidR="0034678C" w:rsidRPr="00CE1385">
        <w:rPr>
          <w:rFonts w:ascii="Times New Roman" w:hAnsi="Times New Roman" w:cs="Times New Roman"/>
          <w:bCs/>
          <w:szCs w:val="24"/>
        </w:rPr>
        <w:t>ą</w:t>
      </w:r>
      <w:r w:rsidR="00710CB6" w:rsidRPr="00CE1385">
        <w:rPr>
          <w:rFonts w:ascii="Times New Roman" w:hAnsi="Times New Roman" w:cs="Times New Roman"/>
          <w:bCs/>
          <w:szCs w:val="24"/>
        </w:rPr>
        <w:t>, etniczn</w:t>
      </w:r>
      <w:r w:rsidRPr="00CE1385">
        <w:rPr>
          <w:rFonts w:ascii="Times New Roman" w:hAnsi="Times New Roman" w:cs="Times New Roman"/>
          <w:bCs/>
          <w:szCs w:val="24"/>
        </w:rPr>
        <w:t>ą</w:t>
      </w:r>
      <w:r w:rsidR="00710CB6" w:rsidRPr="00CE1385">
        <w:rPr>
          <w:rFonts w:ascii="Times New Roman" w:hAnsi="Times New Roman" w:cs="Times New Roman"/>
          <w:bCs/>
          <w:szCs w:val="24"/>
        </w:rPr>
        <w:t>, rasow</w:t>
      </w:r>
      <w:r w:rsidRPr="00CE1385">
        <w:rPr>
          <w:rFonts w:ascii="Times New Roman" w:hAnsi="Times New Roman" w:cs="Times New Roman"/>
          <w:bCs/>
          <w:szCs w:val="24"/>
        </w:rPr>
        <w:t>ą</w:t>
      </w:r>
      <w:r w:rsidR="00710CB6" w:rsidRPr="00CE1385">
        <w:rPr>
          <w:rFonts w:ascii="Times New Roman" w:hAnsi="Times New Roman" w:cs="Times New Roman"/>
          <w:bCs/>
          <w:szCs w:val="24"/>
        </w:rPr>
        <w:t>, wyznaniow</w:t>
      </w:r>
      <w:r w:rsidRPr="00CE1385">
        <w:rPr>
          <w:rFonts w:ascii="Times New Roman" w:hAnsi="Times New Roman" w:cs="Times New Roman"/>
          <w:bCs/>
          <w:szCs w:val="24"/>
        </w:rPr>
        <w:t>ą</w:t>
      </w:r>
      <w:r w:rsidR="00710CB6" w:rsidRPr="00CE1385">
        <w:rPr>
          <w:rFonts w:ascii="Times New Roman" w:hAnsi="Times New Roman" w:cs="Times New Roman"/>
          <w:bCs/>
          <w:szCs w:val="24"/>
        </w:rPr>
        <w:t xml:space="preserve"> bądź bezwyznaniowość. </w:t>
      </w:r>
      <w:bookmarkEnd w:id="1"/>
      <w:r w:rsidR="00710CB6" w:rsidRPr="00CE1385">
        <w:rPr>
          <w:rFonts w:ascii="Times New Roman" w:hAnsi="Times New Roman" w:cs="Times New Roman"/>
          <w:bCs/>
          <w:szCs w:val="24"/>
        </w:rPr>
        <w:t>Tym samym</w:t>
      </w:r>
      <w:r w:rsidR="0010539D" w:rsidRPr="00CE1385">
        <w:rPr>
          <w:rFonts w:ascii="Times New Roman" w:hAnsi="Times New Roman" w:cs="Times New Roman"/>
          <w:bCs/>
          <w:szCs w:val="24"/>
        </w:rPr>
        <w:t xml:space="preserve"> w </w:t>
      </w:r>
      <w:r w:rsidR="00710CB6" w:rsidRPr="00CE1385">
        <w:rPr>
          <w:rFonts w:ascii="Times New Roman" w:hAnsi="Times New Roman" w:cs="Times New Roman"/>
          <w:bCs/>
          <w:szCs w:val="24"/>
        </w:rPr>
        <w:t>obecnym stanie prawnym przepisy nie gwarantują wystarczającej ochrony wszystkim grupom mniejszościowym</w:t>
      </w:r>
      <w:r w:rsidR="004E110B" w:rsidRPr="00CE1385">
        <w:rPr>
          <w:rFonts w:ascii="Times New Roman" w:hAnsi="Times New Roman" w:cs="Times New Roman"/>
          <w:bCs/>
          <w:szCs w:val="24"/>
        </w:rPr>
        <w:t xml:space="preserve"> </w:t>
      </w:r>
      <w:r w:rsidR="005C3011" w:rsidRPr="00CE1385">
        <w:rPr>
          <w:rFonts w:ascii="Times New Roman" w:hAnsi="Times New Roman" w:cs="Times New Roman"/>
          <w:bCs/>
          <w:szCs w:val="24"/>
        </w:rPr>
        <w:t>szczególnie narażonym</w:t>
      </w:r>
      <w:r w:rsidR="004E110B" w:rsidRPr="00CE1385">
        <w:rPr>
          <w:rFonts w:ascii="Times New Roman" w:hAnsi="Times New Roman" w:cs="Times New Roman"/>
          <w:bCs/>
          <w:szCs w:val="24"/>
        </w:rPr>
        <w:t xml:space="preserve"> </w:t>
      </w:r>
      <w:r w:rsidR="00EE4210" w:rsidRPr="00CE1385">
        <w:rPr>
          <w:rFonts w:ascii="Times New Roman" w:hAnsi="Times New Roman" w:cs="Times New Roman"/>
          <w:bCs/>
          <w:szCs w:val="24"/>
        </w:rPr>
        <w:t xml:space="preserve">na </w:t>
      </w:r>
      <w:r w:rsidR="004E110B" w:rsidRPr="00CE1385">
        <w:rPr>
          <w:rFonts w:ascii="Times New Roman" w:hAnsi="Times New Roman" w:cs="Times New Roman"/>
          <w:bCs/>
          <w:szCs w:val="24"/>
        </w:rPr>
        <w:t>dyskryminację, uprzedzenia</w:t>
      </w:r>
      <w:r w:rsidR="0010539D" w:rsidRPr="00CE1385">
        <w:rPr>
          <w:rFonts w:ascii="Times New Roman" w:hAnsi="Times New Roman" w:cs="Times New Roman"/>
          <w:bCs/>
          <w:szCs w:val="24"/>
        </w:rPr>
        <w:t xml:space="preserve"> i </w:t>
      </w:r>
      <w:r w:rsidR="004E110B" w:rsidRPr="00CE1385">
        <w:rPr>
          <w:rFonts w:ascii="Times New Roman" w:hAnsi="Times New Roman" w:cs="Times New Roman"/>
          <w:bCs/>
          <w:szCs w:val="24"/>
        </w:rPr>
        <w:t>przemoc.</w:t>
      </w:r>
      <w:r w:rsidR="007F03B7" w:rsidRPr="00CE1385">
        <w:rPr>
          <w:rFonts w:ascii="Times New Roman" w:hAnsi="Times New Roman" w:cs="Times New Roman"/>
          <w:bCs/>
          <w:szCs w:val="24"/>
        </w:rPr>
        <w:t xml:space="preserve"> Katalog ten należy zatem rozszerzyć o kategorie wieku, niepełnosprawności, płci i orientacji seksualnej.</w:t>
      </w:r>
    </w:p>
    <w:p w14:paraId="553C96BC" w14:textId="37C7FA33" w:rsidR="00F73A94" w:rsidRPr="00CE1385" w:rsidRDefault="00F73A94" w:rsidP="00412841">
      <w:pPr>
        <w:spacing w:before="120" w:after="0" w:line="360" w:lineRule="auto"/>
        <w:jc w:val="both"/>
        <w:rPr>
          <w:rFonts w:ascii="Times New Roman" w:hAnsi="Times New Roman" w:cs="Times New Roman"/>
          <w:bCs/>
          <w:sz w:val="24"/>
          <w:szCs w:val="24"/>
        </w:rPr>
      </w:pPr>
      <w:r w:rsidRPr="00CE1385">
        <w:rPr>
          <w:rFonts w:ascii="Times New Roman" w:hAnsi="Times New Roman" w:cs="Times New Roman"/>
          <w:bCs/>
          <w:sz w:val="24"/>
          <w:szCs w:val="24"/>
        </w:rPr>
        <w:t xml:space="preserve">Przestępstwa motywowane uprzedzeniami to najjaskrawsze przejawy dyskryminacji, </w:t>
      </w:r>
      <w:r w:rsidR="00E23B64" w:rsidRPr="00CE1385">
        <w:rPr>
          <w:rFonts w:ascii="Times New Roman" w:hAnsi="Times New Roman" w:cs="Times New Roman"/>
          <w:bCs/>
          <w:sz w:val="24"/>
          <w:szCs w:val="24"/>
        </w:rPr>
        <w:t xml:space="preserve">czyli </w:t>
      </w:r>
      <w:r w:rsidRPr="00CE1385">
        <w:rPr>
          <w:rFonts w:ascii="Times New Roman" w:hAnsi="Times New Roman" w:cs="Times New Roman"/>
          <w:bCs/>
          <w:sz w:val="24"/>
          <w:szCs w:val="24"/>
        </w:rPr>
        <w:t>kwalifikowanej postaci nierównego traktowania ze względu na jakąś cechę osobistą. Rolą państwa jest przy tym nie tylko zapobieganie wszelkim przejawom dyskryminacji</w:t>
      </w:r>
      <w:r w:rsidR="00C34916" w:rsidRPr="00CE1385">
        <w:rPr>
          <w:rFonts w:ascii="Times New Roman" w:hAnsi="Times New Roman" w:cs="Times New Roman"/>
          <w:bCs/>
          <w:sz w:val="24"/>
          <w:szCs w:val="24"/>
        </w:rPr>
        <w:t xml:space="preserve"> </w:t>
      </w:r>
      <w:r w:rsidRPr="00CE1385">
        <w:rPr>
          <w:rFonts w:ascii="Times New Roman" w:hAnsi="Times New Roman" w:cs="Times New Roman"/>
          <w:bCs/>
          <w:sz w:val="24"/>
          <w:szCs w:val="24"/>
        </w:rPr>
        <w:t>przez podnoszenie świadomości społecznej</w:t>
      </w:r>
      <w:r w:rsidR="0010539D" w:rsidRPr="00CE1385">
        <w:rPr>
          <w:rFonts w:ascii="Times New Roman" w:hAnsi="Times New Roman" w:cs="Times New Roman"/>
          <w:bCs/>
          <w:sz w:val="24"/>
          <w:szCs w:val="24"/>
        </w:rPr>
        <w:t xml:space="preserve"> i </w:t>
      </w:r>
      <w:r w:rsidRPr="00CE1385">
        <w:rPr>
          <w:rFonts w:ascii="Times New Roman" w:hAnsi="Times New Roman" w:cs="Times New Roman"/>
          <w:bCs/>
          <w:sz w:val="24"/>
          <w:szCs w:val="24"/>
        </w:rPr>
        <w:t xml:space="preserve">edukację antydyskryminacyjną, ale także ochrona </w:t>
      </w:r>
      <w:r w:rsidR="00F54257" w:rsidRPr="00CE1385">
        <w:rPr>
          <w:rFonts w:ascii="Times New Roman" w:hAnsi="Times New Roman" w:cs="Times New Roman"/>
          <w:bCs/>
          <w:sz w:val="24"/>
          <w:szCs w:val="24"/>
        </w:rPr>
        <w:t>pokrzywdzonych</w:t>
      </w:r>
      <w:r w:rsidRPr="00CE1385">
        <w:rPr>
          <w:rFonts w:ascii="Times New Roman" w:hAnsi="Times New Roman" w:cs="Times New Roman"/>
          <w:bCs/>
          <w:sz w:val="24"/>
          <w:szCs w:val="24"/>
        </w:rPr>
        <w:t xml:space="preserve"> przestępstw</w:t>
      </w:r>
      <w:r w:rsidR="00F54257" w:rsidRPr="00CE1385">
        <w:rPr>
          <w:rFonts w:ascii="Times New Roman" w:hAnsi="Times New Roman" w:cs="Times New Roman"/>
          <w:bCs/>
          <w:sz w:val="24"/>
          <w:szCs w:val="24"/>
        </w:rPr>
        <w:t>ami</w:t>
      </w:r>
      <w:r w:rsidRPr="00CE1385">
        <w:rPr>
          <w:rFonts w:ascii="Times New Roman" w:hAnsi="Times New Roman" w:cs="Times New Roman"/>
          <w:bCs/>
          <w:sz w:val="24"/>
          <w:szCs w:val="24"/>
        </w:rPr>
        <w:t xml:space="preserve"> przez stworzenie skutecznego systemu sankcji karnych</w:t>
      </w:r>
      <w:r w:rsidR="007F0D4C" w:rsidRPr="00CE1385">
        <w:rPr>
          <w:rFonts w:ascii="Times New Roman" w:hAnsi="Times New Roman" w:cs="Times New Roman"/>
          <w:bCs/>
          <w:sz w:val="24"/>
          <w:szCs w:val="24"/>
        </w:rPr>
        <w:t>.</w:t>
      </w:r>
    </w:p>
    <w:bookmarkEnd w:id="0"/>
    <w:p w14:paraId="17C6832C" w14:textId="07B720EE" w:rsidR="007039FE" w:rsidRPr="00CE1385" w:rsidRDefault="007039FE" w:rsidP="00412841">
      <w:pPr>
        <w:spacing w:before="240" w:after="0" w:line="360" w:lineRule="auto"/>
        <w:jc w:val="both"/>
        <w:rPr>
          <w:rFonts w:ascii="Times New Roman" w:hAnsi="Times New Roman" w:cs="Times New Roman"/>
          <w:b/>
          <w:sz w:val="24"/>
          <w:szCs w:val="24"/>
        </w:rPr>
      </w:pPr>
      <w:r w:rsidRPr="00CE1385">
        <w:rPr>
          <w:rFonts w:ascii="Times New Roman" w:hAnsi="Times New Roman" w:cs="Times New Roman"/>
          <w:b/>
          <w:sz w:val="24"/>
          <w:szCs w:val="24"/>
        </w:rPr>
        <w:t>Konstytucja RP</w:t>
      </w:r>
      <w:r w:rsidR="0010539D" w:rsidRPr="00CE1385">
        <w:rPr>
          <w:rFonts w:ascii="Times New Roman" w:hAnsi="Times New Roman" w:cs="Times New Roman"/>
          <w:b/>
          <w:sz w:val="24"/>
          <w:szCs w:val="24"/>
        </w:rPr>
        <w:t xml:space="preserve"> i </w:t>
      </w:r>
      <w:r w:rsidRPr="00CE1385">
        <w:rPr>
          <w:rFonts w:ascii="Times New Roman" w:hAnsi="Times New Roman" w:cs="Times New Roman"/>
          <w:b/>
          <w:sz w:val="24"/>
          <w:szCs w:val="24"/>
        </w:rPr>
        <w:t>akty prawa międzynarodowego</w:t>
      </w:r>
    </w:p>
    <w:p w14:paraId="3ED86273" w14:textId="3F19CF45" w:rsidR="004C3831" w:rsidRPr="00CE1385" w:rsidRDefault="0059239C" w:rsidP="00412841">
      <w:pPr>
        <w:spacing w:before="120" w:after="0" w:line="360" w:lineRule="auto"/>
        <w:jc w:val="both"/>
        <w:rPr>
          <w:rFonts w:ascii="Times New Roman" w:hAnsi="Times New Roman" w:cs="Times New Roman"/>
          <w:bCs/>
          <w:sz w:val="24"/>
          <w:szCs w:val="24"/>
          <w:shd w:val="clear" w:color="auto" w:fill="FFFFFF"/>
        </w:rPr>
      </w:pPr>
      <w:r w:rsidRPr="00CE1385">
        <w:rPr>
          <w:rFonts w:ascii="Times New Roman" w:hAnsi="Times New Roman" w:cs="Times New Roman"/>
          <w:bCs/>
          <w:sz w:val="24"/>
          <w:szCs w:val="24"/>
        </w:rPr>
        <w:t>Przepis</w:t>
      </w:r>
      <w:r w:rsidR="0010539D" w:rsidRPr="00CE1385">
        <w:rPr>
          <w:rFonts w:ascii="Times New Roman" w:hAnsi="Times New Roman" w:cs="Times New Roman"/>
          <w:bCs/>
          <w:sz w:val="24"/>
          <w:szCs w:val="24"/>
        </w:rPr>
        <w:t xml:space="preserve"> art. </w:t>
      </w:r>
      <w:r w:rsidRPr="00CE1385">
        <w:rPr>
          <w:rFonts w:ascii="Times New Roman" w:hAnsi="Times New Roman" w:cs="Times New Roman"/>
          <w:bCs/>
          <w:sz w:val="24"/>
          <w:szCs w:val="24"/>
        </w:rPr>
        <w:t xml:space="preserve">32 Konstytucji RP </w:t>
      </w:r>
      <w:r w:rsidRPr="00CE1385">
        <w:rPr>
          <w:rFonts w:ascii="Times New Roman" w:hAnsi="Times New Roman" w:cs="Times New Roman"/>
          <w:bCs/>
          <w:sz w:val="24"/>
          <w:szCs w:val="24"/>
          <w:shd w:val="clear" w:color="auto" w:fill="FFFFFF"/>
        </w:rPr>
        <w:t>określa ogólne pojęcie</w:t>
      </w:r>
      <w:r w:rsidR="0010539D" w:rsidRPr="00CE1385">
        <w:rPr>
          <w:rFonts w:ascii="Times New Roman" w:hAnsi="Times New Roman" w:cs="Times New Roman"/>
          <w:bCs/>
          <w:sz w:val="24"/>
          <w:szCs w:val="24"/>
          <w:shd w:val="clear" w:color="auto" w:fill="FFFFFF"/>
        </w:rPr>
        <w:t xml:space="preserve"> i </w:t>
      </w:r>
      <w:r w:rsidRPr="00CE1385">
        <w:rPr>
          <w:rFonts w:ascii="Times New Roman" w:hAnsi="Times New Roman" w:cs="Times New Roman"/>
          <w:bCs/>
          <w:sz w:val="24"/>
          <w:szCs w:val="24"/>
          <w:shd w:val="clear" w:color="auto" w:fill="FFFFFF"/>
        </w:rPr>
        <w:t>zakres zasady równości </w:t>
      </w:r>
      <w:r w:rsidR="005C3011" w:rsidRPr="00CE1385">
        <w:rPr>
          <w:rFonts w:ascii="Times New Roman" w:hAnsi="Times New Roman" w:cs="Times New Roman"/>
          <w:bCs/>
          <w:sz w:val="24"/>
          <w:szCs w:val="24"/>
          <w:shd w:val="clear" w:color="auto" w:fill="FFFFFF"/>
        </w:rPr>
        <w:t>(</w:t>
      </w:r>
      <w:r w:rsidRPr="00CE1385">
        <w:rPr>
          <w:rFonts w:ascii="Times New Roman" w:hAnsi="Times New Roman" w:cs="Times New Roman"/>
          <w:bCs/>
          <w:sz w:val="24"/>
          <w:szCs w:val="24"/>
          <w:shd w:val="clear" w:color="auto" w:fill="FFFFFF"/>
        </w:rPr>
        <w:t>art. 32 ust. 1 Konstytucji RP) oraz formułuje zakaz</w:t>
      </w:r>
      <w:r w:rsidR="0034678C" w:rsidRPr="00CE1385">
        <w:rPr>
          <w:rFonts w:ascii="Times New Roman" w:hAnsi="Times New Roman" w:cs="Times New Roman"/>
          <w:bCs/>
          <w:sz w:val="24"/>
          <w:szCs w:val="24"/>
          <w:shd w:val="clear" w:color="auto" w:fill="FFFFFF"/>
        </w:rPr>
        <w:t xml:space="preserve"> dyskryminacji</w:t>
      </w:r>
      <w:r w:rsidRPr="00CE1385">
        <w:rPr>
          <w:rFonts w:ascii="Times New Roman" w:hAnsi="Times New Roman" w:cs="Times New Roman"/>
          <w:bCs/>
          <w:sz w:val="24"/>
          <w:szCs w:val="24"/>
          <w:shd w:val="clear" w:color="auto" w:fill="FFFFFF"/>
        </w:rPr>
        <w:t xml:space="preserve"> </w:t>
      </w:r>
      <w:r w:rsidR="00C53386" w:rsidRPr="00CE1385">
        <w:rPr>
          <w:rFonts w:ascii="Times New Roman" w:hAnsi="Times New Roman" w:cs="Times New Roman"/>
          <w:bCs/>
          <w:sz w:val="24"/>
          <w:szCs w:val="24"/>
          <w:shd w:val="clear" w:color="auto" w:fill="FFFFFF"/>
        </w:rPr>
        <w:t>(</w:t>
      </w:r>
      <w:r w:rsidRPr="00CE1385">
        <w:rPr>
          <w:rFonts w:ascii="Times New Roman" w:hAnsi="Times New Roman" w:cs="Times New Roman"/>
          <w:bCs/>
          <w:sz w:val="24"/>
          <w:szCs w:val="24"/>
          <w:shd w:val="clear" w:color="auto" w:fill="FFFFFF"/>
        </w:rPr>
        <w:t xml:space="preserve">art. 32 ust. 2 Konstytucji RP). </w:t>
      </w:r>
    </w:p>
    <w:p w14:paraId="467670BB" w14:textId="0F13247C" w:rsidR="00E030D1" w:rsidRPr="00CE1385" w:rsidRDefault="00E63823" w:rsidP="00412841">
      <w:pPr>
        <w:spacing w:before="120" w:after="0" w:line="360" w:lineRule="auto"/>
        <w:jc w:val="both"/>
        <w:rPr>
          <w:rFonts w:ascii="Times New Roman" w:hAnsi="Times New Roman" w:cs="Times New Roman"/>
          <w:bCs/>
          <w:sz w:val="24"/>
          <w:szCs w:val="24"/>
        </w:rPr>
      </w:pPr>
      <w:r w:rsidRPr="00CE1385">
        <w:rPr>
          <w:rFonts w:ascii="Times New Roman" w:hAnsi="Times New Roman" w:cs="Times New Roman"/>
          <w:bCs/>
          <w:sz w:val="24"/>
          <w:szCs w:val="24"/>
        </w:rPr>
        <w:t xml:space="preserve">Zasada </w:t>
      </w:r>
      <w:r w:rsidR="00E030D1" w:rsidRPr="00CE1385">
        <w:rPr>
          <w:rFonts w:ascii="Times New Roman" w:hAnsi="Times New Roman" w:cs="Times New Roman"/>
          <w:bCs/>
          <w:sz w:val="24"/>
          <w:szCs w:val="24"/>
        </w:rPr>
        <w:t>równości</w:t>
      </w:r>
      <w:r w:rsidR="0010539D" w:rsidRPr="00CE1385">
        <w:rPr>
          <w:rFonts w:ascii="Times New Roman" w:hAnsi="Times New Roman" w:cs="Times New Roman"/>
          <w:bCs/>
          <w:sz w:val="24"/>
          <w:szCs w:val="24"/>
        </w:rPr>
        <w:t xml:space="preserve"> i </w:t>
      </w:r>
      <w:r w:rsidRPr="00CE1385">
        <w:rPr>
          <w:rFonts w:ascii="Times New Roman" w:hAnsi="Times New Roman" w:cs="Times New Roman"/>
          <w:bCs/>
          <w:sz w:val="24"/>
          <w:szCs w:val="24"/>
        </w:rPr>
        <w:t>niedyskryminacji stanowi również jeden</w:t>
      </w:r>
      <w:r w:rsidR="00496F1F" w:rsidRPr="00CE1385">
        <w:rPr>
          <w:rFonts w:ascii="Times New Roman" w:hAnsi="Times New Roman" w:cs="Times New Roman"/>
          <w:bCs/>
          <w:sz w:val="24"/>
          <w:szCs w:val="24"/>
        </w:rPr>
        <w:t xml:space="preserve"> </w:t>
      </w:r>
      <w:r w:rsidR="0001136D" w:rsidRPr="00CE1385">
        <w:rPr>
          <w:rFonts w:ascii="Times New Roman" w:hAnsi="Times New Roman" w:cs="Times New Roman"/>
          <w:bCs/>
          <w:sz w:val="24"/>
          <w:szCs w:val="24"/>
        </w:rPr>
        <w:t>z </w:t>
      </w:r>
      <w:r w:rsidRPr="00CE1385">
        <w:rPr>
          <w:rFonts w:ascii="Times New Roman" w:hAnsi="Times New Roman" w:cs="Times New Roman"/>
          <w:bCs/>
          <w:sz w:val="24"/>
          <w:szCs w:val="24"/>
        </w:rPr>
        <w:t>fundamentów międzynarodowego systemu praw człowieka</w:t>
      </w:r>
      <w:r w:rsidR="0010539D" w:rsidRPr="00CE1385">
        <w:rPr>
          <w:rFonts w:ascii="Times New Roman" w:hAnsi="Times New Roman" w:cs="Times New Roman"/>
          <w:bCs/>
          <w:sz w:val="24"/>
          <w:szCs w:val="24"/>
        </w:rPr>
        <w:t xml:space="preserve"> i </w:t>
      </w:r>
      <w:r w:rsidR="00A91312" w:rsidRPr="00CE1385">
        <w:rPr>
          <w:rFonts w:ascii="Times New Roman" w:hAnsi="Times New Roman" w:cs="Times New Roman"/>
          <w:bCs/>
          <w:sz w:val="24"/>
          <w:szCs w:val="24"/>
        </w:rPr>
        <w:t>jest</w:t>
      </w:r>
      <w:r w:rsidRPr="00CE1385">
        <w:rPr>
          <w:rFonts w:ascii="Times New Roman" w:hAnsi="Times New Roman" w:cs="Times New Roman"/>
          <w:bCs/>
          <w:sz w:val="24"/>
          <w:szCs w:val="24"/>
        </w:rPr>
        <w:t xml:space="preserve"> wyrażona</w:t>
      </w:r>
      <w:r w:rsidR="0010539D" w:rsidRPr="00CE1385">
        <w:rPr>
          <w:rFonts w:ascii="Times New Roman" w:hAnsi="Times New Roman" w:cs="Times New Roman"/>
          <w:bCs/>
          <w:sz w:val="24"/>
          <w:szCs w:val="24"/>
        </w:rPr>
        <w:t xml:space="preserve"> w </w:t>
      </w:r>
      <w:r w:rsidRPr="00CE1385">
        <w:rPr>
          <w:rFonts w:ascii="Times New Roman" w:hAnsi="Times New Roman" w:cs="Times New Roman"/>
          <w:bCs/>
          <w:sz w:val="24"/>
          <w:szCs w:val="24"/>
        </w:rPr>
        <w:t>wielu aktach prawa międzynarodowego. Została ukształtowana</w:t>
      </w:r>
      <w:r w:rsidR="0010539D" w:rsidRPr="00CE1385">
        <w:rPr>
          <w:rFonts w:ascii="Times New Roman" w:hAnsi="Times New Roman" w:cs="Times New Roman"/>
          <w:bCs/>
          <w:sz w:val="24"/>
          <w:szCs w:val="24"/>
        </w:rPr>
        <w:t xml:space="preserve"> w art. </w:t>
      </w:r>
      <w:r w:rsidR="00002075" w:rsidRPr="00CE1385">
        <w:rPr>
          <w:rFonts w:ascii="Times New Roman" w:hAnsi="Times New Roman" w:cs="Times New Roman"/>
          <w:bCs/>
          <w:sz w:val="24"/>
          <w:szCs w:val="24"/>
        </w:rPr>
        <w:t>1,</w:t>
      </w:r>
      <w:r w:rsidR="0010539D" w:rsidRPr="00CE1385">
        <w:rPr>
          <w:rFonts w:ascii="Times New Roman" w:hAnsi="Times New Roman" w:cs="Times New Roman"/>
          <w:bCs/>
          <w:sz w:val="24"/>
          <w:szCs w:val="24"/>
        </w:rPr>
        <w:t xml:space="preserve"> art. </w:t>
      </w:r>
      <w:r w:rsidRPr="00CE1385">
        <w:rPr>
          <w:rFonts w:ascii="Times New Roman" w:hAnsi="Times New Roman" w:cs="Times New Roman"/>
          <w:bCs/>
          <w:sz w:val="24"/>
          <w:szCs w:val="24"/>
        </w:rPr>
        <w:t>2</w:t>
      </w:r>
      <w:r w:rsidR="0010539D" w:rsidRPr="00CE1385">
        <w:rPr>
          <w:rFonts w:ascii="Times New Roman" w:hAnsi="Times New Roman" w:cs="Times New Roman"/>
          <w:bCs/>
          <w:sz w:val="24"/>
          <w:szCs w:val="24"/>
        </w:rPr>
        <w:t xml:space="preserve"> i art. </w:t>
      </w:r>
      <w:r w:rsidR="00002075" w:rsidRPr="00CE1385">
        <w:rPr>
          <w:rFonts w:ascii="Times New Roman" w:hAnsi="Times New Roman" w:cs="Times New Roman"/>
          <w:bCs/>
          <w:sz w:val="24"/>
          <w:szCs w:val="24"/>
        </w:rPr>
        <w:t>7</w:t>
      </w:r>
      <w:r w:rsidRPr="00CE1385">
        <w:rPr>
          <w:rFonts w:ascii="Times New Roman" w:hAnsi="Times New Roman" w:cs="Times New Roman"/>
          <w:bCs/>
          <w:sz w:val="24"/>
          <w:szCs w:val="24"/>
        </w:rPr>
        <w:t xml:space="preserve"> Powszechnej Deklaracji Praw Człowieka</w:t>
      </w:r>
      <w:r w:rsidR="00002075" w:rsidRPr="00CE1385">
        <w:rPr>
          <w:rFonts w:ascii="Times New Roman" w:hAnsi="Times New Roman" w:cs="Times New Roman"/>
          <w:bCs/>
          <w:sz w:val="24"/>
          <w:szCs w:val="24"/>
        </w:rPr>
        <w:t>,</w:t>
      </w:r>
      <w:r w:rsidR="0010539D" w:rsidRPr="00CE1385">
        <w:rPr>
          <w:rFonts w:ascii="Times New Roman" w:hAnsi="Times New Roman" w:cs="Times New Roman"/>
          <w:bCs/>
          <w:sz w:val="24"/>
          <w:szCs w:val="24"/>
        </w:rPr>
        <w:t xml:space="preserve"> art. </w:t>
      </w:r>
      <w:r w:rsidR="00002075" w:rsidRPr="00CE1385">
        <w:rPr>
          <w:rFonts w:ascii="Times New Roman" w:hAnsi="Times New Roman" w:cs="Times New Roman"/>
          <w:bCs/>
          <w:sz w:val="24"/>
          <w:szCs w:val="24"/>
        </w:rPr>
        <w:t>26 Międzynarodowego Paktu Praw Obywatelskich</w:t>
      </w:r>
      <w:r w:rsidR="0010539D" w:rsidRPr="00CE1385">
        <w:rPr>
          <w:rFonts w:ascii="Times New Roman" w:hAnsi="Times New Roman" w:cs="Times New Roman"/>
          <w:bCs/>
          <w:sz w:val="24"/>
          <w:szCs w:val="24"/>
        </w:rPr>
        <w:t xml:space="preserve"> i </w:t>
      </w:r>
      <w:r w:rsidR="00002075" w:rsidRPr="00CE1385">
        <w:rPr>
          <w:rFonts w:ascii="Times New Roman" w:hAnsi="Times New Roman" w:cs="Times New Roman"/>
          <w:bCs/>
          <w:sz w:val="24"/>
          <w:szCs w:val="24"/>
        </w:rPr>
        <w:t>Politycznych,</w:t>
      </w:r>
      <w:r w:rsidR="0010539D" w:rsidRPr="00CE1385">
        <w:rPr>
          <w:rFonts w:ascii="Times New Roman" w:hAnsi="Times New Roman" w:cs="Times New Roman"/>
          <w:bCs/>
          <w:sz w:val="24"/>
          <w:szCs w:val="24"/>
        </w:rPr>
        <w:t xml:space="preserve"> art. </w:t>
      </w:r>
      <w:r w:rsidR="00A91312" w:rsidRPr="00CE1385">
        <w:rPr>
          <w:rFonts w:ascii="Times New Roman" w:hAnsi="Times New Roman" w:cs="Times New Roman"/>
          <w:bCs/>
          <w:sz w:val="24"/>
          <w:szCs w:val="24"/>
        </w:rPr>
        <w:t>2 ust. 2 Międzynarodowego Paktu Praw Gospodarczych, Społecznych</w:t>
      </w:r>
      <w:r w:rsidR="0010539D" w:rsidRPr="00CE1385">
        <w:rPr>
          <w:rFonts w:ascii="Times New Roman" w:hAnsi="Times New Roman" w:cs="Times New Roman"/>
          <w:bCs/>
          <w:sz w:val="24"/>
          <w:szCs w:val="24"/>
        </w:rPr>
        <w:t xml:space="preserve"> i</w:t>
      </w:r>
      <w:r w:rsidR="007F03B7" w:rsidRPr="00CE1385">
        <w:rPr>
          <w:rFonts w:ascii="Times New Roman" w:hAnsi="Times New Roman" w:cs="Times New Roman"/>
          <w:bCs/>
          <w:sz w:val="24"/>
          <w:szCs w:val="24"/>
        </w:rPr>
        <w:t xml:space="preserve"> </w:t>
      </w:r>
      <w:r w:rsidR="00A91312" w:rsidRPr="00CE1385">
        <w:rPr>
          <w:rFonts w:ascii="Times New Roman" w:hAnsi="Times New Roman" w:cs="Times New Roman"/>
          <w:bCs/>
          <w:sz w:val="24"/>
          <w:szCs w:val="24"/>
        </w:rPr>
        <w:t>Politycznych</w:t>
      </w:r>
      <w:r w:rsidR="00077CD4" w:rsidRPr="00CE1385">
        <w:rPr>
          <w:rFonts w:ascii="Times New Roman" w:hAnsi="Times New Roman" w:cs="Times New Roman"/>
          <w:bCs/>
          <w:sz w:val="24"/>
          <w:szCs w:val="24"/>
        </w:rPr>
        <w:t xml:space="preserve"> oraz</w:t>
      </w:r>
      <w:r w:rsidR="0010539D" w:rsidRPr="00CE1385">
        <w:rPr>
          <w:rFonts w:ascii="Times New Roman" w:hAnsi="Times New Roman" w:cs="Times New Roman"/>
          <w:bCs/>
          <w:sz w:val="24"/>
          <w:szCs w:val="24"/>
        </w:rPr>
        <w:t xml:space="preserve"> art. </w:t>
      </w:r>
      <w:r w:rsidR="00A91312" w:rsidRPr="00CE1385">
        <w:rPr>
          <w:rFonts w:ascii="Times New Roman" w:hAnsi="Times New Roman" w:cs="Times New Roman"/>
          <w:bCs/>
          <w:sz w:val="24"/>
          <w:szCs w:val="24"/>
        </w:rPr>
        <w:t xml:space="preserve">14 </w:t>
      </w:r>
      <w:bookmarkStart w:id="2" w:name="_Hlk156547426"/>
      <w:r w:rsidR="00A91312" w:rsidRPr="00CE1385">
        <w:rPr>
          <w:rFonts w:ascii="Times New Roman" w:hAnsi="Times New Roman" w:cs="Times New Roman"/>
          <w:bCs/>
          <w:sz w:val="24"/>
          <w:szCs w:val="24"/>
        </w:rPr>
        <w:t>Konwencji</w:t>
      </w:r>
      <w:r w:rsidR="0031352B" w:rsidRPr="00CE1385">
        <w:rPr>
          <w:rFonts w:ascii="Times New Roman" w:hAnsi="Times New Roman" w:cs="Times New Roman"/>
          <w:bCs/>
          <w:sz w:val="24"/>
          <w:szCs w:val="24"/>
        </w:rPr>
        <w:t xml:space="preserve"> o </w:t>
      </w:r>
      <w:r w:rsidR="00A91312" w:rsidRPr="00CE1385">
        <w:rPr>
          <w:rFonts w:ascii="Times New Roman" w:hAnsi="Times New Roman" w:cs="Times New Roman"/>
          <w:bCs/>
          <w:sz w:val="24"/>
          <w:szCs w:val="24"/>
        </w:rPr>
        <w:t>Ochronie Praw Człowieka</w:t>
      </w:r>
      <w:r w:rsidR="0010539D" w:rsidRPr="00CE1385">
        <w:rPr>
          <w:rFonts w:ascii="Times New Roman" w:hAnsi="Times New Roman" w:cs="Times New Roman"/>
          <w:bCs/>
          <w:sz w:val="24"/>
          <w:szCs w:val="24"/>
        </w:rPr>
        <w:t xml:space="preserve"> i </w:t>
      </w:r>
      <w:r w:rsidR="00A91312" w:rsidRPr="00CE1385">
        <w:rPr>
          <w:rFonts w:ascii="Times New Roman" w:hAnsi="Times New Roman" w:cs="Times New Roman"/>
          <w:bCs/>
          <w:sz w:val="24"/>
          <w:szCs w:val="24"/>
        </w:rPr>
        <w:t>Podstawowych Wolności</w:t>
      </w:r>
      <w:bookmarkEnd w:id="2"/>
      <w:r w:rsidR="007F03B7" w:rsidRPr="00CE1385">
        <w:rPr>
          <w:rFonts w:ascii="Times New Roman" w:hAnsi="Times New Roman" w:cs="Times New Roman"/>
          <w:bCs/>
          <w:sz w:val="24"/>
          <w:szCs w:val="24"/>
        </w:rPr>
        <w:t xml:space="preserve"> (EKPC)</w:t>
      </w:r>
      <w:r w:rsidR="00EE4210" w:rsidRPr="00CE1385">
        <w:rPr>
          <w:rFonts w:ascii="Times New Roman" w:hAnsi="Times New Roman" w:cs="Times New Roman"/>
          <w:bCs/>
          <w:sz w:val="24"/>
          <w:szCs w:val="24"/>
        </w:rPr>
        <w:t>.</w:t>
      </w:r>
    </w:p>
    <w:p w14:paraId="24145DAB" w14:textId="5C31500C" w:rsidR="000656A6" w:rsidRPr="00CE1385" w:rsidRDefault="00E030D1" w:rsidP="00412841">
      <w:pPr>
        <w:spacing w:before="120" w:after="0" w:line="360" w:lineRule="auto"/>
        <w:jc w:val="both"/>
        <w:rPr>
          <w:rFonts w:ascii="Times New Roman" w:hAnsi="Times New Roman" w:cs="Times New Roman"/>
          <w:bCs/>
          <w:sz w:val="24"/>
          <w:szCs w:val="24"/>
          <w:shd w:val="clear" w:color="auto" w:fill="FFFFFF"/>
        </w:rPr>
      </w:pPr>
      <w:r w:rsidRPr="00CE1385">
        <w:rPr>
          <w:rFonts w:ascii="Times New Roman" w:hAnsi="Times New Roman" w:cs="Times New Roman"/>
          <w:bCs/>
          <w:sz w:val="24"/>
          <w:szCs w:val="24"/>
        </w:rPr>
        <w:t>Przepis</w:t>
      </w:r>
      <w:r w:rsidR="0010539D" w:rsidRPr="00CE1385">
        <w:rPr>
          <w:rFonts w:ascii="Times New Roman" w:hAnsi="Times New Roman" w:cs="Times New Roman"/>
          <w:bCs/>
          <w:sz w:val="24"/>
          <w:szCs w:val="24"/>
        </w:rPr>
        <w:t xml:space="preserve"> art. </w:t>
      </w:r>
      <w:r w:rsidR="0012451A" w:rsidRPr="00CE1385">
        <w:rPr>
          <w:rStyle w:val="FontStyle41"/>
          <w:bCs/>
          <w:sz w:val="24"/>
          <w:szCs w:val="24"/>
        </w:rPr>
        <w:t>21</w:t>
      </w:r>
      <w:r w:rsidRPr="00CE1385">
        <w:rPr>
          <w:rStyle w:val="FontStyle41"/>
          <w:bCs/>
          <w:sz w:val="24"/>
          <w:szCs w:val="24"/>
        </w:rPr>
        <w:t xml:space="preserve"> ust. 1</w:t>
      </w:r>
      <w:r w:rsidR="0012451A" w:rsidRPr="00CE1385">
        <w:rPr>
          <w:rStyle w:val="FontStyle41"/>
          <w:bCs/>
          <w:sz w:val="24"/>
          <w:szCs w:val="24"/>
        </w:rPr>
        <w:t xml:space="preserve"> Karty Praw Podstawowych UE</w:t>
      </w:r>
      <w:r w:rsidR="003C56EB" w:rsidRPr="00CE1385">
        <w:rPr>
          <w:rStyle w:val="FontStyle41"/>
          <w:bCs/>
          <w:sz w:val="24"/>
          <w:szCs w:val="24"/>
        </w:rPr>
        <w:t xml:space="preserve"> </w:t>
      </w:r>
      <w:r w:rsidRPr="00CE1385">
        <w:rPr>
          <w:rStyle w:val="FontStyle41"/>
          <w:bCs/>
          <w:sz w:val="24"/>
          <w:szCs w:val="24"/>
        </w:rPr>
        <w:t>stanowi, że z</w:t>
      </w:r>
      <w:r w:rsidRPr="00CE1385">
        <w:rPr>
          <w:rFonts w:ascii="Times New Roman" w:hAnsi="Times New Roman" w:cs="Times New Roman"/>
          <w:bCs/>
          <w:sz w:val="24"/>
          <w:szCs w:val="24"/>
          <w:shd w:val="clear" w:color="auto" w:fill="FFFFFF"/>
        </w:rPr>
        <w:t>akazana jest wszelka dyskryminacja</w:t>
      </w:r>
      <w:r w:rsidR="0010539D" w:rsidRPr="00CE1385">
        <w:rPr>
          <w:rFonts w:ascii="Times New Roman" w:hAnsi="Times New Roman" w:cs="Times New Roman"/>
          <w:bCs/>
          <w:sz w:val="24"/>
          <w:szCs w:val="24"/>
          <w:shd w:val="clear" w:color="auto" w:fill="FFFFFF"/>
        </w:rPr>
        <w:t xml:space="preserve"> w </w:t>
      </w:r>
      <w:r w:rsidRPr="00CE1385">
        <w:rPr>
          <w:rFonts w:ascii="Times New Roman" w:hAnsi="Times New Roman" w:cs="Times New Roman"/>
          <w:bCs/>
          <w:sz w:val="24"/>
          <w:szCs w:val="24"/>
          <w:shd w:val="clear" w:color="auto" w:fill="FFFFFF"/>
        </w:rPr>
        <w:t>szczególności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56320E" w:rsidRPr="00CE1385">
        <w:rPr>
          <w:rFonts w:ascii="Times New Roman" w:hAnsi="Times New Roman" w:cs="Times New Roman"/>
          <w:bCs/>
          <w:sz w:val="24"/>
          <w:szCs w:val="24"/>
          <w:shd w:val="clear" w:color="auto" w:fill="FFFFFF"/>
        </w:rPr>
        <w:t xml:space="preserve">. </w:t>
      </w:r>
    </w:p>
    <w:p w14:paraId="20164D1A" w14:textId="177F3E03" w:rsidR="004C3831" w:rsidRPr="00CE1385" w:rsidRDefault="000656A6" w:rsidP="00412841">
      <w:pPr>
        <w:spacing w:before="120" w:after="0" w:line="360" w:lineRule="auto"/>
        <w:jc w:val="both"/>
        <w:rPr>
          <w:rStyle w:val="FontStyle41"/>
          <w:bCs/>
          <w:sz w:val="24"/>
          <w:szCs w:val="24"/>
        </w:rPr>
      </w:pPr>
      <w:r w:rsidRPr="00CE1385">
        <w:rPr>
          <w:rFonts w:ascii="Times New Roman" w:hAnsi="Times New Roman" w:cs="Times New Roman"/>
          <w:bCs/>
          <w:sz w:val="24"/>
          <w:szCs w:val="24"/>
          <w:shd w:val="clear" w:color="auto" w:fill="FFFFFF"/>
        </w:rPr>
        <w:t>Przepisy</w:t>
      </w:r>
      <w:r w:rsidR="0010539D" w:rsidRPr="00CE1385">
        <w:rPr>
          <w:rFonts w:ascii="Times New Roman" w:hAnsi="Times New Roman" w:cs="Times New Roman"/>
          <w:bCs/>
          <w:sz w:val="24"/>
          <w:szCs w:val="24"/>
          <w:shd w:val="clear" w:color="auto" w:fill="FFFFFF"/>
        </w:rPr>
        <w:t xml:space="preserve"> art. </w:t>
      </w:r>
      <w:r w:rsidR="0056320E" w:rsidRPr="00CE1385">
        <w:rPr>
          <w:rFonts w:ascii="Times New Roman" w:hAnsi="Times New Roman" w:cs="Times New Roman"/>
          <w:bCs/>
          <w:sz w:val="24"/>
          <w:szCs w:val="24"/>
          <w:shd w:val="clear" w:color="auto" w:fill="FFFFFF"/>
        </w:rPr>
        <w:t>10</w:t>
      </w:r>
      <w:r w:rsidR="0010539D" w:rsidRPr="00CE1385">
        <w:rPr>
          <w:rFonts w:ascii="Times New Roman" w:hAnsi="Times New Roman" w:cs="Times New Roman"/>
          <w:bCs/>
          <w:sz w:val="24"/>
          <w:szCs w:val="24"/>
          <w:shd w:val="clear" w:color="auto" w:fill="FFFFFF"/>
        </w:rPr>
        <w:t xml:space="preserve"> i art. </w:t>
      </w:r>
      <w:r w:rsidR="0056320E" w:rsidRPr="00CE1385">
        <w:rPr>
          <w:rFonts w:ascii="Times New Roman" w:hAnsi="Times New Roman" w:cs="Times New Roman"/>
          <w:bCs/>
          <w:sz w:val="24"/>
          <w:szCs w:val="24"/>
          <w:shd w:val="clear" w:color="auto" w:fill="FFFFFF"/>
        </w:rPr>
        <w:t xml:space="preserve">19 ust. 1 </w:t>
      </w:r>
      <w:r w:rsidR="000F50C2" w:rsidRPr="00CE1385">
        <w:rPr>
          <w:rFonts w:ascii="Times New Roman" w:hAnsi="Times New Roman" w:cs="Times New Roman"/>
          <w:bCs/>
          <w:sz w:val="24"/>
          <w:szCs w:val="24"/>
        </w:rPr>
        <w:t>Traktatu</w:t>
      </w:r>
      <w:r w:rsidR="0031352B" w:rsidRPr="00CE1385">
        <w:rPr>
          <w:rFonts w:ascii="Times New Roman" w:hAnsi="Times New Roman" w:cs="Times New Roman"/>
          <w:bCs/>
          <w:sz w:val="24"/>
          <w:szCs w:val="24"/>
        </w:rPr>
        <w:t xml:space="preserve"> o </w:t>
      </w:r>
      <w:r w:rsidR="000F50C2" w:rsidRPr="00CE1385">
        <w:rPr>
          <w:rFonts w:ascii="Times New Roman" w:hAnsi="Times New Roman" w:cs="Times New Roman"/>
          <w:bCs/>
          <w:sz w:val="24"/>
          <w:szCs w:val="24"/>
        </w:rPr>
        <w:t xml:space="preserve">funkcjonowaniu Unii Europejskiej zakazują dyskryminacji ze względu na płeć, rasę lub pochodzenie etniczne, religię lub światopogląd, niepełnosprawność, wiek, orientację seksualną. </w:t>
      </w:r>
    </w:p>
    <w:p w14:paraId="6B4AD467" w14:textId="0A90ED74" w:rsidR="007039FE" w:rsidRPr="00CE1385" w:rsidRDefault="007039FE" w:rsidP="00412841">
      <w:pPr>
        <w:keepNext/>
        <w:spacing w:before="240" w:after="0" w:line="360" w:lineRule="auto"/>
        <w:jc w:val="both"/>
        <w:rPr>
          <w:rStyle w:val="FontStyle41"/>
          <w:b/>
          <w:sz w:val="24"/>
          <w:szCs w:val="24"/>
        </w:rPr>
      </w:pPr>
      <w:r w:rsidRPr="00CE1385">
        <w:rPr>
          <w:rStyle w:val="FontStyle41"/>
          <w:b/>
          <w:sz w:val="24"/>
          <w:szCs w:val="24"/>
        </w:rPr>
        <w:lastRenderedPageBreak/>
        <w:t xml:space="preserve">Zalecenia </w:t>
      </w:r>
      <w:r w:rsidRPr="00CE1385">
        <w:rPr>
          <w:rFonts w:ascii="Times New Roman" w:hAnsi="Times New Roman" w:cs="Times New Roman"/>
          <w:b/>
          <w:sz w:val="24"/>
          <w:szCs w:val="24"/>
        </w:rPr>
        <w:t>organizacji międzynarodowych</w:t>
      </w:r>
      <w:r w:rsidR="0010539D" w:rsidRPr="00CE1385">
        <w:rPr>
          <w:rFonts w:ascii="Times New Roman" w:hAnsi="Times New Roman" w:cs="Times New Roman"/>
          <w:b/>
          <w:sz w:val="24"/>
          <w:szCs w:val="24"/>
        </w:rPr>
        <w:t xml:space="preserve"> i </w:t>
      </w:r>
      <w:r w:rsidRPr="00CE1385">
        <w:rPr>
          <w:rFonts w:ascii="Times New Roman" w:hAnsi="Times New Roman" w:cs="Times New Roman"/>
          <w:b/>
          <w:sz w:val="24"/>
          <w:szCs w:val="24"/>
        </w:rPr>
        <w:t>europejskich</w:t>
      </w:r>
      <w:r w:rsidR="00876D0D" w:rsidRPr="00CE1385">
        <w:rPr>
          <w:rFonts w:ascii="Times New Roman" w:hAnsi="Times New Roman" w:cs="Times New Roman"/>
          <w:b/>
          <w:sz w:val="24"/>
          <w:szCs w:val="24"/>
        </w:rPr>
        <w:t xml:space="preserve"> </w:t>
      </w:r>
    </w:p>
    <w:p w14:paraId="7914C81B" w14:textId="7741A849" w:rsidR="00C619E0" w:rsidRPr="00CE1385" w:rsidRDefault="005F3BB1"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bCs/>
          <w:sz w:val="24"/>
          <w:szCs w:val="24"/>
        </w:rPr>
        <w:t>Konieczność zapewnieni</w:t>
      </w:r>
      <w:r w:rsidR="000C2053" w:rsidRPr="00CE1385">
        <w:rPr>
          <w:rFonts w:ascii="Times New Roman" w:hAnsi="Times New Roman" w:cs="Times New Roman"/>
          <w:bCs/>
          <w:sz w:val="24"/>
          <w:szCs w:val="24"/>
        </w:rPr>
        <w:t>a</w:t>
      </w:r>
      <w:r w:rsidRPr="00CE1385">
        <w:rPr>
          <w:rFonts w:ascii="Times New Roman" w:hAnsi="Times New Roman" w:cs="Times New Roman"/>
          <w:bCs/>
          <w:sz w:val="24"/>
          <w:szCs w:val="24"/>
        </w:rPr>
        <w:t xml:space="preserve"> skutecznych środków ochrony </w:t>
      </w:r>
      <w:r w:rsidR="00F54257" w:rsidRPr="00CE1385">
        <w:rPr>
          <w:rFonts w:ascii="Times New Roman" w:hAnsi="Times New Roman" w:cs="Times New Roman"/>
          <w:bCs/>
          <w:sz w:val="24"/>
          <w:szCs w:val="24"/>
        </w:rPr>
        <w:t xml:space="preserve">osobom pokrzywdzonym </w:t>
      </w:r>
      <w:r w:rsidRPr="00CE1385">
        <w:rPr>
          <w:rFonts w:ascii="Times New Roman" w:hAnsi="Times New Roman" w:cs="Times New Roman"/>
          <w:bCs/>
          <w:sz w:val="24"/>
          <w:szCs w:val="24"/>
        </w:rPr>
        <w:t>dyskryminacj</w:t>
      </w:r>
      <w:r w:rsidR="00F54257" w:rsidRPr="00CE1385">
        <w:rPr>
          <w:rFonts w:ascii="Times New Roman" w:hAnsi="Times New Roman" w:cs="Times New Roman"/>
          <w:bCs/>
          <w:sz w:val="24"/>
          <w:szCs w:val="24"/>
        </w:rPr>
        <w:t>ą</w:t>
      </w:r>
      <w:r w:rsidRPr="00CE1385">
        <w:rPr>
          <w:rFonts w:ascii="Times New Roman" w:hAnsi="Times New Roman" w:cs="Times New Roman"/>
          <w:bCs/>
          <w:sz w:val="24"/>
          <w:szCs w:val="24"/>
        </w:rPr>
        <w:t xml:space="preserve"> </w:t>
      </w:r>
      <w:r w:rsidR="003C56EB" w:rsidRPr="00CE1385">
        <w:rPr>
          <w:rFonts w:ascii="Times New Roman" w:hAnsi="Times New Roman" w:cs="Times New Roman"/>
          <w:bCs/>
          <w:sz w:val="24"/>
          <w:szCs w:val="24"/>
        </w:rPr>
        <w:t xml:space="preserve">oraz </w:t>
      </w:r>
      <w:r w:rsidR="009622ED" w:rsidRPr="00CE1385">
        <w:rPr>
          <w:rFonts w:ascii="Times New Roman" w:hAnsi="Times New Roman" w:cs="Times New Roman"/>
          <w:bCs/>
          <w:sz w:val="24"/>
          <w:szCs w:val="24"/>
        </w:rPr>
        <w:t>podejmowani</w:t>
      </w:r>
      <w:r w:rsidR="003C56EB" w:rsidRPr="00CE1385">
        <w:rPr>
          <w:rFonts w:ascii="Times New Roman" w:hAnsi="Times New Roman" w:cs="Times New Roman"/>
          <w:bCs/>
          <w:sz w:val="24"/>
          <w:szCs w:val="24"/>
        </w:rPr>
        <w:t>e</w:t>
      </w:r>
      <w:r w:rsidR="009622ED" w:rsidRPr="00CE1385">
        <w:rPr>
          <w:rFonts w:ascii="Times New Roman" w:hAnsi="Times New Roman" w:cs="Times New Roman"/>
          <w:bCs/>
          <w:sz w:val="24"/>
          <w:szCs w:val="24"/>
        </w:rPr>
        <w:t xml:space="preserve"> wszelkich niezbędnych kroków mających na celu przeciwdziałanie tym zjawiskom –</w:t>
      </w:r>
      <w:r w:rsidR="0010539D" w:rsidRPr="00CE1385">
        <w:rPr>
          <w:rFonts w:ascii="Times New Roman" w:hAnsi="Times New Roman" w:cs="Times New Roman"/>
          <w:bCs/>
          <w:sz w:val="24"/>
          <w:szCs w:val="24"/>
        </w:rPr>
        <w:t xml:space="preserve"> w </w:t>
      </w:r>
      <w:r w:rsidR="009622ED" w:rsidRPr="00CE1385">
        <w:rPr>
          <w:rFonts w:ascii="Times New Roman" w:hAnsi="Times New Roman" w:cs="Times New Roman"/>
          <w:bCs/>
          <w:sz w:val="24"/>
          <w:szCs w:val="24"/>
        </w:rPr>
        <w:t>tym przyjęci</w:t>
      </w:r>
      <w:r w:rsidR="003C56EB" w:rsidRPr="00CE1385">
        <w:rPr>
          <w:rFonts w:ascii="Times New Roman" w:hAnsi="Times New Roman" w:cs="Times New Roman"/>
          <w:bCs/>
          <w:sz w:val="24"/>
          <w:szCs w:val="24"/>
        </w:rPr>
        <w:t>e</w:t>
      </w:r>
      <w:r w:rsidR="009622ED" w:rsidRPr="00CE1385">
        <w:rPr>
          <w:rFonts w:ascii="Times New Roman" w:hAnsi="Times New Roman" w:cs="Times New Roman"/>
          <w:bCs/>
          <w:sz w:val="24"/>
          <w:szCs w:val="24"/>
        </w:rPr>
        <w:t xml:space="preserve"> krajowych regulacji</w:t>
      </w:r>
      <w:r w:rsidR="0010539D" w:rsidRPr="00CE1385">
        <w:rPr>
          <w:rFonts w:ascii="Times New Roman" w:hAnsi="Times New Roman" w:cs="Times New Roman"/>
          <w:bCs/>
          <w:sz w:val="24"/>
          <w:szCs w:val="24"/>
        </w:rPr>
        <w:t xml:space="preserve"> i </w:t>
      </w:r>
      <w:r w:rsidR="009622ED" w:rsidRPr="00CE1385">
        <w:rPr>
          <w:rFonts w:ascii="Times New Roman" w:hAnsi="Times New Roman" w:cs="Times New Roman"/>
          <w:bCs/>
          <w:sz w:val="24"/>
          <w:szCs w:val="24"/>
        </w:rPr>
        <w:t>procedur gwarantujących ustalenie</w:t>
      </w:r>
      <w:r w:rsidR="009622ED" w:rsidRPr="00CE1385">
        <w:rPr>
          <w:rFonts w:ascii="Times New Roman" w:hAnsi="Times New Roman" w:cs="Times New Roman"/>
          <w:sz w:val="24"/>
          <w:szCs w:val="24"/>
        </w:rPr>
        <w:t xml:space="preserve"> szczególnego motywu sprawców przestępstw</w:t>
      </w:r>
      <w:r w:rsidR="0001136D" w:rsidRPr="00CE1385">
        <w:rPr>
          <w:rFonts w:ascii="Times New Roman" w:hAnsi="Times New Roman" w:cs="Times New Roman"/>
          <w:sz w:val="24"/>
          <w:szCs w:val="24"/>
        </w:rPr>
        <w:t xml:space="preserve"> z </w:t>
      </w:r>
      <w:r w:rsidR="009622ED" w:rsidRPr="00CE1385">
        <w:rPr>
          <w:rFonts w:ascii="Times New Roman" w:hAnsi="Times New Roman" w:cs="Times New Roman"/>
          <w:sz w:val="24"/>
          <w:szCs w:val="24"/>
        </w:rPr>
        <w:t>nienawiści oraz zagrożenie takich czynów wyższym wymiarem kary</w:t>
      </w:r>
      <w:r w:rsidR="003C56EB" w:rsidRPr="00CE1385">
        <w:rPr>
          <w:rFonts w:ascii="Times New Roman" w:hAnsi="Times New Roman" w:cs="Times New Roman"/>
          <w:sz w:val="24"/>
          <w:szCs w:val="24"/>
        </w:rPr>
        <w:t xml:space="preserve"> – wynika także</w:t>
      </w:r>
      <w:r w:rsidR="0001136D" w:rsidRPr="00CE1385">
        <w:rPr>
          <w:rFonts w:ascii="Times New Roman" w:hAnsi="Times New Roman" w:cs="Times New Roman"/>
          <w:sz w:val="24"/>
          <w:szCs w:val="24"/>
        </w:rPr>
        <w:t xml:space="preserve"> z </w:t>
      </w:r>
      <w:r w:rsidR="00E72214" w:rsidRPr="00CE1385">
        <w:rPr>
          <w:rFonts w:ascii="Times New Roman" w:hAnsi="Times New Roman" w:cs="Times New Roman"/>
          <w:sz w:val="24"/>
          <w:szCs w:val="24"/>
        </w:rPr>
        <w:t>wydawanych przez organizacje międzynarodowe</w:t>
      </w:r>
      <w:r w:rsidR="0010539D" w:rsidRPr="00CE1385">
        <w:rPr>
          <w:rFonts w:ascii="Times New Roman" w:hAnsi="Times New Roman" w:cs="Times New Roman"/>
          <w:sz w:val="24"/>
          <w:szCs w:val="24"/>
        </w:rPr>
        <w:t xml:space="preserve"> i </w:t>
      </w:r>
      <w:r w:rsidR="00E72214" w:rsidRPr="00CE1385">
        <w:rPr>
          <w:rFonts w:ascii="Times New Roman" w:hAnsi="Times New Roman" w:cs="Times New Roman"/>
          <w:sz w:val="24"/>
          <w:szCs w:val="24"/>
        </w:rPr>
        <w:t>europejskie zaleceń</w:t>
      </w:r>
      <w:r w:rsidR="0010539D" w:rsidRPr="00CE1385">
        <w:rPr>
          <w:rFonts w:ascii="Times New Roman" w:hAnsi="Times New Roman" w:cs="Times New Roman"/>
          <w:sz w:val="24"/>
          <w:szCs w:val="24"/>
        </w:rPr>
        <w:t xml:space="preserve"> i </w:t>
      </w:r>
      <w:r w:rsidR="00E72214" w:rsidRPr="00CE1385">
        <w:rPr>
          <w:rFonts w:ascii="Times New Roman" w:hAnsi="Times New Roman" w:cs="Times New Roman"/>
          <w:sz w:val="24"/>
          <w:szCs w:val="24"/>
        </w:rPr>
        <w:t xml:space="preserve">rekomendacji. </w:t>
      </w:r>
    </w:p>
    <w:p w14:paraId="5315D2EE" w14:textId="1A92A902" w:rsidR="005954D1" w:rsidRPr="00CE1385" w:rsidRDefault="005954D1" w:rsidP="00412841">
      <w:pPr>
        <w:pStyle w:val="Style9"/>
        <w:widowControl/>
        <w:spacing w:before="120" w:line="360" w:lineRule="auto"/>
        <w:ind w:firstLine="0"/>
      </w:pPr>
      <w:r w:rsidRPr="00CE1385">
        <w:t xml:space="preserve">W rekomendacjach </w:t>
      </w:r>
      <w:r w:rsidRPr="00CE1385">
        <w:rPr>
          <w:shd w:val="clear" w:color="auto" w:fill="FFFFFF"/>
        </w:rPr>
        <w:t>Komitetu Praw Człowieka</w:t>
      </w:r>
      <w:r w:rsidR="0001136D" w:rsidRPr="00CE1385">
        <w:rPr>
          <w:shd w:val="clear" w:color="auto" w:fill="FFFFFF"/>
        </w:rPr>
        <w:t xml:space="preserve"> z </w:t>
      </w:r>
      <w:r w:rsidRPr="00CE1385">
        <w:rPr>
          <w:shd w:val="clear" w:color="auto" w:fill="FFFFFF"/>
        </w:rPr>
        <w:t>rozpatrzenia VII Sprawozdania okresowego Polski</w:t>
      </w:r>
      <w:r w:rsidR="0001136D" w:rsidRPr="00CE1385">
        <w:rPr>
          <w:shd w:val="clear" w:color="auto" w:fill="FFFFFF"/>
        </w:rPr>
        <w:t xml:space="preserve"> z </w:t>
      </w:r>
      <w:r w:rsidRPr="00CE1385">
        <w:rPr>
          <w:shd w:val="clear" w:color="auto" w:fill="FFFFFF"/>
        </w:rPr>
        <w:t>realizacji postanowień Międzynarodowego Paktu Praw Obywatelskich</w:t>
      </w:r>
      <w:r w:rsidR="0010539D" w:rsidRPr="00CE1385">
        <w:rPr>
          <w:shd w:val="clear" w:color="auto" w:fill="FFFFFF"/>
        </w:rPr>
        <w:t xml:space="preserve"> i </w:t>
      </w:r>
      <w:r w:rsidRPr="00CE1385">
        <w:rPr>
          <w:shd w:val="clear" w:color="auto" w:fill="FFFFFF"/>
        </w:rPr>
        <w:t>Politycznych</w:t>
      </w:r>
      <w:r w:rsidR="0001136D" w:rsidRPr="00CE1385">
        <w:rPr>
          <w:shd w:val="clear" w:color="auto" w:fill="FFFFFF"/>
        </w:rPr>
        <w:t xml:space="preserve"> z dnia </w:t>
      </w:r>
      <w:r w:rsidR="00EE4210" w:rsidRPr="00CE1385">
        <w:rPr>
          <w:shd w:val="clear" w:color="auto" w:fill="FFFFFF"/>
        </w:rPr>
        <w:t xml:space="preserve">31 października 2016 r. </w:t>
      </w:r>
      <w:r w:rsidR="001721DF" w:rsidRPr="00CE1385">
        <w:rPr>
          <w:shd w:val="clear" w:color="auto" w:fill="FFFFFF"/>
        </w:rPr>
        <w:t>(pkt 15</w:t>
      </w:r>
      <w:r w:rsidR="0010539D" w:rsidRPr="00CE1385">
        <w:rPr>
          <w:shd w:val="clear" w:color="auto" w:fill="FFFFFF"/>
        </w:rPr>
        <w:t xml:space="preserve"> i </w:t>
      </w:r>
      <w:r w:rsidR="001721DF" w:rsidRPr="00CE1385">
        <w:rPr>
          <w:shd w:val="clear" w:color="auto" w:fill="FFFFFF"/>
        </w:rPr>
        <w:t xml:space="preserve">16) </w:t>
      </w:r>
      <w:r w:rsidRPr="00CE1385">
        <w:rPr>
          <w:shd w:val="clear" w:color="auto" w:fill="FFFFFF"/>
        </w:rPr>
        <w:t>wskazano, że</w:t>
      </w:r>
      <w:r w:rsidR="00AB7E3D" w:rsidRPr="00CE1385">
        <w:rPr>
          <w:shd w:val="clear" w:color="auto" w:fill="FFFFFF"/>
        </w:rPr>
        <w:t xml:space="preserve"> </w:t>
      </w:r>
      <w:r w:rsidRPr="00CE1385">
        <w:t>Komitet jest zaniepokojony odnotowanym wzrostem liczby przypadków przemocy, mowy nienawiści</w:t>
      </w:r>
      <w:r w:rsidR="0010539D" w:rsidRPr="00CE1385">
        <w:t xml:space="preserve"> i </w:t>
      </w:r>
      <w:r w:rsidRPr="00CE1385">
        <w:t>dyskryminacji ze względów rasowych, narodowościowych, etnicznych, religijnych</w:t>
      </w:r>
      <w:r w:rsidR="0010539D" w:rsidRPr="00CE1385">
        <w:t xml:space="preserve"> i </w:t>
      </w:r>
      <w:r w:rsidRPr="00CE1385">
        <w:t xml:space="preserve">orientacji seksualnej oraz niedostateczną reakcją władz na takie zdarzenia. Komitet jest również zaniepokojony faktem, że </w:t>
      </w:r>
      <w:r w:rsidR="00AB7E3D" w:rsidRPr="00CE1385">
        <w:t>K</w:t>
      </w:r>
      <w:r w:rsidRPr="00CE1385">
        <w:t>odeks karny nie odnosi się do niepełnosprawności, wieku, orientacji seksualnej</w:t>
      </w:r>
      <w:r w:rsidR="0010539D" w:rsidRPr="00CE1385">
        <w:t xml:space="preserve"> i </w:t>
      </w:r>
      <w:r w:rsidRPr="00CE1385">
        <w:t>tożsamości płciowej jako podstaw przestępstw nienawiści</w:t>
      </w:r>
      <w:r w:rsidR="00AB7E3D" w:rsidRPr="00CE1385">
        <w:t xml:space="preserve">. </w:t>
      </w:r>
      <w:r w:rsidRPr="00CE1385">
        <w:t>Państwo-Strona powinno nadal wzmacniać wysiłki na rzecz zapobiegania</w:t>
      </w:r>
      <w:r w:rsidR="0010539D" w:rsidRPr="00CE1385">
        <w:t xml:space="preserve"> i </w:t>
      </w:r>
      <w:r w:rsidRPr="00CE1385">
        <w:t>zwalczania wszelkich aktów</w:t>
      </w:r>
      <w:r w:rsidR="00830DD3">
        <w:t>,</w:t>
      </w:r>
      <w:r w:rsidRPr="00CE1385">
        <w:t xml:space="preserve"> takich jak między innymi akty rasizmu, ksenofobii, islamofobii, antysemityzmu</w:t>
      </w:r>
      <w:r w:rsidR="0010539D" w:rsidRPr="00CE1385">
        <w:t xml:space="preserve"> i </w:t>
      </w:r>
      <w:r w:rsidRPr="00CE1385">
        <w:t>homofobii, między innymi przez</w:t>
      </w:r>
      <w:r w:rsidR="00AB7E3D" w:rsidRPr="00CE1385">
        <w:t xml:space="preserve"> </w:t>
      </w:r>
      <w:r w:rsidRPr="00CE1385">
        <w:t xml:space="preserve">zmianę </w:t>
      </w:r>
      <w:r w:rsidR="00AB7E3D" w:rsidRPr="00CE1385">
        <w:t>K</w:t>
      </w:r>
      <w:r w:rsidRPr="00CE1385">
        <w:t>odeksu karnego</w:t>
      </w:r>
      <w:r w:rsidR="0010539D" w:rsidRPr="00CE1385">
        <w:t xml:space="preserve"> w </w:t>
      </w:r>
      <w:r w:rsidRPr="00CE1385">
        <w:t>taki sposób, aby przestępstwa motywowane dyskryminacją na jakimkolwiek tle przewidzianym</w:t>
      </w:r>
      <w:r w:rsidR="0010539D" w:rsidRPr="00CE1385">
        <w:t xml:space="preserve"> w </w:t>
      </w:r>
      <w:r w:rsidRPr="00CE1385">
        <w:t>Pakcie były ścigane</w:t>
      </w:r>
      <w:r w:rsidR="0010539D" w:rsidRPr="00CE1385">
        <w:t xml:space="preserve"> i </w:t>
      </w:r>
      <w:r w:rsidRPr="00CE1385">
        <w:t>karane jako kwalifikowana forma zachowań przestępczych;</w:t>
      </w:r>
      <w:r w:rsidR="00AB7E3D" w:rsidRPr="00CE1385">
        <w:t xml:space="preserve"> </w:t>
      </w:r>
      <w:r w:rsidRPr="00CE1385">
        <w:t>dokładne badanie zarzutów</w:t>
      </w:r>
      <w:r w:rsidR="0031352B" w:rsidRPr="00CE1385">
        <w:t xml:space="preserve"> o </w:t>
      </w:r>
      <w:r w:rsidRPr="00CE1385">
        <w:t>przestępstwa</w:t>
      </w:r>
      <w:r w:rsidR="0001136D" w:rsidRPr="00CE1385">
        <w:t xml:space="preserve"> z </w:t>
      </w:r>
      <w:r w:rsidRPr="00CE1385">
        <w:t>nienawiści, pociąganie sprawców do odpowiedzialności oraz, jeżeli sprawcy zostaną uznani za winnych</w:t>
      </w:r>
      <w:r w:rsidR="00830DD3">
        <w:t>,</w:t>
      </w:r>
      <w:r w:rsidRPr="00CE1385">
        <w:t xml:space="preserve"> karanie sprawców</w:t>
      </w:r>
      <w:r w:rsidR="0010539D" w:rsidRPr="00CE1385">
        <w:t xml:space="preserve"> i </w:t>
      </w:r>
      <w:r w:rsidRPr="00CE1385">
        <w:t>zapewnienie ofiarom odpowiedniego odszkodowania</w:t>
      </w:r>
      <w:r w:rsidR="00AB7E3D" w:rsidRPr="00CE1385">
        <w:t>.</w:t>
      </w:r>
    </w:p>
    <w:p w14:paraId="32A160E4" w14:textId="2DDFA561" w:rsidR="001721DF" w:rsidRPr="00CE1385" w:rsidRDefault="001721DF" w:rsidP="00412841">
      <w:pPr>
        <w:pStyle w:val="Style9"/>
        <w:widowControl/>
        <w:spacing w:before="120" w:line="360" w:lineRule="auto"/>
        <w:ind w:firstLine="0"/>
      </w:pPr>
      <w:r w:rsidRPr="00CE1385">
        <w:t>W uwagach końcowych do połączonych piątego</w:t>
      </w:r>
      <w:r w:rsidR="0010539D" w:rsidRPr="00CE1385">
        <w:t xml:space="preserve"> i </w:t>
      </w:r>
      <w:r w:rsidRPr="00CE1385">
        <w:t>szóstego sprawozdania okresowego Polski Komitetu Praw Dziecka</w:t>
      </w:r>
      <w:r w:rsidR="0001136D" w:rsidRPr="00CE1385">
        <w:t xml:space="preserve"> z dnia </w:t>
      </w:r>
      <w:r w:rsidRPr="00CE1385">
        <w:t>24 września 2021 r. (pkt 19) Komitet zaleca, by Państwo-Strona uzupełniło przepisy prawa</w:t>
      </w:r>
      <w:r w:rsidR="0010539D" w:rsidRPr="00CE1385">
        <w:t xml:space="preserve"> w </w:t>
      </w:r>
      <w:r w:rsidRPr="00CE1385">
        <w:t>celu zapewnienia ochrony przed wszelkimi formami dyskryminacji bezpośredniej, pośredniej, wielokrotnej</w:t>
      </w:r>
      <w:r w:rsidR="0010539D" w:rsidRPr="00CE1385">
        <w:t xml:space="preserve"> i </w:t>
      </w:r>
      <w:r w:rsidRPr="00CE1385">
        <w:t>krzyżowej,</w:t>
      </w:r>
      <w:r w:rsidR="0010539D" w:rsidRPr="00CE1385">
        <w:t xml:space="preserve"> w </w:t>
      </w:r>
      <w:r w:rsidRPr="00CE1385">
        <w:t>tym ze względu na orientację seksualną</w:t>
      </w:r>
      <w:r w:rsidR="0010539D" w:rsidRPr="00CE1385">
        <w:t xml:space="preserve"> i </w:t>
      </w:r>
      <w:r w:rsidRPr="00CE1385">
        <w:t>tożsamość płciową, niepełnosprawność</w:t>
      </w:r>
      <w:r w:rsidR="0010539D" w:rsidRPr="00CE1385">
        <w:t xml:space="preserve"> i </w:t>
      </w:r>
      <w:r w:rsidRPr="00CE1385">
        <w:t>płeć, a także zagwarantowało dokładne zbadanie takich incydentów</w:t>
      </w:r>
      <w:r w:rsidR="0010539D" w:rsidRPr="00CE1385">
        <w:t xml:space="preserve"> i </w:t>
      </w:r>
      <w:r w:rsidRPr="00CE1385">
        <w:t>postawienie sprawców przed wymiarem sprawiedliwości.</w:t>
      </w:r>
    </w:p>
    <w:p w14:paraId="44463E3E" w14:textId="076A6967" w:rsidR="001721DF" w:rsidRPr="00CE1385" w:rsidRDefault="001721DF"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Na konieczność uwzględnienia</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przepisach dotyczących przestępstw</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przesłanek związanych</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 xml:space="preserve">niepełnosprawnością, </w:t>
      </w:r>
      <w:r w:rsidR="001506A8" w:rsidRPr="00CE1385">
        <w:rPr>
          <w:rFonts w:ascii="Times New Roman" w:hAnsi="Times New Roman" w:cs="Times New Roman"/>
          <w:sz w:val="24"/>
          <w:szCs w:val="24"/>
        </w:rPr>
        <w:t xml:space="preserve">wiekiem </w:t>
      </w:r>
      <w:r w:rsidR="00BD1521" w:rsidRPr="00CE1385">
        <w:rPr>
          <w:rFonts w:ascii="Times New Roman" w:hAnsi="Times New Roman" w:cs="Times New Roman"/>
          <w:sz w:val="24"/>
          <w:szCs w:val="24"/>
        </w:rPr>
        <w:t xml:space="preserve">czy </w:t>
      </w:r>
      <w:r w:rsidRPr="00CE1385">
        <w:rPr>
          <w:rFonts w:ascii="Times New Roman" w:hAnsi="Times New Roman" w:cs="Times New Roman"/>
          <w:sz w:val="24"/>
          <w:szCs w:val="24"/>
        </w:rPr>
        <w:t xml:space="preserve">orientacją seksualną wskazują również inne zalecenia międzynarodowych organów ochrony praw człowieka stojących na straży realizacji </w:t>
      </w:r>
      <w:r w:rsidRPr="00CE1385">
        <w:rPr>
          <w:rFonts w:ascii="Times New Roman" w:hAnsi="Times New Roman" w:cs="Times New Roman"/>
          <w:sz w:val="24"/>
          <w:szCs w:val="24"/>
        </w:rPr>
        <w:lastRenderedPageBreak/>
        <w:t>traktatów, konwencji</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innych umów międzynarodowych</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zakresu ochrony praw człowieka, m</w:t>
      </w:r>
      <w:r w:rsidR="0001659F" w:rsidRPr="00CE1385">
        <w:rPr>
          <w:rFonts w:ascii="Times New Roman" w:hAnsi="Times New Roman" w:cs="Times New Roman"/>
          <w:sz w:val="24"/>
          <w:szCs w:val="24"/>
        </w:rPr>
        <w:t>iędzy innymi</w:t>
      </w:r>
      <w:r w:rsidRPr="00CE1385">
        <w:rPr>
          <w:rFonts w:ascii="Times New Roman" w:hAnsi="Times New Roman" w:cs="Times New Roman"/>
          <w:sz w:val="24"/>
          <w:szCs w:val="24"/>
        </w:rPr>
        <w:t>:</w:t>
      </w:r>
    </w:p>
    <w:p w14:paraId="1C37A8DA" w14:textId="185A4653" w:rsidR="001506A8" w:rsidRPr="00CE1385" w:rsidRDefault="00B545CF" w:rsidP="00C36739">
      <w:pPr>
        <w:pStyle w:val="Akapitzlist"/>
        <w:numPr>
          <w:ilvl w:val="0"/>
          <w:numId w:val="5"/>
        </w:numPr>
        <w:spacing w:line="360" w:lineRule="auto"/>
        <w:ind w:left="284" w:hanging="284"/>
        <w:jc w:val="both"/>
        <w:rPr>
          <w:rFonts w:ascii="Times New Roman" w:hAnsi="Times New Roman" w:cs="Times New Roman"/>
        </w:rPr>
      </w:pPr>
      <w:r w:rsidRPr="00CE1385">
        <w:rPr>
          <w:rFonts w:ascii="Times New Roman" w:hAnsi="Times New Roman" w:cs="Times New Roman"/>
        </w:rPr>
        <w:t>Komitetu Praw Osób</w:t>
      </w:r>
      <w:r w:rsidR="0001136D" w:rsidRPr="00CE1385">
        <w:rPr>
          <w:rFonts w:ascii="Times New Roman" w:hAnsi="Times New Roman" w:cs="Times New Roman"/>
        </w:rPr>
        <w:t xml:space="preserve"> z </w:t>
      </w:r>
      <w:r w:rsidRPr="00CE1385">
        <w:rPr>
          <w:rFonts w:ascii="Times New Roman" w:hAnsi="Times New Roman" w:cs="Times New Roman"/>
        </w:rPr>
        <w:t>Niepełnosprawnościami ONZ – pkt 21</w:t>
      </w:r>
      <w:r w:rsidR="0010539D" w:rsidRPr="00CE1385">
        <w:rPr>
          <w:rFonts w:ascii="Times New Roman" w:hAnsi="Times New Roman" w:cs="Times New Roman"/>
        </w:rPr>
        <w:t xml:space="preserve"> i </w:t>
      </w:r>
      <w:r w:rsidRPr="00CE1385">
        <w:rPr>
          <w:rFonts w:ascii="Times New Roman" w:hAnsi="Times New Roman" w:cs="Times New Roman"/>
        </w:rPr>
        <w:t>22 zaleceń końcowych Komitetu</w:t>
      </w:r>
      <w:r w:rsidR="0001136D" w:rsidRPr="00CE1385">
        <w:rPr>
          <w:rFonts w:ascii="Times New Roman" w:hAnsi="Times New Roman" w:cs="Times New Roman"/>
        </w:rPr>
        <w:t xml:space="preserve"> z dnia </w:t>
      </w:r>
      <w:r w:rsidRPr="00CE1385">
        <w:rPr>
          <w:rFonts w:ascii="Times New Roman" w:hAnsi="Times New Roman" w:cs="Times New Roman"/>
        </w:rPr>
        <w:t>18 września 2018 r. dotyczących raportu wstępnego Polski</w:t>
      </w:r>
      <w:r w:rsidR="00C36739">
        <w:rPr>
          <w:rFonts w:ascii="Times New Roman" w:hAnsi="Times New Roman" w:cs="Times New Roman"/>
        </w:rPr>
        <w:t>,</w:t>
      </w:r>
    </w:p>
    <w:p w14:paraId="31DBABFF" w14:textId="405839D9" w:rsidR="001506A8" w:rsidRPr="00CE1385" w:rsidRDefault="001721DF" w:rsidP="00412841">
      <w:pPr>
        <w:pStyle w:val="Akapitzlist"/>
        <w:numPr>
          <w:ilvl w:val="0"/>
          <w:numId w:val="5"/>
        </w:numPr>
        <w:spacing w:line="360" w:lineRule="auto"/>
        <w:ind w:left="284" w:hanging="284"/>
        <w:jc w:val="both"/>
        <w:rPr>
          <w:rFonts w:ascii="Times New Roman" w:hAnsi="Times New Roman" w:cs="Times New Roman"/>
        </w:rPr>
      </w:pPr>
      <w:r w:rsidRPr="00CE1385">
        <w:rPr>
          <w:rFonts w:ascii="Times New Roman" w:hAnsi="Times New Roman" w:cs="Times New Roman"/>
        </w:rPr>
        <w:t>Komitet</w:t>
      </w:r>
      <w:r w:rsidR="008A5B87" w:rsidRPr="00CE1385">
        <w:rPr>
          <w:rFonts w:ascii="Times New Roman" w:hAnsi="Times New Roman" w:cs="Times New Roman"/>
        </w:rPr>
        <w:t>u</w:t>
      </w:r>
      <w:r w:rsidRPr="00CE1385">
        <w:rPr>
          <w:rFonts w:ascii="Times New Roman" w:hAnsi="Times New Roman" w:cs="Times New Roman"/>
        </w:rPr>
        <w:t xml:space="preserve"> Przeciwko Torturom ONZ </w:t>
      </w:r>
      <w:r w:rsidR="00B545CF" w:rsidRPr="00CE1385">
        <w:rPr>
          <w:rFonts w:ascii="Times New Roman" w:hAnsi="Times New Roman" w:cs="Times New Roman"/>
        </w:rPr>
        <w:t>–</w:t>
      </w:r>
      <w:r w:rsidRPr="00CE1385">
        <w:rPr>
          <w:rFonts w:ascii="Times New Roman" w:hAnsi="Times New Roman" w:cs="Times New Roman"/>
        </w:rPr>
        <w:t xml:space="preserve"> pkt 35</w:t>
      </w:r>
      <w:r w:rsidR="0010539D" w:rsidRPr="00CE1385">
        <w:rPr>
          <w:rFonts w:ascii="Times New Roman" w:hAnsi="Times New Roman" w:cs="Times New Roman"/>
        </w:rPr>
        <w:t xml:space="preserve"> i </w:t>
      </w:r>
      <w:r w:rsidRPr="00CE1385">
        <w:rPr>
          <w:rFonts w:ascii="Times New Roman" w:hAnsi="Times New Roman" w:cs="Times New Roman"/>
        </w:rPr>
        <w:t>36e zaleceń końcowych</w:t>
      </w:r>
      <w:r w:rsidR="0001136D" w:rsidRPr="00CE1385">
        <w:rPr>
          <w:rFonts w:ascii="Times New Roman" w:hAnsi="Times New Roman" w:cs="Times New Roman"/>
        </w:rPr>
        <w:t xml:space="preserve"> z dnia </w:t>
      </w:r>
      <w:r w:rsidR="0010539D" w:rsidRPr="00CE1385">
        <w:rPr>
          <w:rFonts w:ascii="Times New Roman" w:hAnsi="Times New Roman" w:cs="Times New Roman"/>
        </w:rPr>
        <w:t>5 </w:t>
      </w:r>
      <w:r w:rsidR="001506A8" w:rsidRPr="00CE1385">
        <w:rPr>
          <w:rFonts w:ascii="Times New Roman" w:hAnsi="Times New Roman" w:cs="Times New Roman"/>
        </w:rPr>
        <w:t xml:space="preserve">sierpnia 2019 r. </w:t>
      </w:r>
      <w:r w:rsidRPr="00CE1385">
        <w:rPr>
          <w:rFonts w:ascii="Times New Roman" w:hAnsi="Times New Roman" w:cs="Times New Roman"/>
        </w:rPr>
        <w:t>dotyczących VII sprawozdania okresowego Polski</w:t>
      </w:r>
      <w:r w:rsidR="0001136D" w:rsidRPr="00CE1385">
        <w:rPr>
          <w:rFonts w:ascii="Times New Roman" w:hAnsi="Times New Roman" w:cs="Times New Roman"/>
        </w:rPr>
        <w:t xml:space="preserve"> z </w:t>
      </w:r>
      <w:r w:rsidRPr="00CE1385">
        <w:rPr>
          <w:rFonts w:ascii="Times New Roman" w:hAnsi="Times New Roman" w:cs="Times New Roman"/>
        </w:rPr>
        <w:t>realizacji postanowień Konwencji</w:t>
      </w:r>
      <w:r w:rsidR="0010539D" w:rsidRPr="00CE1385">
        <w:rPr>
          <w:rFonts w:ascii="Times New Roman" w:hAnsi="Times New Roman" w:cs="Times New Roman"/>
        </w:rPr>
        <w:t xml:space="preserve"> w </w:t>
      </w:r>
      <w:r w:rsidRPr="00CE1385">
        <w:rPr>
          <w:rFonts w:ascii="Times New Roman" w:hAnsi="Times New Roman" w:cs="Times New Roman"/>
        </w:rPr>
        <w:t>sprawie zakazu stosowania tortur oraz innego okrutnego, nieludzkiego lub poniżającego traktowania albo karania</w:t>
      </w:r>
      <w:r w:rsidR="001506A8" w:rsidRPr="00CE1385">
        <w:rPr>
          <w:rFonts w:ascii="Times New Roman" w:hAnsi="Times New Roman" w:cs="Times New Roman"/>
        </w:rPr>
        <w:t xml:space="preserve">. </w:t>
      </w:r>
    </w:p>
    <w:p w14:paraId="79E415F1" w14:textId="4785D8C5" w:rsidR="001721DF" w:rsidRPr="00CE1385" w:rsidRDefault="001721DF"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Podkreślenia przy tym wymaga, że w</w:t>
      </w:r>
      <w:r w:rsidR="0001659F" w:rsidRPr="00CE1385">
        <w:rPr>
          <w:rFonts w:ascii="Times New Roman" w:hAnsi="Times New Roman" w:cs="Times New Roman"/>
          <w:sz w:val="24"/>
          <w:szCs w:val="24"/>
        </w:rPr>
        <w:t>skazane</w:t>
      </w:r>
      <w:r w:rsidRPr="00CE1385">
        <w:rPr>
          <w:rFonts w:ascii="Times New Roman" w:hAnsi="Times New Roman" w:cs="Times New Roman"/>
          <w:sz w:val="24"/>
          <w:szCs w:val="24"/>
        </w:rPr>
        <w:t xml:space="preserve"> </w:t>
      </w:r>
      <w:r w:rsidR="0001659F" w:rsidRPr="00CE1385">
        <w:rPr>
          <w:rFonts w:ascii="Times New Roman" w:hAnsi="Times New Roman" w:cs="Times New Roman"/>
          <w:sz w:val="24"/>
          <w:szCs w:val="24"/>
        </w:rPr>
        <w:t>instytucje</w:t>
      </w:r>
      <w:r w:rsidRPr="00CE1385">
        <w:rPr>
          <w:rFonts w:ascii="Times New Roman" w:hAnsi="Times New Roman" w:cs="Times New Roman"/>
          <w:sz w:val="24"/>
          <w:szCs w:val="24"/>
        </w:rPr>
        <w:t xml:space="preserve"> traktatowe również</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poprzednich cyklach sprawozdawczych domagały się wprowadzenia zmian objętych</w:t>
      </w:r>
      <w:r w:rsidR="008542B0" w:rsidRPr="00CE1385">
        <w:rPr>
          <w:rFonts w:ascii="Times New Roman" w:hAnsi="Times New Roman" w:cs="Times New Roman"/>
          <w:sz w:val="24"/>
          <w:szCs w:val="24"/>
        </w:rPr>
        <w:t xml:space="preserve"> projektem</w:t>
      </w:r>
      <w:r w:rsidRPr="00CE1385">
        <w:rPr>
          <w:rFonts w:ascii="Times New Roman" w:hAnsi="Times New Roman" w:cs="Times New Roman"/>
          <w:sz w:val="24"/>
          <w:szCs w:val="24"/>
        </w:rPr>
        <w:t>.</w:t>
      </w:r>
    </w:p>
    <w:p w14:paraId="1A0974AE" w14:textId="1097F6D1" w:rsidR="00731094" w:rsidRPr="00CE1385" w:rsidRDefault="00731094" w:rsidP="00412841">
      <w:pPr>
        <w:pStyle w:val="Style9"/>
        <w:widowControl/>
        <w:spacing w:before="120" w:line="360" w:lineRule="auto"/>
        <w:ind w:firstLine="0"/>
      </w:pPr>
      <w:r w:rsidRPr="00CE1385">
        <w:t>Zgodnie</w:t>
      </w:r>
      <w:r w:rsidR="0001136D" w:rsidRPr="00CE1385">
        <w:t xml:space="preserve"> z </w:t>
      </w:r>
      <w:r w:rsidRPr="00CE1385">
        <w:t>Białą Księgą Dialogu Międzykulturowego Rady Europy, ogłoszoną na posiedzeniu Rady Europy</w:t>
      </w:r>
      <w:r w:rsidR="0010539D" w:rsidRPr="00CE1385">
        <w:t xml:space="preserve"> w </w:t>
      </w:r>
      <w:r w:rsidRPr="00CE1385">
        <w:t>dniach 6</w:t>
      </w:r>
      <w:r w:rsidR="000B7C26">
        <w:t>–</w:t>
      </w:r>
      <w:r w:rsidRPr="00CE1385">
        <w:t>7 maja 2008 r., debata publiczna powinna respektować różnorodność kulturową. Jak wynika</w:t>
      </w:r>
      <w:r w:rsidR="0001136D" w:rsidRPr="00CE1385">
        <w:t xml:space="preserve"> z </w:t>
      </w:r>
      <w:r w:rsidRPr="00CE1385">
        <w:t xml:space="preserve">ustępu 5.1 </w:t>
      </w:r>
      <w:r w:rsidR="00967302" w:rsidRPr="00CE1385">
        <w:t>P</w:t>
      </w:r>
      <w:r w:rsidRPr="00CE1385">
        <w:t>aństwa powinny mieć silne ustawodawstwo zakazujące „mowy nienawiści”</w:t>
      </w:r>
      <w:r w:rsidR="0010539D" w:rsidRPr="00CE1385">
        <w:t xml:space="preserve"> i </w:t>
      </w:r>
      <w:r w:rsidRPr="00CE1385">
        <w:t>rasistowskich, ksenofobicznych, homofobicznych, antysemickich, islamofobicznych, antyromskich</w:t>
      </w:r>
      <w:r w:rsidR="0010539D" w:rsidRPr="00CE1385">
        <w:t xml:space="preserve"> i </w:t>
      </w:r>
      <w:r w:rsidRPr="00CE1385">
        <w:t xml:space="preserve">innych wypowiedzi, gdy podżegają do nienawiści lub przemocy. </w:t>
      </w:r>
    </w:p>
    <w:p w14:paraId="1831CAFB" w14:textId="47FF32F9" w:rsidR="001721DF" w:rsidRPr="00CE1385" w:rsidRDefault="00731094" w:rsidP="00412841">
      <w:pPr>
        <w:pStyle w:val="Style9"/>
        <w:widowControl/>
        <w:spacing w:before="120" w:line="360" w:lineRule="auto"/>
        <w:ind w:firstLine="0"/>
      </w:pPr>
      <w:r w:rsidRPr="00CE1385">
        <w:rPr>
          <w:rStyle w:val="FontStyle26"/>
          <w:sz w:val="24"/>
          <w:szCs w:val="24"/>
        </w:rPr>
        <w:t>Komitet Ministrów Rady Europy wydał</w:t>
      </w:r>
      <w:r w:rsidR="0010539D" w:rsidRPr="00CE1385">
        <w:rPr>
          <w:rStyle w:val="FontStyle26"/>
          <w:sz w:val="24"/>
          <w:szCs w:val="24"/>
        </w:rPr>
        <w:t xml:space="preserve"> w </w:t>
      </w:r>
      <w:r w:rsidRPr="00CE1385">
        <w:rPr>
          <w:rStyle w:val="FontStyle26"/>
          <w:sz w:val="24"/>
          <w:szCs w:val="24"/>
        </w:rPr>
        <w:t>dniu 31 marca 2010 r. zalecenie dla Państw Członkowskich</w:t>
      </w:r>
      <w:r w:rsidR="0010539D" w:rsidRPr="00CE1385">
        <w:rPr>
          <w:rStyle w:val="FontStyle26"/>
          <w:sz w:val="24"/>
          <w:szCs w:val="24"/>
        </w:rPr>
        <w:t xml:space="preserve"> w </w:t>
      </w:r>
      <w:r w:rsidRPr="00CE1385">
        <w:rPr>
          <w:rStyle w:val="FontStyle26"/>
          <w:sz w:val="24"/>
          <w:szCs w:val="24"/>
        </w:rPr>
        <w:t xml:space="preserve">zakresie środków zwalczania dyskryminacji opartej na orientacji seksualnej lub tożsamości płciowej (CM/Rec(2010)5). W dokumencie tym rekomendowano, aby Państwa Członkowskie Rady Europy zbadały </w:t>
      </w:r>
      <w:r w:rsidRPr="00CE1385">
        <w:rPr>
          <w:rStyle w:val="FontStyle25"/>
          <w:i w:val="0"/>
          <w:iCs w:val="0"/>
          <w:sz w:val="24"/>
          <w:szCs w:val="24"/>
        </w:rPr>
        <w:t xml:space="preserve">istniejące </w:t>
      </w:r>
      <w:r w:rsidRPr="00CE1385">
        <w:rPr>
          <w:rStyle w:val="FontStyle30"/>
          <w:sz w:val="24"/>
          <w:szCs w:val="24"/>
        </w:rPr>
        <w:t>środki prawne</w:t>
      </w:r>
      <w:r w:rsidR="0010539D" w:rsidRPr="00CE1385">
        <w:rPr>
          <w:rStyle w:val="FontStyle30"/>
          <w:sz w:val="24"/>
          <w:szCs w:val="24"/>
        </w:rPr>
        <w:t xml:space="preserve"> i </w:t>
      </w:r>
      <w:r w:rsidRPr="00CE1385">
        <w:rPr>
          <w:rStyle w:val="FontStyle30"/>
          <w:sz w:val="24"/>
          <w:szCs w:val="24"/>
        </w:rPr>
        <w:t>inne środki oraz dokonywały stałego ich przeglądu, gromadziły</w:t>
      </w:r>
      <w:r w:rsidR="0010539D" w:rsidRPr="00CE1385">
        <w:rPr>
          <w:rStyle w:val="FontStyle30"/>
          <w:sz w:val="24"/>
          <w:szCs w:val="24"/>
        </w:rPr>
        <w:t xml:space="preserve"> i </w:t>
      </w:r>
      <w:r w:rsidRPr="00CE1385">
        <w:rPr>
          <w:rStyle w:val="FontStyle30"/>
          <w:sz w:val="24"/>
          <w:szCs w:val="24"/>
        </w:rPr>
        <w:t>analizowały właściwe dane</w:t>
      </w:r>
      <w:r w:rsidR="0010539D" w:rsidRPr="00CE1385">
        <w:rPr>
          <w:rStyle w:val="FontStyle30"/>
          <w:sz w:val="24"/>
          <w:szCs w:val="24"/>
        </w:rPr>
        <w:t xml:space="preserve"> w </w:t>
      </w:r>
      <w:r w:rsidRPr="00CE1385">
        <w:rPr>
          <w:rStyle w:val="FontStyle30"/>
          <w:sz w:val="24"/>
          <w:szCs w:val="24"/>
        </w:rPr>
        <w:t>celu monitorowania</w:t>
      </w:r>
      <w:r w:rsidR="0010539D" w:rsidRPr="00CE1385">
        <w:rPr>
          <w:rStyle w:val="FontStyle30"/>
          <w:sz w:val="24"/>
          <w:szCs w:val="24"/>
        </w:rPr>
        <w:t xml:space="preserve"> i </w:t>
      </w:r>
      <w:r w:rsidRPr="00CE1385">
        <w:rPr>
          <w:rStyle w:val="FontStyle30"/>
          <w:sz w:val="24"/>
          <w:szCs w:val="24"/>
        </w:rPr>
        <w:t>zadośćuczynienia jakiejkolwiek bezpośredniej bądź pośredniej dyskryminacji ze wzgl</w:t>
      </w:r>
      <w:r w:rsidR="00830DD3">
        <w:rPr>
          <w:rStyle w:val="FontStyle30"/>
          <w:sz w:val="24"/>
          <w:szCs w:val="24"/>
        </w:rPr>
        <w:t>ę</w:t>
      </w:r>
      <w:r w:rsidRPr="00CE1385">
        <w:rPr>
          <w:rStyle w:val="FontStyle30"/>
          <w:sz w:val="24"/>
          <w:szCs w:val="24"/>
        </w:rPr>
        <w:t xml:space="preserve">du na orientację seksualną lub tożsamość płciową. </w:t>
      </w:r>
      <w:r w:rsidRPr="00CE1385">
        <w:rPr>
          <w:rStyle w:val="FontStyle26"/>
          <w:sz w:val="24"/>
          <w:szCs w:val="24"/>
        </w:rPr>
        <w:t>Ponadto zalecono Państwom Członkowskim, aby zapewniły skuteczne, szybkie</w:t>
      </w:r>
      <w:r w:rsidR="0010539D" w:rsidRPr="00CE1385">
        <w:rPr>
          <w:rStyle w:val="FontStyle26"/>
          <w:sz w:val="24"/>
          <w:szCs w:val="24"/>
        </w:rPr>
        <w:t xml:space="preserve"> i </w:t>
      </w:r>
      <w:r w:rsidRPr="00CE1385">
        <w:rPr>
          <w:rStyle w:val="FontStyle26"/>
          <w:sz w:val="24"/>
          <w:szCs w:val="24"/>
        </w:rPr>
        <w:t>niezależne śledztwo</w:t>
      </w:r>
      <w:r w:rsidR="0010539D" w:rsidRPr="00CE1385">
        <w:rPr>
          <w:rStyle w:val="FontStyle26"/>
          <w:sz w:val="24"/>
          <w:szCs w:val="24"/>
        </w:rPr>
        <w:t xml:space="preserve"> w </w:t>
      </w:r>
      <w:r w:rsidRPr="00CE1385">
        <w:rPr>
          <w:rStyle w:val="FontStyle26"/>
          <w:sz w:val="24"/>
          <w:szCs w:val="24"/>
        </w:rPr>
        <w:t>sprawach domniemanych przestępstw</w:t>
      </w:r>
      <w:r w:rsidR="0010539D" w:rsidRPr="00CE1385">
        <w:rPr>
          <w:rStyle w:val="FontStyle26"/>
          <w:sz w:val="24"/>
          <w:szCs w:val="24"/>
        </w:rPr>
        <w:t xml:space="preserve"> i </w:t>
      </w:r>
      <w:r w:rsidRPr="00CE1385">
        <w:rPr>
          <w:rStyle w:val="FontStyle26"/>
          <w:sz w:val="24"/>
          <w:szCs w:val="24"/>
        </w:rPr>
        <w:t>innych incydentów, co do których istnieje uzasadnione podejrzenie, że motywem sprawcy była orientacja seksualna lub tożsamość płciowa ofiary.</w:t>
      </w:r>
    </w:p>
    <w:p w14:paraId="21EE091E" w14:textId="4C56B3F8" w:rsidR="00B46D4E" w:rsidRPr="00CE1385" w:rsidRDefault="00B46D4E" w:rsidP="00412841">
      <w:pPr>
        <w:pStyle w:val="Style9"/>
        <w:widowControl/>
        <w:spacing w:before="120" w:line="360" w:lineRule="auto"/>
        <w:ind w:firstLine="0"/>
      </w:pPr>
      <w:r w:rsidRPr="00CE1385">
        <w:t>W zaleceniu CM/Rec(2022)16 Komitetu Ministrów Rady Europy</w:t>
      </w:r>
      <w:r w:rsidR="0001136D" w:rsidRPr="00CE1385">
        <w:t xml:space="preserve"> z dnia </w:t>
      </w:r>
      <w:r w:rsidRPr="00CE1385">
        <w:t>20 maja</w:t>
      </w:r>
      <w:r w:rsidR="006F5183" w:rsidRPr="00CE1385">
        <w:t xml:space="preserve"> 2022 </w:t>
      </w:r>
      <w:r w:rsidRPr="00CE1385">
        <w:t xml:space="preserve">r. do </w:t>
      </w:r>
      <w:r w:rsidR="00967302" w:rsidRPr="00CE1385">
        <w:t>P</w:t>
      </w:r>
      <w:r w:rsidRPr="00CE1385">
        <w:t xml:space="preserve">aństw </w:t>
      </w:r>
      <w:r w:rsidR="00967302" w:rsidRPr="00CE1385">
        <w:t>C</w:t>
      </w:r>
      <w:r w:rsidRPr="00CE1385">
        <w:t>złonkowskich</w:t>
      </w:r>
      <w:r w:rsidR="0010539D" w:rsidRPr="00CE1385">
        <w:t xml:space="preserve"> w </w:t>
      </w:r>
      <w:r w:rsidRPr="00CE1385">
        <w:t>sprawie zwalczania mowy nienawiści wskazano</w:t>
      </w:r>
      <w:r w:rsidR="00D405CC" w:rsidRPr="00CE1385">
        <w:t xml:space="preserve"> (pkt 11)</w:t>
      </w:r>
      <w:r w:rsidRPr="00CE1385">
        <w:t xml:space="preserve">, że Państwa </w:t>
      </w:r>
      <w:r w:rsidR="00967302" w:rsidRPr="00CE1385">
        <w:t>C</w:t>
      </w:r>
      <w:r w:rsidRPr="00CE1385">
        <w:t>złonkowskie powinny określić</w:t>
      </w:r>
      <w:r w:rsidR="0010539D" w:rsidRPr="00CE1385">
        <w:t xml:space="preserve"> i </w:t>
      </w:r>
      <w:r w:rsidRPr="00CE1385">
        <w:t>jasno zdefiniować</w:t>
      </w:r>
      <w:r w:rsidR="0010539D" w:rsidRPr="00CE1385">
        <w:t xml:space="preserve"> w </w:t>
      </w:r>
      <w:r w:rsidRPr="00CE1385">
        <w:t>krajowym prawie karnym, że odpowiedzialności karnej podlegają wyrażenia mowy nienawiści</w:t>
      </w:r>
      <w:r w:rsidR="00A748B3">
        <w:t>,</w:t>
      </w:r>
      <w:r w:rsidRPr="00CE1385">
        <w:t xml:space="preserve"> takie jak groźby oraz publiczne zniewagi o charakterze m</w:t>
      </w:r>
      <w:r w:rsidR="004D0C54" w:rsidRPr="00CE1385">
        <w:t>i</w:t>
      </w:r>
      <w:r w:rsidR="00BB1473" w:rsidRPr="00CE1385">
        <w:t>ę</w:t>
      </w:r>
      <w:r w:rsidR="004D0C54" w:rsidRPr="00CE1385">
        <w:t>dzy innymi</w:t>
      </w:r>
      <w:r w:rsidRPr="00CE1385">
        <w:t xml:space="preserve"> seksistowskim</w:t>
      </w:r>
      <w:r w:rsidR="0010539D" w:rsidRPr="00CE1385">
        <w:t xml:space="preserve"> i </w:t>
      </w:r>
      <w:r w:rsidRPr="00CE1385">
        <w:t>anty-LGBTI.</w:t>
      </w:r>
    </w:p>
    <w:p w14:paraId="4A9448B1" w14:textId="547904CF" w:rsidR="00967302" w:rsidRPr="00CE1385" w:rsidRDefault="00967302" w:rsidP="00412841">
      <w:pPr>
        <w:pStyle w:val="Style9"/>
        <w:widowControl/>
        <w:spacing w:before="120" w:line="360" w:lineRule="auto"/>
        <w:ind w:firstLine="0"/>
      </w:pPr>
      <w:r w:rsidRPr="00CE1385">
        <w:rPr>
          <w:shd w:val="clear" w:color="auto" w:fill="FFFFFF"/>
        </w:rPr>
        <w:lastRenderedPageBreak/>
        <w:t>W s</w:t>
      </w:r>
      <w:r w:rsidRPr="00CE1385">
        <w:t>prawozdaniu na temat praw podstawowych 2023</w:t>
      </w:r>
      <w:r w:rsidRPr="00CE1385">
        <w:rPr>
          <w:b/>
        </w:rPr>
        <w:t xml:space="preserve"> </w:t>
      </w:r>
      <w:r w:rsidRPr="00CE1385">
        <w:t xml:space="preserve">Agencja Praw Podstawowych Unii Europejskiej wskazała, że </w:t>
      </w:r>
      <w:r w:rsidRPr="00CE1385">
        <w:rPr>
          <w:rFonts w:eastAsia="Times New Roman"/>
        </w:rPr>
        <w:t>UE oraz jej Państwa Członkowskie powinny nadal badać wszystkie możliwe sposoby zapewnienia we wszystkich kluczowych dziedzinach życia kompleksowej</w:t>
      </w:r>
      <w:r w:rsidR="0010539D" w:rsidRPr="00CE1385">
        <w:rPr>
          <w:rFonts w:eastAsia="Times New Roman"/>
        </w:rPr>
        <w:t xml:space="preserve"> i </w:t>
      </w:r>
      <w:r w:rsidRPr="00CE1385">
        <w:rPr>
          <w:rFonts w:eastAsia="Times New Roman"/>
        </w:rPr>
        <w:t>spójnej ochrony przed dyskryminacją ze względu na religię lub światopogląd, niepełnosprawność, wiek lub orientację seksualną. Państwa Członkowskie powinny podjąć wszelkie odpowiednie środki, aby skutecznie zwalczać nawoływanie do nienawiści</w:t>
      </w:r>
      <w:r w:rsidR="0010539D" w:rsidRPr="00CE1385">
        <w:rPr>
          <w:rFonts w:eastAsia="Times New Roman"/>
        </w:rPr>
        <w:t xml:space="preserve"> i </w:t>
      </w:r>
      <w:r w:rsidRPr="00CE1385">
        <w:rPr>
          <w:rFonts w:eastAsia="Times New Roman"/>
        </w:rPr>
        <w:t>radzić sobie ze szkodliwymi skutkami homofobicznych</w:t>
      </w:r>
      <w:r w:rsidR="0010539D" w:rsidRPr="00CE1385">
        <w:rPr>
          <w:rFonts w:eastAsia="Times New Roman"/>
        </w:rPr>
        <w:t xml:space="preserve"> i </w:t>
      </w:r>
      <w:r w:rsidRPr="00CE1385">
        <w:rPr>
          <w:rFonts w:eastAsia="Times New Roman"/>
        </w:rPr>
        <w:t>transfobicznych wypowiedzi</w:t>
      </w:r>
      <w:r w:rsidR="0010539D" w:rsidRPr="00CE1385">
        <w:rPr>
          <w:rFonts w:eastAsia="Times New Roman"/>
        </w:rPr>
        <w:t xml:space="preserve"> w </w:t>
      </w:r>
      <w:r w:rsidRPr="00CE1385">
        <w:rPr>
          <w:rFonts w:eastAsia="Times New Roman"/>
        </w:rPr>
        <w:t>debatach publicznych, kampaniach politycznych</w:t>
      </w:r>
      <w:r w:rsidR="0010539D" w:rsidRPr="00CE1385">
        <w:rPr>
          <w:rFonts w:eastAsia="Times New Roman"/>
        </w:rPr>
        <w:t xml:space="preserve"> i </w:t>
      </w:r>
      <w:r w:rsidRPr="00CE1385">
        <w:rPr>
          <w:rFonts w:eastAsia="Times New Roman"/>
        </w:rPr>
        <w:t>mediach, a także</w:t>
      </w:r>
      <w:r w:rsidR="0010539D" w:rsidRPr="00CE1385">
        <w:rPr>
          <w:rFonts w:eastAsia="Times New Roman"/>
        </w:rPr>
        <w:t xml:space="preserve"> w </w:t>
      </w:r>
      <w:r w:rsidRPr="00CE1385">
        <w:rPr>
          <w:rFonts w:eastAsia="Times New Roman"/>
        </w:rPr>
        <w:t>Internecie.</w:t>
      </w:r>
    </w:p>
    <w:p w14:paraId="0275C700" w14:textId="2CBE8ECF" w:rsidR="00CB340F" w:rsidRPr="00CE1385" w:rsidRDefault="005954D1" w:rsidP="00412841">
      <w:pPr>
        <w:spacing w:before="120" w:after="0" w:line="360" w:lineRule="auto"/>
        <w:jc w:val="both"/>
        <w:rPr>
          <w:rFonts w:ascii="Times New Roman" w:hAnsi="Times New Roman" w:cs="Times New Roman"/>
          <w:sz w:val="24"/>
          <w:szCs w:val="24"/>
          <w:shd w:val="clear" w:color="auto" w:fill="FFFFFF"/>
        </w:rPr>
      </w:pPr>
      <w:r w:rsidRPr="00CE1385">
        <w:rPr>
          <w:rFonts w:ascii="Times New Roman" w:hAnsi="Times New Roman" w:cs="Times New Roman"/>
          <w:sz w:val="24"/>
          <w:szCs w:val="24"/>
        </w:rPr>
        <w:t>W raporcie Europejs</w:t>
      </w:r>
      <w:r w:rsidR="00335F03" w:rsidRPr="00CE1385">
        <w:rPr>
          <w:rFonts w:ascii="Times New Roman" w:hAnsi="Times New Roman" w:cs="Times New Roman"/>
          <w:sz w:val="24"/>
          <w:szCs w:val="24"/>
        </w:rPr>
        <w:t>kiej</w:t>
      </w:r>
      <w:r w:rsidRPr="00CE1385">
        <w:rPr>
          <w:rFonts w:ascii="Times New Roman" w:hAnsi="Times New Roman" w:cs="Times New Roman"/>
          <w:sz w:val="24"/>
          <w:szCs w:val="24"/>
        </w:rPr>
        <w:t xml:space="preserve"> Komisj</w:t>
      </w:r>
      <w:r w:rsidR="00335F03" w:rsidRPr="00CE1385">
        <w:rPr>
          <w:rFonts w:ascii="Times New Roman" w:hAnsi="Times New Roman" w:cs="Times New Roman"/>
          <w:sz w:val="24"/>
          <w:szCs w:val="24"/>
        </w:rPr>
        <w:t>i</w:t>
      </w:r>
      <w:r w:rsidRPr="00CE1385">
        <w:rPr>
          <w:rFonts w:ascii="Times New Roman" w:hAnsi="Times New Roman" w:cs="Times New Roman"/>
          <w:sz w:val="24"/>
          <w:szCs w:val="24"/>
        </w:rPr>
        <w:t xml:space="preserve"> Przeciwko Rasizmowi</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Nietolerancji</w:t>
      </w:r>
      <w:r w:rsidR="0001136D" w:rsidRPr="00CE1385">
        <w:rPr>
          <w:rFonts w:ascii="Times New Roman" w:hAnsi="Times New Roman" w:cs="Times New Roman"/>
          <w:sz w:val="24"/>
          <w:szCs w:val="24"/>
        </w:rPr>
        <w:t xml:space="preserve"> z dnia </w:t>
      </w:r>
      <w:r w:rsidR="0010539D" w:rsidRPr="00CE1385">
        <w:rPr>
          <w:rFonts w:ascii="Times New Roman" w:hAnsi="Times New Roman" w:cs="Times New Roman"/>
          <w:sz w:val="24"/>
          <w:szCs w:val="24"/>
        </w:rPr>
        <w:t>27 </w:t>
      </w:r>
      <w:r w:rsidR="00D405CC" w:rsidRPr="00CE1385">
        <w:rPr>
          <w:rFonts w:ascii="Times New Roman" w:hAnsi="Times New Roman" w:cs="Times New Roman"/>
          <w:sz w:val="24"/>
          <w:szCs w:val="24"/>
        </w:rPr>
        <w:t>czerwca</w:t>
      </w:r>
      <w:r w:rsidRPr="00CE1385">
        <w:rPr>
          <w:rFonts w:ascii="Times New Roman" w:hAnsi="Times New Roman" w:cs="Times New Roman"/>
          <w:sz w:val="24"/>
          <w:szCs w:val="24"/>
        </w:rPr>
        <w:t xml:space="preserve"> 2023</w:t>
      </w:r>
      <w:r w:rsidR="00B73CA1">
        <w:rPr>
          <w:rFonts w:ascii="Times New Roman" w:hAnsi="Times New Roman" w:cs="Times New Roman"/>
          <w:sz w:val="24"/>
          <w:szCs w:val="24"/>
        </w:rPr>
        <w:t> </w:t>
      </w:r>
      <w:r w:rsidRPr="00CE1385">
        <w:rPr>
          <w:rFonts w:ascii="Times New Roman" w:hAnsi="Times New Roman" w:cs="Times New Roman"/>
          <w:sz w:val="24"/>
          <w:szCs w:val="24"/>
        </w:rPr>
        <w:t xml:space="preserve">r. </w:t>
      </w:r>
      <w:r w:rsidR="00D405CC" w:rsidRPr="00CE1385">
        <w:rPr>
          <w:rFonts w:ascii="Times New Roman" w:hAnsi="Times New Roman" w:cs="Times New Roman"/>
          <w:sz w:val="24"/>
          <w:szCs w:val="24"/>
        </w:rPr>
        <w:t xml:space="preserve">(pkt 51) </w:t>
      </w:r>
      <w:r w:rsidR="00335F03" w:rsidRPr="00CE1385">
        <w:rPr>
          <w:rFonts w:ascii="Times New Roman" w:hAnsi="Times New Roman" w:cs="Times New Roman"/>
          <w:sz w:val="24"/>
          <w:szCs w:val="24"/>
        </w:rPr>
        <w:t>zawarto zalecenie</w:t>
      </w:r>
      <w:r w:rsidR="000C2053" w:rsidRPr="00CE1385">
        <w:rPr>
          <w:rFonts w:ascii="Times New Roman" w:hAnsi="Times New Roman" w:cs="Times New Roman"/>
          <w:sz w:val="24"/>
          <w:szCs w:val="24"/>
        </w:rPr>
        <w:t>,</w:t>
      </w:r>
      <w:r w:rsidR="00335F03" w:rsidRPr="00CE1385">
        <w:rPr>
          <w:rFonts w:ascii="Times New Roman" w:hAnsi="Times New Roman" w:cs="Times New Roman"/>
          <w:sz w:val="24"/>
          <w:szCs w:val="24"/>
        </w:rPr>
        <w:t xml:space="preserve"> </w:t>
      </w:r>
      <w:r w:rsidRPr="00CE1385">
        <w:rPr>
          <w:rFonts w:ascii="Times New Roman" w:hAnsi="Times New Roman" w:cs="Times New Roman"/>
          <w:sz w:val="24"/>
          <w:szCs w:val="24"/>
          <w:shd w:val="clear" w:color="auto" w:fill="FFFFFF"/>
        </w:rPr>
        <w:t>by polskie władze zainicjowały działania legislacyjne</w:t>
      </w:r>
      <w:r w:rsidR="0010539D" w:rsidRPr="00CE1385">
        <w:rPr>
          <w:rFonts w:ascii="Times New Roman" w:hAnsi="Times New Roman" w:cs="Times New Roman"/>
          <w:sz w:val="24"/>
          <w:szCs w:val="24"/>
          <w:shd w:val="clear" w:color="auto" w:fill="FFFFFF"/>
        </w:rPr>
        <w:t xml:space="preserve"> w </w:t>
      </w:r>
      <w:r w:rsidRPr="00CE1385">
        <w:rPr>
          <w:rFonts w:ascii="Times New Roman" w:hAnsi="Times New Roman" w:cs="Times New Roman"/>
          <w:sz w:val="24"/>
          <w:szCs w:val="24"/>
          <w:shd w:val="clear" w:color="auto" w:fill="FFFFFF"/>
        </w:rPr>
        <w:t>celu dodania orientacji seksualnej, tożsamości płciowej</w:t>
      </w:r>
      <w:r w:rsidR="0010539D" w:rsidRPr="00CE1385">
        <w:rPr>
          <w:rFonts w:ascii="Times New Roman" w:hAnsi="Times New Roman" w:cs="Times New Roman"/>
          <w:sz w:val="24"/>
          <w:szCs w:val="24"/>
          <w:shd w:val="clear" w:color="auto" w:fill="FFFFFF"/>
        </w:rPr>
        <w:t xml:space="preserve"> i </w:t>
      </w:r>
      <w:r w:rsidRPr="00CE1385">
        <w:rPr>
          <w:rFonts w:ascii="Times New Roman" w:hAnsi="Times New Roman" w:cs="Times New Roman"/>
          <w:sz w:val="24"/>
          <w:szCs w:val="24"/>
          <w:shd w:val="clear" w:color="auto" w:fill="FFFFFF"/>
        </w:rPr>
        <w:t>cech płciowych jako wyraźnie </w:t>
      </w:r>
      <w:r w:rsidRPr="00CE1385">
        <w:rPr>
          <w:rStyle w:val="Pogrubienie"/>
          <w:rFonts w:ascii="Times New Roman" w:hAnsi="Times New Roman" w:cs="Times New Roman"/>
          <w:b w:val="0"/>
          <w:bCs w:val="0"/>
          <w:sz w:val="24"/>
          <w:szCs w:val="24"/>
          <w:shd w:val="clear" w:color="auto" w:fill="FFFFFF"/>
        </w:rPr>
        <w:t xml:space="preserve">zakazane przesłanki </w:t>
      </w:r>
      <w:r w:rsidRPr="00CE1385">
        <w:rPr>
          <w:rFonts w:ascii="Times New Roman" w:hAnsi="Times New Roman" w:cs="Times New Roman"/>
          <w:sz w:val="24"/>
          <w:szCs w:val="24"/>
          <w:shd w:val="clear" w:color="auto" w:fill="FFFFFF"/>
        </w:rPr>
        <w:t>do odpowiednich przepisów Kodeksu karnego.</w:t>
      </w:r>
    </w:p>
    <w:p w14:paraId="07687A43" w14:textId="23369248" w:rsidR="007039FE" w:rsidRPr="00CE1385" w:rsidRDefault="007039FE" w:rsidP="00412841">
      <w:pPr>
        <w:spacing w:before="240" w:after="0" w:line="360" w:lineRule="auto"/>
        <w:jc w:val="both"/>
        <w:rPr>
          <w:rStyle w:val="FontStyle41"/>
          <w:b/>
          <w:bCs/>
          <w:sz w:val="24"/>
          <w:szCs w:val="24"/>
        </w:rPr>
      </w:pPr>
      <w:r w:rsidRPr="00CE1385">
        <w:rPr>
          <w:rStyle w:val="FontStyle41"/>
          <w:b/>
          <w:bCs/>
          <w:sz w:val="24"/>
          <w:szCs w:val="24"/>
        </w:rPr>
        <w:t xml:space="preserve">Orzecznictwo </w:t>
      </w:r>
      <w:r w:rsidRPr="00CE1385">
        <w:rPr>
          <w:rStyle w:val="FontStyle30"/>
          <w:b/>
          <w:bCs/>
          <w:sz w:val="24"/>
          <w:szCs w:val="24"/>
        </w:rPr>
        <w:t>Europejskiego Trybunału Praw Człowieka</w:t>
      </w:r>
    </w:p>
    <w:p w14:paraId="1150DB5C" w14:textId="165105B2" w:rsidR="00C70FB8" w:rsidRPr="00412841" w:rsidRDefault="009765CF" w:rsidP="00412841">
      <w:pPr>
        <w:tabs>
          <w:tab w:val="left" w:pos="4678"/>
        </w:tabs>
        <w:spacing w:before="120" w:after="0" w:line="360" w:lineRule="auto"/>
        <w:jc w:val="both"/>
        <w:rPr>
          <w:rStyle w:val="FontStyle30"/>
          <w:sz w:val="24"/>
          <w:szCs w:val="24"/>
          <w:vertAlign w:val="superscript"/>
        </w:rPr>
      </w:pPr>
      <w:r w:rsidRPr="00CE1385">
        <w:rPr>
          <w:rStyle w:val="FontStyle30"/>
          <w:sz w:val="24"/>
          <w:szCs w:val="24"/>
        </w:rPr>
        <w:t>Krajowe przepisy prawa powinny brać również pod uwagę dorobek Europejskiego Trybunału Praw Człowieka</w:t>
      </w:r>
      <w:r w:rsidR="00AB1808" w:rsidRPr="00CE1385">
        <w:rPr>
          <w:rStyle w:val="FontStyle30"/>
          <w:sz w:val="24"/>
          <w:szCs w:val="24"/>
        </w:rPr>
        <w:t xml:space="preserve">, </w:t>
      </w:r>
      <w:r w:rsidR="0091301C" w:rsidRPr="00CE1385">
        <w:rPr>
          <w:rStyle w:val="FontStyle30"/>
          <w:sz w:val="24"/>
          <w:szCs w:val="24"/>
        </w:rPr>
        <w:t>który</w:t>
      </w:r>
      <w:r w:rsidR="0010539D" w:rsidRPr="00CE1385">
        <w:rPr>
          <w:rStyle w:val="FontStyle30"/>
          <w:sz w:val="24"/>
          <w:szCs w:val="24"/>
        </w:rPr>
        <w:t xml:space="preserve"> w </w:t>
      </w:r>
      <w:r w:rsidR="00C70FB8" w:rsidRPr="00CE1385">
        <w:rPr>
          <w:rFonts w:ascii="Times New Roman" w:hAnsi="Times New Roman" w:cs="Times New Roman"/>
          <w:sz w:val="24"/>
          <w:szCs w:val="24"/>
        </w:rPr>
        <w:t>wielu sprawach stwierdził, że traktowanie przemocy</w:t>
      </w:r>
      <w:r w:rsidR="0010539D" w:rsidRPr="00CE1385">
        <w:rPr>
          <w:rFonts w:ascii="Times New Roman" w:hAnsi="Times New Roman" w:cs="Times New Roman"/>
          <w:sz w:val="24"/>
          <w:szCs w:val="24"/>
        </w:rPr>
        <w:t xml:space="preserve"> i </w:t>
      </w:r>
      <w:r w:rsidR="00C70FB8" w:rsidRPr="00CE1385">
        <w:rPr>
          <w:rFonts w:ascii="Times New Roman" w:hAnsi="Times New Roman" w:cs="Times New Roman"/>
          <w:sz w:val="24"/>
          <w:szCs w:val="24"/>
        </w:rPr>
        <w:t>brutalności wynikających</w:t>
      </w:r>
      <w:r w:rsidR="0001136D" w:rsidRPr="00CE1385">
        <w:rPr>
          <w:rFonts w:ascii="Times New Roman" w:hAnsi="Times New Roman" w:cs="Times New Roman"/>
          <w:sz w:val="24"/>
          <w:szCs w:val="24"/>
        </w:rPr>
        <w:t xml:space="preserve"> z </w:t>
      </w:r>
      <w:r w:rsidR="00C70FB8" w:rsidRPr="00CE1385">
        <w:rPr>
          <w:rFonts w:ascii="Times New Roman" w:hAnsi="Times New Roman" w:cs="Times New Roman"/>
          <w:sz w:val="24"/>
          <w:szCs w:val="24"/>
        </w:rPr>
        <w:t>postaw dyskryminujących na równi</w:t>
      </w:r>
      <w:r w:rsidR="0001136D" w:rsidRPr="00CE1385">
        <w:rPr>
          <w:rFonts w:ascii="Times New Roman" w:hAnsi="Times New Roman" w:cs="Times New Roman"/>
          <w:sz w:val="24"/>
          <w:szCs w:val="24"/>
        </w:rPr>
        <w:t xml:space="preserve"> z </w:t>
      </w:r>
      <w:r w:rsidR="00C70FB8" w:rsidRPr="00CE1385">
        <w:rPr>
          <w:rFonts w:ascii="Times New Roman" w:hAnsi="Times New Roman" w:cs="Times New Roman"/>
          <w:sz w:val="24"/>
          <w:szCs w:val="24"/>
        </w:rPr>
        <w:t>przemocą,</w:t>
      </w:r>
      <w:r w:rsidR="0010539D" w:rsidRPr="00CE1385">
        <w:rPr>
          <w:rFonts w:ascii="Times New Roman" w:hAnsi="Times New Roman" w:cs="Times New Roman"/>
          <w:sz w:val="24"/>
          <w:szCs w:val="24"/>
        </w:rPr>
        <w:t xml:space="preserve"> w </w:t>
      </w:r>
      <w:r w:rsidR="00C70FB8" w:rsidRPr="00CE1385">
        <w:rPr>
          <w:rFonts w:ascii="Times New Roman" w:hAnsi="Times New Roman" w:cs="Times New Roman"/>
          <w:sz w:val="24"/>
          <w:szCs w:val="24"/>
        </w:rPr>
        <w:t>której nie występują takie aspekty, byłoby pominięciem szczególnego charakteru czynów, które były wyjątkowo destrukcyjne dla praw podstawowych. Trybunał podkreślił też, że choć wybór odpowiednich środków odstraszania zasadniczo mieści się</w:t>
      </w:r>
      <w:r w:rsidR="0010539D" w:rsidRPr="00CE1385">
        <w:rPr>
          <w:rFonts w:ascii="Times New Roman" w:hAnsi="Times New Roman" w:cs="Times New Roman"/>
          <w:sz w:val="24"/>
          <w:szCs w:val="24"/>
        </w:rPr>
        <w:t xml:space="preserve"> w </w:t>
      </w:r>
      <w:r w:rsidR="00C70FB8" w:rsidRPr="00CE1385">
        <w:rPr>
          <w:rFonts w:ascii="Times New Roman" w:hAnsi="Times New Roman" w:cs="Times New Roman"/>
          <w:sz w:val="24"/>
          <w:szCs w:val="24"/>
        </w:rPr>
        <w:t xml:space="preserve">zakresie uznania państwa, to jednak skuteczne odstraszanie przed popełnianiem poważnych czynów wymaga efektywnych przepisów prawa karnego. Ponadto </w:t>
      </w:r>
      <w:r w:rsidR="00AA17AA" w:rsidRPr="00CE1385">
        <w:rPr>
          <w:rFonts w:ascii="Times New Roman" w:hAnsi="Times New Roman" w:cs="Times New Roman"/>
          <w:sz w:val="24"/>
          <w:szCs w:val="24"/>
        </w:rPr>
        <w:t>Trybunał</w:t>
      </w:r>
      <w:r w:rsidR="00C70FB8" w:rsidRPr="00CE1385">
        <w:rPr>
          <w:rFonts w:ascii="Times New Roman" w:hAnsi="Times New Roman" w:cs="Times New Roman"/>
          <w:sz w:val="24"/>
          <w:szCs w:val="24"/>
        </w:rPr>
        <w:t xml:space="preserve"> orzekł, że państwa mają obowiązek zbadania, czy za danym aktem przemocy stoją jakiekolwiek motywy dyskryminacyjne oraz że przeoczenie pobudek wynikających</w:t>
      </w:r>
      <w:r w:rsidR="0001136D" w:rsidRPr="00CE1385">
        <w:rPr>
          <w:rFonts w:ascii="Times New Roman" w:hAnsi="Times New Roman" w:cs="Times New Roman"/>
          <w:sz w:val="24"/>
          <w:szCs w:val="24"/>
        </w:rPr>
        <w:t xml:space="preserve"> z </w:t>
      </w:r>
      <w:r w:rsidR="00C70FB8" w:rsidRPr="00CE1385">
        <w:rPr>
          <w:rFonts w:ascii="Times New Roman" w:hAnsi="Times New Roman" w:cs="Times New Roman"/>
          <w:sz w:val="24"/>
          <w:szCs w:val="24"/>
        </w:rPr>
        <w:t>uprzedzenia stanowi naruszenie</w:t>
      </w:r>
      <w:r w:rsidR="0010539D" w:rsidRPr="00CE1385">
        <w:rPr>
          <w:rFonts w:ascii="Times New Roman" w:hAnsi="Times New Roman" w:cs="Times New Roman"/>
          <w:sz w:val="24"/>
          <w:szCs w:val="24"/>
        </w:rPr>
        <w:t xml:space="preserve"> art. </w:t>
      </w:r>
      <w:r w:rsidR="00C70FB8" w:rsidRPr="00CE1385">
        <w:rPr>
          <w:rFonts w:ascii="Times New Roman" w:hAnsi="Times New Roman" w:cs="Times New Roman"/>
          <w:sz w:val="24"/>
          <w:szCs w:val="24"/>
        </w:rPr>
        <w:t xml:space="preserve">14 </w:t>
      </w:r>
      <w:r w:rsidR="00AA17AA" w:rsidRPr="00CE1385">
        <w:rPr>
          <w:rFonts w:ascii="Times New Roman" w:hAnsi="Times New Roman" w:cs="Times New Roman"/>
          <w:bCs/>
          <w:sz w:val="24"/>
          <w:szCs w:val="24"/>
        </w:rPr>
        <w:t>Konwencji</w:t>
      </w:r>
      <w:r w:rsidR="0031352B" w:rsidRPr="00CE1385">
        <w:rPr>
          <w:rFonts w:ascii="Times New Roman" w:hAnsi="Times New Roman" w:cs="Times New Roman"/>
          <w:bCs/>
          <w:sz w:val="24"/>
          <w:szCs w:val="24"/>
        </w:rPr>
        <w:t xml:space="preserve"> o </w:t>
      </w:r>
      <w:r w:rsidR="00AA17AA" w:rsidRPr="00CE1385">
        <w:rPr>
          <w:rFonts w:ascii="Times New Roman" w:hAnsi="Times New Roman" w:cs="Times New Roman"/>
          <w:bCs/>
          <w:sz w:val="24"/>
          <w:szCs w:val="24"/>
        </w:rPr>
        <w:t>Ochronie Praw Człowieka</w:t>
      </w:r>
      <w:r w:rsidR="0010539D" w:rsidRPr="00CE1385">
        <w:rPr>
          <w:rFonts w:ascii="Times New Roman" w:hAnsi="Times New Roman" w:cs="Times New Roman"/>
          <w:bCs/>
          <w:sz w:val="24"/>
          <w:szCs w:val="24"/>
        </w:rPr>
        <w:t xml:space="preserve"> i </w:t>
      </w:r>
      <w:r w:rsidR="00AA17AA" w:rsidRPr="00CE1385">
        <w:rPr>
          <w:rFonts w:ascii="Times New Roman" w:hAnsi="Times New Roman" w:cs="Times New Roman"/>
          <w:bCs/>
          <w:sz w:val="24"/>
          <w:szCs w:val="24"/>
        </w:rPr>
        <w:t>Podstawowych Wolności</w:t>
      </w:r>
      <w:r w:rsidR="00C03736" w:rsidRPr="00CE1385">
        <w:rPr>
          <w:rFonts w:ascii="Times New Roman" w:hAnsi="Times New Roman" w:cs="Times New Roman"/>
          <w:sz w:val="24"/>
          <w:szCs w:val="24"/>
        </w:rPr>
        <w:t xml:space="preserve">. </w:t>
      </w:r>
      <w:r w:rsidR="00C70FB8" w:rsidRPr="00CE1385">
        <w:rPr>
          <w:rFonts w:ascii="Times New Roman" w:hAnsi="Times New Roman" w:cs="Times New Roman"/>
          <w:sz w:val="24"/>
          <w:szCs w:val="24"/>
        </w:rPr>
        <w:t xml:space="preserve">To podejście rozszerza ochronę oferowaną przez </w:t>
      </w:r>
      <w:r w:rsidR="00AA17AA" w:rsidRPr="00CE1385">
        <w:rPr>
          <w:rFonts w:ascii="Times New Roman" w:hAnsi="Times New Roman" w:cs="Times New Roman"/>
          <w:bCs/>
          <w:sz w:val="24"/>
          <w:szCs w:val="24"/>
        </w:rPr>
        <w:t>Konwencj</w:t>
      </w:r>
      <w:r w:rsidR="00927C53" w:rsidRPr="00CE1385">
        <w:rPr>
          <w:rFonts w:ascii="Times New Roman" w:hAnsi="Times New Roman" w:cs="Times New Roman"/>
          <w:bCs/>
          <w:sz w:val="24"/>
          <w:szCs w:val="24"/>
        </w:rPr>
        <w:t>ę</w:t>
      </w:r>
      <w:r w:rsidR="0031352B" w:rsidRPr="00CE1385">
        <w:rPr>
          <w:rFonts w:ascii="Times New Roman" w:hAnsi="Times New Roman" w:cs="Times New Roman"/>
          <w:bCs/>
          <w:sz w:val="24"/>
          <w:szCs w:val="24"/>
        </w:rPr>
        <w:t xml:space="preserve"> o </w:t>
      </w:r>
      <w:r w:rsidR="00AA17AA" w:rsidRPr="00CE1385">
        <w:rPr>
          <w:rFonts w:ascii="Times New Roman" w:hAnsi="Times New Roman" w:cs="Times New Roman"/>
          <w:bCs/>
          <w:sz w:val="24"/>
          <w:szCs w:val="24"/>
        </w:rPr>
        <w:t>Ochronie Praw Człowieka</w:t>
      </w:r>
      <w:r w:rsidR="0010539D" w:rsidRPr="00CE1385">
        <w:rPr>
          <w:rFonts w:ascii="Times New Roman" w:hAnsi="Times New Roman" w:cs="Times New Roman"/>
          <w:bCs/>
          <w:sz w:val="24"/>
          <w:szCs w:val="24"/>
        </w:rPr>
        <w:t xml:space="preserve"> i </w:t>
      </w:r>
      <w:r w:rsidR="00AA17AA" w:rsidRPr="00CE1385">
        <w:rPr>
          <w:rFonts w:ascii="Times New Roman" w:hAnsi="Times New Roman" w:cs="Times New Roman"/>
          <w:bCs/>
          <w:sz w:val="24"/>
          <w:szCs w:val="24"/>
        </w:rPr>
        <w:t>Podstawowych Wolności</w:t>
      </w:r>
      <w:r w:rsidR="00AA17AA" w:rsidRPr="00CE1385">
        <w:rPr>
          <w:rFonts w:ascii="Times New Roman" w:hAnsi="Times New Roman" w:cs="Times New Roman"/>
          <w:sz w:val="24"/>
          <w:szCs w:val="24"/>
        </w:rPr>
        <w:t xml:space="preserve"> </w:t>
      </w:r>
      <w:r w:rsidR="00C70FB8" w:rsidRPr="00CE1385">
        <w:rPr>
          <w:rFonts w:ascii="Times New Roman" w:hAnsi="Times New Roman" w:cs="Times New Roman"/>
          <w:sz w:val="24"/>
          <w:szCs w:val="24"/>
        </w:rPr>
        <w:t>członkom grup szczególnie wrażliwych, którzy są ofiarami przestępstw</w:t>
      </w:r>
      <w:r w:rsidR="0001136D" w:rsidRPr="00CE1385">
        <w:rPr>
          <w:rFonts w:ascii="Times New Roman" w:hAnsi="Times New Roman" w:cs="Times New Roman"/>
          <w:sz w:val="24"/>
          <w:szCs w:val="24"/>
        </w:rPr>
        <w:t xml:space="preserve"> z </w:t>
      </w:r>
      <w:r w:rsidR="00C70FB8" w:rsidRPr="00CE1385">
        <w:rPr>
          <w:rFonts w:ascii="Times New Roman" w:hAnsi="Times New Roman" w:cs="Times New Roman"/>
          <w:sz w:val="24"/>
          <w:szCs w:val="24"/>
        </w:rPr>
        <w:t>nienawiści, niezależnie od tego, czy nadużycia dopuszczają się przedstawiciele państwa czy osoby trzecie</w:t>
      </w:r>
      <w:r w:rsidR="00EE4210" w:rsidRPr="00CE1385">
        <w:rPr>
          <w:rFonts w:ascii="Times New Roman" w:hAnsi="Times New Roman" w:cs="Times New Roman"/>
          <w:sz w:val="24"/>
          <w:szCs w:val="24"/>
        </w:rPr>
        <w:t>.</w:t>
      </w:r>
      <w:r w:rsidR="00C70FB8" w:rsidRPr="00CE1385">
        <w:rPr>
          <w:rFonts w:ascii="Times New Roman" w:hAnsi="Times New Roman" w:cs="Times New Roman"/>
          <w:sz w:val="24"/>
          <w:szCs w:val="24"/>
        </w:rPr>
        <w:t xml:space="preserve"> Innymi słowy przemoc, za którą stoją motywy dyskryminacyjne</w:t>
      </w:r>
      <w:r w:rsidR="00C810A5">
        <w:rPr>
          <w:rFonts w:ascii="Times New Roman" w:hAnsi="Times New Roman" w:cs="Times New Roman"/>
          <w:sz w:val="24"/>
          <w:szCs w:val="24"/>
        </w:rPr>
        <w:t>,</w:t>
      </w:r>
      <w:r w:rsidR="00C70FB8" w:rsidRPr="00CE1385">
        <w:rPr>
          <w:rFonts w:ascii="Times New Roman" w:hAnsi="Times New Roman" w:cs="Times New Roman"/>
          <w:sz w:val="24"/>
          <w:szCs w:val="24"/>
        </w:rPr>
        <w:t xml:space="preserve"> stanowi kwalifikowaną formę naruszenia praw człowieka. Powinno być to odzwierciedlone</w:t>
      </w:r>
      <w:r w:rsidR="0010539D" w:rsidRPr="00CE1385">
        <w:rPr>
          <w:rFonts w:ascii="Times New Roman" w:hAnsi="Times New Roman" w:cs="Times New Roman"/>
          <w:sz w:val="24"/>
          <w:szCs w:val="24"/>
        </w:rPr>
        <w:t xml:space="preserve"> w </w:t>
      </w:r>
      <w:r w:rsidR="00C70FB8" w:rsidRPr="00CE1385">
        <w:rPr>
          <w:rFonts w:ascii="Times New Roman" w:hAnsi="Times New Roman" w:cs="Times New Roman"/>
          <w:sz w:val="24"/>
          <w:szCs w:val="24"/>
        </w:rPr>
        <w:t>sposobie prowadzenia postępowania wyjaśniającego oraz udzielania wsparcia</w:t>
      </w:r>
      <w:r w:rsidR="0010539D" w:rsidRPr="00CE1385">
        <w:rPr>
          <w:rFonts w:ascii="Times New Roman" w:hAnsi="Times New Roman" w:cs="Times New Roman"/>
          <w:sz w:val="24"/>
          <w:szCs w:val="24"/>
        </w:rPr>
        <w:t xml:space="preserve"> i </w:t>
      </w:r>
      <w:r w:rsidR="00C70FB8" w:rsidRPr="00CE1385">
        <w:rPr>
          <w:rFonts w:ascii="Times New Roman" w:hAnsi="Times New Roman" w:cs="Times New Roman"/>
          <w:sz w:val="24"/>
          <w:szCs w:val="24"/>
        </w:rPr>
        <w:t>ochrony ofiarom</w:t>
      </w:r>
      <w:r w:rsidR="00AB3260" w:rsidRPr="00CE1385">
        <w:rPr>
          <w:rFonts w:ascii="Times New Roman" w:hAnsi="Times New Roman" w:cs="Times New Roman"/>
          <w:sz w:val="24"/>
          <w:szCs w:val="24"/>
        </w:rPr>
        <w:t>.</w:t>
      </w:r>
      <w:r w:rsidR="00470412">
        <w:rPr>
          <w:rStyle w:val="Odwoanieprzypisudolnego"/>
          <w:rFonts w:ascii="Times New Roman" w:hAnsi="Times New Roman" w:cs="Times New Roman"/>
          <w:sz w:val="24"/>
          <w:szCs w:val="24"/>
        </w:rPr>
        <w:footnoteReference w:id="1"/>
      </w:r>
      <w:r w:rsidR="006B5ECF">
        <w:rPr>
          <w:rFonts w:ascii="Times New Roman" w:hAnsi="Times New Roman" w:cs="Times New Roman"/>
          <w:sz w:val="24"/>
          <w:szCs w:val="24"/>
          <w:vertAlign w:val="superscript"/>
        </w:rPr>
        <w:t>)</w:t>
      </w:r>
    </w:p>
    <w:p w14:paraId="1CB60579" w14:textId="0538232E" w:rsidR="00EA70E6" w:rsidRPr="00CE1385" w:rsidRDefault="001D03E1" w:rsidP="00412841">
      <w:pPr>
        <w:tabs>
          <w:tab w:val="left" w:pos="4678"/>
        </w:tabs>
        <w:spacing w:before="120" w:after="0" w:line="360" w:lineRule="auto"/>
        <w:jc w:val="both"/>
        <w:rPr>
          <w:rFonts w:ascii="Times New Roman" w:hAnsi="Times New Roman" w:cs="Times New Roman"/>
          <w:sz w:val="24"/>
          <w:szCs w:val="24"/>
        </w:rPr>
      </w:pPr>
      <w:r w:rsidRPr="00CE1385">
        <w:rPr>
          <w:rStyle w:val="FontStyle28"/>
          <w:sz w:val="24"/>
          <w:szCs w:val="24"/>
        </w:rPr>
        <w:lastRenderedPageBreak/>
        <w:t>W orzeczeniu</w:t>
      </w:r>
      <w:r w:rsidR="0001136D" w:rsidRPr="00CE1385">
        <w:rPr>
          <w:rStyle w:val="FontStyle28"/>
          <w:sz w:val="24"/>
          <w:szCs w:val="24"/>
        </w:rPr>
        <w:t xml:space="preserve"> z dnia </w:t>
      </w:r>
      <w:r w:rsidRPr="00CE1385">
        <w:rPr>
          <w:rStyle w:val="FontStyle37"/>
          <w:rFonts w:ascii="Times New Roman" w:hAnsi="Times New Roman" w:cs="Times New Roman"/>
          <w:sz w:val="24"/>
          <w:szCs w:val="24"/>
        </w:rPr>
        <w:t>6 lipca 2005 r.</w:t>
      </w:r>
      <w:r w:rsidR="0010539D" w:rsidRPr="00CE1385">
        <w:rPr>
          <w:rStyle w:val="FontStyle37"/>
          <w:rFonts w:ascii="Times New Roman" w:hAnsi="Times New Roman" w:cs="Times New Roman"/>
          <w:sz w:val="24"/>
          <w:szCs w:val="24"/>
        </w:rPr>
        <w:t xml:space="preserve"> w </w:t>
      </w:r>
      <w:r w:rsidRPr="00CE1385">
        <w:rPr>
          <w:rStyle w:val="FontStyle37"/>
          <w:rFonts w:ascii="Times New Roman" w:hAnsi="Times New Roman" w:cs="Times New Roman"/>
          <w:sz w:val="24"/>
          <w:szCs w:val="24"/>
        </w:rPr>
        <w:t xml:space="preserve">sprawie </w:t>
      </w:r>
      <w:r w:rsidRPr="00CE1385">
        <w:rPr>
          <w:rStyle w:val="FontStyle36"/>
          <w:rFonts w:ascii="Times New Roman" w:hAnsi="Times New Roman" w:cs="Times New Roman"/>
          <w:sz w:val="24"/>
          <w:szCs w:val="24"/>
        </w:rPr>
        <w:t>Nachova</w:t>
      </w:r>
      <w:r w:rsidR="0010539D" w:rsidRPr="00CE1385">
        <w:rPr>
          <w:rStyle w:val="FontStyle36"/>
          <w:rFonts w:ascii="Times New Roman" w:hAnsi="Times New Roman" w:cs="Times New Roman"/>
          <w:sz w:val="24"/>
          <w:szCs w:val="24"/>
        </w:rPr>
        <w:t xml:space="preserve"> i </w:t>
      </w:r>
      <w:r w:rsidRPr="00CE1385">
        <w:rPr>
          <w:rStyle w:val="FontStyle36"/>
          <w:rFonts w:ascii="Times New Roman" w:hAnsi="Times New Roman" w:cs="Times New Roman"/>
          <w:sz w:val="24"/>
          <w:szCs w:val="24"/>
        </w:rPr>
        <w:t xml:space="preserve">inni przeciwko Bułgarii </w:t>
      </w:r>
      <w:r w:rsidRPr="00CE1385">
        <w:rPr>
          <w:rStyle w:val="FontStyle36"/>
          <w:rFonts w:ascii="Times New Roman" w:hAnsi="Times New Roman" w:cs="Times New Roman"/>
          <w:i w:val="0"/>
          <w:iCs w:val="0"/>
          <w:sz w:val="24"/>
          <w:szCs w:val="24"/>
        </w:rPr>
        <w:t>(</w:t>
      </w:r>
      <w:r w:rsidRPr="00CE1385">
        <w:rPr>
          <w:rStyle w:val="FontStyle37"/>
          <w:rFonts w:ascii="Times New Roman" w:hAnsi="Times New Roman" w:cs="Times New Roman"/>
          <w:sz w:val="24"/>
          <w:szCs w:val="24"/>
        </w:rPr>
        <w:t>skarga</w:t>
      </w:r>
      <w:r w:rsidR="0010539D" w:rsidRPr="00CE1385">
        <w:rPr>
          <w:rStyle w:val="FontStyle37"/>
          <w:rFonts w:ascii="Times New Roman" w:hAnsi="Times New Roman" w:cs="Times New Roman"/>
          <w:sz w:val="24"/>
          <w:szCs w:val="24"/>
        </w:rPr>
        <w:t xml:space="preserve"> nr </w:t>
      </w:r>
      <w:r w:rsidRPr="00CE1385">
        <w:rPr>
          <w:rStyle w:val="FontStyle37"/>
          <w:rFonts w:ascii="Times New Roman" w:hAnsi="Times New Roman" w:cs="Times New Roman"/>
          <w:sz w:val="24"/>
          <w:szCs w:val="24"/>
        </w:rPr>
        <w:t>43577/98</w:t>
      </w:r>
      <w:r w:rsidR="0010539D" w:rsidRPr="00CE1385">
        <w:rPr>
          <w:rStyle w:val="FontStyle37"/>
          <w:rFonts w:ascii="Times New Roman" w:hAnsi="Times New Roman" w:cs="Times New Roman"/>
          <w:sz w:val="24"/>
          <w:szCs w:val="24"/>
        </w:rPr>
        <w:t xml:space="preserve"> i </w:t>
      </w:r>
      <w:r w:rsidRPr="00CE1385">
        <w:rPr>
          <w:rStyle w:val="FontStyle37"/>
          <w:rFonts w:ascii="Times New Roman" w:hAnsi="Times New Roman" w:cs="Times New Roman"/>
          <w:sz w:val="24"/>
          <w:szCs w:val="24"/>
        </w:rPr>
        <w:t xml:space="preserve">43579/98) </w:t>
      </w:r>
      <w:r w:rsidR="00AB3260" w:rsidRPr="00CE1385">
        <w:rPr>
          <w:rFonts w:ascii="Times New Roman" w:hAnsi="Times New Roman" w:cs="Times New Roman"/>
          <w:sz w:val="24"/>
          <w:szCs w:val="24"/>
        </w:rPr>
        <w:t xml:space="preserve">Europejski Trybunał Praw Człowieka </w:t>
      </w:r>
      <w:r w:rsidRPr="00CE1385">
        <w:rPr>
          <w:rStyle w:val="FontStyle37"/>
          <w:rFonts w:ascii="Times New Roman" w:hAnsi="Times New Roman" w:cs="Times New Roman"/>
          <w:sz w:val="24"/>
          <w:szCs w:val="24"/>
        </w:rPr>
        <w:t>wskazał, że</w:t>
      </w:r>
      <w:r w:rsidR="0010539D" w:rsidRPr="00CE1385">
        <w:rPr>
          <w:rStyle w:val="FontStyle37"/>
          <w:rFonts w:ascii="Times New Roman" w:hAnsi="Times New Roman" w:cs="Times New Roman"/>
          <w:sz w:val="24"/>
          <w:szCs w:val="24"/>
        </w:rPr>
        <w:t xml:space="preserve"> w </w:t>
      </w:r>
      <w:r w:rsidRPr="00CE1385">
        <w:rPr>
          <w:rStyle w:val="FontStyle37"/>
          <w:rFonts w:ascii="Times New Roman" w:hAnsi="Times New Roman" w:cs="Times New Roman"/>
          <w:sz w:val="24"/>
          <w:szCs w:val="24"/>
        </w:rPr>
        <w:t>szczególności</w:t>
      </w:r>
      <w:r w:rsidR="0010539D" w:rsidRPr="00CE1385">
        <w:rPr>
          <w:rStyle w:val="FontStyle37"/>
          <w:rFonts w:ascii="Times New Roman" w:hAnsi="Times New Roman" w:cs="Times New Roman"/>
          <w:sz w:val="24"/>
          <w:szCs w:val="24"/>
        </w:rPr>
        <w:t xml:space="preserve"> w </w:t>
      </w:r>
      <w:r w:rsidRPr="00CE1385">
        <w:rPr>
          <w:rStyle w:val="FontStyle37"/>
          <w:rFonts w:ascii="Times New Roman" w:hAnsi="Times New Roman" w:cs="Times New Roman"/>
          <w:sz w:val="24"/>
          <w:szCs w:val="24"/>
        </w:rPr>
        <w:t>przypadkach,</w:t>
      </w:r>
      <w:r w:rsidR="0010539D" w:rsidRPr="00CE1385">
        <w:rPr>
          <w:rStyle w:val="FontStyle37"/>
          <w:rFonts w:ascii="Times New Roman" w:hAnsi="Times New Roman" w:cs="Times New Roman"/>
          <w:sz w:val="24"/>
          <w:szCs w:val="24"/>
        </w:rPr>
        <w:t xml:space="preserve"> w </w:t>
      </w:r>
      <w:r w:rsidRPr="00CE1385">
        <w:rPr>
          <w:rStyle w:val="FontStyle37"/>
          <w:rFonts w:ascii="Times New Roman" w:hAnsi="Times New Roman" w:cs="Times New Roman"/>
          <w:sz w:val="24"/>
          <w:szCs w:val="24"/>
        </w:rPr>
        <w:t>których doszło do przemocy, która mogła być motywowana rasizmem, konieczne jest intensywne zaangażowanie organów władzy</w:t>
      </w:r>
      <w:r w:rsidR="0010539D" w:rsidRPr="00CE1385">
        <w:rPr>
          <w:rStyle w:val="FontStyle37"/>
          <w:rFonts w:ascii="Times New Roman" w:hAnsi="Times New Roman" w:cs="Times New Roman"/>
          <w:sz w:val="24"/>
          <w:szCs w:val="24"/>
        </w:rPr>
        <w:t xml:space="preserve"> w </w:t>
      </w:r>
      <w:r w:rsidRPr="00CE1385">
        <w:rPr>
          <w:rStyle w:val="FontStyle37"/>
          <w:rFonts w:ascii="Times New Roman" w:hAnsi="Times New Roman" w:cs="Times New Roman"/>
          <w:sz w:val="24"/>
          <w:szCs w:val="24"/>
        </w:rPr>
        <w:t>przeprowadzenie właściwego dochodzenia, które ukaże nienawistną motywację sprawcy przestępstwa.</w:t>
      </w:r>
      <w:r w:rsidR="00391B33" w:rsidRPr="00CE1385">
        <w:rPr>
          <w:rFonts w:ascii="Times New Roman" w:hAnsi="Times New Roman" w:cs="Times New Roman"/>
          <w:sz w:val="24"/>
          <w:szCs w:val="24"/>
        </w:rPr>
        <w:t xml:space="preserve"> </w:t>
      </w:r>
    </w:p>
    <w:p w14:paraId="7F13E733" w14:textId="5977A010" w:rsidR="00EA70E6" w:rsidRPr="00CE1385" w:rsidRDefault="00EA70E6" w:rsidP="00412841">
      <w:pPr>
        <w:tabs>
          <w:tab w:val="left" w:pos="4678"/>
        </w:tabs>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W </w:t>
      </w:r>
      <w:r w:rsidR="00AB3260" w:rsidRPr="00CE1385">
        <w:rPr>
          <w:rFonts w:ascii="Times New Roman" w:hAnsi="Times New Roman" w:cs="Times New Roman"/>
          <w:sz w:val="24"/>
          <w:szCs w:val="24"/>
        </w:rPr>
        <w:t>orzeczeniu</w:t>
      </w:r>
      <w:r w:rsidR="0001136D" w:rsidRPr="00CE1385">
        <w:rPr>
          <w:rFonts w:ascii="Times New Roman" w:hAnsi="Times New Roman" w:cs="Times New Roman"/>
          <w:sz w:val="24"/>
          <w:szCs w:val="24"/>
        </w:rPr>
        <w:t xml:space="preserve"> z dnia </w:t>
      </w:r>
      <w:r w:rsidR="00AB3260" w:rsidRPr="00CE1385">
        <w:rPr>
          <w:rFonts w:ascii="Times New Roman" w:hAnsi="Times New Roman" w:cs="Times New Roman"/>
          <w:sz w:val="24"/>
          <w:szCs w:val="24"/>
        </w:rPr>
        <w:t>14 grudnia 2010 r.</w:t>
      </w:r>
      <w:r w:rsidR="0010539D" w:rsidRPr="00CE1385">
        <w:rPr>
          <w:rFonts w:ascii="Times New Roman" w:hAnsi="Times New Roman" w:cs="Times New Roman"/>
          <w:sz w:val="24"/>
          <w:szCs w:val="24"/>
        </w:rPr>
        <w:t xml:space="preserve"> w </w:t>
      </w:r>
      <w:r w:rsidR="00AB3260" w:rsidRPr="00CE1385">
        <w:rPr>
          <w:rFonts w:ascii="Times New Roman" w:hAnsi="Times New Roman" w:cs="Times New Roman"/>
          <w:sz w:val="24"/>
          <w:szCs w:val="24"/>
        </w:rPr>
        <w:t>sprawie</w:t>
      </w:r>
      <w:r w:rsidRPr="00CE1385">
        <w:rPr>
          <w:rFonts w:ascii="Times New Roman" w:hAnsi="Times New Roman" w:cs="Times New Roman"/>
          <w:sz w:val="24"/>
          <w:szCs w:val="24"/>
        </w:rPr>
        <w:t xml:space="preserve"> </w:t>
      </w:r>
      <w:r w:rsidRPr="00CE1385">
        <w:rPr>
          <w:rFonts w:ascii="Times New Roman" w:hAnsi="Times New Roman" w:cs="Times New Roman"/>
          <w:i/>
          <w:iCs/>
          <w:sz w:val="24"/>
          <w:szCs w:val="24"/>
        </w:rPr>
        <w:t>Milanović przeciwko Serbii</w:t>
      </w:r>
      <w:r w:rsidRPr="00CE1385">
        <w:rPr>
          <w:rFonts w:ascii="Times New Roman" w:hAnsi="Times New Roman" w:cs="Times New Roman"/>
          <w:sz w:val="24"/>
          <w:szCs w:val="24"/>
        </w:rPr>
        <w:t xml:space="preserve"> </w:t>
      </w:r>
      <w:r w:rsidR="00AB3260" w:rsidRPr="00CE1385">
        <w:rPr>
          <w:rFonts w:ascii="Times New Roman" w:hAnsi="Times New Roman" w:cs="Times New Roman"/>
          <w:sz w:val="24"/>
          <w:szCs w:val="24"/>
        </w:rPr>
        <w:t>(skarga</w:t>
      </w:r>
      <w:r w:rsidR="0010539D" w:rsidRPr="00CE1385">
        <w:rPr>
          <w:rFonts w:ascii="Times New Roman" w:hAnsi="Times New Roman" w:cs="Times New Roman"/>
          <w:sz w:val="24"/>
          <w:szCs w:val="24"/>
        </w:rPr>
        <w:t xml:space="preserve"> nr </w:t>
      </w:r>
      <w:r w:rsidRPr="00CE1385">
        <w:rPr>
          <w:rFonts w:ascii="Times New Roman" w:hAnsi="Times New Roman" w:cs="Times New Roman"/>
          <w:sz w:val="24"/>
          <w:szCs w:val="24"/>
        </w:rPr>
        <w:t>44614/07</w:t>
      </w:r>
      <w:r w:rsidR="00AB3260" w:rsidRPr="00CE1385">
        <w:rPr>
          <w:rFonts w:ascii="Times New Roman" w:hAnsi="Times New Roman" w:cs="Times New Roman"/>
          <w:sz w:val="24"/>
          <w:szCs w:val="24"/>
        </w:rPr>
        <w:t>)</w:t>
      </w:r>
      <w:r w:rsidRPr="00CE1385">
        <w:rPr>
          <w:rFonts w:ascii="Times New Roman" w:hAnsi="Times New Roman" w:cs="Times New Roman"/>
          <w:sz w:val="24"/>
          <w:szCs w:val="24"/>
        </w:rPr>
        <w:t xml:space="preserve"> Europejski Trybunał Praw Człowieka uznał, że na władzach państwowych spoczywa dodatkowy obowiązek podjęcia wszelkich uzasadnionych kroków</w:t>
      </w:r>
      <w:r w:rsidR="0023344E" w:rsidRPr="00CE1385">
        <w:rPr>
          <w:rFonts w:ascii="Times New Roman" w:hAnsi="Times New Roman" w:cs="Times New Roman"/>
          <w:sz w:val="24"/>
          <w:szCs w:val="24"/>
        </w:rPr>
        <w:t xml:space="preserve"> </w:t>
      </w:r>
      <w:r w:rsidR="0010539D" w:rsidRPr="00CE1385">
        <w:rPr>
          <w:rFonts w:ascii="Times New Roman" w:hAnsi="Times New Roman" w:cs="Times New Roman"/>
          <w:sz w:val="24"/>
          <w:szCs w:val="24"/>
        </w:rPr>
        <w:t>w </w:t>
      </w:r>
      <w:r w:rsidRPr="00CE1385">
        <w:rPr>
          <w:rFonts w:ascii="Times New Roman" w:hAnsi="Times New Roman" w:cs="Times New Roman"/>
          <w:sz w:val="24"/>
          <w:szCs w:val="24"/>
        </w:rPr>
        <w:t>celu zdemaskowania motywów religijnych oraz ustalenia, czy nienawiść lub uprzedzenia</w:t>
      </w:r>
      <w:r w:rsidR="0031352B" w:rsidRPr="00CE1385">
        <w:rPr>
          <w:rFonts w:ascii="Times New Roman" w:hAnsi="Times New Roman" w:cs="Times New Roman"/>
          <w:sz w:val="24"/>
          <w:szCs w:val="24"/>
        </w:rPr>
        <w:t xml:space="preserve"> o </w:t>
      </w:r>
      <w:r w:rsidRPr="00CE1385">
        <w:rPr>
          <w:rFonts w:ascii="Times New Roman" w:hAnsi="Times New Roman" w:cs="Times New Roman"/>
          <w:sz w:val="24"/>
          <w:szCs w:val="24"/>
        </w:rPr>
        <w:t>podłożu religijnym mogły odegrać rolę</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 xml:space="preserve">tych wydarzeniach, mimo że wspomnianych wykroczeń dopuściły się osoby prywatne. </w:t>
      </w:r>
    </w:p>
    <w:p w14:paraId="18287A5F" w14:textId="2EFC2DDC" w:rsidR="00EA70E6" w:rsidRPr="00CE1385" w:rsidRDefault="001D03E1" w:rsidP="00412841">
      <w:pPr>
        <w:tabs>
          <w:tab w:val="left" w:pos="4678"/>
        </w:tabs>
        <w:spacing w:before="120" w:after="0" w:line="360" w:lineRule="auto"/>
        <w:jc w:val="both"/>
        <w:rPr>
          <w:rStyle w:val="FontStyle28"/>
          <w:sz w:val="24"/>
          <w:szCs w:val="24"/>
        </w:rPr>
      </w:pPr>
      <w:r w:rsidRPr="00CE1385">
        <w:rPr>
          <w:rStyle w:val="FontStyle26"/>
          <w:sz w:val="24"/>
          <w:szCs w:val="24"/>
        </w:rPr>
        <w:t>W orzeczeniu</w:t>
      </w:r>
      <w:r w:rsidR="0001136D" w:rsidRPr="00CE1385">
        <w:rPr>
          <w:rStyle w:val="FontStyle26"/>
          <w:sz w:val="24"/>
          <w:szCs w:val="24"/>
        </w:rPr>
        <w:t xml:space="preserve"> z dnia </w:t>
      </w:r>
      <w:r w:rsidRPr="00CE1385">
        <w:rPr>
          <w:rStyle w:val="FontStyle26"/>
          <w:sz w:val="24"/>
          <w:szCs w:val="24"/>
        </w:rPr>
        <w:t>11 marca 2014 r.</w:t>
      </w:r>
      <w:r w:rsidR="0010539D" w:rsidRPr="00CE1385">
        <w:rPr>
          <w:rStyle w:val="FontStyle26"/>
          <w:sz w:val="24"/>
          <w:szCs w:val="24"/>
        </w:rPr>
        <w:t xml:space="preserve"> w </w:t>
      </w:r>
      <w:r w:rsidRPr="00CE1385">
        <w:rPr>
          <w:rStyle w:val="FontStyle26"/>
          <w:sz w:val="24"/>
          <w:szCs w:val="24"/>
        </w:rPr>
        <w:t xml:space="preserve">sprawie </w:t>
      </w:r>
      <w:r w:rsidRPr="00CE1385">
        <w:rPr>
          <w:rStyle w:val="FontStyle26"/>
          <w:i/>
          <w:iCs/>
          <w:sz w:val="24"/>
          <w:szCs w:val="24"/>
        </w:rPr>
        <w:t>Abdu przeciwko Bułgarii</w:t>
      </w:r>
      <w:r w:rsidRPr="00CE1385">
        <w:rPr>
          <w:rStyle w:val="FontStyle26"/>
          <w:sz w:val="24"/>
          <w:szCs w:val="24"/>
        </w:rPr>
        <w:t xml:space="preserve"> (</w:t>
      </w:r>
      <w:r w:rsidRPr="00CE1385">
        <w:rPr>
          <w:rStyle w:val="FontStyle28"/>
          <w:sz w:val="24"/>
          <w:szCs w:val="24"/>
        </w:rPr>
        <w:t>skarga</w:t>
      </w:r>
      <w:r w:rsidR="0010539D" w:rsidRPr="00CE1385">
        <w:rPr>
          <w:rStyle w:val="FontStyle28"/>
          <w:sz w:val="24"/>
          <w:szCs w:val="24"/>
        </w:rPr>
        <w:t xml:space="preserve"> nr </w:t>
      </w:r>
      <w:r w:rsidRPr="00CE1385">
        <w:rPr>
          <w:rStyle w:val="FontStyle28"/>
          <w:sz w:val="24"/>
          <w:szCs w:val="24"/>
        </w:rPr>
        <w:t xml:space="preserve">26827/08) </w:t>
      </w:r>
      <w:r w:rsidR="00AB3260" w:rsidRPr="00CE1385">
        <w:rPr>
          <w:rFonts w:ascii="Times New Roman" w:hAnsi="Times New Roman" w:cs="Times New Roman"/>
          <w:sz w:val="24"/>
          <w:szCs w:val="24"/>
        </w:rPr>
        <w:t xml:space="preserve">Europejski Trybunał Praw Człowieka </w:t>
      </w:r>
      <w:r w:rsidRPr="00CE1385">
        <w:rPr>
          <w:rStyle w:val="FontStyle28"/>
          <w:sz w:val="24"/>
          <w:szCs w:val="24"/>
        </w:rPr>
        <w:t>wskazywał na to, że równe traktowanie przypadków przemocy motywowanej uprzedzeniami</w:t>
      </w:r>
      <w:r w:rsidR="0010539D" w:rsidRPr="00CE1385">
        <w:rPr>
          <w:rStyle w:val="FontStyle28"/>
          <w:sz w:val="24"/>
          <w:szCs w:val="24"/>
        </w:rPr>
        <w:t xml:space="preserve"> i </w:t>
      </w:r>
      <w:r w:rsidRPr="00CE1385">
        <w:rPr>
          <w:rStyle w:val="FontStyle28"/>
          <w:sz w:val="24"/>
          <w:szCs w:val="24"/>
        </w:rPr>
        <w:t>przypadków pozbawionych takiego elementu jest równoznaczne</w:t>
      </w:r>
      <w:r w:rsidR="0001136D" w:rsidRPr="00CE1385">
        <w:rPr>
          <w:rStyle w:val="FontStyle28"/>
          <w:sz w:val="24"/>
          <w:szCs w:val="24"/>
        </w:rPr>
        <w:t xml:space="preserve"> z </w:t>
      </w:r>
      <w:r w:rsidRPr="00CE1385">
        <w:rPr>
          <w:rStyle w:val="FontStyle28"/>
          <w:sz w:val="24"/>
          <w:szCs w:val="24"/>
        </w:rPr>
        <w:t>„przymykaniem oczu” na swoisty charakter takich czynów, które są szczególnie destrukcyjne dla praw podstawowych.</w:t>
      </w:r>
    </w:p>
    <w:p w14:paraId="4BE6D4BC" w14:textId="3D544A04" w:rsidR="00EA70E6" w:rsidRPr="00CE1385" w:rsidRDefault="00AB3260" w:rsidP="00412841">
      <w:pPr>
        <w:tabs>
          <w:tab w:val="left" w:pos="4678"/>
        </w:tabs>
        <w:spacing w:before="120" w:after="0" w:line="360" w:lineRule="auto"/>
        <w:jc w:val="both"/>
        <w:rPr>
          <w:rFonts w:ascii="Times New Roman" w:hAnsi="Times New Roman" w:cs="Times New Roman"/>
          <w:sz w:val="24"/>
          <w:szCs w:val="24"/>
        </w:rPr>
      </w:pPr>
      <w:r w:rsidRPr="00CE1385">
        <w:rPr>
          <w:rStyle w:val="FontStyle28"/>
          <w:sz w:val="24"/>
          <w:szCs w:val="24"/>
        </w:rPr>
        <w:t>W orzeczeniu</w:t>
      </w:r>
      <w:r w:rsidR="0001136D" w:rsidRPr="00CE1385">
        <w:rPr>
          <w:rStyle w:val="FontStyle28"/>
          <w:sz w:val="24"/>
          <w:szCs w:val="24"/>
        </w:rPr>
        <w:t xml:space="preserve"> z dnia </w:t>
      </w:r>
      <w:r w:rsidRPr="00CE1385">
        <w:rPr>
          <w:rStyle w:val="FontStyle28"/>
          <w:sz w:val="24"/>
          <w:szCs w:val="24"/>
        </w:rPr>
        <w:t>12 kwietnia 2016 r.</w:t>
      </w:r>
      <w:r w:rsidR="0010539D" w:rsidRPr="00CE1385">
        <w:rPr>
          <w:rStyle w:val="FontStyle28"/>
          <w:sz w:val="24"/>
          <w:szCs w:val="24"/>
        </w:rPr>
        <w:t xml:space="preserve"> w </w:t>
      </w:r>
      <w:r w:rsidR="00EA70E6" w:rsidRPr="00CE1385">
        <w:rPr>
          <w:rFonts w:ascii="Times New Roman" w:hAnsi="Times New Roman" w:cs="Times New Roman"/>
          <w:sz w:val="24"/>
          <w:szCs w:val="24"/>
        </w:rPr>
        <w:t xml:space="preserve">sprawie </w:t>
      </w:r>
      <w:r w:rsidR="00EA70E6" w:rsidRPr="00CE1385">
        <w:rPr>
          <w:rFonts w:ascii="Times New Roman" w:hAnsi="Times New Roman" w:cs="Times New Roman"/>
          <w:i/>
          <w:iCs/>
          <w:sz w:val="24"/>
          <w:szCs w:val="24"/>
        </w:rPr>
        <w:t>M.C.</w:t>
      </w:r>
      <w:r w:rsidR="0010539D" w:rsidRPr="00CE1385">
        <w:rPr>
          <w:rFonts w:ascii="Times New Roman" w:hAnsi="Times New Roman" w:cs="Times New Roman"/>
          <w:i/>
          <w:iCs/>
          <w:sz w:val="24"/>
          <w:szCs w:val="24"/>
        </w:rPr>
        <w:t xml:space="preserve"> i </w:t>
      </w:r>
      <w:r w:rsidR="00EA70E6" w:rsidRPr="00CE1385">
        <w:rPr>
          <w:rFonts w:ascii="Times New Roman" w:hAnsi="Times New Roman" w:cs="Times New Roman"/>
          <w:i/>
          <w:iCs/>
          <w:sz w:val="24"/>
          <w:szCs w:val="24"/>
        </w:rPr>
        <w:t>A.C. przeciwko Rumunii</w:t>
      </w:r>
      <w:r w:rsidR="00EA70E6" w:rsidRPr="00CE1385">
        <w:rPr>
          <w:rFonts w:ascii="Times New Roman" w:hAnsi="Times New Roman" w:cs="Times New Roman"/>
          <w:sz w:val="24"/>
          <w:szCs w:val="24"/>
        </w:rPr>
        <w:t xml:space="preserve"> </w:t>
      </w:r>
      <w:r w:rsidRPr="00CE1385">
        <w:rPr>
          <w:rFonts w:ascii="Times New Roman" w:hAnsi="Times New Roman" w:cs="Times New Roman"/>
          <w:sz w:val="24"/>
          <w:szCs w:val="24"/>
        </w:rPr>
        <w:t>(</w:t>
      </w:r>
      <w:r w:rsidR="00EA70E6" w:rsidRPr="00CE1385">
        <w:rPr>
          <w:rFonts w:ascii="Times New Roman" w:hAnsi="Times New Roman" w:cs="Times New Roman"/>
          <w:sz w:val="24"/>
          <w:szCs w:val="24"/>
        </w:rPr>
        <w:t>skarga</w:t>
      </w:r>
      <w:r w:rsidR="0010539D" w:rsidRPr="00CE1385">
        <w:rPr>
          <w:rFonts w:ascii="Times New Roman" w:hAnsi="Times New Roman" w:cs="Times New Roman"/>
          <w:sz w:val="24"/>
          <w:szCs w:val="24"/>
        </w:rPr>
        <w:t xml:space="preserve"> nr </w:t>
      </w:r>
      <w:r w:rsidR="00EA70E6" w:rsidRPr="00CE1385">
        <w:rPr>
          <w:rFonts w:ascii="Times New Roman" w:hAnsi="Times New Roman" w:cs="Times New Roman"/>
          <w:sz w:val="24"/>
          <w:szCs w:val="24"/>
        </w:rPr>
        <w:t>12060/12</w:t>
      </w:r>
      <w:r w:rsidRPr="00CE1385">
        <w:rPr>
          <w:rFonts w:ascii="Times New Roman" w:hAnsi="Times New Roman" w:cs="Times New Roman"/>
          <w:sz w:val="24"/>
          <w:szCs w:val="24"/>
        </w:rPr>
        <w:t>)</w:t>
      </w:r>
      <w:r w:rsidR="00EA70E6" w:rsidRPr="00CE1385">
        <w:rPr>
          <w:rFonts w:ascii="Times New Roman" w:hAnsi="Times New Roman" w:cs="Times New Roman"/>
          <w:sz w:val="24"/>
          <w:szCs w:val="24"/>
        </w:rPr>
        <w:t xml:space="preserve"> </w:t>
      </w:r>
      <w:r w:rsidRPr="00CE1385">
        <w:rPr>
          <w:rFonts w:ascii="Times New Roman" w:hAnsi="Times New Roman" w:cs="Times New Roman"/>
          <w:sz w:val="24"/>
          <w:szCs w:val="24"/>
        </w:rPr>
        <w:t xml:space="preserve">Europejski Trybunał Praw Człowieka </w:t>
      </w:r>
      <w:r w:rsidR="00EA70E6" w:rsidRPr="00CE1385">
        <w:rPr>
          <w:rFonts w:ascii="Times New Roman" w:hAnsi="Times New Roman" w:cs="Times New Roman"/>
          <w:sz w:val="24"/>
          <w:szCs w:val="24"/>
        </w:rPr>
        <w:t>ustalił, że władze nie wzięły pod uwagę ewentualnych motywów dyskryminacyjnych podczas badania sprawy ataku na tle homofobicznym</w:t>
      </w:r>
      <w:r w:rsidR="0010539D" w:rsidRPr="00CE1385">
        <w:rPr>
          <w:rFonts w:ascii="Times New Roman" w:hAnsi="Times New Roman" w:cs="Times New Roman"/>
          <w:sz w:val="24"/>
          <w:szCs w:val="24"/>
        </w:rPr>
        <w:t xml:space="preserve"> i </w:t>
      </w:r>
      <w:r w:rsidR="00EA70E6" w:rsidRPr="00CE1385">
        <w:rPr>
          <w:rFonts w:ascii="Times New Roman" w:hAnsi="Times New Roman" w:cs="Times New Roman"/>
          <w:sz w:val="24"/>
          <w:szCs w:val="24"/>
        </w:rPr>
        <w:t>stwierdził, że nastąpiło naruszenie</w:t>
      </w:r>
      <w:r w:rsidR="0010539D" w:rsidRPr="00CE1385">
        <w:rPr>
          <w:rFonts w:ascii="Times New Roman" w:hAnsi="Times New Roman" w:cs="Times New Roman"/>
          <w:sz w:val="24"/>
          <w:szCs w:val="24"/>
        </w:rPr>
        <w:t xml:space="preserve"> art. </w:t>
      </w:r>
      <w:r w:rsidR="00EA70E6" w:rsidRPr="00CE1385">
        <w:rPr>
          <w:rFonts w:ascii="Times New Roman" w:hAnsi="Times New Roman" w:cs="Times New Roman"/>
          <w:sz w:val="24"/>
          <w:szCs w:val="24"/>
        </w:rPr>
        <w:t>3</w:t>
      </w:r>
      <w:r w:rsidR="0010539D" w:rsidRPr="00CE1385">
        <w:rPr>
          <w:rFonts w:ascii="Times New Roman" w:hAnsi="Times New Roman" w:cs="Times New Roman"/>
          <w:sz w:val="24"/>
          <w:szCs w:val="24"/>
        </w:rPr>
        <w:t xml:space="preserve"> w </w:t>
      </w:r>
      <w:r w:rsidR="00EA70E6" w:rsidRPr="00CE1385">
        <w:rPr>
          <w:rFonts w:ascii="Times New Roman" w:hAnsi="Times New Roman" w:cs="Times New Roman"/>
          <w:sz w:val="24"/>
          <w:szCs w:val="24"/>
        </w:rPr>
        <w:t>związku</w:t>
      </w:r>
      <w:r w:rsidR="0001136D" w:rsidRPr="00CE1385">
        <w:rPr>
          <w:rFonts w:ascii="Times New Roman" w:hAnsi="Times New Roman" w:cs="Times New Roman"/>
          <w:sz w:val="24"/>
          <w:szCs w:val="24"/>
        </w:rPr>
        <w:t xml:space="preserve"> z </w:t>
      </w:r>
      <w:r w:rsidR="0010539D" w:rsidRPr="00CE1385">
        <w:rPr>
          <w:rFonts w:ascii="Times New Roman" w:hAnsi="Times New Roman" w:cs="Times New Roman"/>
          <w:sz w:val="24"/>
          <w:szCs w:val="24"/>
        </w:rPr>
        <w:t>art. </w:t>
      </w:r>
      <w:r w:rsidR="00EA70E6" w:rsidRPr="00CE1385">
        <w:rPr>
          <w:rFonts w:ascii="Times New Roman" w:hAnsi="Times New Roman" w:cs="Times New Roman"/>
          <w:sz w:val="24"/>
          <w:szCs w:val="24"/>
        </w:rPr>
        <w:t xml:space="preserve">14 </w:t>
      </w:r>
      <w:r w:rsidR="00AA17AA" w:rsidRPr="00CE1385">
        <w:rPr>
          <w:rFonts w:ascii="Times New Roman" w:hAnsi="Times New Roman" w:cs="Times New Roman"/>
          <w:bCs/>
          <w:sz w:val="24"/>
          <w:szCs w:val="24"/>
        </w:rPr>
        <w:t>Konwencji</w:t>
      </w:r>
      <w:r w:rsidR="0031352B" w:rsidRPr="00CE1385">
        <w:rPr>
          <w:rFonts w:ascii="Times New Roman" w:hAnsi="Times New Roman" w:cs="Times New Roman"/>
          <w:bCs/>
          <w:sz w:val="24"/>
          <w:szCs w:val="24"/>
        </w:rPr>
        <w:t xml:space="preserve"> o </w:t>
      </w:r>
      <w:r w:rsidR="00AA17AA" w:rsidRPr="00CE1385">
        <w:rPr>
          <w:rFonts w:ascii="Times New Roman" w:hAnsi="Times New Roman" w:cs="Times New Roman"/>
          <w:bCs/>
          <w:sz w:val="24"/>
          <w:szCs w:val="24"/>
        </w:rPr>
        <w:t>Ochronie Praw Człowieka</w:t>
      </w:r>
      <w:r w:rsidR="0010539D" w:rsidRPr="00CE1385">
        <w:rPr>
          <w:rFonts w:ascii="Times New Roman" w:hAnsi="Times New Roman" w:cs="Times New Roman"/>
          <w:bCs/>
          <w:sz w:val="24"/>
          <w:szCs w:val="24"/>
        </w:rPr>
        <w:t xml:space="preserve"> i </w:t>
      </w:r>
      <w:r w:rsidR="00AA17AA" w:rsidRPr="00CE1385">
        <w:rPr>
          <w:rFonts w:ascii="Times New Roman" w:hAnsi="Times New Roman" w:cs="Times New Roman"/>
          <w:bCs/>
          <w:sz w:val="24"/>
          <w:szCs w:val="24"/>
        </w:rPr>
        <w:t>Podstawowych Wolności</w:t>
      </w:r>
      <w:r w:rsidRPr="00CE1385">
        <w:rPr>
          <w:rFonts w:ascii="Times New Roman" w:hAnsi="Times New Roman" w:cs="Times New Roman"/>
          <w:sz w:val="24"/>
          <w:szCs w:val="24"/>
        </w:rPr>
        <w:t>.</w:t>
      </w:r>
    </w:p>
    <w:p w14:paraId="5893F226" w14:textId="111DBA8C" w:rsidR="00AA17AA" w:rsidRPr="00CE1385" w:rsidRDefault="00AA17AA" w:rsidP="00412841">
      <w:pPr>
        <w:tabs>
          <w:tab w:val="left" w:pos="4678"/>
        </w:tabs>
        <w:spacing w:before="120" w:after="0" w:line="360" w:lineRule="auto"/>
        <w:jc w:val="both"/>
        <w:rPr>
          <w:rStyle w:val="FontStyle28"/>
          <w:sz w:val="24"/>
          <w:szCs w:val="24"/>
        </w:rPr>
      </w:pPr>
      <w:r w:rsidRPr="00CE1385">
        <w:rPr>
          <w:rFonts w:ascii="Times New Roman" w:hAnsi="Times New Roman" w:cs="Times New Roman"/>
          <w:sz w:val="24"/>
          <w:szCs w:val="24"/>
        </w:rPr>
        <w:t>Przepis</w:t>
      </w:r>
      <w:r w:rsidR="0010539D" w:rsidRPr="00CE1385">
        <w:rPr>
          <w:rFonts w:ascii="Times New Roman" w:hAnsi="Times New Roman" w:cs="Times New Roman"/>
          <w:sz w:val="24"/>
          <w:szCs w:val="24"/>
        </w:rPr>
        <w:t xml:space="preserve"> art. </w:t>
      </w:r>
      <w:r w:rsidRPr="00CE1385">
        <w:rPr>
          <w:rFonts w:ascii="Times New Roman" w:hAnsi="Times New Roman" w:cs="Times New Roman"/>
          <w:sz w:val="24"/>
          <w:szCs w:val="24"/>
        </w:rPr>
        <w:t xml:space="preserve">14 </w:t>
      </w:r>
      <w:r w:rsidRPr="00CE1385">
        <w:rPr>
          <w:rFonts w:ascii="Times New Roman" w:hAnsi="Times New Roman" w:cs="Times New Roman"/>
          <w:bCs/>
          <w:sz w:val="24"/>
          <w:szCs w:val="24"/>
        </w:rPr>
        <w:t>Konwencji</w:t>
      </w:r>
      <w:r w:rsidR="0031352B" w:rsidRPr="00CE1385">
        <w:rPr>
          <w:rFonts w:ascii="Times New Roman" w:hAnsi="Times New Roman" w:cs="Times New Roman"/>
          <w:bCs/>
          <w:sz w:val="24"/>
          <w:szCs w:val="24"/>
        </w:rPr>
        <w:t xml:space="preserve"> o </w:t>
      </w:r>
      <w:r w:rsidRPr="00CE1385">
        <w:rPr>
          <w:rFonts w:ascii="Times New Roman" w:hAnsi="Times New Roman" w:cs="Times New Roman"/>
          <w:bCs/>
          <w:sz w:val="24"/>
          <w:szCs w:val="24"/>
        </w:rPr>
        <w:t>Ochronie Praw Człowieka</w:t>
      </w:r>
      <w:r w:rsidR="0010539D" w:rsidRPr="00CE1385">
        <w:rPr>
          <w:rFonts w:ascii="Times New Roman" w:hAnsi="Times New Roman" w:cs="Times New Roman"/>
          <w:bCs/>
          <w:sz w:val="24"/>
          <w:szCs w:val="24"/>
        </w:rPr>
        <w:t xml:space="preserve"> i </w:t>
      </w:r>
      <w:r w:rsidRPr="00CE1385">
        <w:rPr>
          <w:rFonts w:ascii="Times New Roman" w:hAnsi="Times New Roman" w:cs="Times New Roman"/>
          <w:bCs/>
          <w:sz w:val="24"/>
          <w:szCs w:val="24"/>
        </w:rPr>
        <w:t>Podstawowych Wolności</w:t>
      </w:r>
      <w:r w:rsidRPr="00CE1385">
        <w:rPr>
          <w:rFonts w:ascii="Times New Roman" w:hAnsi="Times New Roman" w:cs="Times New Roman"/>
          <w:sz w:val="24"/>
          <w:szCs w:val="24"/>
        </w:rPr>
        <w:t xml:space="preserve"> </w:t>
      </w:r>
      <w:r w:rsidR="0045389B" w:rsidRPr="00CE1385">
        <w:rPr>
          <w:rStyle w:val="FontStyle28"/>
          <w:sz w:val="24"/>
          <w:szCs w:val="24"/>
        </w:rPr>
        <w:t>zawiera szeroki katalog przesłanek zakazanej dyskryminacji</w:t>
      </w:r>
      <w:r w:rsidR="0010539D" w:rsidRPr="00CE1385">
        <w:rPr>
          <w:rStyle w:val="FontStyle28"/>
          <w:sz w:val="24"/>
          <w:szCs w:val="24"/>
        </w:rPr>
        <w:t xml:space="preserve"> i </w:t>
      </w:r>
      <w:r w:rsidR="0045389B" w:rsidRPr="00CE1385">
        <w:rPr>
          <w:rStyle w:val="FontStyle28"/>
          <w:sz w:val="24"/>
          <w:szCs w:val="24"/>
        </w:rPr>
        <w:t>obejmuj</w:t>
      </w:r>
      <w:r w:rsidR="00927C53" w:rsidRPr="00CE1385">
        <w:rPr>
          <w:rStyle w:val="FontStyle28"/>
          <w:sz w:val="24"/>
          <w:szCs w:val="24"/>
        </w:rPr>
        <w:t>e</w:t>
      </w:r>
      <w:r w:rsidR="0045389B" w:rsidRPr="00CE1385">
        <w:rPr>
          <w:rStyle w:val="FontStyle28"/>
          <w:sz w:val="24"/>
          <w:szCs w:val="24"/>
        </w:rPr>
        <w:t xml:space="preserve"> swoim zakresem nie tylko przesłanki wprost</w:t>
      </w:r>
      <w:r w:rsidR="0010539D" w:rsidRPr="00CE1385">
        <w:rPr>
          <w:rStyle w:val="FontStyle28"/>
          <w:sz w:val="24"/>
          <w:szCs w:val="24"/>
        </w:rPr>
        <w:t xml:space="preserve"> w </w:t>
      </w:r>
      <w:r w:rsidR="0045389B" w:rsidRPr="00CE1385">
        <w:rPr>
          <w:rStyle w:val="FontStyle28"/>
          <w:sz w:val="24"/>
          <w:szCs w:val="24"/>
        </w:rPr>
        <w:t>nim wskazane (płeć, rasa, kolor skóry, język, religia, przekonania polityczne</w:t>
      </w:r>
      <w:r w:rsidR="0010539D" w:rsidRPr="00CE1385">
        <w:rPr>
          <w:rStyle w:val="FontStyle28"/>
          <w:sz w:val="24"/>
          <w:szCs w:val="24"/>
        </w:rPr>
        <w:t xml:space="preserve"> i </w:t>
      </w:r>
      <w:r w:rsidR="0045389B" w:rsidRPr="00CE1385">
        <w:rPr>
          <w:rStyle w:val="FontStyle28"/>
          <w:sz w:val="24"/>
          <w:szCs w:val="24"/>
        </w:rPr>
        <w:t xml:space="preserve">inne, pochodzenie narodowe lub społeczne, przynależność do mniejszości narodowej, majątek, urodzenie), ale również </w:t>
      </w:r>
      <w:r w:rsidR="0045389B" w:rsidRPr="00CE1385">
        <w:rPr>
          <w:rStyle w:val="FontStyle17"/>
          <w:b w:val="0"/>
          <w:bCs w:val="0"/>
        </w:rPr>
        <w:t>niepełnosprawność</w:t>
      </w:r>
      <w:r w:rsidR="0045389B" w:rsidRPr="00CE1385">
        <w:rPr>
          <w:rStyle w:val="FontStyle17"/>
        </w:rPr>
        <w:t xml:space="preserve"> </w:t>
      </w:r>
      <w:r w:rsidR="0045389B" w:rsidRPr="00CE1385">
        <w:rPr>
          <w:rStyle w:val="FontStyle28"/>
          <w:sz w:val="24"/>
          <w:szCs w:val="24"/>
        </w:rPr>
        <w:t xml:space="preserve">(np. </w:t>
      </w:r>
      <w:r w:rsidRPr="00CE1385">
        <w:rPr>
          <w:rStyle w:val="FontStyle28"/>
          <w:sz w:val="24"/>
          <w:szCs w:val="24"/>
        </w:rPr>
        <w:t>orzeczenie</w:t>
      </w:r>
      <w:r w:rsidR="0001136D" w:rsidRPr="00CE1385">
        <w:rPr>
          <w:rStyle w:val="FontStyle28"/>
          <w:sz w:val="24"/>
          <w:szCs w:val="24"/>
        </w:rPr>
        <w:t xml:space="preserve"> z dnia 30 </w:t>
      </w:r>
      <w:r w:rsidR="0045389B" w:rsidRPr="00CE1385">
        <w:rPr>
          <w:rStyle w:val="FontStyle28"/>
          <w:sz w:val="24"/>
          <w:szCs w:val="24"/>
        </w:rPr>
        <w:t>kwietnia 2009 r.</w:t>
      </w:r>
      <w:r w:rsidR="0010539D" w:rsidRPr="00CE1385">
        <w:rPr>
          <w:rStyle w:val="FontStyle28"/>
          <w:sz w:val="24"/>
          <w:szCs w:val="24"/>
        </w:rPr>
        <w:t xml:space="preserve"> w </w:t>
      </w:r>
      <w:r w:rsidR="0045389B" w:rsidRPr="00CE1385">
        <w:rPr>
          <w:rStyle w:val="FontStyle28"/>
          <w:sz w:val="24"/>
          <w:szCs w:val="24"/>
        </w:rPr>
        <w:t xml:space="preserve">sprawie </w:t>
      </w:r>
      <w:r w:rsidR="0045389B" w:rsidRPr="00CE1385">
        <w:rPr>
          <w:rStyle w:val="FontStyle26"/>
          <w:i/>
          <w:iCs/>
          <w:sz w:val="24"/>
          <w:szCs w:val="24"/>
        </w:rPr>
        <w:t>Glor przeciwko Szwajcarii</w:t>
      </w:r>
      <w:r w:rsidR="0045389B" w:rsidRPr="00CE1385">
        <w:rPr>
          <w:rStyle w:val="FontStyle26"/>
          <w:sz w:val="24"/>
          <w:szCs w:val="24"/>
        </w:rPr>
        <w:t xml:space="preserve">, </w:t>
      </w:r>
      <w:r w:rsidR="0045389B" w:rsidRPr="00CE1385">
        <w:rPr>
          <w:rStyle w:val="FontStyle28"/>
          <w:sz w:val="24"/>
          <w:szCs w:val="24"/>
        </w:rPr>
        <w:t>skarga</w:t>
      </w:r>
      <w:r w:rsidR="0010539D" w:rsidRPr="00CE1385">
        <w:rPr>
          <w:rStyle w:val="FontStyle28"/>
          <w:sz w:val="24"/>
          <w:szCs w:val="24"/>
        </w:rPr>
        <w:t xml:space="preserve"> nr </w:t>
      </w:r>
      <w:r w:rsidR="0045389B" w:rsidRPr="00CE1385">
        <w:rPr>
          <w:rStyle w:val="FontStyle28"/>
          <w:sz w:val="24"/>
          <w:szCs w:val="24"/>
        </w:rPr>
        <w:t xml:space="preserve">13444/04), </w:t>
      </w:r>
      <w:r w:rsidR="0045389B" w:rsidRPr="00CE1385">
        <w:rPr>
          <w:rStyle w:val="FontStyle17"/>
          <w:b w:val="0"/>
          <w:bCs w:val="0"/>
        </w:rPr>
        <w:t>wiek</w:t>
      </w:r>
      <w:r w:rsidR="0045389B" w:rsidRPr="00CE1385">
        <w:rPr>
          <w:rStyle w:val="FontStyle17"/>
        </w:rPr>
        <w:t xml:space="preserve"> </w:t>
      </w:r>
      <w:r w:rsidR="0045389B" w:rsidRPr="00CE1385">
        <w:rPr>
          <w:rStyle w:val="FontStyle28"/>
          <w:sz w:val="24"/>
          <w:szCs w:val="24"/>
        </w:rPr>
        <w:t xml:space="preserve">(np. </w:t>
      </w:r>
      <w:r w:rsidRPr="00CE1385">
        <w:rPr>
          <w:rStyle w:val="FontStyle28"/>
          <w:sz w:val="24"/>
          <w:szCs w:val="24"/>
        </w:rPr>
        <w:t>orzeczenie</w:t>
      </w:r>
      <w:r w:rsidR="0001136D" w:rsidRPr="00CE1385">
        <w:rPr>
          <w:rStyle w:val="FontStyle28"/>
          <w:sz w:val="24"/>
          <w:szCs w:val="24"/>
        </w:rPr>
        <w:t xml:space="preserve"> z dnia </w:t>
      </w:r>
      <w:r w:rsidR="0045389B" w:rsidRPr="00CE1385">
        <w:rPr>
          <w:rStyle w:val="FontStyle28"/>
          <w:sz w:val="24"/>
          <w:szCs w:val="24"/>
        </w:rPr>
        <w:t>10 czerwca 2010 r.</w:t>
      </w:r>
      <w:r w:rsidR="0010539D" w:rsidRPr="00CE1385">
        <w:rPr>
          <w:rStyle w:val="FontStyle28"/>
          <w:sz w:val="24"/>
          <w:szCs w:val="24"/>
        </w:rPr>
        <w:t xml:space="preserve"> w </w:t>
      </w:r>
      <w:r w:rsidR="0045389B" w:rsidRPr="00CE1385">
        <w:rPr>
          <w:rStyle w:val="FontStyle28"/>
          <w:sz w:val="24"/>
          <w:szCs w:val="24"/>
        </w:rPr>
        <w:t xml:space="preserve">sprawie </w:t>
      </w:r>
      <w:r w:rsidR="0045389B" w:rsidRPr="00CE1385">
        <w:rPr>
          <w:rStyle w:val="FontStyle26"/>
          <w:i/>
          <w:iCs/>
          <w:sz w:val="24"/>
          <w:szCs w:val="24"/>
        </w:rPr>
        <w:t>Schwizgebel przeciwko Szwajcarii</w:t>
      </w:r>
      <w:r w:rsidR="0045389B" w:rsidRPr="00CE1385">
        <w:rPr>
          <w:rStyle w:val="FontStyle26"/>
          <w:sz w:val="24"/>
          <w:szCs w:val="24"/>
        </w:rPr>
        <w:t xml:space="preserve">, </w:t>
      </w:r>
      <w:r w:rsidR="0045389B" w:rsidRPr="00CE1385">
        <w:rPr>
          <w:rStyle w:val="FontStyle28"/>
          <w:sz w:val="24"/>
          <w:szCs w:val="24"/>
        </w:rPr>
        <w:t>skarga</w:t>
      </w:r>
      <w:r w:rsidR="0010539D" w:rsidRPr="00CE1385">
        <w:rPr>
          <w:rStyle w:val="FontStyle28"/>
          <w:sz w:val="24"/>
          <w:szCs w:val="24"/>
        </w:rPr>
        <w:t xml:space="preserve"> nr </w:t>
      </w:r>
      <w:r w:rsidR="0045389B" w:rsidRPr="00CE1385">
        <w:rPr>
          <w:rStyle w:val="FontStyle28"/>
          <w:sz w:val="24"/>
          <w:szCs w:val="24"/>
        </w:rPr>
        <w:t xml:space="preserve">25762/07), </w:t>
      </w:r>
      <w:r w:rsidR="008C6784" w:rsidRPr="00CE1385">
        <w:rPr>
          <w:rStyle w:val="FontStyle28"/>
          <w:sz w:val="24"/>
          <w:szCs w:val="24"/>
        </w:rPr>
        <w:t xml:space="preserve">czy </w:t>
      </w:r>
      <w:r w:rsidR="0045389B" w:rsidRPr="00CE1385">
        <w:rPr>
          <w:rStyle w:val="FontStyle17"/>
          <w:b w:val="0"/>
          <w:bCs w:val="0"/>
        </w:rPr>
        <w:t>orientację seksualną</w:t>
      </w:r>
      <w:r w:rsidR="0045389B" w:rsidRPr="00CE1385">
        <w:rPr>
          <w:rStyle w:val="FontStyle17"/>
        </w:rPr>
        <w:t xml:space="preserve"> </w:t>
      </w:r>
      <w:r w:rsidR="0045389B" w:rsidRPr="00CE1385">
        <w:rPr>
          <w:rStyle w:val="FontStyle28"/>
          <w:sz w:val="24"/>
          <w:szCs w:val="24"/>
        </w:rPr>
        <w:t>(</w:t>
      </w:r>
      <w:r w:rsidRPr="00CE1385">
        <w:rPr>
          <w:rStyle w:val="FontStyle28"/>
          <w:sz w:val="24"/>
          <w:szCs w:val="24"/>
        </w:rPr>
        <w:t>orzeczenie</w:t>
      </w:r>
      <w:r w:rsidR="0001136D" w:rsidRPr="00CE1385">
        <w:rPr>
          <w:rStyle w:val="FontStyle28"/>
          <w:sz w:val="24"/>
          <w:szCs w:val="24"/>
        </w:rPr>
        <w:t xml:space="preserve"> z dnia </w:t>
      </w:r>
      <w:r w:rsidR="0045389B" w:rsidRPr="00CE1385">
        <w:rPr>
          <w:rStyle w:val="FontStyle28"/>
          <w:sz w:val="24"/>
          <w:szCs w:val="24"/>
        </w:rPr>
        <w:t>2 marca 2010 r.</w:t>
      </w:r>
      <w:r w:rsidR="0010539D" w:rsidRPr="00CE1385">
        <w:rPr>
          <w:rStyle w:val="FontStyle28"/>
          <w:sz w:val="24"/>
          <w:szCs w:val="24"/>
        </w:rPr>
        <w:t xml:space="preserve"> w </w:t>
      </w:r>
      <w:r w:rsidR="0045389B" w:rsidRPr="00CE1385">
        <w:rPr>
          <w:rStyle w:val="FontStyle28"/>
          <w:sz w:val="24"/>
          <w:szCs w:val="24"/>
        </w:rPr>
        <w:t xml:space="preserve">sprawie </w:t>
      </w:r>
      <w:r w:rsidR="0045389B" w:rsidRPr="00CE1385">
        <w:rPr>
          <w:rStyle w:val="FontStyle26"/>
          <w:i/>
          <w:iCs/>
          <w:sz w:val="24"/>
          <w:szCs w:val="24"/>
        </w:rPr>
        <w:t>Kozak przeciwko Polsce</w:t>
      </w:r>
      <w:r w:rsidR="0045389B" w:rsidRPr="00CE1385">
        <w:rPr>
          <w:rStyle w:val="FontStyle26"/>
          <w:sz w:val="24"/>
          <w:szCs w:val="24"/>
        </w:rPr>
        <w:t xml:space="preserve">, </w:t>
      </w:r>
      <w:r w:rsidR="0045389B" w:rsidRPr="00CE1385">
        <w:rPr>
          <w:rStyle w:val="FontStyle28"/>
          <w:sz w:val="24"/>
          <w:szCs w:val="24"/>
        </w:rPr>
        <w:t>skarga</w:t>
      </w:r>
      <w:r w:rsidR="0010539D" w:rsidRPr="00CE1385">
        <w:rPr>
          <w:rStyle w:val="FontStyle28"/>
          <w:sz w:val="24"/>
          <w:szCs w:val="24"/>
        </w:rPr>
        <w:t xml:space="preserve"> nr </w:t>
      </w:r>
      <w:r w:rsidR="0045389B" w:rsidRPr="00CE1385">
        <w:rPr>
          <w:rStyle w:val="FontStyle28"/>
          <w:sz w:val="24"/>
          <w:szCs w:val="24"/>
        </w:rPr>
        <w:t>13102/02;</w:t>
      </w:r>
      <w:r w:rsidRPr="00CE1385">
        <w:rPr>
          <w:rStyle w:val="FontStyle28"/>
          <w:sz w:val="24"/>
          <w:szCs w:val="24"/>
        </w:rPr>
        <w:t xml:space="preserve"> orzeczenie</w:t>
      </w:r>
      <w:r w:rsidR="0001136D" w:rsidRPr="00CE1385">
        <w:rPr>
          <w:rStyle w:val="FontStyle28"/>
          <w:sz w:val="24"/>
          <w:szCs w:val="24"/>
        </w:rPr>
        <w:t xml:space="preserve"> z dnia </w:t>
      </w:r>
      <w:r w:rsidR="0004292D" w:rsidRPr="00CE1385">
        <w:rPr>
          <w:rStyle w:val="FontStyle28"/>
          <w:sz w:val="24"/>
          <w:szCs w:val="24"/>
        </w:rPr>
        <w:t>1</w:t>
      </w:r>
      <w:r w:rsidR="0045389B" w:rsidRPr="00CE1385">
        <w:rPr>
          <w:rFonts w:ascii="Times New Roman" w:hAnsi="Times New Roman" w:cs="Times New Roman"/>
          <w:sz w:val="24"/>
          <w:szCs w:val="24"/>
          <w:shd w:val="clear" w:color="auto" w:fill="FFFFFF"/>
        </w:rPr>
        <w:t>6 września 2021</w:t>
      </w:r>
      <w:r w:rsidR="0010539D" w:rsidRPr="00CE1385">
        <w:rPr>
          <w:rFonts w:ascii="Times New Roman" w:hAnsi="Times New Roman" w:cs="Times New Roman"/>
          <w:sz w:val="24"/>
          <w:szCs w:val="24"/>
          <w:shd w:val="clear" w:color="auto" w:fill="FFFFFF"/>
        </w:rPr>
        <w:t xml:space="preserve"> w </w:t>
      </w:r>
      <w:r w:rsidR="0045389B" w:rsidRPr="00CE1385">
        <w:rPr>
          <w:rFonts w:ascii="Times New Roman" w:hAnsi="Times New Roman" w:cs="Times New Roman"/>
          <w:sz w:val="24"/>
          <w:szCs w:val="24"/>
          <w:shd w:val="clear" w:color="auto" w:fill="FFFFFF"/>
        </w:rPr>
        <w:t>sprawie </w:t>
      </w:r>
      <w:r w:rsidR="0045389B" w:rsidRPr="00CE1385">
        <w:rPr>
          <w:rStyle w:val="Uwydatnienie"/>
          <w:rFonts w:ascii="Times New Roman" w:hAnsi="Times New Roman" w:cs="Times New Roman"/>
          <w:sz w:val="24"/>
          <w:szCs w:val="24"/>
          <w:shd w:val="clear" w:color="auto" w:fill="FFFFFF"/>
        </w:rPr>
        <w:t>X przeciwko Polsce</w:t>
      </w:r>
      <w:r w:rsidRPr="00CE1385">
        <w:rPr>
          <w:rFonts w:ascii="Times New Roman" w:hAnsi="Times New Roman" w:cs="Times New Roman"/>
          <w:sz w:val="24"/>
          <w:szCs w:val="24"/>
          <w:shd w:val="clear" w:color="auto" w:fill="FFFFFF"/>
        </w:rPr>
        <w:t xml:space="preserve">, </w:t>
      </w:r>
      <w:r w:rsidR="0045389B" w:rsidRPr="00CE1385">
        <w:rPr>
          <w:rFonts w:ascii="Times New Roman" w:hAnsi="Times New Roman" w:cs="Times New Roman"/>
          <w:sz w:val="24"/>
          <w:szCs w:val="24"/>
          <w:shd w:val="clear" w:color="auto" w:fill="FFFFFF"/>
        </w:rPr>
        <w:t>skarga</w:t>
      </w:r>
      <w:r w:rsidR="0010539D" w:rsidRPr="00CE1385">
        <w:rPr>
          <w:rFonts w:ascii="Times New Roman" w:hAnsi="Times New Roman" w:cs="Times New Roman"/>
          <w:sz w:val="24"/>
          <w:szCs w:val="24"/>
          <w:shd w:val="clear" w:color="auto" w:fill="FFFFFF"/>
        </w:rPr>
        <w:t xml:space="preserve"> nr </w:t>
      </w:r>
      <w:r w:rsidR="0045389B" w:rsidRPr="00CE1385">
        <w:rPr>
          <w:rFonts w:ascii="Times New Roman" w:hAnsi="Times New Roman" w:cs="Times New Roman"/>
          <w:sz w:val="24"/>
          <w:szCs w:val="24"/>
          <w:shd w:val="clear" w:color="auto" w:fill="FFFFFF"/>
        </w:rPr>
        <w:t>20741/10</w:t>
      </w:r>
      <w:r w:rsidR="0045389B" w:rsidRPr="00CE1385">
        <w:rPr>
          <w:rStyle w:val="FontStyle28"/>
          <w:sz w:val="24"/>
          <w:szCs w:val="24"/>
        </w:rPr>
        <w:t xml:space="preserve">). </w:t>
      </w:r>
    </w:p>
    <w:p w14:paraId="19F7D878" w14:textId="40DC357D" w:rsidR="00AB1808" w:rsidRPr="00CE1385" w:rsidRDefault="00531258" w:rsidP="00412841">
      <w:pPr>
        <w:tabs>
          <w:tab w:val="left" w:pos="4678"/>
        </w:tabs>
        <w:spacing w:before="120" w:after="0" w:line="360" w:lineRule="auto"/>
        <w:jc w:val="both"/>
        <w:rPr>
          <w:rStyle w:val="FontStyle28"/>
          <w:sz w:val="24"/>
          <w:szCs w:val="24"/>
        </w:rPr>
      </w:pPr>
      <w:r w:rsidRPr="00CE1385">
        <w:rPr>
          <w:rStyle w:val="FontStyle30"/>
          <w:sz w:val="24"/>
          <w:szCs w:val="24"/>
        </w:rPr>
        <w:lastRenderedPageBreak/>
        <w:t>W orzeczeniu</w:t>
      </w:r>
      <w:r w:rsidR="0001136D" w:rsidRPr="00CE1385">
        <w:rPr>
          <w:rStyle w:val="FontStyle30"/>
          <w:sz w:val="24"/>
          <w:szCs w:val="24"/>
        </w:rPr>
        <w:t xml:space="preserve"> z dnia </w:t>
      </w:r>
      <w:r w:rsidRPr="00CE1385">
        <w:rPr>
          <w:rStyle w:val="FontStyle30"/>
          <w:sz w:val="24"/>
          <w:szCs w:val="24"/>
        </w:rPr>
        <w:t>9 lutego 2012 r.</w:t>
      </w:r>
      <w:r w:rsidR="0010539D" w:rsidRPr="00CE1385">
        <w:rPr>
          <w:rStyle w:val="FontStyle30"/>
          <w:sz w:val="24"/>
          <w:szCs w:val="24"/>
        </w:rPr>
        <w:t xml:space="preserve"> w </w:t>
      </w:r>
      <w:r w:rsidRPr="00CE1385">
        <w:rPr>
          <w:rStyle w:val="FontStyle30"/>
          <w:sz w:val="24"/>
          <w:szCs w:val="24"/>
        </w:rPr>
        <w:t xml:space="preserve">sprawie </w:t>
      </w:r>
      <w:r w:rsidRPr="00CE1385">
        <w:rPr>
          <w:rStyle w:val="FontStyle30"/>
          <w:i/>
          <w:iCs/>
          <w:sz w:val="24"/>
          <w:szCs w:val="24"/>
        </w:rPr>
        <w:t>Vejdeland</w:t>
      </w:r>
      <w:r w:rsidR="0010539D" w:rsidRPr="00CE1385">
        <w:rPr>
          <w:rStyle w:val="FontStyle30"/>
          <w:i/>
          <w:iCs/>
          <w:sz w:val="24"/>
          <w:szCs w:val="24"/>
        </w:rPr>
        <w:t xml:space="preserve"> i </w:t>
      </w:r>
      <w:r w:rsidR="0004292D" w:rsidRPr="00CE1385">
        <w:rPr>
          <w:rStyle w:val="FontStyle30"/>
          <w:i/>
          <w:iCs/>
          <w:sz w:val="24"/>
          <w:szCs w:val="24"/>
        </w:rPr>
        <w:t xml:space="preserve">inni </w:t>
      </w:r>
      <w:r w:rsidRPr="00CE1385">
        <w:rPr>
          <w:rStyle w:val="FontStyle30"/>
          <w:i/>
          <w:iCs/>
          <w:sz w:val="24"/>
          <w:szCs w:val="24"/>
        </w:rPr>
        <w:t xml:space="preserve">przeciwko </w:t>
      </w:r>
      <w:r w:rsidRPr="00CE1385">
        <w:rPr>
          <w:rStyle w:val="FontStyle29"/>
          <w:b w:val="0"/>
          <w:bCs w:val="0"/>
          <w:i/>
          <w:iCs/>
          <w:sz w:val="24"/>
          <w:szCs w:val="24"/>
        </w:rPr>
        <w:t xml:space="preserve">Królestwu </w:t>
      </w:r>
      <w:r w:rsidRPr="00CE1385">
        <w:rPr>
          <w:rStyle w:val="FontStyle30"/>
          <w:i/>
          <w:iCs/>
          <w:sz w:val="24"/>
          <w:szCs w:val="24"/>
        </w:rPr>
        <w:t>Szwecji</w:t>
      </w:r>
      <w:r w:rsidRPr="00CE1385">
        <w:rPr>
          <w:rStyle w:val="FontStyle30"/>
          <w:sz w:val="24"/>
          <w:szCs w:val="24"/>
        </w:rPr>
        <w:t xml:space="preserve"> (numer skargi 1813/07) </w:t>
      </w:r>
      <w:r w:rsidR="00437ADD" w:rsidRPr="00CE1385">
        <w:rPr>
          <w:rFonts w:ascii="Times New Roman" w:hAnsi="Times New Roman" w:cs="Times New Roman"/>
          <w:sz w:val="24"/>
          <w:szCs w:val="24"/>
        </w:rPr>
        <w:t xml:space="preserve">Europejski Trybunał Praw Człowieka </w:t>
      </w:r>
      <w:r w:rsidRPr="00CE1385">
        <w:rPr>
          <w:rFonts w:ascii="Times New Roman" w:hAnsi="Times New Roman" w:cs="Times New Roman"/>
          <w:sz w:val="24"/>
          <w:szCs w:val="24"/>
          <w:shd w:val="clear" w:color="auto" w:fill="FFFFFF"/>
        </w:rPr>
        <w:t>potwierdził, że podżeganie do nienawiści nie musi obejmować wzywania do przemocy albo innych aktów kryminalnych. Ataki na osobę przez obrażanie, ośmieszanie albo szkalowanie określonych grup ludności mogą wystarczać do tego, aby władze wzięły stronę zwalczania wypowiedzi rasistowskich, a nie nieodpowiedniego korzystania</w:t>
      </w:r>
      <w:r w:rsidR="0001136D" w:rsidRPr="00CE1385">
        <w:rPr>
          <w:rFonts w:ascii="Times New Roman" w:hAnsi="Times New Roman" w:cs="Times New Roman"/>
          <w:sz w:val="24"/>
          <w:szCs w:val="24"/>
          <w:shd w:val="clear" w:color="auto" w:fill="FFFFFF"/>
        </w:rPr>
        <w:t xml:space="preserve"> z </w:t>
      </w:r>
      <w:r w:rsidRPr="00CE1385">
        <w:rPr>
          <w:rFonts w:ascii="Times New Roman" w:hAnsi="Times New Roman" w:cs="Times New Roman"/>
          <w:sz w:val="24"/>
          <w:szCs w:val="24"/>
          <w:shd w:val="clear" w:color="auto" w:fill="FFFFFF"/>
        </w:rPr>
        <w:t>wolności wypowiedzi. W związku</w:t>
      </w:r>
      <w:r w:rsidR="0001136D" w:rsidRPr="00CE1385">
        <w:rPr>
          <w:rFonts w:ascii="Times New Roman" w:hAnsi="Times New Roman" w:cs="Times New Roman"/>
          <w:sz w:val="24"/>
          <w:szCs w:val="24"/>
          <w:shd w:val="clear" w:color="auto" w:fill="FFFFFF"/>
        </w:rPr>
        <w:t xml:space="preserve"> z </w:t>
      </w:r>
      <w:r w:rsidRPr="00CE1385">
        <w:rPr>
          <w:rFonts w:ascii="Times New Roman" w:hAnsi="Times New Roman" w:cs="Times New Roman"/>
          <w:sz w:val="24"/>
          <w:szCs w:val="24"/>
          <w:shd w:val="clear" w:color="auto" w:fill="FFFFFF"/>
        </w:rPr>
        <w:t xml:space="preserve">tym Trybunał podkreślił, że dyskryminacja ze względu na orientację seksualną jest tak samo poważna, jak dyskryminacja ze względu na </w:t>
      </w:r>
      <w:r w:rsidR="00437ADD" w:rsidRPr="00CE1385">
        <w:rPr>
          <w:rFonts w:ascii="Times New Roman" w:hAnsi="Times New Roman" w:cs="Times New Roman"/>
          <w:sz w:val="24"/>
          <w:szCs w:val="24"/>
          <w:shd w:val="clear" w:color="auto" w:fill="FFFFFF"/>
        </w:rPr>
        <w:t>„</w:t>
      </w:r>
      <w:r w:rsidRPr="00CE1385">
        <w:rPr>
          <w:rFonts w:ascii="Times New Roman" w:hAnsi="Times New Roman" w:cs="Times New Roman"/>
          <w:sz w:val="24"/>
          <w:szCs w:val="24"/>
          <w:shd w:val="clear" w:color="auto" w:fill="FFFFFF"/>
        </w:rPr>
        <w:t>rasę, pochodzenie lub kolor skóry</w:t>
      </w:r>
      <w:r w:rsidR="00437ADD" w:rsidRPr="00CE1385">
        <w:rPr>
          <w:rFonts w:ascii="Times New Roman" w:hAnsi="Times New Roman" w:cs="Times New Roman"/>
          <w:sz w:val="24"/>
          <w:szCs w:val="24"/>
          <w:shd w:val="clear" w:color="auto" w:fill="FFFFFF"/>
        </w:rPr>
        <w:t>”</w:t>
      </w:r>
      <w:r w:rsidRPr="00CE1385">
        <w:rPr>
          <w:rFonts w:ascii="Times New Roman" w:hAnsi="Times New Roman" w:cs="Times New Roman"/>
          <w:sz w:val="24"/>
          <w:szCs w:val="24"/>
          <w:shd w:val="clear" w:color="auto" w:fill="FFFFFF"/>
        </w:rPr>
        <w:t>.</w:t>
      </w:r>
    </w:p>
    <w:p w14:paraId="4D887D0B" w14:textId="07C82AEA" w:rsidR="00463EFA" w:rsidRPr="00CE1385" w:rsidRDefault="0045389B" w:rsidP="00412841">
      <w:pPr>
        <w:tabs>
          <w:tab w:val="left" w:pos="4678"/>
        </w:tabs>
        <w:spacing w:before="120" w:after="0" w:line="360" w:lineRule="auto"/>
        <w:jc w:val="both"/>
        <w:rPr>
          <w:rStyle w:val="FontStyle30"/>
          <w:sz w:val="24"/>
          <w:szCs w:val="24"/>
        </w:rPr>
      </w:pPr>
      <w:r w:rsidRPr="00CE1385">
        <w:rPr>
          <w:rFonts w:ascii="Times New Roman" w:hAnsi="Times New Roman" w:cs="Times New Roman"/>
          <w:sz w:val="24"/>
          <w:szCs w:val="24"/>
        </w:rPr>
        <w:t>W </w:t>
      </w:r>
      <w:r w:rsidR="00437ADD" w:rsidRPr="00CE1385">
        <w:rPr>
          <w:rFonts w:ascii="Times New Roman" w:hAnsi="Times New Roman" w:cs="Times New Roman"/>
          <w:sz w:val="24"/>
          <w:szCs w:val="24"/>
        </w:rPr>
        <w:t>orzeczeniu</w:t>
      </w:r>
      <w:r w:rsidR="0001136D" w:rsidRPr="00CE1385">
        <w:rPr>
          <w:rFonts w:ascii="Times New Roman" w:hAnsi="Times New Roman" w:cs="Times New Roman"/>
          <w:sz w:val="24"/>
          <w:szCs w:val="24"/>
        </w:rPr>
        <w:t xml:space="preserve"> z dnia </w:t>
      </w:r>
      <w:r w:rsidR="00437ADD" w:rsidRPr="00CE1385">
        <w:rPr>
          <w:rFonts w:ascii="Times New Roman" w:hAnsi="Times New Roman" w:cs="Times New Roman"/>
          <w:sz w:val="24"/>
          <w:szCs w:val="24"/>
        </w:rPr>
        <w:t>12 maja 2015 r.</w:t>
      </w:r>
      <w:r w:rsidR="0010539D" w:rsidRPr="00CE1385">
        <w:rPr>
          <w:rFonts w:ascii="Times New Roman" w:hAnsi="Times New Roman" w:cs="Times New Roman"/>
          <w:sz w:val="24"/>
          <w:szCs w:val="24"/>
        </w:rPr>
        <w:t xml:space="preserve"> w </w:t>
      </w:r>
      <w:r w:rsidR="00437ADD" w:rsidRPr="00CE1385">
        <w:rPr>
          <w:rFonts w:ascii="Times New Roman" w:hAnsi="Times New Roman" w:cs="Times New Roman"/>
          <w:sz w:val="24"/>
          <w:szCs w:val="24"/>
        </w:rPr>
        <w:t>sprawie</w:t>
      </w:r>
      <w:r w:rsidRPr="00CE1385">
        <w:rPr>
          <w:rFonts w:ascii="Times New Roman" w:hAnsi="Times New Roman" w:cs="Times New Roman"/>
          <w:sz w:val="24"/>
          <w:szCs w:val="24"/>
        </w:rPr>
        <w:t xml:space="preserve"> </w:t>
      </w:r>
      <w:r w:rsidRPr="00CE1385">
        <w:rPr>
          <w:rFonts w:ascii="Times New Roman" w:hAnsi="Times New Roman" w:cs="Times New Roman"/>
          <w:i/>
          <w:iCs/>
          <w:sz w:val="24"/>
          <w:szCs w:val="24"/>
        </w:rPr>
        <w:t>Identoba</w:t>
      </w:r>
      <w:r w:rsidR="0010539D" w:rsidRPr="00CE1385">
        <w:rPr>
          <w:rFonts w:ascii="Times New Roman" w:hAnsi="Times New Roman" w:cs="Times New Roman"/>
          <w:i/>
          <w:iCs/>
          <w:sz w:val="24"/>
          <w:szCs w:val="24"/>
        </w:rPr>
        <w:t xml:space="preserve"> i </w:t>
      </w:r>
      <w:r w:rsidRPr="00CE1385">
        <w:rPr>
          <w:rFonts w:ascii="Times New Roman" w:hAnsi="Times New Roman" w:cs="Times New Roman"/>
          <w:i/>
          <w:iCs/>
          <w:sz w:val="24"/>
          <w:szCs w:val="24"/>
        </w:rPr>
        <w:t xml:space="preserve">inni przeciwko Gruzji </w:t>
      </w:r>
      <w:r w:rsidR="00437ADD" w:rsidRPr="00CE1385">
        <w:rPr>
          <w:rFonts w:ascii="Times New Roman" w:hAnsi="Times New Roman" w:cs="Times New Roman"/>
          <w:sz w:val="24"/>
          <w:szCs w:val="24"/>
        </w:rPr>
        <w:t>(</w:t>
      </w:r>
      <w:r w:rsidRPr="00CE1385">
        <w:rPr>
          <w:rFonts w:ascii="Times New Roman" w:hAnsi="Times New Roman" w:cs="Times New Roman"/>
          <w:sz w:val="24"/>
          <w:szCs w:val="24"/>
        </w:rPr>
        <w:t>skarga</w:t>
      </w:r>
      <w:r w:rsidR="0010539D" w:rsidRPr="00CE1385">
        <w:rPr>
          <w:rFonts w:ascii="Times New Roman" w:hAnsi="Times New Roman" w:cs="Times New Roman"/>
          <w:sz w:val="24"/>
          <w:szCs w:val="24"/>
        </w:rPr>
        <w:t xml:space="preserve"> nr </w:t>
      </w:r>
      <w:r w:rsidRPr="00CE1385">
        <w:rPr>
          <w:rFonts w:ascii="Times New Roman" w:hAnsi="Times New Roman" w:cs="Times New Roman"/>
          <w:sz w:val="24"/>
          <w:szCs w:val="24"/>
        </w:rPr>
        <w:t>73235/12</w:t>
      </w:r>
      <w:r w:rsidR="00437ADD" w:rsidRPr="00CE1385">
        <w:rPr>
          <w:rFonts w:ascii="Times New Roman" w:hAnsi="Times New Roman" w:cs="Times New Roman"/>
          <w:sz w:val="24"/>
          <w:szCs w:val="24"/>
        </w:rPr>
        <w:t>)</w:t>
      </w:r>
      <w:r w:rsidRPr="00CE1385">
        <w:rPr>
          <w:rFonts w:ascii="Times New Roman" w:hAnsi="Times New Roman" w:cs="Times New Roman"/>
          <w:sz w:val="24"/>
          <w:szCs w:val="24"/>
        </w:rPr>
        <w:t xml:space="preserve"> </w:t>
      </w:r>
      <w:r w:rsidR="00437ADD" w:rsidRPr="00CE1385">
        <w:rPr>
          <w:rFonts w:ascii="Times New Roman" w:hAnsi="Times New Roman" w:cs="Times New Roman"/>
          <w:sz w:val="24"/>
          <w:szCs w:val="24"/>
        </w:rPr>
        <w:t xml:space="preserve">Europejski Trybunał Praw Człowieka </w:t>
      </w:r>
      <w:r w:rsidRPr="00CE1385">
        <w:rPr>
          <w:rFonts w:ascii="Times New Roman" w:hAnsi="Times New Roman" w:cs="Times New Roman"/>
          <w:sz w:val="24"/>
          <w:szCs w:val="24"/>
        </w:rPr>
        <w:t>potwierdził, że „przestępstwo</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popełnione przeciwko osobom ze względu na orientację seksualną stanowi naruszenie</w:t>
      </w:r>
      <w:r w:rsidR="0010539D" w:rsidRPr="00CE1385">
        <w:rPr>
          <w:rFonts w:ascii="Times New Roman" w:hAnsi="Times New Roman" w:cs="Times New Roman"/>
          <w:sz w:val="24"/>
          <w:szCs w:val="24"/>
        </w:rPr>
        <w:t xml:space="preserve"> art. </w:t>
      </w:r>
      <w:r w:rsidRPr="00CE1385">
        <w:rPr>
          <w:rFonts w:ascii="Times New Roman" w:hAnsi="Times New Roman" w:cs="Times New Roman"/>
          <w:sz w:val="24"/>
          <w:szCs w:val="24"/>
        </w:rPr>
        <w:t xml:space="preserve">3 </w:t>
      </w:r>
      <w:r w:rsidR="00437ADD" w:rsidRPr="00CE1385">
        <w:rPr>
          <w:rFonts w:ascii="Times New Roman" w:hAnsi="Times New Roman" w:cs="Times New Roman"/>
          <w:bCs/>
          <w:sz w:val="24"/>
          <w:szCs w:val="24"/>
        </w:rPr>
        <w:t>Konwencji</w:t>
      </w:r>
      <w:r w:rsidR="0031352B" w:rsidRPr="00CE1385">
        <w:rPr>
          <w:rFonts w:ascii="Times New Roman" w:hAnsi="Times New Roman" w:cs="Times New Roman"/>
          <w:bCs/>
          <w:sz w:val="24"/>
          <w:szCs w:val="24"/>
        </w:rPr>
        <w:t xml:space="preserve"> o </w:t>
      </w:r>
      <w:r w:rsidR="00437ADD" w:rsidRPr="00CE1385">
        <w:rPr>
          <w:rFonts w:ascii="Times New Roman" w:hAnsi="Times New Roman" w:cs="Times New Roman"/>
          <w:bCs/>
          <w:sz w:val="24"/>
          <w:szCs w:val="24"/>
        </w:rPr>
        <w:t>Ochronie Praw Człowieka</w:t>
      </w:r>
      <w:r w:rsidR="0010539D" w:rsidRPr="00CE1385">
        <w:rPr>
          <w:rFonts w:ascii="Times New Roman" w:hAnsi="Times New Roman" w:cs="Times New Roman"/>
          <w:bCs/>
          <w:sz w:val="24"/>
          <w:szCs w:val="24"/>
        </w:rPr>
        <w:t xml:space="preserve"> i </w:t>
      </w:r>
      <w:r w:rsidR="00437ADD" w:rsidRPr="00CE1385">
        <w:rPr>
          <w:rFonts w:ascii="Times New Roman" w:hAnsi="Times New Roman" w:cs="Times New Roman"/>
          <w:bCs/>
          <w:sz w:val="24"/>
          <w:szCs w:val="24"/>
        </w:rPr>
        <w:t>Podstawowych Wolności</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związku</w:t>
      </w:r>
      <w:r w:rsidR="0001136D" w:rsidRPr="00CE1385">
        <w:rPr>
          <w:rFonts w:ascii="Times New Roman" w:hAnsi="Times New Roman" w:cs="Times New Roman"/>
          <w:sz w:val="24"/>
          <w:szCs w:val="24"/>
        </w:rPr>
        <w:t xml:space="preserve"> z </w:t>
      </w:r>
      <w:r w:rsidR="0010539D" w:rsidRPr="00CE1385">
        <w:rPr>
          <w:rFonts w:ascii="Times New Roman" w:hAnsi="Times New Roman" w:cs="Times New Roman"/>
          <w:sz w:val="24"/>
          <w:szCs w:val="24"/>
        </w:rPr>
        <w:t>art. </w:t>
      </w:r>
      <w:r w:rsidRPr="00CE1385">
        <w:rPr>
          <w:rFonts w:ascii="Times New Roman" w:hAnsi="Times New Roman" w:cs="Times New Roman"/>
          <w:sz w:val="24"/>
          <w:szCs w:val="24"/>
        </w:rPr>
        <w:t>14.</w:t>
      </w:r>
    </w:p>
    <w:p w14:paraId="1A8D7B66" w14:textId="06D70AC3" w:rsidR="00EE1D44" w:rsidRPr="00CE1385" w:rsidRDefault="002F1C38" w:rsidP="00412841">
      <w:pPr>
        <w:spacing w:before="240" w:after="0" w:line="360" w:lineRule="auto"/>
        <w:rPr>
          <w:rFonts w:ascii="Times New Roman" w:hAnsi="Times New Roman" w:cs="Times New Roman"/>
          <w:b/>
          <w:bCs/>
          <w:sz w:val="24"/>
          <w:szCs w:val="24"/>
        </w:rPr>
      </w:pPr>
      <w:r w:rsidRPr="00CE1385">
        <w:rPr>
          <w:rFonts w:ascii="Times New Roman" w:hAnsi="Times New Roman" w:cs="Times New Roman"/>
          <w:b/>
          <w:bCs/>
          <w:sz w:val="24"/>
          <w:szCs w:val="24"/>
        </w:rPr>
        <w:t>Ustawodawstwo</w:t>
      </w:r>
      <w:r w:rsidR="00F046EB" w:rsidRPr="00CE1385">
        <w:rPr>
          <w:rFonts w:ascii="Times New Roman" w:hAnsi="Times New Roman" w:cs="Times New Roman"/>
          <w:b/>
          <w:bCs/>
          <w:sz w:val="24"/>
          <w:szCs w:val="24"/>
        </w:rPr>
        <w:t xml:space="preserve"> innych</w:t>
      </w:r>
      <w:r w:rsidR="007039FE" w:rsidRPr="00CE1385">
        <w:rPr>
          <w:rFonts w:ascii="Times New Roman" w:hAnsi="Times New Roman" w:cs="Times New Roman"/>
          <w:b/>
          <w:bCs/>
          <w:sz w:val="24"/>
          <w:szCs w:val="24"/>
        </w:rPr>
        <w:t xml:space="preserve"> państw europejskich </w:t>
      </w:r>
    </w:p>
    <w:p w14:paraId="0B6CF97E" w14:textId="30ABA851" w:rsidR="001C0EE4" w:rsidRPr="00412841" w:rsidRDefault="00E1036E" w:rsidP="00412841">
      <w:pPr>
        <w:spacing w:before="120" w:after="0" w:line="360" w:lineRule="auto"/>
        <w:jc w:val="both"/>
        <w:rPr>
          <w:rFonts w:ascii="Times New Roman" w:hAnsi="Times New Roman" w:cs="Times New Roman"/>
          <w:sz w:val="24"/>
          <w:szCs w:val="24"/>
          <w:vertAlign w:val="superscript"/>
        </w:rPr>
      </w:pPr>
      <w:r w:rsidRPr="00CE1385">
        <w:rPr>
          <w:rFonts w:ascii="Times New Roman" w:hAnsi="Times New Roman" w:cs="Times New Roman"/>
          <w:sz w:val="24"/>
          <w:szCs w:val="24"/>
        </w:rPr>
        <w:t>Szeroką ochronę prawną przed przestępstwami motywowanymi uprzedzeniami przewiduje</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swoich ustawodawstwach wiele państw</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Europie</w:t>
      </w:r>
      <w:r w:rsidR="008320B6" w:rsidRPr="00CE1385">
        <w:rPr>
          <w:rFonts w:ascii="Times New Roman" w:hAnsi="Times New Roman" w:cs="Times New Roman"/>
          <w:sz w:val="24"/>
          <w:szCs w:val="24"/>
        </w:rPr>
        <w:t>. Najczęściej wyróżnia się przestępstw</w:t>
      </w:r>
      <w:r w:rsidR="00CC4D17" w:rsidRPr="00CE1385">
        <w:rPr>
          <w:rFonts w:ascii="Times New Roman" w:hAnsi="Times New Roman" w:cs="Times New Roman"/>
          <w:sz w:val="24"/>
          <w:szCs w:val="24"/>
        </w:rPr>
        <w:t>a</w:t>
      </w:r>
      <w:r w:rsidR="008320B6" w:rsidRPr="00CE1385">
        <w:rPr>
          <w:rFonts w:ascii="Times New Roman" w:hAnsi="Times New Roman" w:cs="Times New Roman"/>
          <w:sz w:val="24"/>
          <w:szCs w:val="24"/>
        </w:rPr>
        <w:t xml:space="preserve"> </w:t>
      </w:r>
      <w:r w:rsidR="00CC4D17" w:rsidRPr="00CE1385">
        <w:rPr>
          <w:rFonts w:ascii="Times New Roman" w:hAnsi="Times New Roman" w:cs="Times New Roman"/>
          <w:sz w:val="24"/>
          <w:szCs w:val="24"/>
        </w:rPr>
        <w:t xml:space="preserve">motywowane uprzedzeniami </w:t>
      </w:r>
      <w:r w:rsidR="008320B6" w:rsidRPr="00CE1385">
        <w:rPr>
          <w:rFonts w:ascii="Times New Roman" w:hAnsi="Times New Roman" w:cs="Times New Roman"/>
          <w:sz w:val="24"/>
          <w:szCs w:val="24"/>
        </w:rPr>
        <w:t>przez stworzenie osobnej kategorii przestępstw</w:t>
      </w:r>
      <w:r w:rsidR="0001136D" w:rsidRPr="00CE1385">
        <w:rPr>
          <w:rFonts w:ascii="Times New Roman" w:hAnsi="Times New Roman" w:cs="Times New Roman"/>
          <w:sz w:val="24"/>
          <w:szCs w:val="24"/>
        </w:rPr>
        <w:t xml:space="preserve"> z </w:t>
      </w:r>
      <w:r w:rsidR="008320B6" w:rsidRPr="00CE1385">
        <w:rPr>
          <w:rFonts w:ascii="Times New Roman" w:hAnsi="Times New Roman" w:cs="Times New Roman"/>
          <w:sz w:val="24"/>
          <w:szCs w:val="24"/>
        </w:rPr>
        <w:t>nienawiści oraz ogólne zaostrzenia kar dla przestępstw już istniejących, które niekiedy występuje</w:t>
      </w:r>
      <w:r w:rsidR="0010539D" w:rsidRPr="00CE1385">
        <w:rPr>
          <w:rFonts w:ascii="Times New Roman" w:hAnsi="Times New Roman" w:cs="Times New Roman"/>
          <w:sz w:val="24"/>
          <w:szCs w:val="24"/>
        </w:rPr>
        <w:t xml:space="preserve"> w </w:t>
      </w:r>
      <w:r w:rsidR="008320B6" w:rsidRPr="00CE1385">
        <w:rPr>
          <w:rFonts w:ascii="Times New Roman" w:hAnsi="Times New Roman" w:cs="Times New Roman"/>
          <w:sz w:val="24"/>
          <w:szCs w:val="24"/>
        </w:rPr>
        <w:t>połączeniu</w:t>
      </w:r>
      <w:r w:rsidR="0001136D" w:rsidRPr="00CE1385">
        <w:rPr>
          <w:rFonts w:ascii="Times New Roman" w:hAnsi="Times New Roman" w:cs="Times New Roman"/>
          <w:sz w:val="24"/>
          <w:szCs w:val="24"/>
        </w:rPr>
        <w:t xml:space="preserve"> z </w:t>
      </w:r>
      <w:r w:rsidR="008320B6" w:rsidRPr="00CE1385">
        <w:rPr>
          <w:rFonts w:ascii="Times New Roman" w:hAnsi="Times New Roman" w:cs="Times New Roman"/>
          <w:sz w:val="24"/>
          <w:szCs w:val="24"/>
        </w:rPr>
        <w:t>konkretnym zaostrzeniem kary za wybrane czyny lub osobnymi przestępstwami</w:t>
      </w:r>
      <w:r w:rsidR="0001136D" w:rsidRPr="00CE1385">
        <w:rPr>
          <w:rFonts w:ascii="Times New Roman" w:hAnsi="Times New Roman" w:cs="Times New Roman"/>
          <w:sz w:val="24"/>
          <w:szCs w:val="24"/>
        </w:rPr>
        <w:t xml:space="preserve"> z </w:t>
      </w:r>
      <w:r w:rsidR="008320B6" w:rsidRPr="00CE1385">
        <w:rPr>
          <w:rFonts w:ascii="Times New Roman" w:hAnsi="Times New Roman" w:cs="Times New Roman"/>
          <w:sz w:val="24"/>
          <w:szCs w:val="24"/>
        </w:rPr>
        <w:t>nienawiści.</w:t>
      </w:r>
      <w:r w:rsidR="00470412">
        <w:rPr>
          <w:rStyle w:val="Odwoanieprzypisudolnego"/>
          <w:rFonts w:ascii="Times New Roman" w:hAnsi="Times New Roman" w:cs="Times New Roman"/>
          <w:sz w:val="24"/>
          <w:szCs w:val="24"/>
        </w:rPr>
        <w:footnoteReference w:id="2"/>
      </w:r>
      <w:r w:rsidR="006B5ECF">
        <w:rPr>
          <w:rFonts w:ascii="Times New Roman" w:hAnsi="Times New Roman" w:cs="Times New Roman"/>
          <w:sz w:val="24"/>
          <w:szCs w:val="24"/>
          <w:vertAlign w:val="superscript"/>
        </w:rPr>
        <w:t>)</w:t>
      </w:r>
    </w:p>
    <w:p w14:paraId="063D7374" w14:textId="65A858D0" w:rsidR="001C3B4A" w:rsidRPr="00412841" w:rsidRDefault="001C3B4A" w:rsidP="00412841">
      <w:pPr>
        <w:spacing w:before="120" w:after="0" w:line="360" w:lineRule="auto"/>
        <w:jc w:val="both"/>
        <w:rPr>
          <w:rFonts w:ascii="Times New Roman" w:hAnsi="Times New Roman" w:cs="Times New Roman"/>
          <w:sz w:val="24"/>
          <w:szCs w:val="24"/>
          <w:vertAlign w:val="superscript"/>
        </w:rPr>
      </w:pPr>
      <w:r w:rsidRPr="00CE1385">
        <w:rPr>
          <w:rFonts w:ascii="Times New Roman" w:hAnsi="Times New Roman" w:cs="Times New Roman"/>
          <w:sz w:val="24"/>
          <w:szCs w:val="24"/>
        </w:rPr>
        <w:t>Większość państw</w:t>
      </w:r>
      <w:r w:rsidR="0010539D" w:rsidRPr="00CE1385">
        <w:rPr>
          <w:rFonts w:ascii="Times New Roman" w:hAnsi="Times New Roman" w:cs="Times New Roman"/>
          <w:sz w:val="24"/>
          <w:szCs w:val="24"/>
        </w:rPr>
        <w:t xml:space="preserve"> w</w:t>
      </w:r>
      <w:r w:rsidR="006F39BF" w:rsidRPr="00CE1385">
        <w:rPr>
          <w:rFonts w:ascii="Times New Roman" w:hAnsi="Times New Roman" w:cs="Times New Roman"/>
          <w:sz w:val="24"/>
          <w:szCs w:val="24"/>
        </w:rPr>
        <w:t xml:space="preserve"> </w:t>
      </w:r>
      <w:r w:rsidRPr="00CE1385">
        <w:rPr>
          <w:rFonts w:ascii="Times New Roman" w:hAnsi="Times New Roman" w:cs="Times New Roman"/>
          <w:sz w:val="24"/>
          <w:szCs w:val="24"/>
        </w:rPr>
        <w:t>Europie rozpoznaje orientację seksualną</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przepisach odnoszących się do przestępstw motywowanych uprzedzeniami</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mowy nienawiści. Nieco mniejsza grupa państw rozpoznaje jako przesłanki chronione niepełnosprawność</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tożsamość płciową. Zdecydowanie mniej powszechne jest uwzględnianie wieku jako kategorii podlegającej ochronie, aczkolwiek tu też zaobserwować można wzrost liczby krajów udzielających ochrony przed przestępstwami motywowanymi uprzedzeniami względem osób starszych</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prawie karnym.</w:t>
      </w:r>
      <w:r w:rsidR="00470412">
        <w:rPr>
          <w:rStyle w:val="Odwoanieprzypisudolnego"/>
          <w:rFonts w:ascii="Times New Roman" w:hAnsi="Times New Roman" w:cs="Times New Roman"/>
          <w:sz w:val="24"/>
          <w:szCs w:val="24"/>
        </w:rPr>
        <w:footnoteReference w:id="3"/>
      </w:r>
      <w:r w:rsidR="006B5ECF">
        <w:rPr>
          <w:rFonts w:ascii="Times New Roman" w:hAnsi="Times New Roman" w:cs="Times New Roman"/>
          <w:sz w:val="24"/>
          <w:szCs w:val="24"/>
          <w:vertAlign w:val="superscript"/>
        </w:rPr>
        <w:t>)</w:t>
      </w:r>
    </w:p>
    <w:p w14:paraId="070F6196" w14:textId="066409D8" w:rsidR="001C0EE4" w:rsidRPr="00CE1385" w:rsidRDefault="00E37B81"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 xml:space="preserve">Jako przykłady można wskazać poniższe regulacje. </w:t>
      </w:r>
    </w:p>
    <w:p w14:paraId="06C6CCAA" w14:textId="677AA845" w:rsidR="00E37B81" w:rsidRPr="00CE1385" w:rsidRDefault="00E37B81"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lastRenderedPageBreak/>
        <w:t>W Kodeksie karnym Rumuni</w:t>
      </w:r>
      <w:r w:rsidR="00454ECC" w:rsidRPr="00CE1385">
        <w:rPr>
          <w:rFonts w:ascii="Times New Roman" w:hAnsi="Times New Roman" w:cs="Times New Roman"/>
          <w:sz w:val="24"/>
          <w:szCs w:val="24"/>
        </w:rPr>
        <w:t>i</w:t>
      </w:r>
      <w:r w:rsidRPr="00CE1385">
        <w:rPr>
          <w:rFonts w:ascii="Times New Roman" w:hAnsi="Times New Roman" w:cs="Times New Roman"/>
          <w:sz w:val="24"/>
          <w:szCs w:val="24"/>
        </w:rPr>
        <w:t xml:space="preserve"> (art. 368) karalne jest publiczne podżeganie,</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jakikolwiek sposób, do przemocy, nienawiści lub dyskryminacji wobec kategorii osób lub wobec osoby fizycznej ze względu na przynależność do określonej kategorii osób zdefiniowanej przez rasę, narodowość, pochodzenie etniczne, język, religię, płeć, orientację seksualną, poglądy, przynależność polityczną, majątek, pochodzenie społeczne, wiek, niepełnosprawność, przewlekłą chorobę niezakaźną lub zakażenie HIV/AIDS. Ponadto</w:t>
      </w:r>
      <w:r w:rsidR="0010539D" w:rsidRPr="00CE1385">
        <w:rPr>
          <w:rFonts w:ascii="Times New Roman" w:hAnsi="Times New Roman" w:cs="Times New Roman"/>
          <w:sz w:val="24"/>
          <w:szCs w:val="24"/>
        </w:rPr>
        <w:t xml:space="preserve"> art. </w:t>
      </w:r>
      <w:r w:rsidRPr="00CE1385">
        <w:rPr>
          <w:rFonts w:ascii="Times New Roman" w:hAnsi="Times New Roman" w:cs="Times New Roman"/>
          <w:sz w:val="24"/>
          <w:szCs w:val="24"/>
        </w:rPr>
        <w:t>77 lit. h Kodeksu karnego ustanawia okoliczność obciążającą jako popełnienie przestępstwa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powodów związanych</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rasą, narodowością, pochodzeniem etnicznym, językiem, religią, płcią, orientacją seksualną, poglądami, przynależnością polityczną, majątkiem, pochodzeniem społecznym, wiekiem, niepełnosprawnością, przewlekłą chorobą niezakaźną lub zakażeniem HIV/AIDS, lub</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powodu innych podobnych okoliczności uznanych przez sprawcę za przyczyny niższości danej osoby</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stosunku do innych osób</w:t>
      </w:r>
      <w:r w:rsidR="0068297B" w:rsidRPr="00CE1385">
        <w:rPr>
          <w:rFonts w:ascii="Times New Roman" w:hAnsi="Times New Roman" w:cs="Times New Roman"/>
          <w:sz w:val="24"/>
          <w:szCs w:val="24"/>
        </w:rPr>
        <w:t xml:space="preserve"> </w:t>
      </w:r>
      <w:r w:rsidRPr="00CE1385">
        <w:rPr>
          <w:rFonts w:ascii="Times New Roman" w:hAnsi="Times New Roman" w:cs="Times New Roman"/>
          <w:sz w:val="24"/>
          <w:szCs w:val="24"/>
        </w:rPr>
        <w:t xml:space="preserve">(informacja </w:t>
      </w:r>
      <w:proofErr w:type="spellStart"/>
      <w:r w:rsidRPr="00CE1385">
        <w:rPr>
          <w:rFonts w:ascii="Times New Roman" w:hAnsi="Times New Roman" w:cs="Times New Roman"/>
          <w:sz w:val="24"/>
          <w:szCs w:val="24"/>
        </w:rPr>
        <w:t>Legicoop</w:t>
      </w:r>
      <w:proofErr w:type="spellEnd"/>
      <w:r w:rsidRPr="00CE1385">
        <w:rPr>
          <w:rFonts w:ascii="Times New Roman" w:hAnsi="Times New Roman" w:cs="Times New Roman"/>
          <w:sz w:val="24"/>
          <w:szCs w:val="24"/>
        </w:rPr>
        <w:t>)</w:t>
      </w:r>
      <w:r w:rsidR="000C2053" w:rsidRPr="00CE1385">
        <w:rPr>
          <w:rFonts w:ascii="Times New Roman" w:hAnsi="Times New Roman" w:cs="Times New Roman"/>
          <w:sz w:val="24"/>
          <w:szCs w:val="24"/>
        </w:rPr>
        <w:t>.</w:t>
      </w:r>
    </w:p>
    <w:p w14:paraId="4AC60ED2" w14:textId="137210F2" w:rsidR="009E608A" w:rsidRPr="00CE1385" w:rsidRDefault="00081325"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W</w:t>
      </w:r>
      <w:r w:rsidR="008503F2" w:rsidRPr="00CE1385">
        <w:rPr>
          <w:rFonts w:ascii="Times New Roman" w:hAnsi="Times New Roman" w:cs="Times New Roman"/>
          <w:sz w:val="24"/>
          <w:szCs w:val="24"/>
        </w:rPr>
        <w:t xml:space="preserve"> Niemczech</w:t>
      </w:r>
      <w:r w:rsidR="0010539D" w:rsidRPr="00CE1385">
        <w:rPr>
          <w:rFonts w:ascii="Times New Roman" w:hAnsi="Times New Roman" w:cs="Times New Roman"/>
          <w:sz w:val="24"/>
          <w:szCs w:val="24"/>
        </w:rPr>
        <w:t xml:space="preserve"> art. </w:t>
      </w:r>
      <w:r w:rsidRPr="00CE1385">
        <w:rPr>
          <w:rFonts w:ascii="Times New Roman" w:hAnsi="Times New Roman" w:cs="Times New Roman"/>
          <w:sz w:val="24"/>
          <w:szCs w:val="24"/>
        </w:rPr>
        <w:t xml:space="preserve">192a Kodeksu karnego </w:t>
      </w:r>
      <w:r w:rsidR="00FF351B" w:rsidRPr="00CE1385">
        <w:rPr>
          <w:rFonts w:ascii="Times New Roman" w:hAnsi="Times New Roman" w:cs="Times New Roman"/>
          <w:sz w:val="24"/>
          <w:szCs w:val="24"/>
        </w:rPr>
        <w:t xml:space="preserve">(podżeganie do zniewagi) </w:t>
      </w:r>
      <w:r w:rsidRPr="00CE1385">
        <w:rPr>
          <w:rFonts w:ascii="Times New Roman" w:hAnsi="Times New Roman" w:cs="Times New Roman"/>
          <w:sz w:val="24"/>
          <w:szCs w:val="24"/>
        </w:rPr>
        <w:t xml:space="preserve">chroni grupy określone </w:t>
      </w:r>
      <w:r w:rsidR="00FF351B" w:rsidRPr="00CE1385">
        <w:rPr>
          <w:rFonts w:ascii="Times New Roman" w:hAnsi="Times New Roman" w:cs="Times New Roman"/>
          <w:sz w:val="24"/>
          <w:szCs w:val="24"/>
        </w:rPr>
        <w:t xml:space="preserve">ze względu na pochodzenie narodowe, rasowe, wyznaniowe lub etniczne, światopogląd, niepełnosprawność lub orientację seksualną. </w:t>
      </w:r>
      <w:r w:rsidRPr="00CE1385">
        <w:rPr>
          <w:rFonts w:ascii="Times New Roman" w:hAnsi="Times New Roman" w:cs="Times New Roman"/>
          <w:sz w:val="24"/>
          <w:szCs w:val="24"/>
        </w:rPr>
        <w:t>Ponadto</w:t>
      </w:r>
      <w:r w:rsidR="0010539D" w:rsidRPr="00CE1385">
        <w:rPr>
          <w:rFonts w:ascii="Times New Roman" w:hAnsi="Times New Roman" w:cs="Times New Roman"/>
          <w:sz w:val="24"/>
          <w:szCs w:val="24"/>
        </w:rPr>
        <w:t xml:space="preserve"> art. </w:t>
      </w:r>
      <w:r w:rsidRPr="00CE1385">
        <w:rPr>
          <w:rFonts w:ascii="Times New Roman" w:hAnsi="Times New Roman" w:cs="Times New Roman"/>
          <w:sz w:val="24"/>
          <w:szCs w:val="24"/>
        </w:rPr>
        <w:t xml:space="preserve">46 ust. 2 </w:t>
      </w:r>
      <w:r w:rsidR="00FF351B" w:rsidRPr="00CE1385">
        <w:rPr>
          <w:rFonts w:ascii="Times New Roman" w:hAnsi="Times New Roman" w:cs="Times New Roman"/>
          <w:sz w:val="24"/>
          <w:szCs w:val="24"/>
        </w:rPr>
        <w:t>K</w:t>
      </w:r>
      <w:r w:rsidRPr="00CE1385">
        <w:rPr>
          <w:rFonts w:ascii="Times New Roman" w:hAnsi="Times New Roman" w:cs="Times New Roman"/>
          <w:sz w:val="24"/>
          <w:szCs w:val="24"/>
        </w:rPr>
        <w:t xml:space="preserve">odeksu karnego, </w:t>
      </w:r>
      <w:r w:rsidR="00FF351B" w:rsidRPr="00CE1385">
        <w:rPr>
          <w:rFonts w:ascii="Times New Roman" w:hAnsi="Times New Roman" w:cs="Times New Roman"/>
          <w:sz w:val="24"/>
          <w:szCs w:val="24"/>
        </w:rPr>
        <w:t xml:space="preserve">który </w:t>
      </w:r>
      <w:r w:rsidRPr="00CE1385">
        <w:rPr>
          <w:rFonts w:ascii="Times New Roman" w:hAnsi="Times New Roman" w:cs="Times New Roman"/>
          <w:sz w:val="24"/>
          <w:szCs w:val="24"/>
        </w:rPr>
        <w:t>zawiera ogólne zasady dotyczące ustalania kar, wyraźnie odnosi się do rasistowskich, ksenofobiczn</w:t>
      </w:r>
      <w:r w:rsidR="00EE4210" w:rsidRPr="00CE1385">
        <w:rPr>
          <w:rFonts w:ascii="Times New Roman" w:hAnsi="Times New Roman" w:cs="Times New Roman"/>
          <w:sz w:val="24"/>
          <w:szCs w:val="24"/>
        </w:rPr>
        <w:t>ych</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antysemick</w:t>
      </w:r>
      <w:r w:rsidR="00EE4210" w:rsidRPr="00CE1385">
        <w:rPr>
          <w:rFonts w:ascii="Times New Roman" w:hAnsi="Times New Roman" w:cs="Times New Roman"/>
          <w:sz w:val="24"/>
          <w:szCs w:val="24"/>
        </w:rPr>
        <w:t>ich</w:t>
      </w:r>
      <w:r w:rsidRPr="00CE1385">
        <w:rPr>
          <w:rFonts w:ascii="Times New Roman" w:hAnsi="Times New Roman" w:cs="Times New Roman"/>
          <w:sz w:val="24"/>
          <w:szCs w:val="24"/>
        </w:rPr>
        <w:t xml:space="preserve"> jako przykłady motywów świadczących</w:t>
      </w:r>
      <w:r w:rsidR="0031352B" w:rsidRPr="00CE1385">
        <w:rPr>
          <w:rFonts w:ascii="Times New Roman" w:hAnsi="Times New Roman" w:cs="Times New Roman"/>
          <w:sz w:val="24"/>
          <w:szCs w:val="24"/>
        </w:rPr>
        <w:t xml:space="preserve"> o </w:t>
      </w:r>
      <w:r w:rsidRPr="00CE1385">
        <w:rPr>
          <w:rFonts w:ascii="Times New Roman" w:hAnsi="Times New Roman" w:cs="Times New Roman"/>
          <w:sz w:val="24"/>
          <w:szCs w:val="24"/>
        </w:rPr>
        <w:t>pogardzie dla ludzkości.</w:t>
      </w:r>
      <w:r w:rsidR="00FF351B" w:rsidRPr="00CE1385">
        <w:rPr>
          <w:rFonts w:ascii="Times New Roman" w:hAnsi="Times New Roman" w:cs="Times New Roman"/>
          <w:sz w:val="24"/>
          <w:szCs w:val="24"/>
        </w:rPr>
        <w:t xml:space="preserve"> </w:t>
      </w:r>
      <w:r w:rsidRPr="00CE1385">
        <w:rPr>
          <w:rFonts w:ascii="Times New Roman" w:hAnsi="Times New Roman" w:cs="Times New Roman"/>
          <w:sz w:val="24"/>
          <w:szCs w:val="24"/>
        </w:rPr>
        <w:t>W 2023 r. dodano dwa kolejne przykłady, które nie zostały jeszcze oficjalnie przetłumaczone, a mianowicie</w:t>
      </w:r>
      <w:r w:rsidR="008503F2" w:rsidRPr="00CE1385">
        <w:rPr>
          <w:rFonts w:ascii="Times New Roman" w:hAnsi="Times New Roman" w:cs="Times New Roman"/>
          <w:sz w:val="24"/>
          <w:szCs w:val="24"/>
        </w:rPr>
        <w:t xml:space="preserve"> </w:t>
      </w:r>
      <w:r w:rsidR="001A3255" w:rsidRPr="00CE1385">
        <w:rPr>
          <w:rFonts w:ascii="Times New Roman" w:hAnsi="Times New Roman" w:cs="Times New Roman"/>
          <w:sz w:val="24"/>
          <w:szCs w:val="24"/>
        </w:rPr>
        <w:t>„</w:t>
      </w:r>
      <w:r w:rsidRPr="00CE1385">
        <w:rPr>
          <w:rFonts w:ascii="Times New Roman" w:hAnsi="Times New Roman" w:cs="Times New Roman"/>
          <w:sz w:val="24"/>
          <w:szCs w:val="24"/>
        </w:rPr>
        <w:t>geschlechtsspezifische, gegen die sexuelle Orientierung gerichtete Beweggründe</w:t>
      </w:r>
      <w:r w:rsidR="001A3255" w:rsidRPr="00CE1385">
        <w:rPr>
          <w:rFonts w:ascii="Times New Roman" w:hAnsi="Times New Roman" w:cs="Times New Roman"/>
          <w:sz w:val="24"/>
          <w:szCs w:val="24"/>
        </w:rPr>
        <w:t>”</w:t>
      </w:r>
      <w:r w:rsidRPr="00CE1385">
        <w:rPr>
          <w:rFonts w:ascii="Times New Roman" w:hAnsi="Times New Roman" w:cs="Times New Roman"/>
          <w:sz w:val="24"/>
          <w:szCs w:val="24"/>
        </w:rPr>
        <w:t xml:space="preserve"> (nieoficjalne tłumaczenie: specyficzne dla płci, </w:t>
      </w:r>
      <w:proofErr w:type="spellStart"/>
      <w:r w:rsidRPr="00CE1385">
        <w:rPr>
          <w:rFonts w:ascii="Times New Roman" w:hAnsi="Times New Roman" w:cs="Times New Roman"/>
          <w:sz w:val="24"/>
          <w:szCs w:val="24"/>
        </w:rPr>
        <w:t>antyseksualne</w:t>
      </w:r>
      <w:proofErr w:type="spellEnd"/>
      <w:r w:rsidRPr="00CE1385">
        <w:rPr>
          <w:rFonts w:ascii="Times New Roman" w:hAnsi="Times New Roman" w:cs="Times New Roman"/>
          <w:sz w:val="24"/>
          <w:szCs w:val="24"/>
        </w:rPr>
        <w:t xml:space="preserve"> motywy orientacji)</w:t>
      </w:r>
      <w:r w:rsidR="00FF351B" w:rsidRPr="00CE1385">
        <w:rPr>
          <w:rFonts w:ascii="Times New Roman" w:hAnsi="Times New Roman" w:cs="Times New Roman"/>
          <w:sz w:val="24"/>
          <w:szCs w:val="24"/>
        </w:rPr>
        <w:t xml:space="preserve"> (informacja </w:t>
      </w:r>
      <w:proofErr w:type="spellStart"/>
      <w:r w:rsidR="00FF351B" w:rsidRPr="00CE1385">
        <w:rPr>
          <w:rFonts w:ascii="Times New Roman" w:hAnsi="Times New Roman" w:cs="Times New Roman"/>
          <w:sz w:val="24"/>
          <w:szCs w:val="24"/>
        </w:rPr>
        <w:t>Legicoop</w:t>
      </w:r>
      <w:proofErr w:type="spellEnd"/>
      <w:r w:rsidR="00FF351B" w:rsidRPr="00CE1385">
        <w:rPr>
          <w:rFonts w:ascii="Times New Roman" w:hAnsi="Times New Roman" w:cs="Times New Roman"/>
          <w:sz w:val="24"/>
          <w:szCs w:val="24"/>
        </w:rPr>
        <w:t>)</w:t>
      </w:r>
      <w:r w:rsidR="000C2053" w:rsidRPr="00CE1385">
        <w:rPr>
          <w:rFonts w:ascii="Times New Roman" w:hAnsi="Times New Roman" w:cs="Times New Roman"/>
          <w:sz w:val="24"/>
          <w:szCs w:val="24"/>
        </w:rPr>
        <w:t>.</w:t>
      </w:r>
    </w:p>
    <w:p w14:paraId="05EE9A25" w14:textId="2EC80CA4" w:rsidR="00996BA9" w:rsidRPr="00CE1385" w:rsidRDefault="009E608A"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W Szwecji zabrania się</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oświadczeniach lub innych rozpowszechnianych komunikatach grozić lub wyrażać pogardę dla danej grupy ludności przez nawiązanie do rasy, koloru skóry, narodowości lub pochodzeni</w:t>
      </w:r>
      <w:r w:rsidR="00EE4210" w:rsidRPr="00CE1385">
        <w:rPr>
          <w:rFonts w:ascii="Times New Roman" w:hAnsi="Times New Roman" w:cs="Times New Roman"/>
          <w:sz w:val="24"/>
          <w:szCs w:val="24"/>
        </w:rPr>
        <w:t>a</w:t>
      </w:r>
      <w:r w:rsidRPr="00CE1385">
        <w:rPr>
          <w:rFonts w:ascii="Times New Roman" w:hAnsi="Times New Roman" w:cs="Times New Roman"/>
          <w:sz w:val="24"/>
          <w:szCs w:val="24"/>
        </w:rPr>
        <w:t xml:space="preserve"> etniczne</w:t>
      </w:r>
      <w:r w:rsidR="00EE4210" w:rsidRPr="00CE1385">
        <w:rPr>
          <w:rFonts w:ascii="Times New Roman" w:hAnsi="Times New Roman" w:cs="Times New Roman"/>
          <w:sz w:val="24"/>
          <w:szCs w:val="24"/>
        </w:rPr>
        <w:t>go</w:t>
      </w:r>
      <w:r w:rsidRPr="00CE1385">
        <w:rPr>
          <w:rFonts w:ascii="Times New Roman" w:hAnsi="Times New Roman" w:cs="Times New Roman"/>
          <w:sz w:val="24"/>
          <w:szCs w:val="24"/>
        </w:rPr>
        <w:t>, przekonania religijne</w:t>
      </w:r>
      <w:r w:rsidR="00EE4210" w:rsidRPr="00CE1385">
        <w:rPr>
          <w:rFonts w:ascii="Times New Roman" w:hAnsi="Times New Roman" w:cs="Times New Roman"/>
          <w:sz w:val="24"/>
          <w:szCs w:val="24"/>
        </w:rPr>
        <w:t>go</w:t>
      </w:r>
      <w:r w:rsidRPr="00CE1385">
        <w:rPr>
          <w:rFonts w:ascii="Times New Roman" w:hAnsi="Times New Roman" w:cs="Times New Roman"/>
          <w:sz w:val="24"/>
          <w:szCs w:val="24"/>
        </w:rPr>
        <w:t>, orientacj</w:t>
      </w:r>
      <w:r w:rsidR="00EE4210" w:rsidRPr="00CE1385">
        <w:rPr>
          <w:rFonts w:ascii="Times New Roman" w:hAnsi="Times New Roman" w:cs="Times New Roman"/>
          <w:sz w:val="24"/>
          <w:szCs w:val="24"/>
        </w:rPr>
        <w:t>i</w:t>
      </w:r>
      <w:r w:rsidRPr="00CE1385">
        <w:rPr>
          <w:rFonts w:ascii="Times New Roman" w:hAnsi="Times New Roman" w:cs="Times New Roman"/>
          <w:sz w:val="24"/>
          <w:szCs w:val="24"/>
        </w:rPr>
        <w:t xml:space="preserve"> seksualn</w:t>
      </w:r>
      <w:r w:rsidR="00EE4210" w:rsidRPr="00CE1385">
        <w:rPr>
          <w:rFonts w:ascii="Times New Roman" w:hAnsi="Times New Roman" w:cs="Times New Roman"/>
          <w:sz w:val="24"/>
          <w:szCs w:val="24"/>
        </w:rPr>
        <w:t>ej</w:t>
      </w:r>
      <w:r w:rsidRPr="00CE1385">
        <w:rPr>
          <w:rFonts w:ascii="Times New Roman" w:hAnsi="Times New Roman" w:cs="Times New Roman"/>
          <w:sz w:val="24"/>
          <w:szCs w:val="24"/>
        </w:rPr>
        <w:t xml:space="preserve"> lub tożsamoś</w:t>
      </w:r>
      <w:r w:rsidR="00EE4210" w:rsidRPr="00CE1385">
        <w:rPr>
          <w:rFonts w:ascii="Times New Roman" w:hAnsi="Times New Roman" w:cs="Times New Roman"/>
          <w:sz w:val="24"/>
          <w:szCs w:val="24"/>
        </w:rPr>
        <w:t>ci</w:t>
      </w:r>
      <w:r w:rsidR="001561C3">
        <w:rPr>
          <w:rFonts w:ascii="Times New Roman" w:hAnsi="Times New Roman" w:cs="Times New Roman"/>
          <w:sz w:val="24"/>
          <w:szCs w:val="24"/>
        </w:rPr>
        <w:t>,</w:t>
      </w:r>
      <w:r w:rsidRPr="00CE1385">
        <w:rPr>
          <w:rFonts w:ascii="Times New Roman" w:hAnsi="Times New Roman" w:cs="Times New Roman"/>
          <w:sz w:val="24"/>
          <w:szCs w:val="24"/>
        </w:rPr>
        <w:t xml:space="preserve"> lub ekspresj</w:t>
      </w:r>
      <w:r w:rsidR="00EE4210" w:rsidRPr="00CE1385">
        <w:rPr>
          <w:rFonts w:ascii="Times New Roman" w:hAnsi="Times New Roman" w:cs="Times New Roman"/>
          <w:sz w:val="24"/>
          <w:szCs w:val="24"/>
        </w:rPr>
        <w:t>i</w:t>
      </w:r>
      <w:r w:rsidRPr="00CE1385">
        <w:rPr>
          <w:rFonts w:ascii="Times New Roman" w:hAnsi="Times New Roman" w:cs="Times New Roman"/>
          <w:sz w:val="24"/>
          <w:szCs w:val="24"/>
        </w:rPr>
        <w:t xml:space="preserve"> transpłciow</w:t>
      </w:r>
      <w:r w:rsidR="00EE4210" w:rsidRPr="00CE1385">
        <w:rPr>
          <w:rFonts w:ascii="Times New Roman" w:hAnsi="Times New Roman" w:cs="Times New Roman"/>
          <w:sz w:val="24"/>
          <w:szCs w:val="24"/>
        </w:rPr>
        <w:t>ej</w:t>
      </w:r>
      <w:r w:rsidRPr="00CE1385">
        <w:rPr>
          <w:rFonts w:ascii="Times New Roman" w:hAnsi="Times New Roman" w:cs="Times New Roman"/>
          <w:sz w:val="24"/>
          <w:szCs w:val="24"/>
        </w:rPr>
        <w:t xml:space="preserve"> (przestępstwo agitacji przeciwko grupie ludności zgodnie</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rozdziałem 16</w:t>
      </w:r>
      <w:r w:rsidR="0010539D" w:rsidRPr="00CE1385">
        <w:rPr>
          <w:rFonts w:ascii="Times New Roman" w:hAnsi="Times New Roman" w:cs="Times New Roman"/>
          <w:sz w:val="24"/>
          <w:szCs w:val="24"/>
        </w:rPr>
        <w:t xml:space="preserve"> art. </w:t>
      </w:r>
      <w:r w:rsidRPr="00CE1385">
        <w:rPr>
          <w:rFonts w:ascii="Times New Roman" w:hAnsi="Times New Roman" w:cs="Times New Roman"/>
          <w:sz w:val="24"/>
          <w:szCs w:val="24"/>
        </w:rPr>
        <w:t xml:space="preserve">8 szwedzkiego Kodeksu karnego). Ponadto sąd przy ustalaniu wysokości kary musi wziąć pod uwagę, </w:t>
      </w:r>
      <w:r w:rsidR="007C2E4F" w:rsidRPr="00CE1385">
        <w:rPr>
          <w:rFonts w:ascii="Times New Roman" w:hAnsi="Times New Roman" w:cs="Times New Roman"/>
          <w:sz w:val="24"/>
          <w:szCs w:val="24"/>
        </w:rPr>
        <w:t>czy motywem przestępstwa było znieważenie osoby lub grupy ludności</w:t>
      </w:r>
      <w:r w:rsidR="0001136D" w:rsidRPr="00CE1385">
        <w:rPr>
          <w:rFonts w:ascii="Times New Roman" w:hAnsi="Times New Roman" w:cs="Times New Roman"/>
          <w:sz w:val="24"/>
          <w:szCs w:val="24"/>
        </w:rPr>
        <w:t xml:space="preserve"> z </w:t>
      </w:r>
      <w:r w:rsidR="007C2E4F" w:rsidRPr="00CE1385">
        <w:rPr>
          <w:rFonts w:ascii="Times New Roman" w:hAnsi="Times New Roman" w:cs="Times New Roman"/>
          <w:sz w:val="24"/>
          <w:szCs w:val="24"/>
        </w:rPr>
        <w:t xml:space="preserve">powodu rasy, koloru skóry, pochodzenia narodowego lub etnicznego, przekonania religijnego, orientacji seksualnej lub </w:t>
      </w:r>
      <w:r w:rsidR="00454ECC" w:rsidRPr="00CE1385">
        <w:rPr>
          <w:rFonts w:ascii="Times New Roman" w:hAnsi="Times New Roman" w:cs="Times New Roman"/>
          <w:sz w:val="24"/>
          <w:szCs w:val="24"/>
        </w:rPr>
        <w:t>tożsamości</w:t>
      </w:r>
      <w:r w:rsidR="001561C3">
        <w:rPr>
          <w:rFonts w:ascii="Times New Roman" w:hAnsi="Times New Roman" w:cs="Times New Roman"/>
          <w:sz w:val="24"/>
          <w:szCs w:val="24"/>
        </w:rPr>
        <w:t>,</w:t>
      </w:r>
      <w:r w:rsidR="00454ECC" w:rsidRPr="00CE1385">
        <w:rPr>
          <w:rFonts w:ascii="Times New Roman" w:hAnsi="Times New Roman" w:cs="Times New Roman"/>
          <w:sz w:val="24"/>
          <w:szCs w:val="24"/>
        </w:rPr>
        <w:t xml:space="preserve"> lub ekspresji</w:t>
      </w:r>
      <w:r w:rsidR="007C2E4F" w:rsidRPr="00CE1385">
        <w:rPr>
          <w:rFonts w:ascii="Times New Roman" w:hAnsi="Times New Roman" w:cs="Times New Roman"/>
          <w:sz w:val="24"/>
          <w:szCs w:val="24"/>
        </w:rPr>
        <w:t xml:space="preserve"> transpłcio</w:t>
      </w:r>
      <w:r w:rsidR="00454ECC" w:rsidRPr="00CE1385">
        <w:rPr>
          <w:rFonts w:ascii="Times New Roman" w:hAnsi="Times New Roman" w:cs="Times New Roman"/>
          <w:sz w:val="24"/>
          <w:szCs w:val="24"/>
        </w:rPr>
        <w:t>wej</w:t>
      </w:r>
      <w:r w:rsidR="001561C3">
        <w:rPr>
          <w:rFonts w:ascii="Times New Roman" w:hAnsi="Times New Roman" w:cs="Times New Roman"/>
          <w:sz w:val="24"/>
          <w:szCs w:val="24"/>
        </w:rPr>
        <w:t>,</w:t>
      </w:r>
      <w:r w:rsidR="00454ECC" w:rsidRPr="00CE1385">
        <w:rPr>
          <w:rFonts w:ascii="Times New Roman" w:hAnsi="Times New Roman" w:cs="Times New Roman"/>
          <w:sz w:val="24"/>
          <w:szCs w:val="24"/>
        </w:rPr>
        <w:t xml:space="preserve"> </w:t>
      </w:r>
      <w:r w:rsidR="007C2E4F" w:rsidRPr="00CE1385">
        <w:rPr>
          <w:rFonts w:ascii="Times New Roman" w:hAnsi="Times New Roman" w:cs="Times New Roman"/>
          <w:sz w:val="24"/>
          <w:szCs w:val="24"/>
        </w:rPr>
        <w:t>lub inn</w:t>
      </w:r>
      <w:r w:rsidR="00454ECC" w:rsidRPr="00CE1385">
        <w:rPr>
          <w:rFonts w:ascii="Times New Roman" w:hAnsi="Times New Roman" w:cs="Times New Roman"/>
          <w:sz w:val="24"/>
          <w:szCs w:val="24"/>
        </w:rPr>
        <w:t>ej</w:t>
      </w:r>
      <w:r w:rsidR="007C2E4F" w:rsidRPr="00CE1385">
        <w:rPr>
          <w:rFonts w:ascii="Times New Roman" w:hAnsi="Times New Roman" w:cs="Times New Roman"/>
          <w:sz w:val="24"/>
          <w:szCs w:val="24"/>
        </w:rPr>
        <w:t xml:space="preserve"> podobn</w:t>
      </w:r>
      <w:r w:rsidR="00454ECC" w:rsidRPr="00CE1385">
        <w:rPr>
          <w:rFonts w:ascii="Times New Roman" w:hAnsi="Times New Roman" w:cs="Times New Roman"/>
          <w:sz w:val="24"/>
          <w:szCs w:val="24"/>
        </w:rPr>
        <w:t>ej</w:t>
      </w:r>
      <w:r w:rsidR="007C2E4F" w:rsidRPr="00CE1385">
        <w:rPr>
          <w:rFonts w:ascii="Times New Roman" w:hAnsi="Times New Roman" w:cs="Times New Roman"/>
          <w:sz w:val="24"/>
          <w:szCs w:val="24"/>
        </w:rPr>
        <w:t xml:space="preserve"> okolicznoś</w:t>
      </w:r>
      <w:r w:rsidR="00454ECC" w:rsidRPr="00CE1385">
        <w:rPr>
          <w:rFonts w:ascii="Times New Roman" w:hAnsi="Times New Roman" w:cs="Times New Roman"/>
          <w:sz w:val="24"/>
          <w:szCs w:val="24"/>
        </w:rPr>
        <w:t>ci</w:t>
      </w:r>
      <w:r w:rsidRPr="00CE1385">
        <w:rPr>
          <w:rFonts w:ascii="Times New Roman" w:hAnsi="Times New Roman" w:cs="Times New Roman"/>
          <w:sz w:val="24"/>
          <w:szCs w:val="24"/>
        </w:rPr>
        <w:t xml:space="preserve"> (rozdział</w:t>
      </w:r>
      <w:r w:rsidR="003673AD" w:rsidRPr="00CE1385">
        <w:rPr>
          <w:rFonts w:ascii="Times New Roman" w:hAnsi="Times New Roman" w:cs="Times New Roman"/>
          <w:sz w:val="24"/>
          <w:szCs w:val="24"/>
        </w:rPr>
        <w:t xml:space="preserve"> 29 </w:t>
      </w:r>
      <w:r w:rsidR="0010539D" w:rsidRPr="00CE1385">
        <w:rPr>
          <w:rFonts w:ascii="Times New Roman" w:hAnsi="Times New Roman" w:cs="Times New Roman"/>
          <w:sz w:val="24"/>
          <w:szCs w:val="24"/>
        </w:rPr>
        <w:t>art. </w:t>
      </w:r>
      <w:r w:rsidRPr="00CE1385">
        <w:rPr>
          <w:rFonts w:ascii="Times New Roman" w:hAnsi="Times New Roman" w:cs="Times New Roman"/>
          <w:sz w:val="24"/>
          <w:szCs w:val="24"/>
        </w:rPr>
        <w:t>2 szwedzkiego Kodeksu karnego)</w:t>
      </w:r>
      <w:r w:rsidR="00454ECC" w:rsidRPr="00CE1385">
        <w:rPr>
          <w:rFonts w:ascii="Times New Roman" w:hAnsi="Times New Roman" w:cs="Times New Roman"/>
          <w:sz w:val="24"/>
          <w:szCs w:val="24"/>
        </w:rPr>
        <w:t xml:space="preserve"> (informacja </w:t>
      </w:r>
      <w:proofErr w:type="spellStart"/>
      <w:r w:rsidR="00454ECC" w:rsidRPr="00CE1385">
        <w:rPr>
          <w:rFonts w:ascii="Times New Roman" w:hAnsi="Times New Roman" w:cs="Times New Roman"/>
          <w:sz w:val="24"/>
          <w:szCs w:val="24"/>
        </w:rPr>
        <w:t>Legicoop</w:t>
      </w:r>
      <w:proofErr w:type="spellEnd"/>
      <w:r w:rsidR="00454ECC" w:rsidRPr="00CE1385">
        <w:rPr>
          <w:rFonts w:ascii="Times New Roman" w:hAnsi="Times New Roman" w:cs="Times New Roman"/>
          <w:sz w:val="24"/>
          <w:szCs w:val="24"/>
        </w:rPr>
        <w:t>)</w:t>
      </w:r>
      <w:r w:rsidR="000C2053" w:rsidRPr="00CE1385">
        <w:rPr>
          <w:rFonts w:ascii="Times New Roman" w:hAnsi="Times New Roman" w:cs="Times New Roman"/>
          <w:sz w:val="24"/>
          <w:szCs w:val="24"/>
        </w:rPr>
        <w:t>.</w:t>
      </w:r>
    </w:p>
    <w:p w14:paraId="3EF8EC0F" w14:textId="0B30E2E8" w:rsidR="001A3255" w:rsidRPr="00CE1385" w:rsidRDefault="00996BA9"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Słowenia uznaje mowę nienawiści za przestępstwo</w:t>
      </w:r>
      <w:r w:rsidR="0031352B" w:rsidRPr="00CE1385">
        <w:rPr>
          <w:rFonts w:ascii="Times New Roman" w:hAnsi="Times New Roman" w:cs="Times New Roman"/>
          <w:sz w:val="24"/>
          <w:szCs w:val="24"/>
        </w:rPr>
        <w:t xml:space="preserve"> </w:t>
      </w:r>
      <w:r w:rsidR="000C2053" w:rsidRPr="00CE1385">
        <w:rPr>
          <w:rFonts w:ascii="Times New Roman" w:hAnsi="Times New Roman" w:cs="Times New Roman"/>
          <w:sz w:val="24"/>
          <w:szCs w:val="24"/>
        </w:rPr>
        <w:t>określone</w:t>
      </w:r>
      <w:r w:rsidR="0010539D" w:rsidRPr="00CE1385">
        <w:rPr>
          <w:rFonts w:ascii="Times New Roman" w:hAnsi="Times New Roman" w:cs="Times New Roman"/>
          <w:sz w:val="24"/>
          <w:szCs w:val="24"/>
        </w:rPr>
        <w:t xml:space="preserve"> w art. </w:t>
      </w:r>
      <w:r w:rsidRPr="00CE1385">
        <w:rPr>
          <w:rFonts w:ascii="Times New Roman" w:hAnsi="Times New Roman" w:cs="Times New Roman"/>
          <w:sz w:val="24"/>
          <w:szCs w:val="24"/>
        </w:rPr>
        <w:t xml:space="preserve">297 Kodeksu karnego </w:t>
      </w:r>
      <w:r w:rsidR="001561C3">
        <w:rPr>
          <w:rFonts w:ascii="Times New Roman" w:hAnsi="Times New Roman" w:cs="Times New Roman"/>
          <w:sz w:val="24"/>
          <w:szCs w:val="24"/>
        </w:rPr>
        <w:br/>
      </w:r>
      <w:r w:rsidRPr="00CE1385">
        <w:rPr>
          <w:rFonts w:ascii="Times New Roman" w:hAnsi="Times New Roman" w:cs="Times New Roman"/>
          <w:sz w:val="24"/>
          <w:szCs w:val="24"/>
        </w:rPr>
        <w:t>(KZ-1), zgodnie</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 xml:space="preserve">którym karze podlega kto publicznie nawołuje lub podsyca nienawiść, </w:t>
      </w:r>
      <w:r w:rsidRPr="00CE1385">
        <w:rPr>
          <w:rFonts w:ascii="Times New Roman" w:hAnsi="Times New Roman" w:cs="Times New Roman"/>
          <w:sz w:val="24"/>
          <w:szCs w:val="24"/>
        </w:rPr>
        <w:lastRenderedPageBreak/>
        <w:t>przemoc lub nietolerancję ze względu na pochodzenie narodowe, rasę, religię lub</w:t>
      </w:r>
      <w:r w:rsidR="006B0604" w:rsidRPr="00CE1385">
        <w:rPr>
          <w:rFonts w:ascii="Times New Roman" w:hAnsi="Times New Roman" w:cs="Times New Roman"/>
          <w:sz w:val="24"/>
          <w:szCs w:val="24"/>
        </w:rPr>
        <w:t xml:space="preserve"> przynależność etniczną</w:t>
      </w:r>
      <w:r w:rsidRPr="00CE1385">
        <w:rPr>
          <w:rFonts w:ascii="Times New Roman" w:hAnsi="Times New Roman" w:cs="Times New Roman"/>
          <w:sz w:val="24"/>
          <w:szCs w:val="24"/>
        </w:rPr>
        <w:t>, płeć, kolor skóry, pochodzenie, sytuację majątkową, wykształcenie, pozycję społeczną, przekonania polityczne lub inne, niepełnosprawność, orientację seksualną lub</w:t>
      </w:r>
      <w:r w:rsidR="006B0604" w:rsidRPr="00CE1385">
        <w:rPr>
          <w:rFonts w:ascii="Times New Roman" w:hAnsi="Times New Roman" w:cs="Times New Roman"/>
          <w:sz w:val="24"/>
          <w:szCs w:val="24"/>
        </w:rPr>
        <w:t xml:space="preserve"> inną okoliczność osobistą</w:t>
      </w:r>
      <w:r w:rsidR="0010539D" w:rsidRPr="00CE1385">
        <w:rPr>
          <w:rFonts w:ascii="Times New Roman" w:hAnsi="Times New Roman" w:cs="Times New Roman"/>
          <w:sz w:val="24"/>
          <w:szCs w:val="24"/>
        </w:rPr>
        <w:t xml:space="preserve"> i </w:t>
      </w:r>
      <w:r w:rsidR="006B0604" w:rsidRPr="00CE1385">
        <w:rPr>
          <w:rFonts w:ascii="Times New Roman" w:hAnsi="Times New Roman" w:cs="Times New Roman"/>
          <w:sz w:val="24"/>
          <w:szCs w:val="24"/>
        </w:rPr>
        <w:t>popełnia wykroczenie</w:t>
      </w:r>
      <w:r w:rsidR="0010539D" w:rsidRPr="00CE1385">
        <w:rPr>
          <w:rFonts w:ascii="Times New Roman" w:hAnsi="Times New Roman" w:cs="Times New Roman"/>
          <w:sz w:val="24"/>
          <w:szCs w:val="24"/>
        </w:rPr>
        <w:t xml:space="preserve"> w </w:t>
      </w:r>
      <w:r w:rsidR="006B0604" w:rsidRPr="00CE1385">
        <w:rPr>
          <w:rFonts w:ascii="Times New Roman" w:hAnsi="Times New Roman" w:cs="Times New Roman"/>
          <w:sz w:val="24"/>
          <w:szCs w:val="24"/>
        </w:rPr>
        <w:t>sposób, który może zagrozić lub zakłócić porządek</w:t>
      </w:r>
      <w:r w:rsidR="0010539D" w:rsidRPr="00CE1385">
        <w:rPr>
          <w:rFonts w:ascii="Times New Roman" w:hAnsi="Times New Roman" w:cs="Times New Roman"/>
          <w:sz w:val="24"/>
          <w:szCs w:val="24"/>
        </w:rPr>
        <w:t xml:space="preserve"> i </w:t>
      </w:r>
      <w:r w:rsidR="006B0604" w:rsidRPr="00CE1385">
        <w:rPr>
          <w:rFonts w:ascii="Times New Roman" w:hAnsi="Times New Roman" w:cs="Times New Roman"/>
          <w:sz w:val="24"/>
          <w:szCs w:val="24"/>
        </w:rPr>
        <w:t xml:space="preserve">spokój publiczny, lub stosując groźbę, </w:t>
      </w:r>
      <w:r w:rsidR="001A2EA6" w:rsidRPr="00CE1385">
        <w:rPr>
          <w:rFonts w:ascii="Times New Roman" w:hAnsi="Times New Roman" w:cs="Times New Roman"/>
          <w:sz w:val="24"/>
          <w:szCs w:val="24"/>
        </w:rPr>
        <w:t>karcenie („</w:t>
      </w:r>
      <w:proofErr w:type="spellStart"/>
      <w:r w:rsidR="001A2EA6" w:rsidRPr="00CE1385">
        <w:rPr>
          <w:rFonts w:ascii="Times New Roman" w:hAnsi="Times New Roman" w:cs="Times New Roman"/>
          <w:sz w:val="24"/>
          <w:szCs w:val="24"/>
        </w:rPr>
        <w:t>scolding</w:t>
      </w:r>
      <w:proofErr w:type="spellEnd"/>
      <w:r w:rsidR="001A2EA6" w:rsidRPr="00CE1385">
        <w:rPr>
          <w:rFonts w:ascii="Times New Roman" w:hAnsi="Times New Roman" w:cs="Times New Roman"/>
          <w:sz w:val="24"/>
          <w:szCs w:val="24"/>
        </w:rPr>
        <w:t xml:space="preserve">”) </w:t>
      </w:r>
      <w:r w:rsidR="006B0604" w:rsidRPr="00CE1385">
        <w:rPr>
          <w:rFonts w:ascii="Times New Roman" w:hAnsi="Times New Roman" w:cs="Times New Roman"/>
          <w:sz w:val="24"/>
          <w:szCs w:val="24"/>
        </w:rPr>
        <w:t>lub zniewagę</w:t>
      </w:r>
      <w:r w:rsidR="001A3255" w:rsidRPr="00CE1385">
        <w:rPr>
          <w:rFonts w:ascii="Times New Roman" w:hAnsi="Times New Roman" w:cs="Times New Roman"/>
          <w:sz w:val="24"/>
          <w:szCs w:val="24"/>
        </w:rPr>
        <w:t xml:space="preserve"> (informacja </w:t>
      </w:r>
      <w:proofErr w:type="spellStart"/>
      <w:r w:rsidR="001A3255" w:rsidRPr="00CE1385">
        <w:rPr>
          <w:rFonts w:ascii="Times New Roman" w:hAnsi="Times New Roman" w:cs="Times New Roman"/>
          <w:sz w:val="24"/>
          <w:szCs w:val="24"/>
        </w:rPr>
        <w:t>Legicoop</w:t>
      </w:r>
      <w:proofErr w:type="spellEnd"/>
      <w:r w:rsidR="001A3255" w:rsidRPr="00CE1385">
        <w:rPr>
          <w:rFonts w:ascii="Times New Roman" w:hAnsi="Times New Roman" w:cs="Times New Roman"/>
          <w:sz w:val="24"/>
          <w:szCs w:val="24"/>
        </w:rPr>
        <w:t>)</w:t>
      </w:r>
      <w:r w:rsidR="000C2053" w:rsidRPr="00CE1385">
        <w:rPr>
          <w:rFonts w:ascii="Times New Roman" w:hAnsi="Times New Roman" w:cs="Times New Roman"/>
          <w:sz w:val="24"/>
          <w:szCs w:val="24"/>
        </w:rPr>
        <w:t>.</w:t>
      </w:r>
    </w:p>
    <w:p w14:paraId="1441464D" w14:textId="07A935FE" w:rsidR="00F544C4" w:rsidRPr="00CE1385" w:rsidRDefault="0025651C"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Zgodnie</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hiszpańskim Kodeksem karnym przestępstwa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(przykładowo publiczne zachęcanie, promowanie lub podżeganie bezpośrednio lub pośrednio do nienawiści, wrogości, dyskryminacji lub przemocy lub naruszanie godności przez działanie polegające na poniżaniu, pogardzie lub dyskredytowaniu) mogą być popełniane</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następujących powodów</w:t>
      </w:r>
      <w:r w:rsidR="00841732" w:rsidRPr="00CE1385">
        <w:rPr>
          <w:rFonts w:ascii="Times New Roman" w:hAnsi="Times New Roman" w:cs="Times New Roman"/>
          <w:sz w:val="24"/>
          <w:szCs w:val="24"/>
        </w:rPr>
        <w:t>:</w:t>
      </w:r>
      <w:r w:rsidRPr="00CE1385">
        <w:rPr>
          <w:rFonts w:ascii="Times New Roman" w:hAnsi="Times New Roman" w:cs="Times New Roman"/>
          <w:sz w:val="24"/>
          <w:szCs w:val="24"/>
        </w:rPr>
        <w:t xml:space="preserve"> rasistowskich, antysemickich, antyromskich lub innych związanych</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ideologią, religią lub przekonaniami, sytuacją rodzinną, przynależnością członków do grupy etnicznej, rasy lub narodu, ich pochodzeniem narodowym, płcią, orientacją seksualną lub tożsamością, ze względu na płeć, aporofobi</w:t>
      </w:r>
      <w:r w:rsidR="00CB3F0F" w:rsidRPr="00CE1385">
        <w:rPr>
          <w:rFonts w:ascii="Times New Roman" w:hAnsi="Times New Roman" w:cs="Times New Roman"/>
          <w:sz w:val="24"/>
          <w:szCs w:val="24"/>
        </w:rPr>
        <w:t>ę</w:t>
      </w:r>
      <w:r w:rsidRPr="00CE1385">
        <w:rPr>
          <w:rFonts w:ascii="Times New Roman" w:hAnsi="Times New Roman" w:cs="Times New Roman"/>
          <w:sz w:val="24"/>
          <w:szCs w:val="24"/>
        </w:rPr>
        <w:t>, chorob</w:t>
      </w:r>
      <w:r w:rsidR="00CB3F0F" w:rsidRPr="00CE1385">
        <w:rPr>
          <w:rFonts w:ascii="Times New Roman" w:hAnsi="Times New Roman" w:cs="Times New Roman"/>
          <w:sz w:val="24"/>
          <w:szCs w:val="24"/>
        </w:rPr>
        <w:t>ę</w:t>
      </w:r>
      <w:r w:rsidRPr="00CE1385">
        <w:rPr>
          <w:rFonts w:ascii="Times New Roman" w:hAnsi="Times New Roman" w:cs="Times New Roman"/>
          <w:sz w:val="24"/>
          <w:szCs w:val="24"/>
        </w:rPr>
        <w:t xml:space="preserve"> lub niepełnosprawnoś</w:t>
      </w:r>
      <w:r w:rsidR="00CB3F0F" w:rsidRPr="00CE1385">
        <w:rPr>
          <w:rFonts w:ascii="Times New Roman" w:hAnsi="Times New Roman" w:cs="Times New Roman"/>
          <w:sz w:val="24"/>
          <w:szCs w:val="24"/>
        </w:rPr>
        <w:t>ć</w:t>
      </w:r>
      <w:r w:rsidR="00F544C4" w:rsidRPr="00CE1385">
        <w:rPr>
          <w:rFonts w:ascii="Times New Roman" w:hAnsi="Times New Roman" w:cs="Times New Roman"/>
          <w:sz w:val="24"/>
          <w:szCs w:val="24"/>
        </w:rPr>
        <w:t xml:space="preserve"> (informacja Legicoop).</w:t>
      </w:r>
    </w:p>
    <w:p w14:paraId="387839F6" w14:textId="0189153D" w:rsidR="0025651C" w:rsidRPr="00CE1385" w:rsidRDefault="002F1B69"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Holenderski Kodeks karny zawiera kilka przestępstw</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 xml:space="preserve">obszarze mowy nienawiści lub dyskryminacji. </w:t>
      </w:r>
      <w:r w:rsidR="00AD79AE" w:rsidRPr="00CE1385">
        <w:rPr>
          <w:rFonts w:ascii="Times New Roman" w:hAnsi="Times New Roman" w:cs="Times New Roman"/>
          <w:sz w:val="24"/>
          <w:szCs w:val="24"/>
        </w:rPr>
        <w:t>Przykładowo:</w:t>
      </w:r>
      <w:r w:rsidRPr="00CE1385">
        <w:rPr>
          <w:rFonts w:ascii="Times New Roman" w:hAnsi="Times New Roman" w:cs="Times New Roman"/>
          <w:sz w:val="24"/>
          <w:szCs w:val="24"/>
        </w:rPr>
        <w:t xml:space="preserve"> zniesławienie grupy osób ze względu na ich rasę, religię lub przekonania, orientację hetero- lub homoseksualną, niepełnosprawność fizyczną, psychiczną lub intelektualną (art. 137c); nawoływanie do nienawiści lub dyskryminacji wobec osób lub przemocy wobec osób lub mienia ze względu na ich rasę, religię lub przekonania, płeć, orientację hetero- lub homoseksualną, niepełnosprawność fizyczną, psychiczną lub intelektualną (art. 137d). Ponadto prokuratura pracuje</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oparciu o wytyczne zwane ramami dochodzenia</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ścigania dyskryminacji, które stanowią między innymi, że prokuratorzy powinni domagać się wyższego wymiaru kary (+100</w:t>
      </w:r>
      <w:r w:rsidR="007E70CA">
        <w:rPr>
          <w:rFonts w:ascii="Times New Roman" w:hAnsi="Times New Roman" w:cs="Times New Roman"/>
          <w:sz w:val="24"/>
          <w:szCs w:val="24"/>
        </w:rPr>
        <w:t> </w:t>
      </w:r>
      <w:r w:rsidRPr="00CE1385">
        <w:rPr>
          <w:rFonts w:ascii="Times New Roman" w:hAnsi="Times New Roman" w:cs="Times New Roman"/>
          <w:sz w:val="24"/>
          <w:szCs w:val="24"/>
        </w:rPr>
        <w:t>%), jeśli przestępstwo</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danej sprawie jest popełnione</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aspektem dyskryminacyjnym (informacja Legicoop).</w:t>
      </w:r>
    </w:p>
    <w:p w14:paraId="1FA97192" w14:textId="03006EF9" w:rsidR="00011624" w:rsidRPr="00CE1385" w:rsidRDefault="00CC4D17"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Na</w:t>
      </w:r>
      <w:r w:rsidR="00011624" w:rsidRPr="00CE1385">
        <w:rPr>
          <w:rFonts w:ascii="Times New Roman" w:hAnsi="Times New Roman" w:cs="Times New Roman"/>
          <w:sz w:val="24"/>
          <w:szCs w:val="24"/>
        </w:rPr>
        <w:t xml:space="preserve"> Malcie</w:t>
      </w:r>
      <w:r w:rsidR="0010539D" w:rsidRPr="00CE1385">
        <w:rPr>
          <w:rFonts w:ascii="Times New Roman" w:hAnsi="Times New Roman" w:cs="Times New Roman"/>
          <w:sz w:val="24"/>
          <w:szCs w:val="24"/>
        </w:rPr>
        <w:t xml:space="preserve"> art. </w:t>
      </w:r>
      <w:r w:rsidR="00011624" w:rsidRPr="00CE1385">
        <w:rPr>
          <w:rFonts w:ascii="Times New Roman" w:hAnsi="Times New Roman" w:cs="Times New Roman"/>
          <w:sz w:val="24"/>
          <w:szCs w:val="24"/>
        </w:rPr>
        <w:t>83B Kodeksu karnego przewiduje wyższe kary za przestępstwa motywowane</w:t>
      </w:r>
      <w:r w:rsidR="0010539D" w:rsidRPr="00CE1385">
        <w:rPr>
          <w:rFonts w:ascii="Times New Roman" w:hAnsi="Times New Roman" w:cs="Times New Roman"/>
          <w:sz w:val="24"/>
          <w:szCs w:val="24"/>
        </w:rPr>
        <w:t xml:space="preserve"> w </w:t>
      </w:r>
      <w:r w:rsidR="00011624" w:rsidRPr="00CE1385">
        <w:rPr>
          <w:rFonts w:ascii="Times New Roman" w:hAnsi="Times New Roman" w:cs="Times New Roman"/>
          <w:sz w:val="24"/>
          <w:szCs w:val="24"/>
        </w:rPr>
        <w:t>całości lub</w:t>
      </w:r>
      <w:r w:rsidR="0010539D" w:rsidRPr="00CE1385">
        <w:rPr>
          <w:rFonts w:ascii="Times New Roman" w:hAnsi="Times New Roman" w:cs="Times New Roman"/>
          <w:sz w:val="24"/>
          <w:szCs w:val="24"/>
        </w:rPr>
        <w:t xml:space="preserve"> w </w:t>
      </w:r>
      <w:r w:rsidR="00011624" w:rsidRPr="00CE1385">
        <w:rPr>
          <w:rFonts w:ascii="Times New Roman" w:hAnsi="Times New Roman" w:cs="Times New Roman"/>
          <w:sz w:val="24"/>
          <w:szCs w:val="24"/>
        </w:rPr>
        <w:t xml:space="preserve">części przez nienawiść wobec osób lub grup ze względu na płeć, tożsamość płciową, orientację seksualną, rasę, kolor </w:t>
      </w:r>
      <w:r w:rsidR="00070024" w:rsidRPr="00CE1385">
        <w:rPr>
          <w:rFonts w:ascii="Times New Roman" w:hAnsi="Times New Roman" w:cs="Times New Roman"/>
          <w:sz w:val="24"/>
          <w:szCs w:val="24"/>
        </w:rPr>
        <w:t>(</w:t>
      </w:r>
      <w:r w:rsidR="00011624" w:rsidRPr="00CE1385">
        <w:rPr>
          <w:rFonts w:ascii="Times New Roman" w:hAnsi="Times New Roman" w:cs="Times New Roman"/>
          <w:sz w:val="24"/>
          <w:szCs w:val="24"/>
        </w:rPr>
        <w:t>skóry</w:t>
      </w:r>
      <w:r w:rsidR="00070024" w:rsidRPr="00CE1385">
        <w:rPr>
          <w:rFonts w:ascii="Times New Roman" w:hAnsi="Times New Roman" w:cs="Times New Roman"/>
          <w:sz w:val="24"/>
          <w:szCs w:val="24"/>
        </w:rPr>
        <w:t>)</w:t>
      </w:r>
      <w:r w:rsidR="00011624" w:rsidRPr="00CE1385">
        <w:rPr>
          <w:rFonts w:ascii="Times New Roman" w:hAnsi="Times New Roman" w:cs="Times New Roman"/>
          <w:sz w:val="24"/>
          <w:szCs w:val="24"/>
        </w:rPr>
        <w:t>, język, narodowość lub pochodzenie etniczne, obywatelstwo, religię lub światopogląd, opinię polityczną lub inną</w:t>
      </w:r>
      <w:r w:rsidR="001A3255" w:rsidRPr="00CE1385">
        <w:rPr>
          <w:rFonts w:ascii="Times New Roman" w:hAnsi="Times New Roman" w:cs="Times New Roman"/>
          <w:sz w:val="24"/>
          <w:szCs w:val="24"/>
          <w:u w:val="single"/>
        </w:rPr>
        <w:t xml:space="preserve"> </w:t>
      </w:r>
      <w:r w:rsidR="001A3255" w:rsidRPr="00CE1385">
        <w:rPr>
          <w:rFonts w:ascii="Times New Roman" w:hAnsi="Times New Roman" w:cs="Times New Roman"/>
          <w:sz w:val="24"/>
          <w:szCs w:val="24"/>
        </w:rPr>
        <w:t>(informacja z</w:t>
      </w:r>
      <w:r w:rsidR="001A2EA6" w:rsidRPr="00CE1385">
        <w:rPr>
          <w:rFonts w:ascii="Times New Roman" w:hAnsi="Times New Roman" w:cs="Times New Roman"/>
          <w:sz w:val="24"/>
          <w:szCs w:val="24"/>
        </w:rPr>
        <w:t>:</w:t>
      </w:r>
      <w:r w:rsidR="001A3255" w:rsidRPr="00CE1385">
        <w:rPr>
          <w:rFonts w:ascii="Times New Roman" w:hAnsi="Times New Roman" w:cs="Times New Roman"/>
          <w:sz w:val="24"/>
          <w:szCs w:val="24"/>
        </w:rPr>
        <w:t xml:space="preserve"> Przestępstwa motywowane uprzedzeniami. Analiza</w:t>
      </w:r>
      <w:r w:rsidR="0010539D" w:rsidRPr="00CE1385">
        <w:rPr>
          <w:rFonts w:ascii="Times New Roman" w:hAnsi="Times New Roman" w:cs="Times New Roman"/>
          <w:sz w:val="24"/>
          <w:szCs w:val="24"/>
        </w:rPr>
        <w:t xml:space="preserve"> i </w:t>
      </w:r>
      <w:r w:rsidR="001A3255" w:rsidRPr="00CE1385">
        <w:rPr>
          <w:rFonts w:ascii="Times New Roman" w:hAnsi="Times New Roman" w:cs="Times New Roman"/>
          <w:sz w:val="24"/>
          <w:szCs w:val="24"/>
        </w:rPr>
        <w:t>zalecenia. Zasady równego traktowania – prawo</w:t>
      </w:r>
      <w:r w:rsidR="0010539D" w:rsidRPr="00CE1385">
        <w:rPr>
          <w:rFonts w:ascii="Times New Roman" w:hAnsi="Times New Roman" w:cs="Times New Roman"/>
          <w:sz w:val="24"/>
          <w:szCs w:val="24"/>
        </w:rPr>
        <w:t xml:space="preserve"> i </w:t>
      </w:r>
      <w:r w:rsidR="001A3255" w:rsidRPr="00CE1385">
        <w:rPr>
          <w:rFonts w:ascii="Times New Roman" w:hAnsi="Times New Roman" w:cs="Times New Roman"/>
          <w:sz w:val="24"/>
          <w:szCs w:val="24"/>
        </w:rPr>
        <w:t>praktyka</w:t>
      </w:r>
      <w:r w:rsidR="0010539D" w:rsidRPr="00CE1385">
        <w:rPr>
          <w:rFonts w:ascii="Times New Roman" w:hAnsi="Times New Roman" w:cs="Times New Roman"/>
          <w:sz w:val="24"/>
          <w:szCs w:val="24"/>
        </w:rPr>
        <w:t xml:space="preserve"> nr </w:t>
      </w:r>
      <w:r w:rsidR="001A3255" w:rsidRPr="00CE1385">
        <w:rPr>
          <w:rFonts w:ascii="Times New Roman" w:hAnsi="Times New Roman" w:cs="Times New Roman"/>
          <w:sz w:val="24"/>
          <w:szCs w:val="24"/>
        </w:rPr>
        <w:t>23. Biuletyn Rzecznika Praw Obywatelskich. Warszawa 2017)</w:t>
      </w:r>
      <w:r w:rsidR="000C2053" w:rsidRPr="00CE1385">
        <w:rPr>
          <w:rFonts w:ascii="Times New Roman" w:hAnsi="Times New Roman" w:cs="Times New Roman"/>
          <w:sz w:val="24"/>
          <w:szCs w:val="24"/>
        </w:rPr>
        <w:t>.</w:t>
      </w:r>
    </w:p>
    <w:p w14:paraId="6D740B36" w14:textId="29654B76" w:rsidR="007342AB" w:rsidRPr="00CE1385" w:rsidRDefault="007342AB"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Zgodnie</w:t>
      </w:r>
      <w:r w:rsidR="0001136D" w:rsidRPr="00CE1385">
        <w:rPr>
          <w:rFonts w:ascii="Times New Roman" w:hAnsi="Times New Roman" w:cs="Times New Roman"/>
          <w:sz w:val="24"/>
          <w:szCs w:val="24"/>
        </w:rPr>
        <w:t xml:space="preserve"> z </w:t>
      </w:r>
      <w:r w:rsidR="0010539D" w:rsidRPr="00CE1385">
        <w:rPr>
          <w:rFonts w:ascii="Times New Roman" w:hAnsi="Times New Roman" w:cs="Times New Roman"/>
          <w:sz w:val="24"/>
          <w:szCs w:val="24"/>
        </w:rPr>
        <w:t>art.</w:t>
      </w:r>
      <w:r w:rsidR="00F046EB" w:rsidRPr="00CE1385">
        <w:rPr>
          <w:rFonts w:ascii="Times New Roman" w:hAnsi="Times New Roman" w:cs="Times New Roman"/>
          <w:sz w:val="24"/>
          <w:szCs w:val="24"/>
        </w:rPr>
        <w:t xml:space="preserve"> </w:t>
      </w:r>
      <w:r w:rsidRPr="00CE1385">
        <w:rPr>
          <w:rFonts w:ascii="Times New Roman" w:hAnsi="Times New Roman" w:cs="Times New Roman"/>
          <w:sz w:val="24"/>
          <w:szCs w:val="24"/>
        </w:rPr>
        <w:t>87 §</w:t>
      </w:r>
      <w:r w:rsidR="0031352B" w:rsidRPr="00CE1385">
        <w:rPr>
          <w:rFonts w:ascii="Times New Roman" w:hAnsi="Times New Roman" w:cs="Times New Roman"/>
          <w:sz w:val="24"/>
          <w:szCs w:val="24"/>
        </w:rPr>
        <w:t xml:space="preserve"> 20 </w:t>
      </w:r>
      <w:r w:rsidRPr="00CE1385">
        <w:rPr>
          <w:rFonts w:ascii="Times New Roman" w:hAnsi="Times New Roman" w:cs="Times New Roman"/>
          <w:sz w:val="24"/>
          <w:szCs w:val="24"/>
        </w:rPr>
        <w:t>Kodeksu karnego Chorwacji</w:t>
      </w:r>
      <w:r w:rsidR="00F046EB" w:rsidRPr="00CE1385">
        <w:rPr>
          <w:rFonts w:ascii="Times New Roman" w:hAnsi="Times New Roman" w:cs="Times New Roman"/>
          <w:sz w:val="24"/>
          <w:szCs w:val="24"/>
        </w:rPr>
        <w:t>,</w:t>
      </w:r>
      <w:r w:rsidRPr="00CE1385">
        <w:rPr>
          <w:rFonts w:ascii="Times New Roman" w:hAnsi="Times New Roman" w:cs="Times New Roman"/>
          <w:sz w:val="24"/>
          <w:szCs w:val="24"/>
        </w:rPr>
        <w:t xml:space="preserve"> przestępstwo</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to przestępstwo popełnione</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 xml:space="preserve">powodu rasy, koloru </w:t>
      </w:r>
      <w:r w:rsidR="00070024" w:rsidRPr="00CE1385">
        <w:rPr>
          <w:rFonts w:ascii="Times New Roman" w:hAnsi="Times New Roman" w:cs="Times New Roman"/>
          <w:sz w:val="24"/>
          <w:szCs w:val="24"/>
        </w:rPr>
        <w:t>(</w:t>
      </w:r>
      <w:r w:rsidRPr="00CE1385">
        <w:rPr>
          <w:rFonts w:ascii="Times New Roman" w:hAnsi="Times New Roman" w:cs="Times New Roman"/>
          <w:sz w:val="24"/>
          <w:szCs w:val="24"/>
        </w:rPr>
        <w:t>skóry</w:t>
      </w:r>
      <w:r w:rsidR="00070024" w:rsidRPr="00CE1385">
        <w:rPr>
          <w:rFonts w:ascii="Times New Roman" w:hAnsi="Times New Roman" w:cs="Times New Roman"/>
          <w:sz w:val="24"/>
          <w:szCs w:val="24"/>
        </w:rPr>
        <w:t>)</w:t>
      </w:r>
      <w:r w:rsidRPr="00CE1385">
        <w:rPr>
          <w:rFonts w:ascii="Times New Roman" w:hAnsi="Times New Roman" w:cs="Times New Roman"/>
          <w:sz w:val="24"/>
          <w:szCs w:val="24"/>
        </w:rPr>
        <w:t xml:space="preserve">, religii, narodowości lub pochodzenia etnicznego, niepełnosprawności, płci, orientacji seksualnej lub tożsamości płciowej innej osoby; takie </w:t>
      </w:r>
      <w:r w:rsidRPr="00CE1385">
        <w:rPr>
          <w:rFonts w:ascii="Times New Roman" w:hAnsi="Times New Roman" w:cs="Times New Roman"/>
          <w:sz w:val="24"/>
          <w:szCs w:val="24"/>
        </w:rPr>
        <w:lastRenderedPageBreak/>
        <w:t>działania będą traktowane jako okoliczności zaostrzające karę, jeśli prawo nie przewiduje wyraźnie kary cięższej</w:t>
      </w:r>
      <w:r w:rsidR="001A3255" w:rsidRPr="00CE1385">
        <w:rPr>
          <w:rFonts w:ascii="Times New Roman" w:hAnsi="Times New Roman" w:cs="Times New Roman"/>
          <w:sz w:val="24"/>
          <w:szCs w:val="24"/>
        </w:rPr>
        <w:t xml:space="preserve"> (informacja z</w:t>
      </w:r>
      <w:r w:rsidR="001A2EA6" w:rsidRPr="00CE1385">
        <w:rPr>
          <w:rFonts w:ascii="Times New Roman" w:hAnsi="Times New Roman" w:cs="Times New Roman"/>
          <w:sz w:val="24"/>
          <w:szCs w:val="24"/>
        </w:rPr>
        <w:t>:</w:t>
      </w:r>
      <w:r w:rsidR="001A3255" w:rsidRPr="00CE1385">
        <w:rPr>
          <w:rFonts w:ascii="Times New Roman" w:hAnsi="Times New Roman" w:cs="Times New Roman"/>
          <w:sz w:val="24"/>
          <w:szCs w:val="24"/>
        </w:rPr>
        <w:t xml:space="preserve"> Przestępstwa motywowane uprzedzeniami. Analiza</w:t>
      </w:r>
      <w:r w:rsidR="0010539D" w:rsidRPr="00CE1385">
        <w:rPr>
          <w:rFonts w:ascii="Times New Roman" w:hAnsi="Times New Roman" w:cs="Times New Roman"/>
          <w:sz w:val="24"/>
          <w:szCs w:val="24"/>
        </w:rPr>
        <w:t xml:space="preserve"> i </w:t>
      </w:r>
      <w:r w:rsidR="001A3255" w:rsidRPr="00CE1385">
        <w:rPr>
          <w:rFonts w:ascii="Times New Roman" w:hAnsi="Times New Roman" w:cs="Times New Roman"/>
          <w:sz w:val="24"/>
          <w:szCs w:val="24"/>
        </w:rPr>
        <w:t>zalecenia. Zasady równego traktowania – prawo</w:t>
      </w:r>
      <w:r w:rsidR="0010539D" w:rsidRPr="00CE1385">
        <w:rPr>
          <w:rFonts w:ascii="Times New Roman" w:hAnsi="Times New Roman" w:cs="Times New Roman"/>
          <w:sz w:val="24"/>
          <w:szCs w:val="24"/>
        </w:rPr>
        <w:t xml:space="preserve"> i </w:t>
      </w:r>
      <w:r w:rsidR="001A3255" w:rsidRPr="00CE1385">
        <w:rPr>
          <w:rFonts w:ascii="Times New Roman" w:hAnsi="Times New Roman" w:cs="Times New Roman"/>
          <w:sz w:val="24"/>
          <w:szCs w:val="24"/>
        </w:rPr>
        <w:t>praktyka</w:t>
      </w:r>
      <w:r w:rsidR="0010539D" w:rsidRPr="00CE1385">
        <w:rPr>
          <w:rFonts w:ascii="Times New Roman" w:hAnsi="Times New Roman" w:cs="Times New Roman"/>
          <w:sz w:val="24"/>
          <w:szCs w:val="24"/>
        </w:rPr>
        <w:t xml:space="preserve"> nr </w:t>
      </w:r>
      <w:r w:rsidR="001A3255" w:rsidRPr="00CE1385">
        <w:rPr>
          <w:rFonts w:ascii="Times New Roman" w:hAnsi="Times New Roman" w:cs="Times New Roman"/>
          <w:sz w:val="24"/>
          <w:szCs w:val="24"/>
        </w:rPr>
        <w:t>23. Biuletyn Rzecznika Praw Obywatelskich. Warszawa 2017)</w:t>
      </w:r>
      <w:r w:rsidR="000C2053" w:rsidRPr="00CE1385">
        <w:rPr>
          <w:rFonts w:ascii="Times New Roman" w:hAnsi="Times New Roman" w:cs="Times New Roman"/>
          <w:sz w:val="24"/>
          <w:szCs w:val="24"/>
        </w:rPr>
        <w:t>.</w:t>
      </w:r>
    </w:p>
    <w:p w14:paraId="28F7D826" w14:textId="2E0CA9D0" w:rsidR="007342AB" w:rsidRPr="00CE1385" w:rsidRDefault="001506A8"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Przepis</w:t>
      </w:r>
      <w:r w:rsidR="0010539D" w:rsidRPr="00CE1385">
        <w:rPr>
          <w:rFonts w:ascii="Times New Roman" w:hAnsi="Times New Roman" w:cs="Times New Roman"/>
          <w:sz w:val="24"/>
          <w:szCs w:val="24"/>
        </w:rPr>
        <w:t xml:space="preserve"> art. </w:t>
      </w:r>
      <w:r w:rsidR="00B80684" w:rsidRPr="00CE1385">
        <w:rPr>
          <w:rFonts w:ascii="Times New Roman" w:hAnsi="Times New Roman" w:cs="Times New Roman"/>
          <w:sz w:val="24"/>
          <w:szCs w:val="24"/>
        </w:rPr>
        <w:t xml:space="preserve">60 </w:t>
      </w:r>
      <w:r w:rsidR="00CC4D17" w:rsidRPr="00CE1385">
        <w:rPr>
          <w:rFonts w:ascii="Times New Roman" w:hAnsi="Times New Roman" w:cs="Times New Roman"/>
          <w:sz w:val="24"/>
          <w:szCs w:val="24"/>
        </w:rPr>
        <w:t>K</w:t>
      </w:r>
      <w:r w:rsidR="00B80684" w:rsidRPr="00CE1385">
        <w:rPr>
          <w:rFonts w:ascii="Times New Roman" w:hAnsi="Times New Roman" w:cs="Times New Roman"/>
          <w:sz w:val="24"/>
          <w:szCs w:val="24"/>
        </w:rPr>
        <w:t xml:space="preserve">odeksu karnego Litwy uznaje za okoliczność obciążającą motywację opartą na nienawiści wobec grupy osób lub osób należących do niej ze względu na wiek, płeć, orientację seksualną, niepełnosprawność, rasę, narodowość, język, pochodzenie, status społeczny, religię, przekonania lub poglądy </w:t>
      </w:r>
      <w:r w:rsidR="001A3255" w:rsidRPr="00CE1385">
        <w:rPr>
          <w:rFonts w:ascii="Times New Roman" w:hAnsi="Times New Roman" w:cs="Times New Roman"/>
          <w:sz w:val="24"/>
          <w:szCs w:val="24"/>
        </w:rPr>
        <w:t>(informacja z</w:t>
      </w:r>
      <w:r w:rsidR="00004F39" w:rsidRPr="00CE1385">
        <w:rPr>
          <w:rFonts w:ascii="Times New Roman" w:hAnsi="Times New Roman" w:cs="Times New Roman"/>
          <w:sz w:val="24"/>
          <w:szCs w:val="24"/>
        </w:rPr>
        <w:t>:</w:t>
      </w:r>
      <w:r w:rsidR="001A3255" w:rsidRPr="00CE1385">
        <w:rPr>
          <w:rFonts w:ascii="Times New Roman" w:hAnsi="Times New Roman" w:cs="Times New Roman"/>
          <w:sz w:val="24"/>
          <w:szCs w:val="24"/>
        </w:rPr>
        <w:t xml:space="preserve"> Przestępstwa motywowane uprzedzeniami. Analiza</w:t>
      </w:r>
      <w:r w:rsidR="0010539D" w:rsidRPr="00CE1385">
        <w:rPr>
          <w:rFonts w:ascii="Times New Roman" w:hAnsi="Times New Roman" w:cs="Times New Roman"/>
          <w:sz w:val="24"/>
          <w:szCs w:val="24"/>
        </w:rPr>
        <w:t xml:space="preserve"> i </w:t>
      </w:r>
      <w:r w:rsidR="001A3255" w:rsidRPr="00CE1385">
        <w:rPr>
          <w:rFonts w:ascii="Times New Roman" w:hAnsi="Times New Roman" w:cs="Times New Roman"/>
          <w:sz w:val="24"/>
          <w:szCs w:val="24"/>
        </w:rPr>
        <w:t>zalecenia. Zasady równego traktowania – prawo</w:t>
      </w:r>
      <w:r w:rsidR="0010539D" w:rsidRPr="00CE1385">
        <w:rPr>
          <w:rFonts w:ascii="Times New Roman" w:hAnsi="Times New Roman" w:cs="Times New Roman"/>
          <w:sz w:val="24"/>
          <w:szCs w:val="24"/>
        </w:rPr>
        <w:t xml:space="preserve"> i </w:t>
      </w:r>
      <w:r w:rsidR="001A3255" w:rsidRPr="00CE1385">
        <w:rPr>
          <w:rFonts w:ascii="Times New Roman" w:hAnsi="Times New Roman" w:cs="Times New Roman"/>
          <w:sz w:val="24"/>
          <w:szCs w:val="24"/>
        </w:rPr>
        <w:t>praktyka</w:t>
      </w:r>
      <w:r w:rsidR="0010539D" w:rsidRPr="00CE1385">
        <w:rPr>
          <w:rFonts w:ascii="Times New Roman" w:hAnsi="Times New Roman" w:cs="Times New Roman"/>
          <w:sz w:val="24"/>
          <w:szCs w:val="24"/>
        </w:rPr>
        <w:t xml:space="preserve"> nr </w:t>
      </w:r>
      <w:r w:rsidR="001A3255" w:rsidRPr="00CE1385">
        <w:rPr>
          <w:rFonts w:ascii="Times New Roman" w:hAnsi="Times New Roman" w:cs="Times New Roman"/>
          <w:sz w:val="24"/>
          <w:szCs w:val="24"/>
        </w:rPr>
        <w:t>23. Biuletyn Rzecznika Praw Obywatelskich. Warszawa 2017)</w:t>
      </w:r>
      <w:r w:rsidR="000C2053" w:rsidRPr="00CE1385">
        <w:rPr>
          <w:rFonts w:ascii="Times New Roman" w:hAnsi="Times New Roman" w:cs="Times New Roman"/>
          <w:sz w:val="24"/>
          <w:szCs w:val="24"/>
        </w:rPr>
        <w:t>.</w:t>
      </w:r>
    </w:p>
    <w:p w14:paraId="5393EF70" w14:textId="36DB5007" w:rsidR="00B04CE2" w:rsidRPr="00CE1385" w:rsidRDefault="00B80684"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W Belgii kilka przepisów Kodeksu karnego dotyczących m</w:t>
      </w:r>
      <w:r w:rsidR="00AD79AE" w:rsidRPr="00CE1385">
        <w:rPr>
          <w:rFonts w:ascii="Times New Roman" w:hAnsi="Times New Roman" w:cs="Times New Roman"/>
          <w:sz w:val="24"/>
          <w:szCs w:val="24"/>
        </w:rPr>
        <w:t>iędzy innymi</w:t>
      </w:r>
      <w:r w:rsidRPr="00CE1385">
        <w:rPr>
          <w:rFonts w:ascii="Times New Roman" w:hAnsi="Times New Roman" w:cs="Times New Roman"/>
          <w:sz w:val="24"/>
          <w:szCs w:val="24"/>
        </w:rPr>
        <w:t xml:space="preserve"> zabójstwa (art. 405), zgwałcenia (art. 377 bis), podpalenia (art. 514 bis) czy zniszczenia mienia (art. 532 bis) posiada formy kwalifikowane. Kara jest zaostrzona, jeśli jedna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 xml:space="preserve">motywacji działania oparta była na rasie, kolorze </w:t>
      </w:r>
      <w:r w:rsidR="00070024" w:rsidRPr="00CE1385">
        <w:rPr>
          <w:rFonts w:ascii="Times New Roman" w:hAnsi="Times New Roman" w:cs="Times New Roman"/>
          <w:sz w:val="24"/>
          <w:szCs w:val="24"/>
        </w:rPr>
        <w:t>(</w:t>
      </w:r>
      <w:r w:rsidRPr="00CE1385">
        <w:rPr>
          <w:rFonts w:ascii="Times New Roman" w:hAnsi="Times New Roman" w:cs="Times New Roman"/>
          <w:sz w:val="24"/>
          <w:szCs w:val="24"/>
        </w:rPr>
        <w:t>skóry</w:t>
      </w:r>
      <w:r w:rsidR="00070024" w:rsidRPr="00CE1385">
        <w:rPr>
          <w:rFonts w:ascii="Times New Roman" w:hAnsi="Times New Roman" w:cs="Times New Roman"/>
          <w:sz w:val="24"/>
          <w:szCs w:val="24"/>
        </w:rPr>
        <w:t>)</w:t>
      </w:r>
      <w:r w:rsidRPr="00CE1385">
        <w:rPr>
          <w:rFonts w:ascii="Times New Roman" w:hAnsi="Times New Roman" w:cs="Times New Roman"/>
          <w:sz w:val="24"/>
          <w:szCs w:val="24"/>
        </w:rPr>
        <w:t>, pochodzeniu, pochodzeniu narodowym lub etnicznym, płci, orientacji seksualnej, stanie cywilnym, urodzeniu, majątku, wieku, przekonaniach lub filozofii życia, obecnym</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 xml:space="preserve">przyszłym stanie zdrowia, niepełnosprawności lub cechach fizycznych </w:t>
      </w:r>
      <w:r w:rsidR="001A3255" w:rsidRPr="00CE1385">
        <w:rPr>
          <w:rFonts w:ascii="Times New Roman" w:hAnsi="Times New Roman" w:cs="Times New Roman"/>
          <w:sz w:val="24"/>
          <w:szCs w:val="24"/>
        </w:rPr>
        <w:t>(informacja z</w:t>
      </w:r>
      <w:r w:rsidR="00004F39" w:rsidRPr="00CE1385">
        <w:rPr>
          <w:rFonts w:ascii="Times New Roman" w:hAnsi="Times New Roman" w:cs="Times New Roman"/>
          <w:sz w:val="24"/>
          <w:szCs w:val="24"/>
        </w:rPr>
        <w:t>:</w:t>
      </w:r>
      <w:r w:rsidR="001A3255" w:rsidRPr="00CE1385">
        <w:rPr>
          <w:rFonts w:ascii="Times New Roman" w:hAnsi="Times New Roman" w:cs="Times New Roman"/>
          <w:sz w:val="24"/>
          <w:szCs w:val="24"/>
        </w:rPr>
        <w:t xml:space="preserve"> Przestępstwa motywowane uprzedzeniami. Analiza</w:t>
      </w:r>
      <w:r w:rsidR="0010539D" w:rsidRPr="00CE1385">
        <w:rPr>
          <w:rFonts w:ascii="Times New Roman" w:hAnsi="Times New Roman" w:cs="Times New Roman"/>
          <w:sz w:val="24"/>
          <w:szCs w:val="24"/>
        </w:rPr>
        <w:t xml:space="preserve"> i </w:t>
      </w:r>
      <w:r w:rsidR="001A3255" w:rsidRPr="00CE1385">
        <w:rPr>
          <w:rFonts w:ascii="Times New Roman" w:hAnsi="Times New Roman" w:cs="Times New Roman"/>
          <w:sz w:val="24"/>
          <w:szCs w:val="24"/>
        </w:rPr>
        <w:t>zalecenia. Zasady równego traktowania – prawo</w:t>
      </w:r>
      <w:r w:rsidR="0010539D" w:rsidRPr="00CE1385">
        <w:rPr>
          <w:rFonts w:ascii="Times New Roman" w:hAnsi="Times New Roman" w:cs="Times New Roman"/>
          <w:sz w:val="24"/>
          <w:szCs w:val="24"/>
        </w:rPr>
        <w:t xml:space="preserve"> i </w:t>
      </w:r>
      <w:r w:rsidR="001A3255" w:rsidRPr="00CE1385">
        <w:rPr>
          <w:rFonts w:ascii="Times New Roman" w:hAnsi="Times New Roman" w:cs="Times New Roman"/>
          <w:sz w:val="24"/>
          <w:szCs w:val="24"/>
        </w:rPr>
        <w:t>praktyka</w:t>
      </w:r>
      <w:r w:rsidR="0010539D" w:rsidRPr="00CE1385">
        <w:rPr>
          <w:rFonts w:ascii="Times New Roman" w:hAnsi="Times New Roman" w:cs="Times New Roman"/>
          <w:sz w:val="24"/>
          <w:szCs w:val="24"/>
        </w:rPr>
        <w:t xml:space="preserve"> nr </w:t>
      </w:r>
      <w:r w:rsidR="001A3255" w:rsidRPr="00CE1385">
        <w:rPr>
          <w:rFonts w:ascii="Times New Roman" w:hAnsi="Times New Roman" w:cs="Times New Roman"/>
          <w:sz w:val="24"/>
          <w:szCs w:val="24"/>
        </w:rPr>
        <w:t>23. Biuletyn Rzecznika Praw Obywatelskich. Warszawa 2017)</w:t>
      </w:r>
      <w:r w:rsidR="000C2053" w:rsidRPr="00CE1385">
        <w:rPr>
          <w:rFonts w:ascii="Times New Roman" w:hAnsi="Times New Roman" w:cs="Times New Roman"/>
          <w:sz w:val="24"/>
          <w:szCs w:val="24"/>
        </w:rPr>
        <w:t>.</w:t>
      </w:r>
    </w:p>
    <w:p w14:paraId="7BF660A2" w14:textId="6DDDCB4E" w:rsidR="00B04CE2" w:rsidRPr="00CE1385" w:rsidRDefault="00C57307"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Z</w:t>
      </w:r>
      <w:r w:rsidR="00B04CE2" w:rsidRPr="00CE1385">
        <w:rPr>
          <w:rFonts w:ascii="Times New Roman" w:hAnsi="Times New Roman" w:cs="Times New Roman"/>
          <w:sz w:val="24"/>
          <w:szCs w:val="24"/>
        </w:rPr>
        <w:t>godnie</w:t>
      </w:r>
      <w:r w:rsidR="0001136D" w:rsidRPr="00CE1385">
        <w:rPr>
          <w:rFonts w:ascii="Times New Roman" w:hAnsi="Times New Roman" w:cs="Times New Roman"/>
          <w:sz w:val="24"/>
          <w:szCs w:val="24"/>
        </w:rPr>
        <w:t xml:space="preserve"> z </w:t>
      </w:r>
      <w:r w:rsidR="0010539D" w:rsidRPr="00CE1385">
        <w:rPr>
          <w:rFonts w:ascii="Times New Roman" w:hAnsi="Times New Roman" w:cs="Times New Roman"/>
          <w:sz w:val="24"/>
          <w:szCs w:val="24"/>
        </w:rPr>
        <w:t>art. </w:t>
      </w:r>
      <w:r w:rsidR="00B04CE2" w:rsidRPr="00CE1385">
        <w:rPr>
          <w:rFonts w:ascii="Times New Roman" w:hAnsi="Times New Roman" w:cs="Times New Roman"/>
          <w:sz w:val="24"/>
          <w:szCs w:val="24"/>
        </w:rPr>
        <w:t xml:space="preserve">132-77 francuskiego </w:t>
      </w:r>
      <w:r w:rsidR="00492066" w:rsidRPr="00CE1385">
        <w:rPr>
          <w:rFonts w:ascii="Times New Roman" w:hAnsi="Times New Roman" w:cs="Times New Roman"/>
          <w:sz w:val="24"/>
          <w:szCs w:val="24"/>
        </w:rPr>
        <w:t>K</w:t>
      </w:r>
      <w:r w:rsidR="00B04CE2" w:rsidRPr="00CE1385">
        <w:rPr>
          <w:rFonts w:ascii="Times New Roman" w:hAnsi="Times New Roman" w:cs="Times New Roman"/>
          <w:sz w:val="24"/>
          <w:szCs w:val="24"/>
        </w:rPr>
        <w:t>odeksu karnego</w:t>
      </w:r>
      <w:r w:rsidRPr="00CE1385">
        <w:rPr>
          <w:rFonts w:ascii="Times New Roman" w:hAnsi="Times New Roman" w:cs="Times New Roman"/>
          <w:sz w:val="24"/>
          <w:szCs w:val="24"/>
        </w:rPr>
        <w:t xml:space="preserve"> maksymalny wymiar kary pozbawienia wolności zwiększa się</w:t>
      </w:r>
      <w:r w:rsidR="005B5534">
        <w:rPr>
          <w:rFonts w:ascii="Times New Roman" w:hAnsi="Times New Roman" w:cs="Times New Roman"/>
          <w:sz w:val="24"/>
          <w:szCs w:val="24"/>
        </w:rPr>
        <w:t>,</w:t>
      </w:r>
      <w:r w:rsidRPr="00CE1385">
        <w:rPr>
          <w:rFonts w:ascii="Times New Roman" w:hAnsi="Times New Roman" w:cs="Times New Roman"/>
          <w:sz w:val="24"/>
          <w:szCs w:val="24"/>
        </w:rPr>
        <w:t xml:space="preserve"> jeżeli przestępstwo lub wykroczenie poprzedzają, towarzyszą lub następują po nim słowa, pisma, obrazy, przedmioty lub czyny jakiegokolwiek rodzaju godzące</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dobre imię lub cześć ofiary lub grupy osób, których ofiara jest częścią ze względu na jej rzeczywistą lub domniemaną płeć, orientację seksualną lub tożsamość płciową, lub ustalają, że czyny zostały popełnione przeciwko ofierze</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jednego</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tych powodów.</w:t>
      </w:r>
    </w:p>
    <w:p w14:paraId="2E7887FE" w14:textId="0A4080C1" w:rsidR="00EE1D44" w:rsidRPr="00CE1385" w:rsidRDefault="007039FE" w:rsidP="00412841">
      <w:pPr>
        <w:spacing w:before="240" w:after="0" w:line="360" w:lineRule="auto"/>
        <w:jc w:val="both"/>
        <w:rPr>
          <w:rFonts w:ascii="Times New Roman" w:hAnsi="Times New Roman" w:cs="Times New Roman"/>
          <w:b/>
          <w:bCs/>
          <w:sz w:val="24"/>
          <w:szCs w:val="24"/>
        </w:rPr>
      </w:pPr>
      <w:r w:rsidRPr="00CE1385">
        <w:rPr>
          <w:rFonts w:ascii="Times New Roman" w:hAnsi="Times New Roman" w:cs="Times New Roman"/>
          <w:b/>
          <w:bCs/>
          <w:sz w:val="24"/>
          <w:szCs w:val="24"/>
        </w:rPr>
        <w:t xml:space="preserve">Wystąpienia Rzecznika Praw Obywatelskich </w:t>
      </w:r>
    </w:p>
    <w:p w14:paraId="5A5CEB62" w14:textId="578CE5BF" w:rsidR="00E1036E" w:rsidRPr="00CE1385" w:rsidRDefault="00CE55F7" w:rsidP="00412841">
      <w:pPr>
        <w:spacing w:before="120" w:after="0" w:line="360" w:lineRule="auto"/>
        <w:jc w:val="both"/>
        <w:rPr>
          <w:rStyle w:val="FontStyle17"/>
          <w:b w:val="0"/>
          <w:bCs w:val="0"/>
        </w:rPr>
      </w:pPr>
      <w:r w:rsidRPr="00CE1385">
        <w:rPr>
          <w:rFonts w:ascii="Times New Roman" w:hAnsi="Times New Roman" w:cs="Times New Roman"/>
          <w:sz w:val="24"/>
          <w:szCs w:val="24"/>
        </w:rPr>
        <w:t>W wystąpieniu</w:t>
      </w:r>
      <w:r w:rsidR="0001136D" w:rsidRPr="00CE1385">
        <w:rPr>
          <w:rFonts w:ascii="Times New Roman" w:hAnsi="Times New Roman" w:cs="Times New Roman"/>
          <w:sz w:val="24"/>
          <w:szCs w:val="24"/>
        </w:rPr>
        <w:t xml:space="preserve"> z dnia </w:t>
      </w:r>
      <w:r w:rsidRPr="00CE1385">
        <w:rPr>
          <w:rFonts w:ascii="Times New Roman" w:hAnsi="Times New Roman" w:cs="Times New Roman"/>
          <w:sz w:val="24"/>
          <w:szCs w:val="24"/>
        </w:rPr>
        <w:t>11 lutego 2016 r. skierowanym do Ministra Sprawiedliwości (XI.</w:t>
      </w:r>
      <w:r w:rsidR="00544D40" w:rsidRPr="00CE1385">
        <w:rPr>
          <w:rFonts w:ascii="Times New Roman" w:hAnsi="Times New Roman" w:cs="Times New Roman"/>
          <w:sz w:val="24"/>
          <w:szCs w:val="24"/>
        </w:rPr>
        <w:t>816.10.2015.AM</w:t>
      </w:r>
      <w:r w:rsidRPr="00CE1385">
        <w:rPr>
          <w:rFonts w:ascii="Times New Roman" w:hAnsi="Times New Roman" w:cs="Times New Roman"/>
          <w:sz w:val="24"/>
          <w:szCs w:val="24"/>
        </w:rPr>
        <w:t>) Rzecznik Praw Obywatelskich</w:t>
      </w:r>
      <w:r w:rsidR="00544D40" w:rsidRPr="00CE1385">
        <w:rPr>
          <w:rFonts w:ascii="Times New Roman" w:hAnsi="Times New Roman" w:cs="Times New Roman"/>
          <w:sz w:val="24"/>
          <w:szCs w:val="24"/>
        </w:rPr>
        <w:t xml:space="preserve"> wskazał, że p</w:t>
      </w:r>
      <w:r w:rsidR="00544D40" w:rsidRPr="00CE1385">
        <w:rPr>
          <w:rStyle w:val="FontStyle28"/>
          <w:sz w:val="24"/>
          <w:szCs w:val="24"/>
        </w:rPr>
        <w:t>rzemoc wobec osób nieheteroseksualnych, transpłciowych, osób starszych</w:t>
      </w:r>
      <w:r w:rsidR="0010539D" w:rsidRPr="00CE1385">
        <w:rPr>
          <w:rStyle w:val="FontStyle28"/>
          <w:sz w:val="24"/>
          <w:szCs w:val="24"/>
        </w:rPr>
        <w:t xml:space="preserve"> i </w:t>
      </w:r>
      <w:r w:rsidR="00544D40" w:rsidRPr="00CE1385">
        <w:rPr>
          <w:rStyle w:val="FontStyle28"/>
          <w:sz w:val="24"/>
          <w:szCs w:val="24"/>
        </w:rPr>
        <w:t>osób</w:t>
      </w:r>
      <w:r w:rsidR="0001136D" w:rsidRPr="00CE1385">
        <w:rPr>
          <w:rStyle w:val="FontStyle28"/>
          <w:sz w:val="24"/>
          <w:szCs w:val="24"/>
        </w:rPr>
        <w:t xml:space="preserve"> z </w:t>
      </w:r>
      <w:r w:rsidR="00544D40" w:rsidRPr="00CE1385">
        <w:rPr>
          <w:rStyle w:val="FontStyle28"/>
          <w:sz w:val="24"/>
          <w:szCs w:val="24"/>
        </w:rPr>
        <w:t xml:space="preserve">niepełnosprawnościami ma szczególny charakter </w:t>
      </w:r>
      <w:r w:rsidR="00DE5C8F" w:rsidRPr="00CE1385">
        <w:rPr>
          <w:rStyle w:val="FontStyle28"/>
          <w:sz w:val="24"/>
          <w:szCs w:val="24"/>
        </w:rPr>
        <w:t>–</w:t>
      </w:r>
      <w:r w:rsidR="00544D40" w:rsidRPr="00CE1385">
        <w:rPr>
          <w:rStyle w:val="FontStyle28"/>
          <w:sz w:val="24"/>
          <w:szCs w:val="24"/>
        </w:rPr>
        <w:t xml:space="preserve"> ze względu na fakt, że jej motywem są uprzedzenia sprawcy, sprawy tego rodzaju wymagają zwiększonych wysiłków na rzecz ich wykrywania, ścigania</w:t>
      </w:r>
      <w:r w:rsidR="0010539D" w:rsidRPr="00CE1385">
        <w:rPr>
          <w:rStyle w:val="FontStyle28"/>
          <w:sz w:val="24"/>
          <w:szCs w:val="24"/>
        </w:rPr>
        <w:t xml:space="preserve"> i </w:t>
      </w:r>
      <w:r w:rsidR="00544D40" w:rsidRPr="00CE1385">
        <w:rPr>
          <w:rStyle w:val="FontStyle28"/>
          <w:sz w:val="24"/>
          <w:szCs w:val="24"/>
        </w:rPr>
        <w:t xml:space="preserve">karania. </w:t>
      </w:r>
      <w:r w:rsidR="00544D40" w:rsidRPr="00CE1385">
        <w:rPr>
          <w:rStyle w:val="FontStyle17"/>
          <w:b w:val="0"/>
          <w:bCs w:val="0"/>
        </w:rPr>
        <w:t xml:space="preserve">Stanowcza reakcja państwa na przejawy tego rodzaju przemocy stanowi gwarancję realizacji </w:t>
      </w:r>
      <w:r w:rsidR="00544D40" w:rsidRPr="00CE1385">
        <w:rPr>
          <w:rStyle w:val="FontStyle17"/>
          <w:b w:val="0"/>
          <w:bCs w:val="0"/>
        </w:rPr>
        <w:lastRenderedPageBreak/>
        <w:t>międzynarodowych standardów ochrony praw</w:t>
      </w:r>
      <w:r w:rsidR="0010539D" w:rsidRPr="00CE1385">
        <w:rPr>
          <w:rStyle w:val="FontStyle17"/>
          <w:b w:val="0"/>
          <w:bCs w:val="0"/>
        </w:rPr>
        <w:t xml:space="preserve"> i </w:t>
      </w:r>
      <w:r w:rsidR="00544D40" w:rsidRPr="00CE1385">
        <w:rPr>
          <w:rStyle w:val="FontStyle17"/>
          <w:b w:val="0"/>
          <w:bCs w:val="0"/>
        </w:rPr>
        <w:t>wolności ofiar przestępstw motywowanych uprzedzeniami.</w:t>
      </w:r>
    </w:p>
    <w:p w14:paraId="7847D492" w14:textId="6A7587D0" w:rsidR="00EE1D44" w:rsidRPr="00CE1385" w:rsidRDefault="00EE1D44"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W wystąpieniu</w:t>
      </w:r>
      <w:r w:rsidR="0001136D" w:rsidRPr="00CE1385">
        <w:rPr>
          <w:rFonts w:ascii="Times New Roman" w:hAnsi="Times New Roman" w:cs="Times New Roman"/>
          <w:sz w:val="24"/>
          <w:szCs w:val="24"/>
        </w:rPr>
        <w:t xml:space="preserve"> z dnia </w:t>
      </w:r>
      <w:r w:rsidRPr="00CE1385">
        <w:rPr>
          <w:rFonts w:ascii="Times New Roman" w:hAnsi="Times New Roman" w:cs="Times New Roman"/>
          <w:sz w:val="24"/>
          <w:szCs w:val="24"/>
        </w:rPr>
        <w:t xml:space="preserve">14 maja 2020 r. skierowanym do Ministra Sprawiedliwości (XI.503.3.2020.MA) Rzecznik Praw Obywatelskich wskazał, że </w:t>
      </w:r>
      <w:r w:rsidR="00335E6B" w:rsidRPr="00CE1385">
        <w:rPr>
          <w:rFonts w:ascii="Times New Roman" w:hAnsi="Times New Roman" w:cs="Times New Roman"/>
          <w:sz w:val="24"/>
          <w:szCs w:val="24"/>
        </w:rPr>
        <w:t>przestępstwa</w:t>
      </w:r>
      <w:r w:rsidR="0001136D" w:rsidRPr="00CE1385">
        <w:rPr>
          <w:rFonts w:ascii="Times New Roman" w:hAnsi="Times New Roman" w:cs="Times New Roman"/>
          <w:sz w:val="24"/>
          <w:szCs w:val="24"/>
        </w:rPr>
        <w:t xml:space="preserve"> z </w:t>
      </w:r>
      <w:r w:rsidR="00335E6B" w:rsidRPr="00CE1385">
        <w:rPr>
          <w:rFonts w:ascii="Times New Roman" w:hAnsi="Times New Roman" w:cs="Times New Roman"/>
          <w:sz w:val="24"/>
          <w:szCs w:val="24"/>
        </w:rPr>
        <w:t>nienawiści,</w:t>
      </w:r>
      <w:r w:rsidR="0010539D" w:rsidRPr="00CE1385">
        <w:rPr>
          <w:rFonts w:ascii="Times New Roman" w:hAnsi="Times New Roman" w:cs="Times New Roman"/>
          <w:sz w:val="24"/>
          <w:szCs w:val="24"/>
        </w:rPr>
        <w:t xml:space="preserve"> w </w:t>
      </w:r>
      <w:r w:rsidR="00335E6B" w:rsidRPr="00CE1385">
        <w:rPr>
          <w:rFonts w:ascii="Times New Roman" w:hAnsi="Times New Roman" w:cs="Times New Roman"/>
          <w:sz w:val="24"/>
          <w:szCs w:val="24"/>
        </w:rPr>
        <w:t>tym mowa nienawiści, są zjawiskami szczególnie niebezpiecznymi. Stanowią najgroźniejszą formę nierównego traktowania</w:t>
      </w:r>
      <w:r w:rsidR="0010539D" w:rsidRPr="00CE1385">
        <w:rPr>
          <w:rFonts w:ascii="Times New Roman" w:hAnsi="Times New Roman" w:cs="Times New Roman"/>
          <w:sz w:val="24"/>
          <w:szCs w:val="24"/>
        </w:rPr>
        <w:t xml:space="preserve"> i </w:t>
      </w:r>
      <w:r w:rsidR="00335E6B" w:rsidRPr="00CE1385">
        <w:rPr>
          <w:rFonts w:ascii="Times New Roman" w:hAnsi="Times New Roman" w:cs="Times New Roman"/>
          <w:sz w:val="24"/>
          <w:szCs w:val="24"/>
        </w:rPr>
        <w:t>prowadzą do wykluczenia grup społecznych,</w:t>
      </w:r>
      <w:r w:rsidR="0010539D" w:rsidRPr="00CE1385">
        <w:rPr>
          <w:rFonts w:ascii="Times New Roman" w:hAnsi="Times New Roman" w:cs="Times New Roman"/>
          <w:sz w:val="24"/>
          <w:szCs w:val="24"/>
        </w:rPr>
        <w:t xml:space="preserve"> w </w:t>
      </w:r>
      <w:r w:rsidR="00335E6B" w:rsidRPr="00CE1385">
        <w:rPr>
          <w:rFonts w:ascii="Times New Roman" w:hAnsi="Times New Roman" w:cs="Times New Roman"/>
          <w:sz w:val="24"/>
          <w:szCs w:val="24"/>
        </w:rPr>
        <w:t>które są wymierzone. Uderzają przy tym nie tylko</w:t>
      </w:r>
      <w:r w:rsidR="0010539D" w:rsidRPr="00CE1385">
        <w:rPr>
          <w:rFonts w:ascii="Times New Roman" w:hAnsi="Times New Roman" w:cs="Times New Roman"/>
          <w:sz w:val="24"/>
          <w:szCs w:val="24"/>
        </w:rPr>
        <w:t xml:space="preserve"> w </w:t>
      </w:r>
      <w:r w:rsidR="00335E6B" w:rsidRPr="00CE1385">
        <w:rPr>
          <w:rFonts w:ascii="Times New Roman" w:hAnsi="Times New Roman" w:cs="Times New Roman"/>
          <w:sz w:val="24"/>
          <w:szCs w:val="24"/>
        </w:rPr>
        <w:t>same ofiary –</w:t>
      </w:r>
      <w:r w:rsidR="0001136D" w:rsidRPr="00CE1385">
        <w:rPr>
          <w:rFonts w:ascii="Times New Roman" w:hAnsi="Times New Roman" w:cs="Times New Roman"/>
          <w:sz w:val="24"/>
          <w:szCs w:val="24"/>
        </w:rPr>
        <w:t xml:space="preserve"> z</w:t>
      </w:r>
      <w:r w:rsidR="00B026F4" w:rsidRPr="00CE1385">
        <w:rPr>
          <w:rFonts w:ascii="Times New Roman" w:hAnsi="Times New Roman" w:cs="Times New Roman"/>
          <w:sz w:val="24"/>
          <w:szCs w:val="24"/>
        </w:rPr>
        <w:t xml:space="preserve"> </w:t>
      </w:r>
      <w:r w:rsidR="00335E6B" w:rsidRPr="00CE1385">
        <w:rPr>
          <w:rFonts w:ascii="Times New Roman" w:hAnsi="Times New Roman" w:cs="Times New Roman"/>
          <w:sz w:val="24"/>
          <w:szCs w:val="24"/>
        </w:rPr>
        <w:t>powodu niezmiennego</w:t>
      </w:r>
      <w:r w:rsidR="0010539D" w:rsidRPr="00CE1385">
        <w:rPr>
          <w:rFonts w:ascii="Times New Roman" w:hAnsi="Times New Roman" w:cs="Times New Roman"/>
          <w:sz w:val="24"/>
          <w:szCs w:val="24"/>
        </w:rPr>
        <w:t xml:space="preserve"> i </w:t>
      </w:r>
      <w:r w:rsidR="00335E6B" w:rsidRPr="00CE1385">
        <w:rPr>
          <w:rFonts w:ascii="Times New Roman" w:hAnsi="Times New Roman" w:cs="Times New Roman"/>
          <w:sz w:val="24"/>
          <w:szCs w:val="24"/>
        </w:rPr>
        <w:t>znaczącego aspektu ich tożsamości – ale również</w:t>
      </w:r>
      <w:r w:rsidR="0010539D" w:rsidRPr="00CE1385">
        <w:rPr>
          <w:rFonts w:ascii="Times New Roman" w:hAnsi="Times New Roman" w:cs="Times New Roman"/>
          <w:sz w:val="24"/>
          <w:szCs w:val="24"/>
        </w:rPr>
        <w:t xml:space="preserve"> w </w:t>
      </w:r>
      <w:r w:rsidR="00335E6B" w:rsidRPr="00CE1385">
        <w:rPr>
          <w:rFonts w:ascii="Times New Roman" w:hAnsi="Times New Roman" w:cs="Times New Roman"/>
          <w:sz w:val="24"/>
          <w:szCs w:val="24"/>
        </w:rPr>
        <w:t>demokratyczne społeczeństwo</w:t>
      </w:r>
      <w:r w:rsidR="0010539D" w:rsidRPr="00CE1385">
        <w:rPr>
          <w:rFonts w:ascii="Times New Roman" w:hAnsi="Times New Roman" w:cs="Times New Roman"/>
          <w:sz w:val="24"/>
          <w:szCs w:val="24"/>
        </w:rPr>
        <w:t xml:space="preserve"> i </w:t>
      </w:r>
      <w:r w:rsidR="00335E6B" w:rsidRPr="00CE1385">
        <w:rPr>
          <w:rFonts w:ascii="Times New Roman" w:hAnsi="Times New Roman" w:cs="Times New Roman"/>
          <w:sz w:val="24"/>
          <w:szCs w:val="24"/>
        </w:rPr>
        <w:t>zasadę rządów prawa,</w:t>
      </w:r>
      <w:r w:rsidR="0001136D" w:rsidRPr="00CE1385">
        <w:rPr>
          <w:rFonts w:ascii="Times New Roman" w:hAnsi="Times New Roman" w:cs="Times New Roman"/>
          <w:sz w:val="24"/>
          <w:szCs w:val="24"/>
        </w:rPr>
        <w:t xml:space="preserve"> z </w:t>
      </w:r>
      <w:r w:rsidR="00335E6B" w:rsidRPr="00CE1385">
        <w:rPr>
          <w:rFonts w:ascii="Times New Roman" w:hAnsi="Times New Roman" w:cs="Times New Roman"/>
          <w:sz w:val="24"/>
          <w:szCs w:val="24"/>
        </w:rPr>
        <w:t>którymi nie da się pogodzić ataku na fundamentalne zasady godności</w:t>
      </w:r>
      <w:r w:rsidR="0010539D" w:rsidRPr="00CE1385">
        <w:rPr>
          <w:rFonts w:ascii="Times New Roman" w:hAnsi="Times New Roman" w:cs="Times New Roman"/>
          <w:sz w:val="24"/>
          <w:szCs w:val="24"/>
        </w:rPr>
        <w:t xml:space="preserve"> i </w:t>
      </w:r>
      <w:r w:rsidR="00335E6B" w:rsidRPr="00CE1385">
        <w:rPr>
          <w:rFonts w:ascii="Times New Roman" w:hAnsi="Times New Roman" w:cs="Times New Roman"/>
          <w:sz w:val="24"/>
          <w:szCs w:val="24"/>
        </w:rPr>
        <w:t>równości wszystkich ludzi.</w:t>
      </w:r>
    </w:p>
    <w:p w14:paraId="6832B1E0" w14:textId="0F28434F" w:rsidR="00437ADD" w:rsidRPr="00CE1385" w:rsidRDefault="00EE1D44" w:rsidP="00412841">
      <w:pPr>
        <w:spacing w:before="240" w:after="0" w:line="360" w:lineRule="auto"/>
        <w:jc w:val="both"/>
        <w:rPr>
          <w:rFonts w:ascii="Times New Roman" w:hAnsi="Times New Roman" w:cs="Times New Roman"/>
          <w:b/>
          <w:bCs/>
          <w:sz w:val="24"/>
          <w:szCs w:val="24"/>
        </w:rPr>
      </w:pPr>
      <w:r w:rsidRPr="00CE1385">
        <w:rPr>
          <w:rFonts w:ascii="Times New Roman" w:hAnsi="Times New Roman" w:cs="Times New Roman"/>
          <w:b/>
          <w:bCs/>
          <w:sz w:val="24"/>
          <w:szCs w:val="24"/>
        </w:rPr>
        <w:t xml:space="preserve">Sytuacja </w:t>
      </w:r>
      <w:r w:rsidR="00857A3C" w:rsidRPr="00CE1385">
        <w:rPr>
          <w:rFonts w:ascii="Times New Roman" w:hAnsi="Times New Roman" w:cs="Times New Roman"/>
          <w:b/>
          <w:bCs/>
          <w:sz w:val="24"/>
          <w:szCs w:val="24"/>
        </w:rPr>
        <w:t>społeczna</w:t>
      </w:r>
    </w:p>
    <w:p w14:paraId="5853505B" w14:textId="35D31FC2" w:rsidR="00AD754B" w:rsidRPr="00412841" w:rsidRDefault="00206E10" w:rsidP="00412841">
      <w:pPr>
        <w:spacing w:before="120" w:after="0" w:line="360" w:lineRule="auto"/>
        <w:jc w:val="both"/>
        <w:rPr>
          <w:rStyle w:val="FontStyle17"/>
          <w:b w:val="0"/>
          <w:bCs w:val="0"/>
          <w:vertAlign w:val="superscript"/>
        </w:rPr>
      </w:pPr>
      <w:r w:rsidRPr="00CE1385">
        <w:rPr>
          <w:rStyle w:val="FontStyle17"/>
          <w:b w:val="0"/>
          <w:bCs w:val="0"/>
        </w:rPr>
        <w:t>Na powszechność zjawiska przemocy wobec osób</w:t>
      </w:r>
      <w:r w:rsidR="0001136D" w:rsidRPr="00CE1385">
        <w:rPr>
          <w:rStyle w:val="FontStyle17"/>
          <w:b w:val="0"/>
          <w:bCs w:val="0"/>
        </w:rPr>
        <w:t xml:space="preserve"> z </w:t>
      </w:r>
      <w:r w:rsidRPr="00CE1385">
        <w:rPr>
          <w:rStyle w:val="FontStyle17"/>
          <w:b w:val="0"/>
          <w:bCs w:val="0"/>
        </w:rPr>
        <w:t xml:space="preserve">niepełnosprawnościami wskazuje badanie jakościowe przeprowadzone przez </w:t>
      </w:r>
      <w:bookmarkStart w:id="4" w:name="_Hlk156476749"/>
      <w:r w:rsidRPr="00CE1385">
        <w:rPr>
          <w:rStyle w:val="FontStyle17"/>
          <w:b w:val="0"/>
          <w:bCs w:val="0"/>
        </w:rPr>
        <w:t>Polskie Stowarzyszenie na rzecz Osób</w:t>
      </w:r>
      <w:r w:rsidR="0001136D" w:rsidRPr="00CE1385">
        <w:rPr>
          <w:rStyle w:val="FontStyle17"/>
          <w:b w:val="0"/>
          <w:bCs w:val="0"/>
        </w:rPr>
        <w:t xml:space="preserve"> z </w:t>
      </w:r>
      <w:r w:rsidRPr="00CE1385">
        <w:rPr>
          <w:rStyle w:val="FontStyle17"/>
          <w:b w:val="0"/>
          <w:bCs w:val="0"/>
        </w:rPr>
        <w:t xml:space="preserve">Niepełnosprawnością Intelektualną </w:t>
      </w:r>
      <w:bookmarkEnd w:id="4"/>
      <w:r w:rsidR="00FC5114" w:rsidRPr="00CE1385">
        <w:rPr>
          <w:rStyle w:val="FontStyle17"/>
          <w:b w:val="0"/>
          <w:bCs w:val="0"/>
        </w:rPr>
        <w:t>–</w:t>
      </w:r>
      <w:r w:rsidRPr="00CE1385">
        <w:rPr>
          <w:rStyle w:val="FontStyle17"/>
          <w:b w:val="0"/>
          <w:bCs w:val="0"/>
        </w:rPr>
        <w:t xml:space="preserve"> różnych form przemocy doświadczyło ponad 90</w:t>
      </w:r>
      <w:r w:rsidR="007E70CA">
        <w:rPr>
          <w:rStyle w:val="FontStyle17"/>
          <w:b w:val="0"/>
          <w:bCs w:val="0"/>
        </w:rPr>
        <w:t> </w:t>
      </w:r>
      <w:r w:rsidRPr="00CE1385">
        <w:rPr>
          <w:rStyle w:val="FontStyle17"/>
          <w:b w:val="0"/>
          <w:bCs w:val="0"/>
        </w:rPr>
        <w:t>% osób</w:t>
      </w:r>
      <w:r w:rsidR="0001136D" w:rsidRPr="00CE1385">
        <w:rPr>
          <w:rStyle w:val="FontStyle17"/>
          <w:b w:val="0"/>
          <w:bCs w:val="0"/>
        </w:rPr>
        <w:t xml:space="preserve"> z </w:t>
      </w:r>
      <w:r w:rsidRPr="00CE1385">
        <w:rPr>
          <w:rStyle w:val="FontStyle17"/>
          <w:b w:val="0"/>
          <w:bCs w:val="0"/>
        </w:rPr>
        <w:t>niepełnosprawnością intelektualną biorących udział</w:t>
      </w:r>
      <w:r w:rsidR="0010539D" w:rsidRPr="00CE1385">
        <w:rPr>
          <w:rStyle w:val="FontStyle17"/>
          <w:b w:val="0"/>
          <w:bCs w:val="0"/>
        </w:rPr>
        <w:t xml:space="preserve"> w </w:t>
      </w:r>
      <w:r w:rsidRPr="00CE1385">
        <w:rPr>
          <w:rStyle w:val="FontStyle17"/>
          <w:b w:val="0"/>
          <w:bCs w:val="0"/>
        </w:rPr>
        <w:t>badaniu. Aż 60</w:t>
      </w:r>
      <w:r w:rsidR="007E70CA">
        <w:rPr>
          <w:rStyle w:val="FontStyle17"/>
          <w:b w:val="0"/>
          <w:bCs w:val="0"/>
        </w:rPr>
        <w:t> </w:t>
      </w:r>
      <w:r w:rsidRPr="00CE1385">
        <w:rPr>
          <w:rStyle w:val="FontStyle17"/>
          <w:b w:val="0"/>
          <w:bCs w:val="0"/>
        </w:rPr>
        <w:t xml:space="preserve">% badanych doświadczyło przemocy fizycznej, ponad połowa badanych </w:t>
      </w:r>
      <w:r w:rsidR="0069008F" w:rsidRPr="00CE1385">
        <w:rPr>
          <w:rStyle w:val="FontStyle17"/>
          <w:b w:val="0"/>
          <w:bCs w:val="0"/>
        </w:rPr>
        <w:t>–</w:t>
      </w:r>
      <w:r w:rsidRPr="00CE1385">
        <w:rPr>
          <w:rStyle w:val="FontStyle17"/>
          <w:b w:val="0"/>
          <w:bCs w:val="0"/>
        </w:rPr>
        <w:t xml:space="preserve"> pozbawienia wolności, a niemal co trzeci badany doświadczył przemocy seksualnej</w:t>
      </w:r>
      <w:r w:rsidR="00FC5114" w:rsidRPr="00CE1385">
        <w:rPr>
          <w:rStyle w:val="FontStyle17"/>
          <w:b w:val="0"/>
          <w:bCs w:val="0"/>
        </w:rPr>
        <w:t>.</w:t>
      </w:r>
      <w:r w:rsidR="00DA56F8">
        <w:rPr>
          <w:rStyle w:val="Odwoanieprzypisudolnego"/>
          <w:rFonts w:ascii="Times New Roman" w:hAnsi="Times New Roman" w:cs="Times New Roman"/>
          <w:sz w:val="24"/>
          <w:szCs w:val="24"/>
        </w:rPr>
        <w:footnoteReference w:id="4"/>
      </w:r>
      <w:r w:rsidR="006B5ECF">
        <w:rPr>
          <w:rStyle w:val="FontStyle17"/>
          <w:b w:val="0"/>
          <w:bCs w:val="0"/>
          <w:vertAlign w:val="superscript"/>
        </w:rPr>
        <w:t>)</w:t>
      </w:r>
    </w:p>
    <w:p w14:paraId="3ED02704" w14:textId="1699F09E" w:rsidR="004B2848" w:rsidRPr="00CE1385" w:rsidRDefault="00AD754B"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 xml:space="preserve">Z </w:t>
      </w:r>
      <w:r w:rsidR="00BA18CD" w:rsidRPr="00CE1385">
        <w:rPr>
          <w:rFonts w:ascii="Times New Roman" w:hAnsi="Times New Roman" w:cs="Times New Roman"/>
          <w:sz w:val="24"/>
          <w:szCs w:val="24"/>
        </w:rPr>
        <w:t>badań socjologicznych</w:t>
      </w:r>
      <w:r w:rsidR="00DA56F8">
        <w:rPr>
          <w:rStyle w:val="Odwoanieprzypisudolnego"/>
          <w:rFonts w:ascii="Times New Roman" w:hAnsi="Times New Roman" w:cs="Times New Roman"/>
          <w:sz w:val="24"/>
          <w:szCs w:val="24"/>
        </w:rPr>
        <w:footnoteReference w:id="5"/>
      </w:r>
      <w:r w:rsidR="006B5ECF">
        <w:rPr>
          <w:rFonts w:ascii="Times New Roman" w:hAnsi="Times New Roman" w:cs="Times New Roman"/>
          <w:sz w:val="24"/>
          <w:szCs w:val="24"/>
          <w:vertAlign w:val="superscript"/>
        </w:rPr>
        <w:t>)</w:t>
      </w:r>
      <w:r w:rsidR="00BA18CD" w:rsidRPr="00CE1385">
        <w:rPr>
          <w:rFonts w:ascii="Times New Roman" w:hAnsi="Times New Roman" w:cs="Times New Roman"/>
          <w:sz w:val="24"/>
          <w:szCs w:val="24"/>
        </w:rPr>
        <w:t xml:space="preserve"> wynika, że osoby</w:t>
      </w:r>
      <w:r w:rsidR="0001136D" w:rsidRPr="00CE1385">
        <w:rPr>
          <w:rFonts w:ascii="Times New Roman" w:hAnsi="Times New Roman" w:cs="Times New Roman"/>
          <w:sz w:val="24"/>
          <w:szCs w:val="24"/>
        </w:rPr>
        <w:t xml:space="preserve"> z </w:t>
      </w:r>
      <w:r w:rsidR="00BA18CD" w:rsidRPr="00CE1385">
        <w:rPr>
          <w:rFonts w:ascii="Times New Roman" w:hAnsi="Times New Roman" w:cs="Times New Roman"/>
          <w:sz w:val="24"/>
          <w:szCs w:val="24"/>
        </w:rPr>
        <w:t>niepełnosprawnościami są narażone na akty niesprawiedliwego oraz krzywdzącego zachowania,</w:t>
      </w:r>
      <w:r w:rsidR="0001136D" w:rsidRPr="00CE1385">
        <w:rPr>
          <w:rFonts w:ascii="Times New Roman" w:hAnsi="Times New Roman" w:cs="Times New Roman"/>
          <w:sz w:val="24"/>
          <w:szCs w:val="24"/>
        </w:rPr>
        <w:t xml:space="preserve"> z </w:t>
      </w:r>
      <w:r w:rsidR="00BA18CD" w:rsidRPr="00CE1385">
        <w:rPr>
          <w:rFonts w:ascii="Times New Roman" w:hAnsi="Times New Roman" w:cs="Times New Roman"/>
          <w:sz w:val="24"/>
          <w:szCs w:val="24"/>
        </w:rPr>
        <w:t>przemocą seksualną włącznie. Negatywne zachowania wobec nich rzadko spotykają się</w:t>
      </w:r>
      <w:r w:rsidR="0001136D" w:rsidRPr="00CE1385">
        <w:rPr>
          <w:rFonts w:ascii="Times New Roman" w:hAnsi="Times New Roman" w:cs="Times New Roman"/>
          <w:sz w:val="24"/>
          <w:szCs w:val="24"/>
        </w:rPr>
        <w:t xml:space="preserve"> z </w:t>
      </w:r>
      <w:r w:rsidR="00BA18CD" w:rsidRPr="00CE1385">
        <w:rPr>
          <w:rFonts w:ascii="Times New Roman" w:hAnsi="Times New Roman" w:cs="Times New Roman"/>
          <w:sz w:val="24"/>
          <w:szCs w:val="24"/>
        </w:rPr>
        <w:t>właściwą reakcją społeczną. Źródła niechęci społecznej wyrażanej wobec osób</w:t>
      </w:r>
      <w:r w:rsidR="0001136D" w:rsidRPr="00CE1385">
        <w:rPr>
          <w:rFonts w:ascii="Times New Roman" w:hAnsi="Times New Roman" w:cs="Times New Roman"/>
          <w:sz w:val="24"/>
          <w:szCs w:val="24"/>
        </w:rPr>
        <w:t xml:space="preserve"> z </w:t>
      </w:r>
      <w:r w:rsidR="00BA18CD" w:rsidRPr="00CE1385">
        <w:rPr>
          <w:rFonts w:ascii="Times New Roman" w:hAnsi="Times New Roman" w:cs="Times New Roman"/>
          <w:sz w:val="24"/>
          <w:szCs w:val="24"/>
        </w:rPr>
        <w:t>niepełnosprawnościami związane są</w:t>
      </w:r>
      <w:r w:rsidR="0001136D" w:rsidRPr="00CE1385">
        <w:rPr>
          <w:rFonts w:ascii="Times New Roman" w:hAnsi="Times New Roman" w:cs="Times New Roman"/>
          <w:sz w:val="24"/>
          <w:szCs w:val="24"/>
        </w:rPr>
        <w:t xml:space="preserve"> z </w:t>
      </w:r>
      <w:r w:rsidR="00BA18CD" w:rsidRPr="00CE1385">
        <w:rPr>
          <w:rFonts w:ascii="Times New Roman" w:hAnsi="Times New Roman" w:cs="Times New Roman"/>
          <w:sz w:val="24"/>
          <w:szCs w:val="24"/>
        </w:rPr>
        <w:t>przesądami</w:t>
      </w:r>
      <w:r w:rsidR="0010539D" w:rsidRPr="00CE1385">
        <w:rPr>
          <w:rFonts w:ascii="Times New Roman" w:hAnsi="Times New Roman" w:cs="Times New Roman"/>
          <w:sz w:val="24"/>
          <w:szCs w:val="24"/>
        </w:rPr>
        <w:t xml:space="preserve"> i </w:t>
      </w:r>
      <w:r w:rsidR="00BA18CD" w:rsidRPr="00CE1385">
        <w:rPr>
          <w:rFonts w:ascii="Times New Roman" w:hAnsi="Times New Roman" w:cs="Times New Roman"/>
          <w:sz w:val="24"/>
          <w:szCs w:val="24"/>
        </w:rPr>
        <w:t>irracjonalnymi wyjaśnieniami dotyczącymi samej niepełnosprawności, łącznie</w:t>
      </w:r>
      <w:r w:rsidR="0001136D" w:rsidRPr="00CE1385">
        <w:rPr>
          <w:rFonts w:ascii="Times New Roman" w:hAnsi="Times New Roman" w:cs="Times New Roman"/>
          <w:sz w:val="24"/>
          <w:szCs w:val="24"/>
        </w:rPr>
        <w:t xml:space="preserve"> z </w:t>
      </w:r>
      <w:r w:rsidR="00BA18CD" w:rsidRPr="00CE1385">
        <w:rPr>
          <w:rFonts w:ascii="Times New Roman" w:hAnsi="Times New Roman" w:cs="Times New Roman"/>
          <w:sz w:val="24"/>
          <w:szCs w:val="24"/>
        </w:rPr>
        <w:t>powodami jej nabycia, które nadal bywają utożsamiane</w:t>
      </w:r>
      <w:r w:rsidR="0001136D" w:rsidRPr="00CE1385">
        <w:rPr>
          <w:rFonts w:ascii="Times New Roman" w:hAnsi="Times New Roman" w:cs="Times New Roman"/>
          <w:sz w:val="24"/>
          <w:szCs w:val="24"/>
        </w:rPr>
        <w:t xml:space="preserve"> z </w:t>
      </w:r>
      <w:r w:rsidR="00BA18CD" w:rsidRPr="00CE1385">
        <w:rPr>
          <w:rFonts w:ascii="Times New Roman" w:hAnsi="Times New Roman" w:cs="Times New Roman"/>
          <w:sz w:val="24"/>
          <w:szCs w:val="24"/>
        </w:rPr>
        <w:t>karą za przewinienia bądź złe uczynki. Częstość takich przekonań nie wykazuje tendencji malejącej</w:t>
      </w:r>
      <w:r w:rsidR="0010539D" w:rsidRPr="00CE1385">
        <w:rPr>
          <w:rFonts w:ascii="Times New Roman" w:hAnsi="Times New Roman" w:cs="Times New Roman"/>
          <w:sz w:val="24"/>
          <w:szCs w:val="24"/>
        </w:rPr>
        <w:t xml:space="preserve"> i </w:t>
      </w:r>
      <w:r w:rsidR="00BA18CD" w:rsidRPr="00CE1385">
        <w:rPr>
          <w:rFonts w:ascii="Times New Roman" w:hAnsi="Times New Roman" w:cs="Times New Roman"/>
          <w:sz w:val="24"/>
          <w:szCs w:val="24"/>
        </w:rPr>
        <w:t>jest stabilna</w:t>
      </w:r>
      <w:r w:rsidR="0010539D" w:rsidRPr="00CE1385">
        <w:rPr>
          <w:rFonts w:ascii="Times New Roman" w:hAnsi="Times New Roman" w:cs="Times New Roman"/>
          <w:sz w:val="24"/>
          <w:szCs w:val="24"/>
        </w:rPr>
        <w:t xml:space="preserve"> w </w:t>
      </w:r>
      <w:r w:rsidR="00BA18CD" w:rsidRPr="00CE1385">
        <w:rPr>
          <w:rFonts w:ascii="Times New Roman" w:hAnsi="Times New Roman" w:cs="Times New Roman"/>
          <w:sz w:val="24"/>
          <w:szCs w:val="24"/>
        </w:rPr>
        <w:t>długim okresie (dwudziestolecie 1993</w:t>
      </w:r>
      <w:r w:rsidR="000B7C26">
        <w:rPr>
          <w:rFonts w:ascii="Times New Roman" w:hAnsi="Times New Roman" w:cs="Times New Roman"/>
          <w:sz w:val="24"/>
          <w:szCs w:val="24"/>
        </w:rPr>
        <w:t>–</w:t>
      </w:r>
      <w:r w:rsidR="00BA18CD" w:rsidRPr="00CE1385">
        <w:rPr>
          <w:rFonts w:ascii="Times New Roman" w:hAnsi="Times New Roman" w:cs="Times New Roman"/>
          <w:sz w:val="24"/>
          <w:szCs w:val="24"/>
        </w:rPr>
        <w:t>2013), co pozwala uznać powołane badania za aktualne także</w:t>
      </w:r>
      <w:r w:rsidR="0010539D" w:rsidRPr="00CE1385">
        <w:rPr>
          <w:rFonts w:ascii="Times New Roman" w:hAnsi="Times New Roman" w:cs="Times New Roman"/>
          <w:sz w:val="24"/>
          <w:szCs w:val="24"/>
        </w:rPr>
        <w:t xml:space="preserve"> w </w:t>
      </w:r>
      <w:r w:rsidR="00BA18CD" w:rsidRPr="00CE1385">
        <w:rPr>
          <w:rFonts w:ascii="Times New Roman" w:hAnsi="Times New Roman" w:cs="Times New Roman"/>
          <w:sz w:val="24"/>
          <w:szCs w:val="24"/>
        </w:rPr>
        <w:t xml:space="preserve">chwili obecnej. </w:t>
      </w:r>
    </w:p>
    <w:p w14:paraId="6D324939" w14:textId="707BAB7B" w:rsidR="004B2848" w:rsidRPr="00412841" w:rsidRDefault="004B2848" w:rsidP="00412841">
      <w:pPr>
        <w:spacing w:before="120" w:after="0" w:line="360" w:lineRule="auto"/>
        <w:jc w:val="both"/>
        <w:rPr>
          <w:rFonts w:ascii="Times New Roman" w:hAnsi="Times New Roman" w:cs="Times New Roman"/>
          <w:sz w:val="24"/>
          <w:szCs w:val="24"/>
          <w:vertAlign w:val="superscript"/>
        </w:rPr>
      </w:pPr>
      <w:r w:rsidRPr="00CE1385">
        <w:rPr>
          <w:rFonts w:ascii="Times New Roman" w:hAnsi="Times New Roman" w:cs="Times New Roman"/>
          <w:noProof/>
          <w:sz w:val="24"/>
          <w:szCs w:val="24"/>
        </w:rPr>
        <w:lastRenderedPageBreak/>
        <w:t>Osoby</w:t>
      </w:r>
      <w:r w:rsidR="0001136D" w:rsidRPr="00CE1385">
        <w:rPr>
          <w:rFonts w:ascii="Times New Roman" w:hAnsi="Times New Roman" w:cs="Times New Roman"/>
          <w:noProof/>
          <w:sz w:val="24"/>
          <w:szCs w:val="24"/>
        </w:rPr>
        <w:t xml:space="preserve"> z </w:t>
      </w:r>
      <w:r w:rsidRPr="00CE1385">
        <w:rPr>
          <w:rFonts w:ascii="Times New Roman" w:hAnsi="Times New Roman" w:cs="Times New Roman"/>
          <w:noProof/>
          <w:sz w:val="24"/>
          <w:szCs w:val="24"/>
        </w:rPr>
        <w:t>niepełnosprawnościami lub osoby</w:t>
      </w:r>
      <w:r w:rsidR="0001136D" w:rsidRPr="00CE1385">
        <w:rPr>
          <w:rFonts w:ascii="Times New Roman" w:hAnsi="Times New Roman" w:cs="Times New Roman"/>
          <w:noProof/>
          <w:sz w:val="24"/>
          <w:szCs w:val="24"/>
        </w:rPr>
        <w:t xml:space="preserve"> z </w:t>
      </w:r>
      <w:r w:rsidRPr="00CE1385">
        <w:rPr>
          <w:rFonts w:ascii="Times New Roman" w:hAnsi="Times New Roman" w:cs="Times New Roman"/>
          <w:noProof/>
          <w:sz w:val="24"/>
          <w:szCs w:val="24"/>
        </w:rPr>
        <w:t>problemami zdrowotnymi częściej doświadczają przemocy (17 %</w:t>
      </w:r>
      <w:r w:rsidR="0010539D" w:rsidRPr="00CE1385">
        <w:rPr>
          <w:rFonts w:ascii="Times New Roman" w:hAnsi="Times New Roman" w:cs="Times New Roman"/>
          <w:noProof/>
          <w:sz w:val="24"/>
          <w:szCs w:val="24"/>
        </w:rPr>
        <w:t xml:space="preserve"> w </w:t>
      </w:r>
      <w:r w:rsidRPr="00CE1385">
        <w:rPr>
          <w:rFonts w:ascii="Times New Roman" w:hAnsi="Times New Roman" w:cs="Times New Roman"/>
          <w:noProof/>
          <w:sz w:val="24"/>
          <w:szCs w:val="24"/>
        </w:rPr>
        <w:t>porównaniu</w:t>
      </w:r>
      <w:r w:rsidR="0001136D" w:rsidRPr="00CE1385">
        <w:rPr>
          <w:rFonts w:ascii="Times New Roman" w:hAnsi="Times New Roman" w:cs="Times New Roman"/>
          <w:noProof/>
          <w:sz w:val="24"/>
          <w:szCs w:val="24"/>
        </w:rPr>
        <w:t xml:space="preserve"> z </w:t>
      </w:r>
      <w:r w:rsidRPr="00CE1385">
        <w:rPr>
          <w:rFonts w:ascii="Times New Roman" w:hAnsi="Times New Roman" w:cs="Times New Roman"/>
          <w:noProof/>
          <w:sz w:val="24"/>
          <w:szCs w:val="24"/>
        </w:rPr>
        <w:t>8 % osób bez niepełnosprawności)</w:t>
      </w:r>
      <w:r w:rsidR="0010539D" w:rsidRPr="00CE1385">
        <w:rPr>
          <w:rFonts w:ascii="Times New Roman" w:hAnsi="Times New Roman" w:cs="Times New Roman"/>
          <w:noProof/>
          <w:sz w:val="24"/>
          <w:szCs w:val="24"/>
        </w:rPr>
        <w:t xml:space="preserve"> i </w:t>
      </w:r>
      <w:r w:rsidRPr="00CE1385">
        <w:rPr>
          <w:rFonts w:ascii="Times New Roman" w:hAnsi="Times New Roman" w:cs="Times New Roman"/>
          <w:noProof/>
          <w:sz w:val="24"/>
          <w:szCs w:val="24"/>
        </w:rPr>
        <w:t>nękania (50 %</w:t>
      </w:r>
      <w:r w:rsidR="0010539D" w:rsidRPr="00CE1385">
        <w:rPr>
          <w:rFonts w:ascii="Times New Roman" w:hAnsi="Times New Roman" w:cs="Times New Roman"/>
          <w:noProof/>
          <w:sz w:val="24"/>
          <w:szCs w:val="24"/>
        </w:rPr>
        <w:t xml:space="preserve"> w </w:t>
      </w:r>
      <w:r w:rsidRPr="00CE1385">
        <w:rPr>
          <w:rFonts w:ascii="Times New Roman" w:hAnsi="Times New Roman" w:cs="Times New Roman"/>
          <w:noProof/>
          <w:sz w:val="24"/>
          <w:szCs w:val="24"/>
        </w:rPr>
        <w:t>porównaniu</w:t>
      </w:r>
      <w:r w:rsidR="0001136D" w:rsidRPr="00CE1385">
        <w:rPr>
          <w:rFonts w:ascii="Times New Roman" w:hAnsi="Times New Roman" w:cs="Times New Roman"/>
          <w:noProof/>
          <w:sz w:val="24"/>
          <w:szCs w:val="24"/>
        </w:rPr>
        <w:t xml:space="preserve"> z </w:t>
      </w:r>
      <w:r w:rsidRPr="00CE1385">
        <w:rPr>
          <w:rFonts w:ascii="Times New Roman" w:hAnsi="Times New Roman" w:cs="Times New Roman"/>
          <w:noProof/>
          <w:sz w:val="24"/>
          <w:szCs w:val="24"/>
        </w:rPr>
        <w:t>37 % osób bez niepełnosprawności).</w:t>
      </w:r>
      <w:r w:rsidR="00DA56F8">
        <w:rPr>
          <w:rStyle w:val="Odwoanieprzypisudolnego"/>
          <w:rFonts w:ascii="Times New Roman" w:hAnsi="Times New Roman" w:cs="Times New Roman"/>
          <w:noProof/>
          <w:sz w:val="24"/>
          <w:szCs w:val="24"/>
        </w:rPr>
        <w:footnoteReference w:id="6"/>
      </w:r>
      <w:r w:rsidR="006B5ECF">
        <w:rPr>
          <w:rFonts w:ascii="Times New Roman" w:hAnsi="Times New Roman" w:cs="Times New Roman"/>
          <w:noProof/>
          <w:sz w:val="24"/>
          <w:szCs w:val="24"/>
          <w:vertAlign w:val="superscript"/>
        </w:rPr>
        <w:t>)</w:t>
      </w:r>
    </w:p>
    <w:p w14:paraId="3461226A" w14:textId="133BC104" w:rsidR="0088223B" w:rsidRPr="00CE1385" w:rsidRDefault="0086361A" w:rsidP="00412841">
      <w:pPr>
        <w:spacing w:before="120" w:after="0" w:line="360" w:lineRule="auto"/>
        <w:jc w:val="both"/>
        <w:rPr>
          <w:rStyle w:val="FontStyle17"/>
          <w:b w:val="0"/>
          <w:bCs w:val="0"/>
        </w:rPr>
      </w:pPr>
      <w:r w:rsidRPr="00CE1385">
        <w:rPr>
          <w:rFonts w:ascii="Times New Roman" w:hAnsi="Times New Roman" w:cs="Times New Roman"/>
          <w:sz w:val="24"/>
          <w:szCs w:val="24"/>
        </w:rPr>
        <w:t>Z badań CBOS</w:t>
      </w:r>
      <w:r w:rsidR="00DA56F8">
        <w:rPr>
          <w:rStyle w:val="Odwoanieprzypisudolnego"/>
          <w:rFonts w:ascii="Times New Roman" w:hAnsi="Times New Roman" w:cs="Times New Roman"/>
          <w:sz w:val="24"/>
          <w:szCs w:val="24"/>
        </w:rPr>
        <w:footnoteReference w:id="7"/>
      </w:r>
      <w:r w:rsidR="00606800">
        <w:rPr>
          <w:rFonts w:ascii="Times New Roman" w:hAnsi="Times New Roman" w:cs="Times New Roman"/>
          <w:sz w:val="24"/>
          <w:szCs w:val="24"/>
          <w:vertAlign w:val="superscript"/>
        </w:rPr>
        <w:t>)</w:t>
      </w:r>
      <w:r w:rsidRPr="00CE1385">
        <w:rPr>
          <w:rFonts w:ascii="Times New Roman" w:hAnsi="Times New Roman" w:cs="Times New Roman"/>
          <w:sz w:val="24"/>
          <w:szCs w:val="24"/>
        </w:rPr>
        <w:t xml:space="preserve"> wynika, że ogółem ponad dwie piąte respondentów (42</w:t>
      </w:r>
      <w:r w:rsidR="007E70CA">
        <w:rPr>
          <w:rFonts w:ascii="Times New Roman" w:hAnsi="Times New Roman" w:cs="Times New Roman"/>
          <w:sz w:val="24"/>
          <w:szCs w:val="24"/>
        </w:rPr>
        <w:t> </w:t>
      </w:r>
      <w:r w:rsidRPr="00CE1385">
        <w:rPr>
          <w:rFonts w:ascii="Times New Roman" w:hAnsi="Times New Roman" w:cs="Times New Roman"/>
          <w:sz w:val="24"/>
          <w:szCs w:val="24"/>
        </w:rPr>
        <w:t>%) przyznało, że zetknęło się</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niewłaściwym traktowaniem osób starszych</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 xml:space="preserve">przestrzeni publicznej bądź prywatnej. </w:t>
      </w:r>
    </w:p>
    <w:p w14:paraId="2A5CFB84" w14:textId="2AB0893C" w:rsidR="00CD025F" w:rsidRPr="00CE1385" w:rsidRDefault="0088223B"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Z</w:t>
      </w:r>
      <w:r w:rsidR="00BA18CD" w:rsidRPr="00CE1385">
        <w:rPr>
          <w:rFonts w:ascii="Times New Roman" w:hAnsi="Times New Roman" w:cs="Times New Roman"/>
          <w:sz w:val="24"/>
          <w:szCs w:val="24"/>
        </w:rPr>
        <w:t xml:space="preserve"> badań przeprowadzonych na zlecenie Biura Rzecznika Praw Obywatelskich</w:t>
      </w:r>
      <w:r w:rsidR="000F772E" w:rsidRPr="00CE1385">
        <w:rPr>
          <w:rStyle w:val="Odwoanieprzypisudolnego"/>
          <w:rFonts w:ascii="Times New Roman" w:hAnsi="Times New Roman" w:cs="Times New Roman"/>
          <w:sz w:val="24"/>
          <w:szCs w:val="24"/>
        </w:rPr>
        <w:footnoteReference w:id="8"/>
      </w:r>
      <w:r w:rsidR="00606800">
        <w:rPr>
          <w:rFonts w:ascii="Times New Roman" w:hAnsi="Times New Roman" w:cs="Times New Roman"/>
          <w:sz w:val="24"/>
          <w:szCs w:val="24"/>
          <w:vertAlign w:val="superscript"/>
        </w:rPr>
        <w:t>)</w:t>
      </w:r>
      <w:r w:rsidR="00BA18CD" w:rsidRPr="00CE1385">
        <w:rPr>
          <w:rFonts w:ascii="Times New Roman" w:hAnsi="Times New Roman" w:cs="Times New Roman"/>
          <w:sz w:val="24"/>
          <w:szCs w:val="24"/>
        </w:rPr>
        <w:t xml:space="preserve"> wynika, że kobiety częściej czuły się dyskryminowane ze względu na płeć niż mężczyźni (29</w:t>
      </w:r>
      <w:r w:rsidR="007E70CA">
        <w:rPr>
          <w:rFonts w:ascii="Times New Roman" w:hAnsi="Times New Roman" w:cs="Times New Roman"/>
          <w:sz w:val="24"/>
          <w:szCs w:val="24"/>
        </w:rPr>
        <w:t> </w:t>
      </w:r>
      <w:r w:rsidR="00BA18CD" w:rsidRPr="00CE1385">
        <w:rPr>
          <w:rFonts w:ascii="Times New Roman" w:hAnsi="Times New Roman" w:cs="Times New Roman"/>
          <w:sz w:val="24"/>
          <w:szCs w:val="24"/>
        </w:rPr>
        <w:t>% kobiet</w:t>
      </w:r>
      <w:r w:rsidR="0010539D" w:rsidRPr="00CE1385">
        <w:rPr>
          <w:rFonts w:ascii="Times New Roman" w:hAnsi="Times New Roman" w:cs="Times New Roman"/>
          <w:sz w:val="24"/>
          <w:szCs w:val="24"/>
        </w:rPr>
        <w:t xml:space="preserve"> w </w:t>
      </w:r>
      <w:r w:rsidR="00BA18CD" w:rsidRPr="00CE1385">
        <w:rPr>
          <w:rFonts w:ascii="Times New Roman" w:hAnsi="Times New Roman" w:cs="Times New Roman"/>
          <w:sz w:val="24"/>
          <w:szCs w:val="24"/>
        </w:rPr>
        <w:t>stosunku do 3</w:t>
      </w:r>
      <w:r w:rsidR="007E70CA">
        <w:rPr>
          <w:rFonts w:ascii="Times New Roman" w:hAnsi="Times New Roman" w:cs="Times New Roman"/>
          <w:sz w:val="24"/>
          <w:szCs w:val="24"/>
        </w:rPr>
        <w:t> </w:t>
      </w:r>
      <w:r w:rsidR="00BA18CD" w:rsidRPr="00CE1385">
        <w:rPr>
          <w:rFonts w:ascii="Times New Roman" w:hAnsi="Times New Roman" w:cs="Times New Roman"/>
          <w:sz w:val="24"/>
          <w:szCs w:val="24"/>
        </w:rPr>
        <w:t xml:space="preserve">% mężczyzn). </w:t>
      </w:r>
    </w:p>
    <w:p w14:paraId="7AB4B37E" w14:textId="518D803D" w:rsidR="00CD025F" w:rsidRPr="00CE1385" w:rsidRDefault="00186420"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Analizy wyników badań wykazały, że</w:t>
      </w:r>
      <w:r w:rsidR="0010539D" w:rsidRPr="00CE1385">
        <w:rPr>
          <w:rFonts w:ascii="Times New Roman" w:hAnsi="Times New Roman" w:cs="Times New Roman"/>
          <w:sz w:val="24"/>
          <w:szCs w:val="24"/>
        </w:rPr>
        <w:t xml:space="preserve"> w </w:t>
      </w:r>
      <w:r w:rsidR="007D3A1F" w:rsidRPr="00CE1385">
        <w:rPr>
          <w:rFonts w:ascii="Times New Roman" w:hAnsi="Times New Roman" w:cs="Times New Roman"/>
          <w:sz w:val="24"/>
          <w:szCs w:val="24"/>
        </w:rPr>
        <w:t>latach 2019</w:t>
      </w:r>
      <w:r w:rsidR="00537BB2">
        <w:rPr>
          <w:rFonts w:ascii="Times New Roman" w:hAnsi="Times New Roman" w:cs="Times New Roman"/>
          <w:sz w:val="24"/>
          <w:szCs w:val="24"/>
        </w:rPr>
        <w:t>–</w:t>
      </w:r>
      <w:r w:rsidR="007D3A1F" w:rsidRPr="00CE1385">
        <w:rPr>
          <w:rFonts w:ascii="Times New Roman" w:hAnsi="Times New Roman" w:cs="Times New Roman"/>
          <w:sz w:val="24"/>
          <w:szCs w:val="24"/>
        </w:rPr>
        <w:t xml:space="preserve">2020 </w:t>
      </w:r>
      <w:r w:rsidR="008D1314" w:rsidRPr="00CE1385">
        <w:rPr>
          <w:rFonts w:ascii="Times New Roman" w:hAnsi="Times New Roman" w:cs="Times New Roman"/>
          <w:sz w:val="24"/>
          <w:szCs w:val="24"/>
        </w:rPr>
        <w:t>– 68,54</w:t>
      </w:r>
      <w:r w:rsidR="007E70CA">
        <w:rPr>
          <w:rFonts w:ascii="Times New Roman" w:hAnsi="Times New Roman" w:cs="Times New Roman"/>
          <w:sz w:val="24"/>
          <w:szCs w:val="24"/>
        </w:rPr>
        <w:t> </w:t>
      </w:r>
      <w:r w:rsidR="008D1314" w:rsidRPr="00CE1385">
        <w:rPr>
          <w:rFonts w:ascii="Times New Roman" w:hAnsi="Times New Roman" w:cs="Times New Roman"/>
          <w:sz w:val="24"/>
          <w:szCs w:val="24"/>
        </w:rPr>
        <w:t>%</w:t>
      </w:r>
      <w:r w:rsidR="00CD632A" w:rsidRPr="00CE1385">
        <w:rPr>
          <w:rFonts w:ascii="Times New Roman" w:hAnsi="Times New Roman" w:cs="Times New Roman"/>
          <w:sz w:val="24"/>
          <w:szCs w:val="24"/>
        </w:rPr>
        <w:t xml:space="preserve"> osób LGBT doświadczyło co najmniej jednego typu zachowań przemocowych ze względu na swoją orientację seksualną lub tożsamość płciową, a </w:t>
      </w:r>
      <w:r w:rsidRPr="00CE1385">
        <w:rPr>
          <w:rFonts w:ascii="Times New Roman" w:hAnsi="Times New Roman" w:cs="Times New Roman"/>
          <w:sz w:val="24"/>
          <w:szCs w:val="24"/>
        </w:rPr>
        <w:t>p</w:t>
      </w:r>
      <w:r w:rsidR="007D3A1F" w:rsidRPr="00CE1385">
        <w:rPr>
          <w:rFonts w:ascii="Times New Roman" w:hAnsi="Times New Roman" w:cs="Times New Roman"/>
          <w:sz w:val="24"/>
          <w:szCs w:val="24"/>
        </w:rPr>
        <w:t xml:space="preserve">onad połowa osób LGBT+ doświadczyła jakiegoś przestępstwa motywowanego uprzedzeniami. Najczęściej była to przemoc werbalna </w:t>
      </w:r>
      <w:r w:rsidR="004F0CCE" w:rsidRPr="00CE1385">
        <w:rPr>
          <w:rFonts w:ascii="Times New Roman" w:hAnsi="Times New Roman" w:cs="Times New Roman"/>
          <w:sz w:val="24"/>
          <w:szCs w:val="24"/>
        </w:rPr>
        <w:t>–</w:t>
      </w:r>
      <w:r w:rsidR="007D3A1F" w:rsidRPr="00CE1385">
        <w:rPr>
          <w:rFonts w:ascii="Times New Roman" w:hAnsi="Times New Roman" w:cs="Times New Roman"/>
          <w:sz w:val="24"/>
          <w:szCs w:val="24"/>
        </w:rPr>
        <w:t xml:space="preserve"> wyzwiska czy publiczne obrażanie</w:t>
      </w:r>
      <w:r w:rsidR="00CD025F" w:rsidRPr="00CE1385">
        <w:rPr>
          <w:rFonts w:ascii="Times New Roman" w:hAnsi="Times New Roman" w:cs="Times New Roman"/>
          <w:sz w:val="24"/>
          <w:szCs w:val="24"/>
        </w:rPr>
        <w:t>.</w:t>
      </w:r>
      <w:r w:rsidR="00CD025F" w:rsidRPr="00CE1385">
        <w:rPr>
          <w:rStyle w:val="Odwoanieprzypisudolnego"/>
          <w:rFonts w:ascii="Times New Roman" w:hAnsi="Times New Roman" w:cs="Times New Roman"/>
          <w:sz w:val="24"/>
          <w:szCs w:val="24"/>
        </w:rPr>
        <w:footnoteReference w:id="9"/>
      </w:r>
      <w:r w:rsidR="00606800">
        <w:rPr>
          <w:rFonts w:ascii="Times New Roman" w:hAnsi="Times New Roman" w:cs="Times New Roman"/>
          <w:sz w:val="24"/>
          <w:szCs w:val="24"/>
          <w:vertAlign w:val="superscript"/>
        </w:rPr>
        <w:t>)</w:t>
      </w:r>
      <w:r w:rsidR="00CD025F" w:rsidRPr="00CE1385">
        <w:rPr>
          <w:rFonts w:ascii="Times New Roman" w:hAnsi="Times New Roman" w:cs="Times New Roman"/>
          <w:sz w:val="24"/>
          <w:szCs w:val="24"/>
        </w:rPr>
        <w:t xml:space="preserve"> </w:t>
      </w:r>
    </w:p>
    <w:p w14:paraId="4F3A175B" w14:textId="150715EB" w:rsidR="00BA18CD" w:rsidRPr="00412841" w:rsidRDefault="00CD025F" w:rsidP="00412841">
      <w:pPr>
        <w:spacing w:before="120" w:after="0" w:line="360" w:lineRule="auto"/>
        <w:jc w:val="both"/>
        <w:rPr>
          <w:rFonts w:ascii="Times New Roman" w:hAnsi="Times New Roman" w:cs="Times New Roman"/>
          <w:sz w:val="24"/>
          <w:szCs w:val="24"/>
          <w:vertAlign w:val="superscript"/>
        </w:rPr>
      </w:pPr>
      <w:r w:rsidRPr="00CE1385">
        <w:rPr>
          <w:rFonts w:ascii="Times New Roman" w:hAnsi="Times New Roman" w:cs="Times New Roman"/>
          <w:sz w:val="24"/>
          <w:szCs w:val="24"/>
        </w:rPr>
        <w:t>Z raportu Agencji Praw Podstawowych</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2020 r. wynika, że 15</w:t>
      </w:r>
      <w:r w:rsidR="007E70CA">
        <w:rPr>
          <w:rFonts w:ascii="Times New Roman" w:hAnsi="Times New Roman" w:cs="Times New Roman"/>
          <w:sz w:val="24"/>
          <w:szCs w:val="24"/>
        </w:rPr>
        <w:t> </w:t>
      </w:r>
      <w:r w:rsidRPr="00CE1385">
        <w:rPr>
          <w:rFonts w:ascii="Times New Roman" w:hAnsi="Times New Roman" w:cs="Times New Roman"/>
          <w:sz w:val="24"/>
          <w:szCs w:val="24"/>
        </w:rPr>
        <w:t>% badanych osób LGBT</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Polsce doświadczyło fizycznej lub seksualnej agresji motywowanej uprzedzeniami</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okresie</w:t>
      </w:r>
      <w:r w:rsidR="0010539D" w:rsidRPr="00CE1385">
        <w:rPr>
          <w:rFonts w:ascii="Times New Roman" w:hAnsi="Times New Roman" w:cs="Times New Roman"/>
          <w:sz w:val="24"/>
          <w:szCs w:val="24"/>
        </w:rPr>
        <w:t xml:space="preserve"> 5 </w:t>
      </w:r>
      <w:r w:rsidRPr="00CE1385">
        <w:rPr>
          <w:rFonts w:ascii="Times New Roman" w:hAnsi="Times New Roman" w:cs="Times New Roman"/>
          <w:sz w:val="24"/>
          <w:szCs w:val="24"/>
        </w:rPr>
        <w:t>lat przed badaniem.</w:t>
      </w:r>
      <w:r w:rsidRPr="00CE1385">
        <w:rPr>
          <w:rStyle w:val="Odwoanieprzypisudolnego"/>
          <w:rFonts w:ascii="Times New Roman" w:hAnsi="Times New Roman" w:cs="Times New Roman"/>
          <w:sz w:val="24"/>
          <w:szCs w:val="24"/>
        </w:rPr>
        <w:footnoteReference w:id="10"/>
      </w:r>
      <w:r w:rsidR="00606800">
        <w:rPr>
          <w:rFonts w:ascii="Times New Roman" w:hAnsi="Times New Roman" w:cs="Times New Roman"/>
          <w:sz w:val="24"/>
          <w:szCs w:val="24"/>
          <w:vertAlign w:val="superscript"/>
        </w:rPr>
        <w:t>)</w:t>
      </w:r>
    </w:p>
    <w:p w14:paraId="06DA9253" w14:textId="35071B4B" w:rsidR="00FC5114" w:rsidRPr="00CE1385" w:rsidRDefault="00FC5114"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Prowadzone badania, wskazują jednoznacznie, że przestępstwa motywowane uprzedzeniami „bolą bardziej” niż podobne czyny, gdzie motywacji uprzedzeniowej brak</w:t>
      </w:r>
      <w:r w:rsidRPr="00CE1385">
        <w:rPr>
          <w:rStyle w:val="OdwoanieprzypisudolnegoFootnoteReferneceFootnoteReferenceNumber"/>
          <w:rFonts w:ascii="Times New Roman" w:hAnsi="Times New Roman" w:cs="Times New Roman"/>
          <w:sz w:val="24"/>
          <w:szCs w:val="24"/>
        </w:rPr>
        <w:footnoteReference w:id="11"/>
      </w:r>
      <w:r w:rsidR="00606800">
        <w:rPr>
          <w:rFonts w:ascii="Times New Roman" w:hAnsi="Times New Roman" w:cs="Times New Roman"/>
          <w:sz w:val="24"/>
          <w:szCs w:val="24"/>
          <w:vertAlign w:val="superscript"/>
        </w:rPr>
        <w:t>)</w:t>
      </w:r>
      <w:r w:rsidRPr="00CE1385">
        <w:rPr>
          <w:rFonts w:ascii="Times New Roman" w:hAnsi="Times New Roman" w:cs="Times New Roman"/>
          <w:sz w:val="24"/>
          <w:szCs w:val="24"/>
        </w:rPr>
        <w:t>; w wyjątkowo tragicznych przypadkach, osoby narażone na długotrwałe prześladowania ze względu na swoją „odmienność” mogą podejmować działania samobójcze.</w:t>
      </w:r>
      <w:r w:rsidRPr="00CE1385">
        <w:rPr>
          <w:rStyle w:val="OdwoanieprzypisudolnegoFootnoteReferneceFootnoteReferenceNumber"/>
          <w:rFonts w:ascii="Times New Roman" w:hAnsi="Times New Roman" w:cs="Times New Roman"/>
          <w:sz w:val="24"/>
          <w:szCs w:val="24"/>
        </w:rPr>
        <w:footnoteReference w:id="12"/>
      </w:r>
      <w:r w:rsidR="00606800">
        <w:rPr>
          <w:rFonts w:ascii="Times New Roman" w:hAnsi="Times New Roman" w:cs="Times New Roman"/>
          <w:sz w:val="24"/>
          <w:szCs w:val="24"/>
          <w:vertAlign w:val="superscript"/>
        </w:rPr>
        <w:t>)</w:t>
      </w:r>
      <w:r w:rsidRPr="00CE1385">
        <w:rPr>
          <w:rFonts w:ascii="Times New Roman" w:hAnsi="Times New Roman" w:cs="Times New Roman"/>
          <w:sz w:val="24"/>
          <w:szCs w:val="24"/>
        </w:rPr>
        <w:t xml:space="preserve"> </w:t>
      </w:r>
    </w:p>
    <w:p w14:paraId="5217F17E" w14:textId="1D84F2A3" w:rsidR="00C70FB8" w:rsidRPr="00CE1385" w:rsidRDefault="007039FE" w:rsidP="00412841">
      <w:pPr>
        <w:spacing w:before="240" w:after="0" w:line="360" w:lineRule="auto"/>
        <w:jc w:val="both"/>
        <w:rPr>
          <w:rFonts w:ascii="Times New Roman" w:hAnsi="Times New Roman" w:cs="Times New Roman"/>
          <w:b/>
          <w:bCs/>
          <w:sz w:val="24"/>
          <w:szCs w:val="24"/>
        </w:rPr>
      </w:pPr>
      <w:r w:rsidRPr="00CE1385">
        <w:rPr>
          <w:rFonts w:ascii="Times New Roman" w:hAnsi="Times New Roman" w:cs="Times New Roman"/>
          <w:b/>
          <w:bCs/>
          <w:sz w:val="24"/>
          <w:szCs w:val="24"/>
        </w:rPr>
        <w:lastRenderedPageBreak/>
        <w:t>Przestępstwa</w:t>
      </w:r>
      <w:r w:rsidR="0001136D" w:rsidRPr="00CE1385">
        <w:rPr>
          <w:rFonts w:ascii="Times New Roman" w:hAnsi="Times New Roman" w:cs="Times New Roman"/>
          <w:b/>
          <w:bCs/>
          <w:sz w:val="24"/>
          <w:szCs w:val="24"/>
        </w:rPr>
        <w:t xml:space="preserve"> z </w:t>
      </w:r>
      <w:r w:rsidR="001A7728" w:rsidRPr="00CE1385">
        <w:rPr>
          <w:rFonts w:ascii="Times New Roman" w:hAnsi="Times New Roman" w:cs="Times New Roman"/>
          <w:b/>
          <w:bCs/>
          <w:sz w:val="24"/>
          <w:szCs w:val="24"/>
        </w:rPr>
        <w:t xml:space="preserve">nienawiści </w:t>
      </w:r>
    </w:p>
    <w:p w14:paraId="77D72730" w14:textId="435F0A37" w:rsidR="009F08D3" w:rsidRPr="00412841" w:rsidRDefault="00C70FB8" w:rsidP="00412841">
      <w:pPr>
        <w:spacing w:before="120" w:after="0" w:line="360" w:lineRule="auto"/>
        <w:jc w:val="both"/>
        <w:rPr>
          <w:rFonts w:ascii="Times New Roman" w:hAnsi="Times New Roman" w:cs="Times New Roman"/>
          <w:sz w:val="24"/>
          <w:szCs w:val="24"/>
          <w:vertAlign w:val="superscript"/>
        </w:rPr>
      </w:pPr>
      <w:r w:rsidRPr="00CE1385">
        <w:rPr>
          <w:rFonts w:ascii="Times New Roman" w:hAnsi="Times New Roman" w:cs="Times New Roman"/>
          <w:sz w:val="24"/>
          <w:szCs w:val="24"/>
        </w:rPr>
        <w:t xml:space="preserve">Przestępstwa takie jak groźby, ataki fizyczne, niszczenie mienia, a nawet </w:t>
      </w:r>
      <w:r w:rsidR="00B026F4" w:rsidRPr="00CE1385">
        <w:rPr>
          <w:rFonts w:ascii="Times New Roman" w:hAnsi="Times New Roman" w:cs="Times New Roman"/>
          <w:sz w:val="24"/>
          <w:szCs w:val="24"/>
        </w:rPr>
        <w:t>zabójstwo</w:t>
      </w:r>
      <w:r w:rsidRPr="00CE1385">
        <w:rPr>
          <w:rFonts w:ascii="Times New Roman" w:hAnsi="Times New Roman" w:cs="Times New Roman"/>
          <w:sz w:val="24"/>
          <w:szCs w:val="24"/>
        </w:rPr>
        <w:t xml:space="preserve"> motywowane nietolerancją względem określonych grup</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społeczeństwie są opisywane jako przestępstwa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lub przestępstwa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uprzedzenia. Przestępstwa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mogą zatem obejmować wszelkie przestępstwa skierowane przeciwko danej osobie</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powodu jej postrzeganych cech. Istotnym elementem odróżniającym przestępstwa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od innych przestępstw jest motywacja wynikająca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uprzedzenia. Inną charakterystyczną cechą przestępstw</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jest to, że wpływ przestępstwa wykracza poza faktyczne ofiary. Przestępstwa te wywierają wpływ na całą grupę,</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którą ofiara się identyfikuje</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mogą prowadzić do podziału społecznego między grupą ofiar a ogółem społeczeństwa. Przestępstwa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stanowią zatem szczególne zagrożenie dla społeczeństwa,</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związku</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czym nie powinny być traktowane jak zwykłe przestępstwa. Aby odpowiednio rozwiązać problem przestępstw</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należy wyeksponować motywację opartą na uprzedzeniu, która stoi za aktem przemocy. Przestępstwa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należy zatem uznać</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porządku prawnym za szczególną kategorię przestępstw. Należy zapewnić specjalne szkolenia, instrukcje, informacje</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inne stosowne narzędzia, aby zwiększyć możliwości osób zajmujących się tymi przestępstwami (funkcjonariuszy policji, prokuratorów, sędziów)</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zakresie badania przestępstw</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orzekania</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ich przedmiocie</w:t>
      </w:r>
      <w:r w:rsidR="00D0121C" w:rsidRPr="00CE1385">
        <w:rPr>
          <w:rFonts w:ascii="Times New Roman" w:hAnsi="Times New Roman" w:cs="Times New Roman"/>
          <w:sz w:val="24"/>
          <w:szCs w:val="24"/>
        </w:rPr>
        <w:t>.</w:t>
      </w:r>
      <w:r w:rsidR="00D0121C" w:rsidRPr="00CE1385">
        <w:rPr>
          <w:rStyle w:val="Odwoanieprzypisudolnego"/>
          <w:rFonts w:ascii="Times New Roman" w:hAnsi="Times New Roman" w:cs="Times New Roman"/>
          <w:sz w:val="24"/>
          <w:szCs w:val="24"/>
        </w:rPr>
        <w:footnoteReference w:id="13"/>
      </w:r>
      <w:r w:rsidR="000017BD">
        <w:rPr>
          <w:rFonts w:ascii="Times New Roman" w:hAnsi="Times New Roman" w:cs="Times New Roman"/>
          <w:sz w:val="24"/>
          <w:szCs w:val="24"/>
          <w:vertAlign w:val="superscript"/>
        </w:rPr>
        <w:t>)</w:t>
      </w:r>
    </w:p>
    <w:p w14:paraId="5200EFEB" w14:textId="6CAEE5EF" w:rsidR="00D0121C" w:rsidRPr="00CE1385" w:rsidRDefault="00D0121C"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Państwa członkowskie Organizacji Bezpieczeństwa</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Współpracy</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Europie określają przestępstwo</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 jako czyn karalny popełniony</w:t>
      </w:r>
      <w:r w:rsidR="0001136D" w:rsidRPr="00CE1385">
        <w:rPr>
          <w:rFonts w:ascii="Times New Roman" w:hAnsi="Times New Roman" w:cs="Times New Roman"/>
          <w:sz w:val="24"/>
          <w:szCs w:val="24"/>
        </w:rPr>
        <w:t xml:space="preserve"> z</w:t>
      </w:r>
      <w:r w:rsidR="00115617" w:rsidRPr="00CE1385">
        <w:rPr>
          <w:rFonts w:ascii="Times New Roman" w:hAnsi="Times New Roman" w:cs="Times New Roman"/>
          <w:sz w:val="24"/>
          <w:szCs w:val="24"/>
        </w:rPr>
        <w:t xml:space="preserve"> </w:t>
      </w:r>
      <w:r w:rsidRPr="00CE1385">
        <w:rPr>
          <w:rFonts w:ascii="Times New Roman" w:hAnsi="Times New Roman" w:cs="Times New Roman"/>
          <w:sz w:val="24"/>
          <w:szCs w:val="24"/>
        </w:rPr>
        <w:t>pobudek związanych</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uprzedzeniami. Definicja tego terminu obejmuje dwa kryteria. Pierwsze kryterium stanowi, że dany czyn musi być karalny według przepisów prawa karnego. Drugie kryterium zwraca uwagę na uprzedzenia stojące za popełnieniem czynu. Uprzedzenia definiuje się ogólnie jako przyjęte negatywne opinie, stereotypowe założenia, nietolerancję lub nienawiść skierowaną do konkretnej grupy dzielącej pewne atrybuty, takie jak rasa, więź etniczna, język, wyznanie, narodowość, orientacja seksualna, płeć, tożsamość płciowa, niepełnosprawność lub inne cechy</w:t>
      </w:r>
      <w:r w:rsidR="0031352B" w:rsidRPr="00CE1385">
        <w:rPr>
          <w:rFonts w:ascii="Times New Roman" w:hAnsi="Times New Roman" w:cs="Times New Roman"/>
          <w:sz w:val="24"/>
          <w:szCs w:val="24"/>
        </w:rPr>
        <w:t xml:space="preserve"> o </w:t>
      </w:r>
      <w:r w:rsidRPr="00CE1385">
        <w:rPr>
          <w:rFonts w:ascii="Times New Roman" w:hAnsi="Times New Roman" w:cs="Times New Roman"/>
          <w:sz w:val="24"/>
          <w:szCs w:val="24"/>
        </w:rPr>
        <w:t>charakterze fundamentalnym.</w:t>
      </w:r>
    </w:p>
    <w:p w14:paraId="14075A18" w14:textId="0CB7EBED" w:rsidR="009F08D3" w:rsidRPr="00CE1385" w:rsidRDefault="009F08D3" w:rsidP="00412841">
      <w:pPr>
        <w:spacing w:before="120" w:after="0" w:line="360" w:lineRule="auto"/>
        <w:jc w:val="both"/>
        <w:rPr>
          <w:rFonts w:ascii="Times New Roman" w:hAnsi="Times New Roman" w:cs="Times New Roman"/>
          <w:bCs/>
          <w:sz w:val="24"/>
          <w:szCs w:val="24"/>
        </w:rPr>
      </w:pPr>
      <w:r w:rsidRPr="00CE1385">
        <w:rPr>
          <w:rFonts w:ascii="Times New Roman" w:hAnsi="Times New Roman" w:cs="Times New Roman"/>
          <w:bCs/>
          <w:sz w:val="24"/>
          <w:szCs w:val="24"/>
        </w:rPr>
        <w:t xml:space="preserve">W literaturze prawniczej termin </w:t>
      </w:r>
      <w:r w:rsidRPr="00CE1385">
        <w:rPr>
          <w:rFonts w:ascii="Times New Roman" w:hAnsi="Times New Roman" w:cs="Times New Roman"/>
          <w:sz w:val="24"/>
          <w:szCs w:val="24"/>
        </w:rPr>
        <w:t>przestępstwa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nienawiści</w:t>
      </w:r>
      <w:r w:rsidRPr="00CE1385">
        <w:rPr>
          <w:rFonts w:ascii="Times New Roman" w:hAnsi="Times New Roman" w:cs="Times New Roman"/>
          <w:bCs/>
          <w:sz w:val="24"/>
          <w:szCs w:val="24"/>
        </w:rPr>
        <w:t xml:space="preserve"> (ang. </w:t>
      </w:r>
      <w:r w:rsidRPr="00CE1385">
        <w:rPr>
          <w:rFonts w:ascii="Times New Roman" w:hAnsi="Times New Roman" w:cs="Times New Roman"/>
          <w:bCs/>
          <w:iCs/>
          <w:sz w:val="24"/>
          <w:szCs w:val="24"/>
        </w:rPr>
        <w:t>hate crimes</w:t>
      </w:r>
      <w:r w:rsidRPr="00CE1385">
        <w:rPr>
          <w:rFonts w:ascii="Times New Roman" w:hAnsi="Times New Roman" w:cs="Times New Roman"/>
          <w:bCs/>
          <w:sz w:val="24"/>
          <w:szCs w:val="24"/>
        </w:rPr>
        <w:t>) odnosi się do takich czynów, gdzie sprawca motywowany jest</w:t>
      </w:r>
      <w:r w:rsidR="0010539D" w:rsidRPr="00CE1385">
        <w:rPr>
          <w:rFonts w:ascii="Times New Roman" w:hAnsi="Times New Roman" w:cs="Times New Roman"/>
          <w:bCs/>
          <w:sz w:val="24"/>
          <w:szCs w:val="24"/>
        </w:rPr>
        <w:t xml:space="preserve"> w </w:t>
      </w:r>
      <w:r w:rsidRPr="00CE1385">
        <w:rPr>
          <w:rFonts w:ascii="Times New Roman" w:hAnsi="Times New Roman" w:cs="Times New Roman"/>
          <w:bCs/>
          <w:sz w:val="24"/>
          <w:szCs w:val="24"/>
        </w:rPr>
        <w:t xml:space="preserve">ich popełnianiu pewnymi cechami ofiary </w:t>
      </w:r>
      <w:r w:rsidRPr="00CE1385">
        <w:rPr>
          <w:rFonts w:ascii="Times New Roman" w:hAnsi="Times New Roman" w:cs="Times New Roman"/>
          <w:bCs/>
          <w:sz w:val="24"/>
          <w:szCs w:val="24"/>
        </w:rPr>
        <w:lastRenderedPageBreak/>
        <w:t>przestępstwa, przynależnością jej do danej grupy,</w:t>
      </w:r>
      <w:r w:rsidR="0010539D" w:rsidRPr="00CE1385">
        <w:rPr>
          <w:rFonts w:ascii="Times New Roman" w:hAnsi="Times New Roman" w:cs="Times New Roman"/>
          <w:bCs/>
          <w:sz w:val="24"/>
          <w:szCs w:val="24"/>
        </w:rPr>
        <w:t xml:space="preserve"> w </w:t>
      </w:r>
      <w:r w:rsidRPr="00CE1385">
        <w:rPr>
          <w:rFonts w:ascii="Times New Roman" w:hAnsi="Times New Roman" w:cs="Times New Roman"/>
          <w:bCs/>
          <w:sz w:val="24"/>
          <w:szCs w:val="24"/>
        </w:rPr>
        <w:t>stosunku do której sprawca odczuwa niechęć. Przestępstwa</w:t>
      </w:r>
      <w:r w:rsidR="0001136D" w:rsidRPr="00CE1385">
        <w:rPr>
          <w:rFonts w:ascii="Times New Roman" w:hAnsi="Times New Roman" w:cs="Times New Roman"/>
          <w:bCs/>
          <w:sz w:val="24"/>
          <w:szCs w:val="24"/>
        </w:rPr>
        <w:t xml:space="preserve"> z </w:t>
      </w:r>
      <w:r w:rsidRPr="00CE1385">
        <w:rPr>
          <w:rFonts w:ascii="Times New Roman" w:hAnsi="Times New Roman" w:cs="Times New Roman"/>
          <w:bCs/>
          <w:sz w:val="24"/>
          <w:szCs w:val="24"/>
        </w:rPr>
        <w:t>nienawiści to przestępstwa popełniane przeciwko osobom</w:t>
      </w:r>
      <w:r w:rsidR="0001136D" w:rsidRPr="00CE1385">
        <w:rPr>
          <w:rFonts w:ascii="Times New Roman" w:hAnsi="Times New Roman" w:cs="Times New Roman"/>
          <w:bCs/>
          <w:sz w:val="24"/>
          <w:szCs w:val="24"/>
        </w:rPr>
        <w:t xml:space="preserve"> z </w:t>
      </w:r>
      <w:r w:rsidRPr="00CE1385">
        <w:rPr>
          <w:rFonts w:ascii="Times New Roman" w:hAnsi="Times New Roman" w:cs="Times New Roman"/>
          <w:bCs/>
          <w:sz w:val="24"/>
          <w:szCs w:val="24"/>
        </w:rPr>
        <w:t xml:space="preserve">powodu ich faktycznej bądź subiektywnie postrzeganej tożsamości bądź przynależności do grupy definiowanej ze względu na takie cechy, jak niepełnosprawność, pochodzenie etniczne, tożsamość płciowa, rasa, orientacja seksualna, status społeczny lub ekonomiczny. </w:t>
      </w:r>
    </w:p>
    <w:p w14:paraId="791815B8" w14:textId="3EE249A0" w:rsidR="009F08D3" w:rsidRPr="00CE1385" w:rsidRDefault="009F08D3" w:rsidP="00412841">
      <w:pPr>
        <w:spacing w:before="120" w:after="0" w:line="360" w:lineRule="auto"/>
        <w:jc w:val="both"/>
        <w:rPr>
          <w:rFonts w:ascii="Times New Roman" w:hAnsi="Times New Roman" w:cs="Times New Roman"/>
          <w:bCs/>
          <w:sz w:val="24"/>
          <w:szCs w:val="24"/>
        </w:rPr>
      </w:pPr>
      <w:r w:rsidRPr="00CE1385">
        <w:rPr>
          <w:rFonts w:ascii="Times New Roman" w:hAnsi="Times New Roman" w:cs="Times New Roman"/>
          <w:bCs/>
          <w:sz w:val="24"/>
          <w:szCs w:val="24"/>
        </w:rPr>
        <w:t xml:space="preserve">Mianem </w:t>
      </w:r>
      <w:r w:rsidRPr="00CE1385">
        <w:rPr>
          <w:rFonts w:ascii="Times New Roman" w:hAnsi="Times New Roman" w:cs="Times New Roman"/>
          <w:sz w:val="24"/>
          <w:szCs w:val="24"/>
        </w:rPr>
        <w:t>mowy nienawiści</w:t>
      </w:r>
      <w:r w:rsidRPr="00CE1385">
        <w:rPr>
          <w:rFonts w:ascii="Times New Roman" w:hAnsi="Times New Roman" w:cs="Times New Roman"/>
          <w:bCs/>
          <w:sz w:val="24"/>
          <w:szCs w:val="24"/>
        </w:rPr>
        <w:t xml:space="preserve"> (ang. </w:t>
      </w:r>
      <w:r w:rsidRPr="00CE1385">
        <w:rPr>
          <w:rFonts w:ascii="Times New Roman" w:hAnsi="Times New Roman" w:cs="Times New Roman"/>
          <w:bCs/>
          <w:iCs/>
          <w:sz w:val="24"/>
          <w:szCs w:val="24"/>
        </w:rPr>
        <w:t>hate speech</w:t>
      </w:r>
      <w:r w:rsidRPr="00CE1385">
        <w:rPr>
          <w:rFonts w:ascii="Times New Roman" w:hAnsi="Times New Roman" w:cs="Times New Roman"/>
          <w:bCs/>
          <w:sz w:val="24"/>
          <w:szCs w:val="24"/>
        </w:rPr>
        <w:t>) określony jest przez władze lub organizacje pozarządowe rodzaj przestępstw dotyczących publicznego nawoływania do przemocy</w:t>
      </w:r>
      <w:r w:rsidR="0010539D" w:rsidRPr="00CE1385">
        <w:rPr>
          <w:rFonts w:ascii="Times New Roman" w:hAnsi="Times New Roman" w:cs="Times New Roman"/>
          <w:bCs/>
          <w:sz w:val="24"/>
          <w:szCs w:val="24"/>
        </w:rPr>
        <w:t xml:space="preserve"> i </w:t>
      </w:r>
      <w:r w:rsidRPr="00CE1385">
        <w:rPr>
          <w:rFonts w:ascii="Times New Roman" w:hAnsi="Times New Roman" w:cs="Times New Roman"/>
          <w:bCs/>
          <w:sz w:val="24"/>
          <w:szCs w:val="24"/>
        </w:rPr>
        <w:t xml:space="preserve">nienawiści. </w:t>
      </w:r>
    </w:p>
    <w:p w14:paraId="557AEC5A" w14:textId="0345B0B6" w:rsidR="001E2E5E" w:rsidRPr="00CE1385" w:rsidRDefault="009F08D3" w:rsidP="00412841">
      <w:pPr>
        <w:tabs>
          <w:tab w:val="left" w:pos="4678"/>
        </w:tabs>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Zgodnie</w:t>
      </w:r>
      <w:r w:rsidR="0001136D" w:rsidRPr="00CE1385">
        <w:rPr>
          <w:rFonts w:ascii="Times New Roman" w:hAnsi="Times New Roman" w:cs="Times New Roman"/>
          <w:sz w:val="24"/>
          <w:szCs w:val="24"/>
        </w:rPr>
        <w:t xml:space="preserve"> z</w:t>
      </w:r>
      <w:r w:rsidR="00B026F4" w:rsidRPr="00CE1385">
        <w:rPr>
          <w:rFonts w:ascii="Times New Roman" w:hAnsi="Times New Roman" w:cs="Times New Roman"/>
          <w:sz w:val="24"/>
          <w:szCs w:val="24"/>
        </w:rPr>
        <w:t xml:space="preserve"> </w:t>
      </w:r>
      <w:r w:rsidR="009925F3" w:rsidRPr="00CE1385">
        <w:rPr>
          <w:rFonts w:ascii="Times New Roman" w:hAnsi="Times New Roman" w:cs="Times New Roman"/>
          <w:sz w:val="24"/>
          <w:szCs w:val="24"/>
        </w:rPr>
        <w:t>zaleceniem</w:t>
      </w:r>
      <w:r w:rsidRPr="00CE1385">
        <w:rPr>
          <w:rFonts w:ascii="Times New Roman" w:hAnsi="Times New Roman" w:cs="Times New Roman"/>
          <w:sz w:val="24"/>
          <w:szCs w:val="24"/>
        </w:rPr>
        <w:t xml:space="preserve"> </w:t>
      </w:r>
      <w:r w:rsidR="000F772E" w:rsidRPr="00CE1385">
        <w:rPr>
          <w:rFonts w:ascii="Times New Roman" w:hAnsi="Times New Roman" w:cs="Times New Roman"/>
          <w:sz w:val="24"/>
          <w:szCs w:val="24"/>
        </w:rPr>
        <w:t>R</w:t>
      </w:r>
      <w:r w:rsidR="00255948" w:rsidRPr="00CE1385">
        <w:rPr>
          <w:rFonts w:ascii="Times New Roman" w:hAnsi="Times New Roman" w:cs="Times New Roman"/>
          <w:sz w:val="24"/>
          <w:szCs w:val="24"/>
        </w:rPr>
        <w:t>(</w:t>
      </w:r>
      <w:r w:rsidRPr="00CE1385">
        <w:rPr>
          <w:rFonts w:ascii="Times New Roman" w:hAnsi="Times New Roman" w:cs="Times New Roman"/>
          <w:sz w:val="24"/>
          <w:szCs w:val="24"/>
        </w:rPr>
        <w:t>97</w:t>
      </w:r>
      <w:r w:rsidR="00255948" w:rsidRPr="00CE1385">
        <w:rPr>
          <w:rFonts w:ascii="Times New Roman" w:hAnsi="Times New Roman" w:cs="Times New Roman"/>
          <w:sz w:val="24"/>
          <w:szCs w:val="24"/>
        </w:rPr>
        <w:t>)</w:t>
      </w:r>
      <w:r w:rsidR="0031352B" w:rsidRPr="00CE1385">
        <w:rPr>
          <w:rFonts w:ascii="Times New Roman" w:hAnsi="Times New Roman" w:cs="Times New Roman"/>
          <w:sz w:val="24"/>
          <w:szCs w:val="24"/>
        </w:rPr>
        <w:t>20 </w:t>
      </w:r>
      <w:r w:rsidRPr="00CE1385">
        <w:rPr>
          <w:rFonts w:ascii="Times New Roman" w:hAnsi="Times New Roman" w:cs="Times New Roman"/>
          <w:sz w:val="24"/>
          <w:szCs w:val="24"/>
        </w:rPr>
        <w:t>Komitetu Ministrów Rady Europy</w:t>
      </w:r>
      <w:r w:rsidR="0001136D" w:rsidRPr="00CE1385">
        <w:rPr>
          <w:rFonts w:ascii="Times New Roman" w:hAnsi="Times New Roman" w:cs="Times New Roman"/>
          <w:sz w:val="24"/>
          <w:szCs w:val="24"/>
        </w:rPr>
        <w:t xml:space="preserve"> z dnia 30 </w:t>
      </w:r>
      <w:r w:rsidRPr="00CE1385">
        <w:rPr>
          <w:rFonts w:ascii="Times New Roman" w:hAnsi="Times New Roman" w:cs="Times New Roman"/>
          <w:sz w:val="24"/>
          <w:szCs w:val="24"/>
        </w:rPr>
        <w:t>października 1997 r.</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kwestii wypowiedzi szerzących nienawiść</w:t>
      </w:r>
      <w:r w:rsidR="0096799D" w:rsidRPr="00CE1385">
        <w:rPr>
          <w:rFonts w:ascii="Times New Roman" w:hAnsi="Times New Roman" w:cs="Times New Roman"/>
          <w:sz w:val="24"/>
          <w:szCs w:val="24"/>
        </w:rPr>
        <w:t>,</w:t>
      </w:r>
      <w:r w:rsidRPr="00CE1385">
        <w:rPr>
          <w:rFonts w:ascii="Times New Roman" w:hAnsi="Times New Roman" w:cs="Times New Roman"/>
          <w:i/>
          <w:sz w:val="24"/>
          <w:szCs w:val="24"/>
        </w:rPr>
        <w:t xml:space="preserve"> </w:t>
      </w:r>
      <w:r w:rsidRPr="00CE1385">
        <w:rPr>
          <w:rFonts w:ascii="Times New Roman" w:hAnsi="Times New Roman" w:cs="Times New Roman"/>
          <w:bCs/>
          <w:sz w:val="24"/>
          <w:szCs w:val="24"/>
        </w:rPr>
        <w:t>mową nienawiści</w:t>
      </w:r>
      <w:r w:rsidRPr="00CE1385">
        <w:rPr>
          <w:rFonts w:ascii="Times New Roman" w:hAnsi="Times New Roman" w:cs="Times New Roman"/>
          <w:b/>
          <w:sz w:val="24"/>
          <w:szCs w:val="24"/>
        </w:rPr>
        <w:t xml:space="preserve"> </w:t>
      </w:r>
      <w:r w:rsidRPr="00CE1385">
        <w:rPr>
          <w:rFonts w:ascii="Times New Roman" w:hAnsi="Times New Roman" w:cs="Times New Roman"/>
          <w:sz w:val="24"/>
          <w:szCs w:val="24"/>
        </w:rPr>
        <w:t>jest każda forma wypowiedzi, która rozpowszechnia, podżega, propaguje lub usprawiedliwia nienawiść rasową, ksenofobię, antysemityzm lub inne formy nienawiści oparte na nietolerancji, włączając</w:t>
      </w:r>
      <w:r w:rsidR="0010539D" w:rsidRPr="00CE1385">
        <w:rPr>
          <w:rFonts w:ascii="Times New Roman" w:hAnsi="Times New Roman" w:cs="Times New Roman"/>
          <w:sz w:val="24"/>
          <w:szCs w:val="24"/>
        </w:rPr>
        <w:t xml:space="preserve"> w</w:t>
      </w:r>
      <w:r w:rsidR="0096799D" w:rsidRPr="00CE1385">
        <w:rPr>
          <w:rFonts w:ascii="Times New Roman" w:hAnsi="Times New Roman" w:cs="Times New Roman"/>
          <w:sz w:val="24"/>
          <w:szCs w:val="24"/>
        </w:rPr>
        <w:t xml:space="preserve"> </w:t>
      </w:r>
      <w:r w:rsidRPr="00CE1385">
        <w:rPr>
          <w:rFonts w:ascii="Times New Roman" w:hAnsi="Times New Roman" w:cs="Times New Roman"/>
          <w:sz w:val="24"/>
          <w:szCs w:val="24"/>
        </w:rPr>
        <w:t>to nietolerancję wyrażaną</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 xml:space="preserve">formie agresywnego nacjonalizmu lub etnocentryzmu, dyskryminacji lub wrogości wobec mniejszości, migrantów lub osób wywodzących się ze społeczności imigrantów. </w:t>
      </w:r>
    </w:p>
    <w:p w14:paraId="09F12179" w14:textId="0A2F51ED" w:rsidR="009925F3" w:rsidRPr="00CE1385" w:rsidRDefault="009925F3" w:rsidP="00412841">
      <w:pPr>
        <w:tabs>
          <w:tab w:val="left" w:pos="4678"/>
        </w:tabs>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Zgodnie</w:t>
      </w:r>
      <w:r w:rsidR="0001136D" w:rsidRPr="00CE1385">
        <w:rPr>
          <w:rFonts w:ascii="Times New Roman" w:hAnsi="Times New Roman" w:cs="Times New Roman"/>
          <w:sz w:val="24"/>
          <w:szCs w:val="24"/>
        </w:rPr>
        <w:t xml:space="preserve"> z</w:t>
      </w:r>
      <w:r w:rsidR="00B026F4" w:rsidRPr="00CE1385">
        <w:rPr>
          <w:rFonts w:ascii="Times New Roman" w:hAnsi="Times New Roman" w:cs="Times New Roman"/>
          <w:sz w:val="24"/>
          <w:szCs w:val="24"/>
        </w:rPr>
        <w:t xml:space="preserve"> </w:t>
      </w:r>
      <w:r w:rsidRPr="00CE1385">
        <w:rPr>
          <w:rFonts w:ascii="Times New Roman" w:hAnsi="Times New Roman" w:cs="Times New Roman"/>
          <w:sz w:val="24"/>
          <w:szCs w:val="24"/>
        </w:rPr>
        <w:t>zaleceniem CM/Rec(2022)16 Komitetu Ministrów Rady Europy</w:t>
      </w:r>
      <w:r w:rsidR="0001136D" w:rsidRPr="00CE1385">
        <w:rPr>
          <w:rFonts w:ascii="Times New Roman" w:hAnsi="Times New Roman" w:cs="Times New Roman"/>
          <w:sz w:val="24"/>
          <w:szCs w:val="24"/>
        </w:rPr>
        <w:t xml:space="preserve"> z dnia </w:t>
      </w:r>
      <w:r w:rsidR="0031352B" w:rsidRPr="00CE1385">
        <w:rPr>
          <w:rFonts w:ascii="Times New Roman" w:hAnsi="Times New Roman" w:cs="Times New Roman"/>
          <w:sz w:val="24"/>
          <w:szCs w:val="24"/>
        </w:rPr>
        <w:t>20 </w:t>
      </w:r>
      <w:r w:rsidRPr="00CE1385">
        <w:rPr>
          <w:rFonts w:ascii="Times New Roman" w:hAnsi="Times New Roman" w:cs="Times New Roman"/>
          <w:sz w:val="24"/>
          <w:szCs w:val="24"/>
        </w:rPr>
        <w:t>maja</w:t>
      </w:r>
      <w:r w:rsidR="006F5183" w:rsidRPr="00CE1385">
        <w:rPr>
          <w:rFonts w:ascii="Times New Roman" w:hAnsi="Times New Roman" w:cs="Times New Roman"/>
          <w:sz w:val="24"/>
          <w:szCs w:val="24"/>
        </w:rPr>
        <w:t xml:space="preserve"> 2022 </w:t>
      </w:r>
      <w:r w:rsidRPr="00CE1385">
        <w:rPr>
          <w:rFonts w:ascii="Times New Roman" w:hAnsi="Times New Roman" w:cs="Times New Roman"/>
          <w:sz w:val="24"/>
          <w:szCs w:val="24"/>
        </w:rPr>
        <w:t>r. do państw członkowskich</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 xml:space="preserve">sprawie zwalczania mowy nienawiści </w:t>
      </w:r>
      <w:r w:rsidRPr="00CE1385">
        <w:rPr>
          <w:rStyle w:val="Bodytext1"/>
          <w:rFonts w:ascii="Times New Roman" w:hAnsi="Times New Roman" w:cs="Times New Roman"/>
          <w:sz w:val="24"/>
          <w:szCs w:val="24"/>
        </w:rPr>
        <w:t>mowa nienawiści jest rozumiana jako wszystkie rodzaje wyrażania, które podżegają, promują, rozpowszechniają lub usprawiedliwiają przemoc, nienawiść lub dyskryminację wobec osoby lub grupy osób lub ich oczerniają ze względu na ich rzeczywiste lub przypisane cechy osobiste lub status, takie jak „rasa”, kolor skóry, język, religia, narodowość, pochodzenie narodowe lub etniczne, wiek, niepełnosprawność, płeć, tożsamość płciowa</w:t>
      </w:r>
      <w:r w:rsidR="0010539D" w:rsidRPr="00CE1385">
        <w:rPr>
          <w:rStyle w:val="Bodytext1"/>
          <w:rFonts w:ascii="Times New Roman" w:hAnsi="Times New Roman" w:cs="Times New Roman"/>
          <w:sz w:val="24"/>
          <w:szCs w:val="24"/>
        </w:rPr>
        <w:t xml:space="preserve"> i </w:t>
      </w:r>
      <w:r w:rsidRPr="00CE1385">
        <w:rPr>
          <w:rStyle w:val="Bodytext1"/>
          <w:rFonts w:ascii="Times New Roman" w:hAnsi="Times New Roman" w:cs="Times New Roman"/>
          <w:sz w:val="24"/>
          <w:szCs w:val="24"/>
        </w:rPr>
        <w:t>orientacja seksualna.</w:t>
      </w:r>
    </w:p>
    <w:p w14:paraId="5CDE76B2" w14:textId="47DC2661" w:rsidR="001E2E5E" w:rsidRPr="00412841" w:rsidRDefault="001E2E5E" w:rsidP="00412841">
      <w:pPr>
        <w:tabs>
          <w:tab w:val="left" w:pos="4678"/>
        </w:tabs>
        <w:spacing w:before="120" w:after="0" w:line="360" w:lineRule="auto"/>
        <w:jc w:val="both"/>
        <w:rPr>
          <w:rFonts w:ascii="Times New Roman" w:hAnsi="Times New Roman" w:cs="Times New Roman"/>
          <w:sz w:val="24"/>
          <w:szCs w:val="24"/>
          <w:vertAlign w:val="superscript"/>
        </w:rPr>
      </w:pPr>
      <w:r w:rsidRPr="00CE1385">
        <w:rPr>
          <w:rFonts w:ascii="Times New Roman" w:hAnsi="Times New Roman" w:cs="Times New Roman"/>
          <w:sz w:val="24"/>
          <w:szCs w:val="24"/>
        </w:rPr>
        <w:t>Agencja Praw Podstawowych Unii Europejskiej, a za nią Biuro Instytucji Demokratycznych</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Praw Człowieka OBWE zalecają, by, oprócz klauzuli ogólnej, państwa wprowadziły też zaostrzenie kar za przestępstwa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 xml:space="preserve">nienawiści, </w:t>
      </w:r>
      <w:r w:rsidR="002E65E7" w:rsidRPr="00CE1385">
        <w:rPr>
          <w:rFonts w:ascii="Times New Roman" w:hAnsi="Times New Roman" w:cs="Times New Roman"/>
          <w:sz w:val="24"/>
          <w:szCs w:val="24"/>
        </w:rPr>
        <w:t>czyli</w:t>
      </w:r>
      <w:r w:rsidRPr="00CE1385">
        <w:rPr>
          <w:rFonts w:ascii="Times New Roman" w:hAnsi="Times New Roman" w:cs="Times New Roman"/>
          <w:sz w:val="24"/>
          <w:szCs w:val="24"/>
        </w:rPr>
        <w:t xml:space="preserve"> wybrane rodzaje najbardziej powszechnych przestępstw motywowanych uprzedzeniami, </w:t>
      </w:r>
      <w:r w:rsidR="002E65E7" w:rsidRPr="00CE1385">
        <w:rPr>
          <w:rFonts w:ascii="Times New Roman" w:hAnsi="Times New Roman" w:cs="Times New Roman"/>
          <w:sz w:val="24"/>
          <w:szCs w:val="24"/>
        </w:rPr>
        <w:t>przykładowo</w:t>
      </w:r>
      <w:r w:rsidRPr="00CE1385">
        <w:rPr>
          <w:rFonts w:ascii="Times New Roman" w:hAnsi="Times New Roman" w:cs="Times New Roman"/>
          <w:sz w:val="24"/>
          <w:szCs w:val="24"/>
        </w:rPr>
        <w:t xml:space="preserve"> groźby, przemoc fizyczną, zniszczenie mienia, podpalenie, zgwałcenie czy zabójstwo. Takie podejście legislacyjne umożliwia skuteczne dochodzenie, ogranicza arbitralność oraz ułatwia zbieranie danych.</w:t>
      </w:r>
      <w:r w:rsidRPr="00CE1385">
        <w:rPr>
          <w:rStyle w:val="Odwoanieprzypisudolnego"/>
          <w:rFonts w:ascii="Times New Roman" w:hAnsi="Times New Roman" w:cs="Times New Roman"/>
          <w:sz w:val="24"/>
          <w:szCs w:val="24"/>
        </w:rPr>
        <w:footnoteReference w:id="14"/>
      </w:r>
      <w:r w:rsidR="000017BD">
        <w:rPr>
          <w:rFonts w:ascii="Times New Roman" w:hAnsi="Times New Roman" w:cs="Times New Roman"/>
          <w:sz w:val="24"/>
          <w:szCs w:val="24"/>
          <w:vertAlign w:val="superscript"/>
        </w:rPr>
        <w:t>)</w:t>
      </w:r>
    </w:p>
    <w:p w14:paraId="4CD8E594" w14:textId="11ECE1D6" w:rsidR="007039FE" w:rsidRPr="00CE1385" w:rsidRDefault="007039FE" w:rsidP="00412841">
      <w:pPr>
        <w:spacing w:before="240" w:after="0" w:line="360" w:lineRule="auto"/>
        <w:rPr>
          <w:rFonts w:ascii="Times New Roman" w:hAnsi="Times New Roman" w:cs="Times New Roman"/>
          <w:b/>
          <w:bCs/>
          <w:sz w:val="24"/>
          <w:szCs w:val="24"/>
        </w:rPr>
      </w:pPr>
      <w:r w:rsidRPr="00CE1385">
        <w:rPr>
          <w:rFonts w:ascii="Times New Roman" w:hAnsi="Times New Roman" w:cs="Times New Roman"/>
          <w:b/>
          <w:bCs/>
          <w:sz w:val="24"/>
          <w:szCs w:val="24"/>
        </w:rPr>
        <w:t xml:space="preserve">Projektowane rozwiązania </w:t>
      </w:r>
    </w:p>
    <w:p w14:paraId="79A58A7E" w14:textId="5466998F" w:rsidR="006B7DC4" w:rsidRPr="00CE1385" w:rsidRDefault="00802F09"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lastRenderedPageBreak/>
        <w:t xml:space="preserve">Analiza </w:t>
      </w:r>
      <w:r w:rsidR="006B2AEB" w:rsidRPr="00CE1385">
        <w:rPr>
          <w:rFonts w:ascii="Times New Roman" w:hAnsi="Times New Roman" w:cs="Times New Roman"/>
          <w:sz w:val="24"/>
          <w:szCs w:val="24"/>
        </w:rPr>
        <w:t>aktualnego</w:t>
      </w:r>
      <w:r w:rsidRPr="00CE1385">
        <w:rPr>
          <w:rFonts w:ascii="Times New Roman" w:hAnsi="Times New Roman" w:cs="Times New Roman"/>
          <w:sz w:val="24"/>
          <w:szCs w:val="24"/>
        </w:rPr>
        <w:t xml:space="preserve"> stanu prawnego</w:t>
      </w:r>
      <w:r w:rsidR="0010539D" w:rsidRPr="00CE1385">
        <w:rPr>
          <w:rFonts w:ascii="Times New Roman" w:hAnsi="Times New Roman" w:cs="Times New Roman"/>
          <w:sz w:val="24"/>
          <w:szCs w:val="24"/>
        </w:rPr>
        <w:t xml:space="preserve"> w </w:t>
      </w:r>
      <w:r w:rsidR="00FB1542" w:rsidRPr="00CE1385">
        <w:rPr>
          <w:rFonts w:ascii="Times New Roman" w:hAnsi="Times New Roman" w:cs="Times New Roman"/>
          <w:sz w:val="24"/>
          <w:szCs w:val="24"/>
        </w:rPr>
        <w:t xml:space="preserve">zakresie ochrony prawnej przed przestępczymi zachowaniami motywowanymi uprzedzeniami </w:t>
      </w:r>
      <w:r w:rsidRPr="00CE1385">
        <w:rPr>
          <w:rFonts w:ascii="Times New Roman" w:hAnsi="Times New Roman" w:cs="Times New Roman"/>
          <w:sz w:val="24"/>
          <w:szCs w:val="24"/>
        </w:rPr>
        <w:t xml:space="preserve">obejmującego rozwiązania części </w:t>
      </w:r>
      <w:r w:rsidR="00FB1542" w:rsidRPr="00CE1385">
        <w:rPr>
          <w:rFonts w:ascii="Times New Roman" w:hAnsi="Times New Roman" w:cs="Times New Roman"/>
          <w:sz w:val="24"/>
          <w:szCs w:val="24"/>
        </w:rPr>
        <w:t>ogólnej</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części szczególnej</w:t>
      </w:r>
      <w:r w:rsidR="00FB1542" w:rsidRPr="00CE1385">
        <w:rPr>
          <w:rFonts w:ascii="Times New Roman" w:hAnsi="Times New Roman" w:cs="Times New Roman"/>
          <w:sz w:val="24"/>
          <w:szCs w:val="24"/>
        </w:rPr>
        <w:t xml:space="preserve"> Kodeksu karnego </w:t>
      </w:r>
      <w:r w:rsidR="00CC4D17" w:rsidRPr="00CE1385">
        <w:rPr>
          <w:rFonts w:ascii="Times New Roman" w:hAnsi="Times New Roman" w:cs="Times New Roman"/>
          <w:sz w:val="24"/>
          <w:szCs w:val="24"/>
        </w:rPr>
        <w:t>–</w:t>
      </w:r>
      <w:r w:rsidR="0010539D" w:rsidRPr="00CE1385">
        <w:rPr>
          <w:rFonts w:ascii="Times New Roman" w:hAnsi="Times New Roman" w:cs="Times New Roman"/>
          <w:sz w:val="24"/>
          <w:szCs w:val="24"/>
        </w:rPr>
        <w:t xml:space="preserve"> w </w:t>
      </w:r>
      <w:r w:rsidR="00FB1542" w:rsidRPr="00CE1385">
        <w:rPr>
          <w:rFonts w:ascii="Times New Roman" w:hAnsi="Times New Roman" w:cs="Times New Roman"/>
          <w:sz w:val="24"/>
          <w:szCs w:val="24"/>
        </w:rPr>
        <w:t>kontekście</w:t>
      </w:r>
      <w:r w:rsidRPr="00CE1385">
        <w:rPr>
          <w:rFonts w:ascii="Times New Roman" w:hAnsi="Times New Roman" w:cs="Times New Roman"/>
          <w:sz w:val="24"/>
          <w:szCs w:val="24"/>
        </w:rPr>
        <w:t xml:space="preserve"> powyższych</w:t>
      </w:r>
      <w:r w:rsidR="00FB1542" w:rsidRPr="00CE1385">
        <w:rPr>
          <w:rFonts w:ascii="Times New Roman" w:hAnsi="Times New Roman" w:cs="Times New Roman"/>
          <w:sz w:val="24"/>
          <w:szCs w:val="24"/>
        </w:rPr>
        <w:t xml:space="preserve"> regulacji,</w:t>
      </w:r>
      <w:r w:rsidRPr="00CE1385">
        <w:rPr>
          <w:rFonts w:ascii="Times New Roman" w:hAnsi="Times New Roman" w:cs="Times New Roman"/>
          <w:sz w:val="24"/>
          <w:szCs w:val="24"/>
        </w:rPr>
        <w:t xml:space="preserve"> </w:t>
      </w:r>
      <w:r w:rsidR="00CC4D17" w:rsidRPr="00CE1385">
        <w:rPr>
          <w:rFonts w:ascii="Times New Roman" w:hAnsi="Times New Roman" w:cs="Times New Roman"/>
          <w:sz w:val="24"/>
          <w:szCs w:val="24"/>
        </w:rPr>
        <w:t>zaleceń</w:t>
      </w:r>
      <w:r w:rsidR="00FB1542" w:rsidRPr="00CE1385">
        <w:rPr>
          <w:rFonts w:ascii="Times New Roman" w:hAnsi="Times New Roman" w:cs="Times New Roman"/>
          <w:sz w:val="24"/>
          <w:szCs w:val="24"/>
        </w:rPr>
        <w:t xml:space="preserve"> oraz</w:t>
      </w:r>
      <w:r w:rsidRPr="00CE1385">
        <w:rPr>
          <w:rFonts w:ascii="Times New Roman" w:hAnsi="Times New Roman" w:cs="Times New Roman"/>
          <w:sz w:val="24"/>
          <w:szCs w:val="24"/>
        </w:rPr>
        <w:t xml:space="preserve"> orze</w:t>
      </w:r>
      <w:r w:rsidR="00FB1542" w:rsidRPr="00CE1385">
        <w:rPr>
          <w:rFonts w:ascii="Times New Roman" w:hAnsi="Times New Roman" w:cs="Times New Roman"/>
          <w:sz w:val="24"/>
          <w:szCs w:val="24"/>
        </w:rPr>
        <w:t>cznictwa Europejskiego Trybunału Praw Człowieka</w:t>
      </w:r>
      <w:r w:rsidR="00CC4D17" w:rsidRPr="00CE1385">
        <w:rPr>
          <w:rFonts w:ascii="Times New Roman" w:hAnsi="Times New Roman" w:cs="Times New Roman"/>
          <w:sz w:val="24"/>
          <w:szCs w:val="24"/>
        </w:rPr>
        <w:t xml:space="preserve"> – </w:t>
      </w:r>
      <w:r w:rsidR="006B2AEB" w:rsidRPr="00CE1385">
        <w:rPr>
          <w:rFonts w:ascii="Times New Roman" w:hAnsi="Times New Roman" w:cs="Times New Roman"/>
          <w:sz w:val="24"/>
          <w:szCs w:val="24"/>
        </w:rPr>
        <w:t>prowadzi do wniosku, że o</w:t>
      </w:r>
      <w:r w:rsidR="006B7DC4" w:rsidRPr="00CE1385">
        <w:rPr>
          <w:rFonts w:ascii="Times New Roman" w:hAnsi="Times New Roman" w:cs="Times New Roman"/>
          <w:sz w:val="24"/>
          <w:szCs w:val="24"/>
        </w:rPr>
        <w:t>becny stan ochrony prawnokarnej</w:t>
      </w:r>
      <w:r w:rsidR="006B2AEB" w:rsidRPr="00CE1385">
        <w:rPr>
          <w:rFonts w:ascii="Times New Roman" w:hAnsi="Times New Roman" w:cs="Times New Roman"/>
          <w:sz w:val="24"/>
          <w:szCs w:val="24"/>
        </w:rPr>
        <w:t xml:space="preserve"> przed przestępstwami</w:t>
      </w:r>
      <w:r w:rsidR="0001136D" w:rsidRPr="00CE1385">
        <w:rPr>
          <w:rFonts w:ascii="Times New Roman" w:hAnsi="Times New Roman" w:cs="Times New Roman"/>
          <w:sz w:val="24"/>
          <w:szCs w:val="24"/>
        </w:rPr>
        <w:t xml:space="preserve"> z </w:t>
      </w:r>
      <w:r w:rsidR="006B2AEB" w:rsidRPr="00CE1385">
        <w:rPr>
          <w:rFonts w:ascii="Times New Roman" w:hAnsi="Times New Roman" w:cs="Times New Roman"/>
          <w:sz w:val="24"/>
          <w:szCs w:val="24"/>
        </w:rPr>
        <w:t>nienawiści jest niewystraczający</w:t>
      </w:r>
      <w:r w:rsidR="00F11C60" w:rsidRPr="00CE1385">
        <w:rPr>
          <w:rFonts w:ascii="Times New Roman" w:hAnsi="Times New Roman" w:cs="Times New Roman"/>
          <w:sz w:val="24"/>
          <w:szCs w:val="24"/>
        </w:rPr>
        <w:t xml:space="preserve"> </w:t>
      </w:r>
      <w:r w:rsidR="006B2AEB" w:rsidRPr="00CE1385">
        <w:rPr>
          <w:rFonts w:ascii="Times New Roman" w:hAnsi="Times New Roman" w:cs="Times New Roman"/>
          <w:sz w:val="24"/>
          <w:szCs w:val="24"/>
        </w:rPr>
        <w:t>dla zapewnienia skutecznej</w:t>
      </w:r>
      <w:r w:rsidR="0010539D" w:rsidRPr="00CE1385">
        <w:rPr>
          <w:rFonts w:ascii="Times New Roman" w:hAnsi="Times New Roman" w:cs="Times New Roman"/>
          <w:sz w:val="24"/>
          <w:szCs w:val="24"/>
        </w:rPr>
        <w:t xml:space="preserve"> i </w:t>
      </w:r>
      <w:r w:rsidR="006B2AEB" w:rsidRPr="00CE1385">
        <w:rPr>
          <w:rFonts w:ascii="Times New Roman" w:hAnsi="Times New Roman" w:cs="Times New Roman"/>
          <w:sz w:val="24"/>
          <w:szCs w:val="24"/>
        </w:rPr>
        <w:t>realnej ochrony osobom szczególnie narażonym na dyskryminację</w:t>
      </w:r>
      <w:r w:rsidR="00CC3728" w:rsidRPr="00CE1385">
        <w:rPr>
          <w:rFonts w:ascii="Times New Roman" w:hAnsi="Times New Roman" w:cs="Times New Roman"/>
          <w:sz w:val="24"/>
          <w:szCs w:val="24"/>
        </w:rPr>
        <w:t xml:space="preserve"> ze względu na niepełnosprawność, wiek, płeć, orientację seksualną </w:t>
      </w:r>
      <w:r w:rsidR="006B2AEB" w:rsidRPr="00CE1385">
        <w:rPr>
          <w:rFonts w:ascii="Times New Roman" w:hAnsi="Times New Roman" w:cs="Times New Roman"/>
          <w:sz w:val="24"/>
          <w:szCs w:val="24"/>
        </w:rPr>
        <w:t xml:space="preserve">oraz </w:t>
      </w:r>
      <w:r w:rsidR="006B7DC4" w:rsidRPr="00CE1385">
        <w:rPr>
          <w:rFonts w:ascii="Times New Roman" w:hAnsi="Times New Roman" w:cs="Times New Roman"/>
          <w:sz w:val="24"/>
          <w:szCs w:val="24"/>
        </w:rPr>
        <w:t>nie odpowiada współczesnym potrzebom społecznym</w:t>
      </w:r>
      <w:r w:rsidR="006B2AEB" w:rsidRPr="00CE1385">
        <w:rPr>
          <w:rFonts w:ascii="Times New Roman" w:hAnsi="Times New Roman" w:cs="Times New Roman"/>
          <w:sz w:val="24"/>
          <w:szCs w:val="24"/>
        </w:rPr>
        <w:t>.</w:t>
      </w:r>
    </w:p>
    <w:p w14:paraId="2813AB2F" w14:textId="7F1DE015" w:rsidR="00956321" w:rsidRPr="001F0B86" w:rsidRDefault="00921E4C" w:rsidP="00412841">
      <w:pPr>
        <w:pStyle w:val="ARTartustawynprozporzdzenia"/>
        <w:ind w:firstLine="0"/>
        <w:rPr>
          <w:rFonts w:ascii="Times New Roman" w:hAnsi="Times New Roman" w:cs="Times New Roman"/>
          <w:szCs w:val="24"/>
        </w:rPr>
      </w:pPr>
      <w:r w:rsidRPr="001F0B86">
        <w:rPr>
          <w:rFonts w:ascii="Times New Roman" w:hAnsi="Times New Roman" w:cs="Times New Roman"/>
          <w:szCs w:val="24"/>
        </w:rPr>
        <w:t>W ujęciu znamion strony podmiotowej przestępstw określonych w art. 119 § 1</w:t>
      </w:r>
      <w:r w:rsidR="00CE1385">
        <w:rPr>
          <w:rFonts w:ascii="Times New Roman" w:hAnsi="Times New Roman" w:cs="Times New Roman"/>
          <w:szCs w:val="24"/>
        </w:rPr>
        <w:t xml:space="preserve"> k.k.</w:t>
      </w:r>
      <w:r w:rsidRPr="001F0B86">
        <w:rPr>
          <w:rFonts w:ascii="Times New Roman" w:hAnsi="Times New Roman" w:cs="Times New Roman"/>
          <w:szCs w:val="24"/>
        </w:rPr>
        <w:t xml:space="preserve"> i art. 257 k.k. </w:t>
      </w:r>
      <w:r w:rsidR="009B4B16" w:rsidRPr="001F0B86">
        <w:rPr>
          <w:rFonts w:ascii="Times New Roman" w:hAnsi="Times New Roman" w:cs="Times New Roman"/>
          <w:szCs w:val="24"/>
        </w:rPr>
        <w:t>zastępuje się</w:t>
      </w:r>
      <w:r w:rsidRPr="001F0B86">
        <w:rPr>
          <w:rFonts w:ascii="Times New Roman" w:hAnsi="Times New Roman" w:cs="Times New Roman"/>
          <w:szCs w:val="24"/>
        </w:rPr>
        <w:t xml:space="preserve"> pojęcie </w:t>
      </w:r>
      <w:r w:rsidR="00CE1385">
        <w:rPr>
          <w:rFonts w:ascii="Times New Roman" w:hAnsi="Times New Roman" w:cs="Times New Roman"/>
          <w:szCs w:val="24"/>
        </w:rPr>
        <w:t>„</w:t>
      </w:r>
      <w:r w:rsidRPr="001F0B86">
        <w:rPr>
          <w:rFonts w:ascii="Times New Roman" w:hAnsi="Times New Roman" w:cs="Times New Roman"/>
          <w:szCs w:val="24"/>
        </w:rPr>
        <w:t>z powodu jej przynależności</w:t>
      </w:r>
      <w:r w:rsidR="00CE1385">
        <w:rPr>
          <w:rFonts w:ascii="Times New Roman" w:hAnsi="Times New Roman" w:cs="Times New Roman"/>
          <w:szCs w:val="24"/>
        </w:rPr>
        <w:t>”</w:t>
      </w:r>
      <w:r w:rsidR="00AC0496">
        <w:rPr>
          <w:rFonts w:ascii="Times New Roman" w:hAnsi="Times New Roman" w:cs="Times New Roman"/>
          <w:szCs w:val="24"/>
        </w:rPr>
        <w:t>,</w:t>
      </w:r>
      <w:r w:rsidRPr="001F0B86">
        <w:rPr>
          <w:rFonts w:ascii="Times New Roman" w:hAnsi="Times New Roman" w:cs="Times New Roman"/>
          <w:szCs w:val="24"/>
        </w:rPr>
        <w:t xml:space="preserve"> np. narodowej, </w:t>
      </w:r>
      <w:r w:rsidR="009B4B16" w:rsidRPr="001F0B86">
        <w:rPr>
          <w:rFonts w:ascii="Times New Roman" w:hAnsi="Times New Roman" w:cs="Times New Roman"/>
          <w:szCs w:val="24"/>
        </w:rPr>
        <w:t xml:space="preserve">etnicznej, </w:t>
      </w:r>
      <w:r w:rsidRPr="001F0B86">
        <w:rPr>
          <w:rFonts w:ascii="Times New Roman" w:hAnsi="Times New Roman" w:cs="Times New Roman"/>
          <w:szCs w:val="24"/>
        </w:rPr>
        <w:t xml:space="preserve">pojęciem </w:t>
      </w:r>
      <w:r w:rsidR="00CE1385">
        <w:rPr>
          <w:rFonts w:ascii="Times New Roman" w:hAnsi="Times New Roman" w:cs="Times New Roman"/>
          <w:szCs w:val="24"/>
        </w:rPr>
        <w:t>„</w:t>
      </w:r>
      <w:r w:rsidRPr="001F0B86">
        <w:rPr>
          <w:rFonts w:ascii="Times New Roman" w:hAnsi="Times New Roman" w:cs="Times New Roman"/>
          <w:szCs w:val="24"/>
        </w:rPr>
        <w:t>w związku z przynależnością</w:t>
      </w:r>
      <w:r w:rsidR="00CE1385">
        <w:rPr>
          <w:rFonts w:ascii="Times New Roman" w:hAnsi="Times New Roman" w:cs="Times New Roman"/>
          <w:szCs w:val="24"/>
        </w:rPr>
        <w:t>”</w:t>
      </w:r>
      <w:r w:rsidR="00AC0496">
        <w:rPr>
          <w:rFonts w:ascii="Times New Roman" w:hAnsi="Times New Roman" w:cs="Times New Roman"/>
          <w:szCs w:val="24"/>
        </w:rPr>
        <w:t>,</w:t>
      </w:r>
      <w:r w:rsidRPr="001F0B86">
        <w:rPr>
          <w:rFonts w:ascii="Times New Roman" w:hAnsi="Times New Roman" w:cs="Times New Roman"/>
          <w:szCs w:val="24"/>
        </w:rPr>
        <w:t xml:space="preserve"> np. narodową</w:t>
      </w:r>
      <w:r w:rsidR="00956321" w:rsidRPr="001F0B86">
        <w:rPr>
          <w:rFonts w:ascii="Times New Roman" w:hAnsi="Times New Roman" w:cs="Times New Roman"/>
          <w:szCs w:val="24"/>
        </w:rPr>
        <w:t>, etniczną</w:t>
      </w:r>
      <w:r w:rsidRPr="001F0B86">
        <w:rPr>
          <w:rFonts w:ascii="Times New Roman" w:hAnsi="Times New Roman" w:cs="Times New Roman"/>
          <w:szCs w:val="24"/>
        </w:rPr>
        <w:t xml:space="preserve">. </w:t>
      </w:r>
      <w:r w:rsidR="00F440A4" w:rsidRPr="001F0B86">
        <w:rPr>
          <w:rFonts w:ascii="Times New Roman" w:hAnsi="Times New Roman" w:cs="Times New Roman"/>
          <w:szCs w:val="24"/>
        </w:rPr>
        <w:t>Jak już wyżej wskazano, z</w:t>
      </w:r>
      <w:r w:rsidR="00956321" w:rsidRPr="001F0B86">
        <w:rPr>
          <w:rFonts w:ascii="Times New Roman" w:hAnsi="Times New Roman" w:cs="Times New Roman"/>
          <w:szCs w:val="24"/>
        </w:rPr>
        <w:t xml:space="preserve">astąpienie tego znamienia strony podmiotowej spowoduje, że odpowiedzialność karna za przestępstwa z art. 119 § 1 </w:t>
      </w:r>
      <w:r w:rsidR="00CE1385">
        <w:rPr>
          <w:rFonts w:ascii="Times New Roman" w:hAnsi="Times New Roman" w:cs="Times New Roman"/>
          <w:szCs w:val="24"/>
        </w:rPr>
        <w:t xml:space="preserve">k.k. </w:t>
      </w:r>
      <w:r w:rsidR="00956321" w:rsidRPr="001F0B86">
        <w:rPr>
          <w:rFonts w:ascii="Times New Roman" w:hAnsi="Times New Roman" w:cs="Times New Roman"/>
          <w:szCs w:val="24"/>
        </w:rPr>
        <w:t>i art. 257 k.k. będzie możliwa także wówczas, gdy pokrzywdzony nie będzie obdarzony cechą, która wywołała zachowanie sprawcy</w:t>
      </w:r>
      <w:r w:rsidR="009B4B16" w:rsidRPr="001F0B86">
        <w:rPr>
          <w:rFonts w:ascii="Times New Roman" w:hAnsi="Times New Roman" w:cs="Times New Roman"/>
          <w:szCs w:val="24"/>
        </w:rPr>
        <w:t>, bez konieczności odwoływania się do instytucji usiłowania nieudolnego i konsekwencji prawnych z niej wynikających.</w:t>
      </w:r>
    </w:p>
    <w:p w14:paraId="482A0221" w14:textId="51183CD0" w:rsidR="00956321" w:rsidRPr="001F0B86" w:rsidRDefault="00956321" w:rsidP="00412841">
      <w:pPr>
        <w:pStyle w:val="ARTartustawynprozporzdzenia"/>
        <w:ind w:firstLine="0"/>
        <w:rPr>
          <w:rFonts w:ascii="Times New Roman" w:hAnsi="Times New Roman" w:cs="Times New Roman"/>
          <w:szCs w:val="24"/>
        </w:rPr>
      </w:pPr>
      <w:r w:rsidRPr="001F0B86">
        <w:rPr>
          <w:rFonts w:ascii="Times New Roman" w:hAnsi="Times New Roman" w:cs="Times New Roman"/>
          <w:szCs w:val="24"/>
        </w:rPr>
        <w:t xml:space="preserve">Podnieść należy w tym kontekście, że możliwe będzie popełnienie czynów z art. 119 i art. 257 k.k. </w:t>
      </w:r>
      <w:r w:rsidR="009B4B16" w:rsidRPr="001F0B86">
        <w:rPr>
          <w:rFonts w:ascii="Times New Roman" w:hAnsi="Times New Roman" w:cs="Times New Roman"/>
          <w:szCs w:val="24"/>
        </w:rPr>
        <w:t xml:space="preserve">umyślnie </w:t>
      </w:r>
      <w:r w:rsidRPr="001F0B86">
        <w:rPr>
          <w:rFonts w:ascii="Times New Roman" w:hAnsi="Times New Roman" w:cs="Times New Roman"/>
          <w:szCs w:val="24"/>
        </w:rPr>
        <w:t>także z zamiarem ewentualnym. W doktrynie i w orzecznictwie na gruncie obecnego stanu prawnego przyjmuje się bowiem, że przestępstwa z art. 119 § 1 i art. 257 k.k. mogą być popełnione wyłącznie z zamiarem bezpośrednim. Z uwagi na określone w przepisie znamię „z powodu” analizowanego przestępstwa można dopuścić się jedynie umyślnie z zamiarem bezpośrednim (tak Marek, Komentarz, s. 554; tak też Górniok [w:] Górniok i in., t.</w:t>
      </w:r>
      <w:r w:rsidR="00B73CA1">
        <w:rPr>
          <w:rFonts w:ascii="Times New Roman" w:hAnsi="Times New Roman" w:cs="Times New Roman"/>
          <w:szCs w:val="24"/>
        </w:rPr>
        <w:t> </w:t>
      </w:r>
      <w:r w:rsidRPr="001F0B86">
        <w:rPr>
          <w:rFonts w:ascii="Times New Roman" w:hAnsi="Times New Roman" w:cs="Times New Roman"/>
          <w:szCs w:val="24"/>
        </w:rPr>
        <w:t xml:space="preserve">2, s. 338; Pływaczewski, Sakowicz [w:] Wąsek, Zawłocki II, s. 494; Stefański II, s. 447; inaczej Ćwiąkalski, dopuszczający zamiar bezpośredni i ewentualny – Ćwiąkalski [w:] Zoll II, s. 1390). Por. też słuszne stanowisko Sądu Apelacyjnego w Warszawie wyrażone w wyroku z 20.04.2015 r., II AKa 26/15, LEX nr 1711578: „Występek z art. 257 k.k. można popełnić wyłącznie z zamiarem bezpośrednim. Sprawca musi bowiem zarówno mieć świadomość określonych cech pokrzywdzonego (rasy, narodowości, wyznania czy bezwyznaniowości), jak i chcieć naruszenia jego godności właśnie i przede wszystkim z ich powodu. Istota powyższego czynu nie polega bowiem jedynie na samym znieważeniu, ale okazaniu osobom przeciwstawianym sobie przez sprawcę, charakteryzowanym jako «inne», ich niższości i zanegowaniu ich prawa do równego traktowania. Racją penalizacji jest tu przecież zwalczanie celowej, intencjonalnej wrogości o podłożu rasistowskim, nacjonalistycznym lub religijnym”. </w:t>
      </w:r>
      <w:r w:rsidRPr="001F0B86">
        <w:rPr>
          <w:rFonts w:ascii="Times New Roman" w:hAnsi="Times New Roman" w:cs="Times New Roman"/>
          <w:szCs w:val="24"/>
        </w:rPr>
        <w:lastRenderedPageBreak/>
        <w:t>Por. też wyrok S</w:t>
      </w:r>
      <w:r w:rsidR="00AC0496">
        <w:rPr>
          <w:rFonts w:ascii="Times New Roman" w:hAnsi="Times New Roman" w:cs="Times New Roman"/>
          <w:szCs w:val="24"/>
        </w:rPr>
        <w:t xml:space="preserve">ądu </w:t>
      </w:r>
      <w:r w:rsidRPr="001F0B86">
        <w:rPr>
          <w:rFonts w:ascii="Times New Roman" w:hAnsi="Times New Roman" w:cs="Times New Roman"/>
          <w:szCs w:val="24"/>
        </w:rPr>
        <w:t>A</w:t>
      </w:r>
      <w:r w:rsidR="00AC0496">
        <w:rPr>
          <w:rFonts w:ascii="Times New Roman" w:hAnsi="Times New Roman" w:cs="Times New Roman"/>
          <w:szCs w:val="24"/>
        </w:rPr>
        <w:t>pelacyjnego</w:t>
      </w:r>
      <w:r w:rsidRPr="001F0B86">
        <w:rPr>
          <w:rFonts w:ascii="Times New Roman" w:hAnsi="Times New Roman" w:cs="Times New Roman"/>
          <w:szCs w:val="24"/>
        </w:rPr>
        <w:t xml:space="preserve"> we Wrocławiu z 13.06.2017 r., II AKa 131/17, LEX nr</w:t>
      </w:r>
      <w:r w:rsidR="00B73CA1">
        <w:rPr>
          <w:rFonts w:ascii="Times New Roman" w:hAnsi="Times New Roman" w:cs="Times New Roman"/>
          <w:szCs w:val="24"/>
        </w:rPr>
        <w:t> </w:t>
      </w:r>
      <w:r w:rsidRPr="001F0B86">
        <w:rPr>
          <w:rFonts w:ascii="Times New Roman" w:hAnsi="Times New Roman" w:cs="Times New Roman"/>
          <w:szCs w:val="24"/>
        </w:rPr>
        <w:t>2329064. (M. Mozgawa (red). Kodeks karny. Komentarz aktualizowany. LEX 2024).</w:t>
      </w:r>
    </w:p>
    <w:p w14:paraId="20339615" w14:textId="6118AF9A" w:rsidR="0067596A" w:rsidRPr="00CE1385" w:rsidRDefault="00E6590F"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 xml:space="preserve">Zawężenie funkcjonującego na gruncie Kodeksu karnego katalogu przesłanek dyskryminacyjnych do </w:t>
      </w:r>
      <w:r w:rsidRPr="00CE1385">
        <w:rPr>
          <w:rFonts w:ascii="Times New Roman" w:hAnsi="Times New Roman" w:cs="Times New Roman"/>
          <w:bCs/>
          <w:sz w:val="24"/>
          <w:szCs w:val="24"/>
        </w:rPr>
        <w:t>przynależności narodowej, etnicznej, rasowej, wyznaniowej bądź bezwyznaniowości</w:t>
      </w:r>
      <w:r w:rsidR="0010539D" w:rsidRPr="00CE1385">
        <w:rPr>
          <w:rFonts w:ascii="Times New Roman" w:hAnsi="Times New Roman" w:cs="Times New Roman"/>
          <w:bCs/>
          <w:sz w:val="24"/>
          <w:szCs w:val="24"/>
        </w:rPr>
        <w:t xml:space="preserve"> w </w:t>
      </w:r>
      <w:r w:rsidRPr="00CE1385">
        <w:rPr>
          <w:rFonts w:ascii="Times New Roman" w:hAnsi="Times New Roman" w:cs="Times New Roman"/>
          <w:bCs/>
          <w:sz w:val="24"/>
          <w:szCs w:val="24"/>
        </w:rPr>
        <w:t>ocenie projektodawcy nie znajduje obecnie uzasadnienia</w:t>
      </w:r>
      <w:r w:rsidR="0010539D" w:rsidRPr="00CE1385">
        <w:rPr>
          <w:rFonts w:ascii="Times New Roman" w:hAnsi="Times New Roman" w:cs="Times New Roman"/>
          <w:bCs/>
          <w:sz w:val="24"/>
          <w:szCs w:val="24"/>
        </w:rPr>
        <w:t xml:space="preserve"> i </w:t>
      </w:r>
      <w:r w:rsidRPr="00CE1385">
        <w:rPr>
          <w:rFonts w:ascii="Times New Roman" w:hAnsi="Times New Roman" w:cs="Times New Roman"/>
          <w:bCs/>
          <w:sz w:val="24"/>
          <w:szCs w:val="24"/>
        </w:rPr>
        <w:t>wymaga podjęcia działań legislacyjnych</w:t>
      </w:r>
      <w:r w:rsidR="0010539D" w:rsidRPr="00CE1385">
        <w:rPr>
          <w:rFonts w:ascii="Times New Roman" w:hAnsi="Times New Roman" w:cs="Times New Roman"/>
          <w:bCs/>
          <w:sz w:val="24"/>
          <w:szCs w:val="24"/>
        </w:rPr>
        <w:t xml:space="preserve"> w </w:t>
      </w:r>
      <w:r w:rsidRPr="00CE1385">
        <w:rPr>
          <w:rFonts w:ascii="Times New Roman" w:hAnsi="Times New Roman" w:cs="Times New Roman"/>
          <w:bCs/>
          <w:sz w:val="24"/>
          <w:szCs w:val="24"/>
        </w:rPr>
        <w:t xml:space="preserve">kierunku </w:t>
      </w:r>
      <w:r w:rsidR="00F11C60" w:rsidRPr="00CE1385">
        <w:rPr>
          <w:rFonts w:ascii="Times New Roman" w:hAnsi="Times New Roman" w:cs="Times New Roman"/>
          <w:bCs/>
          <w:sz w:val="24"/>
          <w:szCs w:val="24"/>
        </w:rPr>
        <w:t>poszerzenia katalogu cech chronionych</w:t>
      </w:r>
      <w:r w:rsidR="0031352B" w:rsidRPr="00CE1385">
        <w:rPr>
          <w:rFonts w:ascii="Times New Roman" w:hAnsi="Times New Roman" w:cs="Times New Roman"/>
          <w:bCs/>
          <w:sz w:val="24"/>
          <w:szCs w:val="24"/>
        </w:rPr>
        <w:t xml:space="preserve"> o </w:t>
      </w:r>
      <w:r w:rsidR="00943FEB" w:rsidRPr="00CE1385">
        <w:rPr>
          <w:rFonts w:ascii="Times New Roman" w:hAnsi="Times New Roman" w:cs="Times New Roman"/>
          <w:bCs/>
          <w:sz w:val="24"/>
          <w:szCs w:val="24"/>
        </w:rPr>
        <w:t>dalsze cechy</w:t>
      </w:r>
      <w:r w:rsidR="0031352B" w:rsidRPr="00CE1385">
        <w:rPr>
          <w:rFonts w:ascii="Times New Roman" w:hAnsi="Times New Roman" w:cs="Times New Roman"/>
          <w:bCs/>
          <w:sz w:val="24"/>
          <w:szCs w:val="24"/>
        </w:rPr>
        <w:t xml:space="preserve"> o </w:t>
      </w:r>
      <w:r w:rsidR="00F11C60" w:rsidRPr="00CE1385">
        <w:rPr>
          <w:rFonts w:ascii="Times New Roman" w:hAnsi="Times New Roman" w:cs="Times New Roman"/>
          <w:bCs/>
          <w:sz w:val="24"/>
          <w:szCs w:val="24"/>
        </w:rPr>
        <w:t>szczególnym charakterze</w:t>
      </w:r>
      <w:r w:rsidR="00AC0496">
        <w:rPr>
          <w:rFonts w:ascii="Times New Roman" w:hAnsi="Times New Roman" w:cs="Times New Roman"/>
          <w:bCs/>
          <w:sz w:val="24"/>
          <w:szCs w:val="24"/>
        </w:rPr>
        <w:t>,</w:t>
      </w:r>
      <w:r w:rsidR="00943FEB" w:rsidRPr="00CE1385">
        <w:rPr>
          <w:rFonts w:ascii="Times New Roman" w:hAnsi="Times New Roman" w:cs="Times New Roman"/>
          <w:bCs/>
          <w:sz w:val="24"/>
          <w:szCs w:val="24"/>
        </w:rPr>
        <w:t xml:space="preserve"> takie jak niepełnosprawność, wiek, płeć</w:t>
      </w:r>
      <w:r w:rsidR="0025507F" w:rsidRPr="00CE1385">
        <w:rPr>
          <w:rFonts w:ascii="Times New Roman" w:hAnsi="Times New Roman" w:cs="Times New Roman"/>
          <w:bCs/>
          <w:sz w:val="24"/>
          <w:szCs w:val="24"/>
        </w:rPr>
        <w:t xml:space="preserve"> i </w:t>
      </w:r>
      <w:r w:rsidR="00943FEB" w:rsidRPr="00CE1385">
        <w:rPr>
          <w:rFonts w:ascii="Times New Roman" w:hAnsi="Times New Roman" w:cs="Times New Roman"/>
          <w:bCs/>
          <w:sz w:val="24"/>
          <w:szCs w:val="24"/>
        </w:rPr>
        <w:t xml:space="preserve">orientacja seksualna. </w:t>
      </w:r>
      <w:r w:rsidR="00065076" w:rsidRPr="00CE1385">
        <w:rPr>
          <w:rFonts w:ascii="Times New Roman" w:hAnsi="Times New Roman" w:cs="Times New Roman"/>
          <w:sz w:val="24"/>
          <w:szCs w:val="24"/>
        </w:rPr>
        <w:t>Dyskryminacyjna postawa</w:t>
      </w:r>
      <w:r w:rsidR="0010539D" w:rsidRPr="00CE1385">
        <w:rPr>
          <w:rFonts w:ascii="Times New Roman" w:hAnsi="Times New Roman" w:cs="Times New Roman"/>
          <w:sz w:val="24"/>
          <w:szCs w:val="24"/>
        </w:rPr>
        <w:t xml:space="preserve"> i </w:t>
      </w:r>
      <w:r w:rsidR="00065076" w:rsidRPr="00CE1385">
        <w:rPr>
          <w:rFonts w:ascii="Times New Roman" w:hAnsi="Times New Roman" w:cs="Times New Roman"/>
          <w:sz w:val="24"/>
          <w:szCs w:val="24"/>
        </w:rPr>
        <w:t xml:space="preserve">wypowiedzi </w:t>
      </w:r>
      <w:r w:rsidR="00D41337" w:rsidRPr="00CE1385">
        <w:rPr>
          <w:rFonts w:ascii="Times New Roman" w:hAnsi="Times New Roman" w:cs="Times New Roman"/>
          <w:sz w:val="24"/>
          <w:szCs w:val="24"/>
        </w:rPr>
        <w:t xml:space="preserve">zwłaszcza </w:t>
      </w:r>
      <w:r w:rsidR="00065076" w:rsidRPr="00CE1385">
        <w:rPr>
          <w:rFonts w:ascii="Times New Roman" w:hAnsi="Times New Roman" w:cs="Times New Roman"/>
          <w:sz w:val="24"/>
          <w:szCs w:val="24"/>
        </w:rPr>
        <w:t xml:space="preserve">wobec </w:t>
      </w:r>
      <w:r w:rsidR="00D41337" w:rsidRPr="00CE1385">
        <w:rPr>
          <w:rFonts w:ascii="Times New Roman" w:hAnsi="Times New Roman" w:cs="Times New Roman"/>
          <w:sz w:val="24"/>
          <w:szCs w:val="24"/>
        </w:rPr>
        <w:t>osób</w:t>
      </w:r>
      <w:r w:rsidR="0001136D" w:rsidRPr="00CE1385">
        <w:rPr>
          <w:rFonts w:ascii="Times New Roman" w:hAnsi="Times New Roman" w:cs="Times New Roman"/>
          <w:sz w:val="24"/>
          <w:szCs w:val="24"/>
        </w:rPr>
        <w:t xml:space="preserve"> z </w:t>
      </w:r>
      <w:r w:rsidR="00D41337" w:rsidRPr="00CE1385">
        <w:rPr>
          <w:rFonts w:ascii="Times New Roman" w:hAnsi="Times New Roman" w:cs="Times New Roman"/>
          <w:sz w:val="24"/>
          <w:szCs w:val="24"/>
        </w:rPr>
        <w:t xml:space="preserve">niepełnosprawnościami, osób starszych lub </w:t>
      </w:r>
      <w:r w:rsidR="00065076" w:rsidRPr="00CE1385">
        <w:rPr>
          <w:rFonts w:ascii="Times New Roman" w:hAnsi="Times New Roman" w:cs="Times New Roman"/>
          <w:sz w:val="24"/>
          <w:szCs w:val="24"/>
        </w:rPr>
        <w:t>członków społeczności LGBT</w:t>
      </w:r>
      <w:r w:rsidR="00B85D50" w:rsidRPr="00CE1385">
        <w:rPr>
          <w:rFonts w:ascii="Times New Roman" w:hAnsi="Times New Roman" w:cs="Times New Roman"/>
          <w:sz w:val="24"/>
          <w:szCs w:val="24"/>
        </w:rPr>
        <w:t>+</w:t>
      </w:r>
      <w:r w:rsidR="00065076" w:rsidRPr="00CE1385">
        <w:rPr>
          <w:rFonts w:ascii="Times New Roman" w:hAnsi="Times New Roman" w:cs="Times New Roman"/>
          <w:sz w:val="24"/>
          <w:szCs w:val="24"/>
        </w:rPr>
        <w:t xml:space="preserve"> skutkować może podziałem społeczeństwa oraz wpływać na bezpieczeństwo</w:t>
      </w:r>
      <w:r w:rsidR="0010539D" w:rsidRPr="00CE1385">
        <w:rPr>
          <w:rFonts w:ascii="Times New Roman" w:hAnsi="Times New Roman" w:cs="Times New Roman"/>
          <w:sz w:val="24"/>
          <w:szCs w:val="24"/>
        </w:rPr>
        <w:t xml:space="preserve"> i </w:t>
      </w:r>
      <w:r w:rsidR="00065076" w:rsidRPr="00CE1385">
        <w:rPr>
          <w:rFonts w:ascii="Times New Roman" w:hAnsi="Times New Roman" w:cs="Times New Roman"/>
          <w:sz w:val="24"/>
          <w:szCs w:val="24"/>
        </w:rPr>
        <w:t>dobro t</w:t>
      </w:r>
      <w:r w:rsidR="00D41337" w:rsidRPr="00CE1385">
        <w:rPr>
          <w:rFonts w:ascii="Times New Roman" w:hAnsi="Times New Roman" w:cs="Times New Roman"/>
          <w:sz w:val="24"/>
          <w:szCs w:val="24"/>
        </w:rPr>
        <w:t>ych</w:t>
      </w:r>
      <w:r w:rsidR="00065076" w:rsidRPr="00CE1385">
        <w:rPr>
          <w:rFonts w:ascii="Times New Roman" w:hAnsi="Times New Roman" w:cs="Times New Roman"/>
          <w:sz w:val="24"/>
          <w:szCs w:val="24"/>
        </w:rPr>
        <w:t xml:space="preserve"> grup.</w:t>
      </w:r>
    </w:p>
    <w:p w14:paraId="7A569633" w14:textId="0DBF37FD" w:rsidR="001F397C" w:rsidRPr="00CE1385" w:rsidRDefault="0067596A"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Kodeks karny nie zawiera szczególnych typów przestępstw, do których znamion należałyby objęte projektem kryteria,</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powodu których realizowana jest czynność sprawcza. Funkcja ochronna prawa karnego wobec pokrzywdzonych takimi czynami</w:t>
      </w:r>
      <w:r w:rsidR="001F397C" w:rsidRPr="00CE1385">
        <w:rPr>
          <w:rFonts w:ascii="Times New Roman" w:hAnsi="Times New Roman" w:cs="Times New Roman"/>
          <w:sz w:val="24"/>
          <w:szCs w:val="24"/>
        </w:rPr>
        <w:t xml:space="preserve"> nie realizuje</w:t>
      </w:r>
      <w:r w:rsidR="0010539D" w:rsidRPr="00CE1385">
        <w:rPr>
          <w:rFonts w:ascii="Times New Roman" w:hAnsi="Times New Roman" w:cs="Times New Roman"/>
          <w:sz w:val="24"/>
          <w:szCs w:val="24"/>
        </w:rPr>
        <w:t xml:space="preserve"> w </w:t>
      </w:r>
      <w:r w:rsidR="001F397C" w:rsidRPr="00CE1385">
        <w:rPr>
          <w:rFonts w:ascii="Times New Roman" w:hAnsi="Times New Roman" w:cs="Times New Roman"/>
          <w:sz w:val="24"/>
          <w:szCs w:val="24"/>
        </w:rPr>
        <w:t>wystarczający sposób konieczności uwzględnienia</w:t>
      </w:r>
      <w:r w:rsidR="0010539D" w:rsidRPr="00CE1385">
        <w:rPr>
          <w:rFonts w:ascii="Times New Roman" w:hAnsi="Times New Roman" w:cs="Times New Roman"/>
          <w:sz w:val="24"/>
          <w:szCs w:val="24"/>
        </w:rPr>
        <w:t xml:space="preserve"> i </w:t>
      </w:r>
      <w:r w:rsidR="001F397C" w:rsidRPr="00CE1385">
        <w:rPr>
          <w:rFonts w:ascii="Times New Roman" w:hAnsi="Times New Roman" w:cs="Times New Roman"/>
          <w:sz w:val="24"/>
          <w:szCs w:val="24"/>
        </w:rPr>
        <w:t>odzwierciedlenia motywacji wywołanej uprzedzeniami</w:t>
      </w:r>
      <w:r w:rsidR="0031352B" w:rsidRPr="00CE1385">
        <w:rPr>
          <w:rFonts w:ascii="Times New Roman" w:hAnsi="Times New Roman" w:cs="Times New Roman"/>
          <w:sz w:val="24"/>
          <w:szCs w:val="24"/>
        </w:rPr>
        <w:t xml:space="preserve"> o </w:t>
      </w:r>
      <w:r w:rsidR="001F397C" w:rsidRPr="00CE1385">
        <w:rPr>
          <w:rFonts w:ascii="Times New Roman" w:hAnsi="Times New Roman" w:cs="Times New Roman"/>
          <w:sz w:val="24"/>
          <w:szCs w:val="24"/>
        </w:rPr>
        <w:t>szczególnie nagannym społecznym charakterze,</w:t>
      </w:r>
      <w:r w:rsidR="0010539D" w:rsidRPr="00CE1385">
        <w:rPr>
          <w:rFonts w:ascii="Times New Roman" w:hAnsi="Times New Roman" w:cs="Times New Roman"/>
          <w:sz w:val="24"/>
          <w:szCs w:val="24"/>
        </w:rPr>
        <w:t xml:space="preserve"> w </w:t>
      </w:r>
      <w:r w:rsidR="001F397C" w:rsidRPr="00CE1385">
        <w:rPr>
          <w:rFonts w:ascii="Times New Roman" w:hAnsi="Times New Roman" w:cs="Times New Roman"/>
          <w:sz w:val="24"/>
          <w:szCs w:val="24"/>
        </w:rPr>
        <w:t>tym także</w:t>
      </w:r>
      <w:r w:rsidR="0010539D" w:rsidRPr="00CE1385">
        <w:rPr>
          <w:rFonts w:ascii="Times New Roman" w:hAnsi="Times New Roman" w:cs="Times New Roman"/>
          <w:sz w:val="24"/>
          <w:szCs w:val="24"/>
        </w:rPr>
        <w:t xml:space="preserve"> w </w:t>
      </w:r>
      <w:r w:rsidR="001F397C" w:rsidRPr="00CE1385">
        <w:rPr>
          <w:rFonts w:ascii="Times New Roman" w:hAnsi="Times New Roman" w:cs="Times New Roman"/>
          <w:sz w:val="24"/>
          <w:szCs w:val="24"/>
        </w:rPr>
        <w:t xml:space="preserve">zakresie surowszego potraktowania sprawców takich czynów. </w:t>
      </w:r>
    </w:p>
    <w:p w14:paraId="64F4061D" w14:textId="4998EA41" w:rsidR="001F397C" w:rsidRPr="00CE1385" w:rsidRDefault="001F397C"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bCs/>
          <w:sz w:val="24"/>
          <w:szCs w:val="24"/>
        </w:rPr>
        <w:t>Czyny naruszające cześć</w:t>
      </w:r>
      <w:r w:rsidR="0010539D" w:rsidRPr="00CE1385">
        <w:rPr>
          <w:rFonts w:ascii="Times New Roman" w:hAnsi="Times New Roman" w:cs="Times New Roman"/>
          <w:bCs/>
          <w:sz w:val="24"/>
          <w:szCs w:val="24"/>
        </w:rPr>
        <w:t xml:space="preserve"> i </w:t>
      </w:r>
      <w:r w:rsidRPr="00CE1385">
        <w:rPr>
          <w:rFonts w:ascii="Times New Roman" w:hAnsi="Times New Roman" w:cs="Times New Roman"/>
          <w:bCs/>
          <w:sz w:val="24"/>
          <w:szCs w:val="24"/>
        </w:rPr>
        <w:t>dobre imię stanowią</w:t>
      </w:r>
      <w:r w:rsidR="003F25C6" w:rsidRPr="00CE1385">
        <w:rPr>
          <w:rFonts w:ascii="Times New Roman" w:hAnsi="Times New Roman" w:cs="Times New Roman"/>
          <w:bCs/>
          <w:sz w:val="24"/>
          <w:szCs w:val="24"/>
        </w:rPr>
        <w:t>ce</w:t>
      </w:r>
      <w:r w:rsidRPr="00CE1385">
        <w:rPr>
          <w:rFonts w:ascii="Times New Roman" w:hAnsi="Times New Roman" w:cs="Times New Roman"/>
          <w:bCs/>
          <w:sz w:val="24"/>
          <w:szCs w:val="24"/>
        </w:rPr>
        <w:t xml:space="preserve"> przestępstwa</w:t>
      </w:r>
      <w:r w:rsidR="0001136D" w:rsidRPr="00CE1385">
        <w:rPr>
          <w:rFonts w:ascii="Times New Roman" w:hAnsi="Times New Roman" w:cs="Times New Roman"/>
          <w:bCs/>
          <w:sz w:val="24"/>
          <w:szCs w:val="24"/>
        </w:rPr>
        <w:t xml:space="preserve"> z </w:t>
      </w:r>
      <w:r w:rsidR="0010539D" w:rsidRPr="00CE1385">
        <w:rPr>
          <w:rFonts w:ascii="Times New Roman" w:hAnsi="Times New Roman" w:cs="Times New Roman"/>
          <w:bCs/>
          <w:sz w:val="24"/>
          <w:szCs w:val="24"/>
        </w:rPr>
        <w:t>art. </w:t>
      </w:r>
      <w:r w:rsidRPr="00CE1385">
        <w:rPr>
          <w:rFonts w:ascii="Times New Roman" w:hAnsi="Times New Roman" w:cs="Times New Roman"/>
          <w:bCs/>
          <w:sz w:val="24"/>
          <w:szCs w:val="24"/>
        </w:rPr>
        <w:t>212 § 1 k.k.</w:t>
      </w:r>
      <w:r w:rsidR="0010539D" w:rsidRPr="00CE1385">
        <w:rPr>
          <w:rFonts w:ascii="Times New Roman" w:hAnsi="Times New Roman" w:cs="Times New Roman"/>
          <w:bCs/>
          <w:sz w:val="24"/>
          <w:szCs w:val="24"/>
        </w:rPr>
        <w:t xml:space="preserve"> i art. </w:t>
      </w:r>
      <w:r w:rsidRPr="00CE1385">
        <w:rPr>
          <w:rFonts w:ascii="Times New Roman" w:hAnsi="Times New Roman" w:cs="Times New Roman"/>
          <w:bCs/>
          <w:sz w:val="24"/>
          <w:szCs w:val="24"/>
        </w:rPr>
        <w:t>216 § 1 k.k., zachowania naruszające nietykalność cielesną – przestępstwo</w:t>
      </w:r>
      <w:r w:rsidR="0001136D" w:rsidRPr="00CE1385">
        <w:rPr>
          <w:rFonts w:ascii="Times New Roman" w:hAnsi="Times New Roman" w:cs="Times New Roman"/>
          <w:bCs/>
          <w:sz w:val="24"/>
          <w:szCs w:val="24"/>
        </w:rPr>
        <w:t xml:space="preserve"> z </w:t>
      </w:r>
      <w:r w:rsidR="0010539D" w:rsidRPr="00CE1385">
        <w:rPr>
          <w:rFonts w:ascii="Times New Roman" w:hAnsi="Times New Roman" w:cs="Times New Roman"/>
          <w:bCs/>
          <w:sz w:val="24"/>
          <w:szCs w:val="24"/>
        </w:rPr>
        <w:t>art. </w:t>
      </w:r>
      <w:r w:rsidRPr="00CE1385">
        <w:rPr>
          <w:rFonts w:ascii="Times New Roman" w:hAnsi="Times New Roman" w:cs="Times New Roman"/>
          <w:bCs/>
          <w:sz w:val="24"/>
          <w:szCs w:val="24"/>
        </w:rPr>
        <w:t>217 § 1 k.k., kierowanie gróźb karalnych – przestępstwo</w:t>
      </w:r>
      <w:r w:rsidR="0001136D" w:rsidRPr="00CE1385">
        <w:rPr>
          <w:rFonts w:ascii="Times New Roman" w:hAnsi="Times New Roman" w:cs="Times New Roman"/>
          <w:bCs/>
          <w:sz w:val="24"/>
          <w:szCs w:val="24"/>
        </w:rPr>
        <w:t xml:space="preserve"> z </w:t>
      </w:r>
      <w:r w:rsidR="0010539D" w:rsidRPr="00CE1385">
        <w:rPr>
          <w:rFonts w:ascii="Times New Roman" w:hAnsi="Times New Roman" w:cs="Times New Roman"/>
          <w:bCs/>
          <w:sz w:val="24"/>
          <w:szCs w:val="24"/>
        </w:rPr>
        <w:t>art. </w:t>
      </w:r>
      <w:r w:rsidRPr="00CE1385">
        <w:rPr>
          <w:rFonts w:ascii="Times New Roman" w:hAnsi="Times New Roman" w:cs="Times New Roman"/>
          <w:bCs/>
          <w:sz w:val="24"/>
          <w:szCs w:val="24"/>
        </w:rPr>
        <w:t>190 § 1 k.k., przemoc – przestępstwo</w:t>
      </w:r>
      <w:r w:rsidR="0001136D" w:rsidRPr="00CE1385">
        <w:rPr>
          <w:rFonts w:ascii="Times New Roman" w:hAnsi="Times New Roman" w:cs="Times New Roman"/>
          <w:bCs/>
          <w:sz w:val="24"/>
          <w:szCs w:val="24"/>
        </w:rPr>
        <w:t xml:space="preserve"> z </w:t>
      </w:r>
      <w:r w:rsidR="0010539D" w:rsidRPr="00CE1385">
        <w:rPr>
          <w:rFonts w:ascii="Times New Roman" w:hAnsi="Times New Roman" w:cs="Times New Roman"/>
          <w:bCs/>
          <w:sz w:val="24"/>
          <w:szCs w:val="24"/>
        </w:rPr>
        <w:t>art. </w:t>
      </w:r>
      <w:r w:rsidRPr="00CE1385">
        <w:rPr>
          <w:rFonts w:ascii="Times New Roman" w:hAnsi="Times New Roman" w:cs="Times New Roman"/>
          <w:bCs/>
          <w:sz w:val="24"/>
          <w:szCs w:val="24"/>
        </w:rPr>
        <w:t>191 § 1 k.k.</w:t>
      </w:r>
      <w:r w:rsidR="003F25C6" w:rsidRPr="00CE1385">
        <w:rPr>
          <w:rFonts w:ascii="Times New Roman" w:hAnsi="Times New Roman" w:cs="Times New Roman"/>
          <w:bCs/>
          <w:sz w:val="24"/>
          <w:szCs w:val="24"/>
        </w:rPr>
        <w:t xml:space="preserve"> </w:t>
      </w:r>
      <w:r w:rsidR="003F25C6" w:rsidRPr="00CE1385">
        <w:rPr>
          <w:rStyle w:val="FontStyle30"/>
          <w:sz w:val="24"/>
          <w:szCs w:val="24"/>
        </w:rPr>
        <w:t>nie zapewniają skutecznej,</w:t>
      </w:r>
      <w:r w:rsidR="0010539D" w:rsidRPr="00CE1385">
        <w:rPr>
          <w:rStyle w:val="FontStyle30"/>
          <w:sz w:val="24"/>
          <w:szCs w:val="24"/>
        </w:rPr>
        <w:t xml:space="preserve"> w </w:t>
      </w:r>
      <w:r w:rsidR="003F25C6" w:rsidRPr="00CE1385">
        <w:rPr>
          <w:rStyle w:val="FontStyle30"/>
          <w:sz w:val="24"/>
          <w:szCs w:val="24"/>
        </w:rPr>
        <w:t>tym ogólnodostępnej, prawnokarnej ochrony przed przestępstwami</w:t>
      </w:r>
      <w:r w:rsidR="0001136D" w:rsidRPr="00CE1385">
        <w:rPr>
          <w:rStyle w:val="FontStyle30"/>
          <w:sz w:val="24"/>
          <w:szCs w:val="24"/>
        </w:rPr>
        <w:t xml:space="preserve"> z </w:t>
      </w:r>
      <w:r w:rsidR="003F25C6" w:rsidRPr="00CE1385">
        <w:rPr>
          <w:rStyle w:val="FontStyle30"/>
          <w:sz w:val="24"/>
          <w:szCs w:val="24"/>
        </w:rPr>
        <w:t xml:space="preserve">nienawiści podyktowanej </w:t>
      </w:r>
      <w:r w:rsidR="002E65E7" w:rsidRPr="00CE1385">
        <w:rPr>
          <w:rStyle w:val="FontStyle30"/>
          <w:sz w:val="24"/>
          <w:szCs w:val="24"/>
        </w:rPr>
        <w:t xml:space="preserve">uprzedzeniami ze względu na </w:t>
      </w:r>
      <w:r w:rsidR="003F25C6" w:rsidRPr="00CE1385">
        <w:rPr>
          <w:rStyle w:val="FontStyle30"/>
          <w:sz w:val="24"/>
          <w:szCs w:val="24"/>
        </w:rPr>
        <w:t>niepełnosprawnoś</w:t>
      </w:r>
      <w:r w:rsidR="002E65E7" w:rsidRPr="00CE1385">
        <w:rPr>
          <w:rStyle w:val="FontStyle30"/>
          <w:sz w:val="24"/>
          <w:szCs w:val="24"/>
        </w:rPr>
        <w:t>ć</w:t>
      </w:r>
      <w:r w:rsidR="003F25C6" w:rsidRPr="00CE1385">
        <w:rPr>
          <w:rStyle w:val="FontStyle30"/>
          <w:sz w:val="24"/>
          <w:szCs w:val="24"/>
        </w:rPr>
        <w:t>, wiek, pł</w:t>
      </w:r>
      <w:r w:rsidR="002E65E7" w:rsidRPr="00CE1385">
        <w:rPr>
          <w:rStyle w:val="FontStyle30"/>
          <w:sz w:val="24"/>
          <w:szCs w:val="24"/>
        </w:rPr>
        <w:t>eć</w:t>
      </w:r>
      <w:r w:rsidR="003F25C6" w:rsidRPr="00CE1385">
        <w:rPr>
          <w:rStyle w:val="FontStyle30"/>
          <w:sz w:val="24"/>
          <w:szCs w:val="24"/>
        </w:rPr>
        <w:t>, orientacj</w:t>
      </w:r>
      <w:r w:rsidR="002E65E7" w:rsidRPr="00CE1385">
        <w:rPr>
          <w:rStyle w:val="FontStyle30"/>
          <w:sz w:val="24"/>
          <w:szCs w:val="24"/>
        </w:rPr>
        <w:t>ę</w:t>
      </w:r>
      <w:r w:rsidR="003F25C6" w:rsidRPr="00CE1385">
        <w:rPr>
          <w:rStyle w:val="FontStyle30"/>
          <w:sz w:val="24"/>
          <w:szCs w:val="24"/>
        </w:rPr>
        <w:t xml:space="preserve"> seksualn</w:t>
      </w:r>
      <w:r w:rsidR="002E65E7" w:rsidRPr="00CE1385">
        <w:rPr>
          <w:rStyle w:val="FontStyle30"/>
          <w:sz w:val="24"/>
          <w:szCs w:val="24"/>
        </w:rPr>
        <w:t>ą</w:t>
      </w:r>
      <w:r w:rsidR="0010357E" w:rsidRPr="00CE1385">
        <w:rPr>
          <w:rStyle w:val="FontStyle30"/>
          <w:sz w:val="24"/>
          <w:szCs w:val="24"/>
        </w:rPr>
        <w:t>.</w:t>
      </w:r>
    </w:p>
    <w:p w14:paraId="6701B97E" w14:textId="1B776CE8" w:rsidR="00A91BCD" w:rsidRPr="00CE1385" w:rsidRDefault="001F6892"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Przestępstwo znieważenia</w:t>
      </w:r>
      <w:r w:rsidR="00CB0DC9" w:rsidRPr="00CE1385">
        <w:rPr>
          <w:rFonts w:ascii="Times New Roman" w:hAnsi="Times New Roman" w:cs="Times New Roman"/>
          <w:sz w:val="24"/>
          <w:szCs w:val="24"/>
        </w:rPr>
        <w:t xml:space="preserve"> (art. 212 § </w:t>
      </w:r>
      <w:r w:rsidR="004E20AD" w:rsidRPr="00CE1385">
        <w:rPr>
          <w:rFonts w:ascii="Times New Roman" w:hAnsi="Times New Roman" w:cs="Times New Roman"/>
          <w:sz w:val="24"/>
          <w:szCs w:val="24"/>
        </w:rPr>
        <w:t>4</w:t>
      </w:r>
      <w:r w:rsidR="00CB0DC9" w:rsidRPr="00CE1385">
        <w:rPr>
          <w:rFonts w:ascii="Times New Roman" w:hAnsi="Times New Roman" w:cs="Times New Roman"/>
          <w:sz w:val="24"/>
          <w:szCs w:val="24"/>
        </w:rPr>
        <w:t xml:space="preserve"> k.k.)</w:t>
      </w:r>
      <w:r w:rsidR="0010539D" w:rsidRPr="00CE1385">
        <w:rPr>
          <w:rFonts w:ascii="Times New Roman" w:hAnsi="Times New Roman" w:cs="Times New Roman"/>
          <w:sz w:val="24"/>
          <w:szCs w:val="24"/>
        </w:rPr>
        <w:t xml:space="preserve"> i </w:t>
      </w:r>
      <w:r w:rsidR="00CB0DC9" w:rsidRPr="00CE1385">
        <w:rPr>
          <w:rFonts w:ascii="Times New Roman" w:hAnsi="Times New Roman" w:cs="Times New Roman"/>
          <w:sz w:val="24"/>
          <w:szCs w:val="24"/>
        </w:rPr>
        <w:t xml:space="preserve">przestępstwo </w:t>
      </w:r>
      <w:r w:rsidRPr="00CE1385">
        <w:rPr>
          <w:rFonts w:ascii="Times New Roman" w:hAnsi="Times New Roman" w:cs="Times New Roman"/>
          <w:sz w:val="24"/>
          <w:szCs w:val="24"/>
        </w:rPr>
        <w:t>naruszenia nietykalności cielesnej</w:t>
      </w:r>
      <w:r w:rsidR="00CB0DC9" w:rsidRPr="00CE1385">
        <w:rPr>
          <w:rFonts w:ascii="Times New Roman" w:hAnsi="Times New Roman" w:cs="Times New Roman"/>
          <w:sz w:val="24"/>
          <w:szCs w:val="24"/>
        </w:rPr>
        <w:t xml:space="preserve"> (art. 217 § 3 k.k.)</w:t>
      </w:r>
      <w:r w:rsidRPr="00CE1385">
        <w:rPr>
          <w:rFonts w:ascii="Times New Roman" w:hAnsi="Times New Roman" w:cs="Times New Roman"/>
          <w:sz w:val="24"/>
          <w:szCs w:val="24"/>
        </w:rPr>
        <w:t xml:space="preserve"> </w:t>
      </w:r>
      <w:r w:rsidR="00CC4D17" w:rsidRPr="00CE1385">
        <w:rPr>
          <w:rFonts w:ascii="Times New Roman" w:hAnsi="Times New Roman" w:cs="Times New Roman"/>
          <w:sz w:val="24"/>
          <w:szCs w:val="24"/>
        </w:rPr>
        <w:t>są</w:t>
      </w:r>
      <w:r w:rsidRPr="00CE1385">
        <w:rPr>
          <w:rFonts w:ascii="Times New Roman" w:hAnsi="Times New Roman" w:cs="Times New Roman"/>
          <w:sz w:val="24"/>
          <w:szCs w:val="24"/>
        </w:rPr>
        <w:t xml:space="preserve"> przestępstw</w:t>
      </w:r>
      <w:r w:rsidR="00CC4D17" w:rsidRPr="00CE1385">
        <w:rPr>
          <w:rFonts w:ascii="Times New Roman" w:hAnsi="Times New Roman" w:cs="Times New Roman"/>
          <w:sz w:val="24"/>
          <w:szCs w:val="24"/>
        </w:rPr>
        <w:t>ami</w:t>
      </w:r>
      <w:r w:rsidRPr="00CE1385">
        <w:rPr>
          <w:rFonts w:ascii="Times New Roman" w:hAnsi="Times New Roman" w:cs="Times New Roman"/>
          <w:sz w:val="24"/>
          <w:szCs w:val="24"/>
        </w:rPr>
        <w:t xml:space="preserve"> ściganym</w:t>
      </w:r>
      <w:r w:rsidR="00CC4D17" w:rsidRPr="00CE1385">
        <w:rPr>
          <w:rFonts w:ascii="Times New Roman" w:hAnsi="Times New Roman" w:cs="Times New Roman"/>
          <w:sz w:val="24"/>
          <w:szCs w:val="24"/>
        </w:rPr>
        <w:t>i</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oskarżenia prywatnego</w:t>
      </w:r>
      <w:r w:rsidR="00AC6210" w:rsidRPr="00CE1385">
        <w:rPr>
          <w:rFonts w:ascii="Times New Roman" w:hAnsi="Times New Roman" w:cs="Times New Roman"/>
          <w:sz w:val="24"/>
          <w:szCs w:val="24"/>
        </w:rPr>
        <w:t xml:space="preserve">, także jeżeli </w:t>
      </w:r>
      <w:r w:rsidRPr="00CE1385">
        <w:rPr>
          <w:rFonts w:ascii="Times New Roman" w:hAnsi="Times New Roman" w:cs="Times New Roman"/>
          <w:sz w:val="24"/>
          <w:szCs w:val="24"/>
        </w:rPr>
        <w:t xml:space="preserve">motywem sprawcy jest </w:t>
      </w:r>
      <w:r w:rsidR="002E65E7" w:rsidRPr="00CE1385">
        <w:rPr>
          <w:rFonts w:ascii="Times New Roman" w:hAnsi="Times New Roman" w:cs="Times New Roman"/>
          <w:sz w:val="24"/>
          <w:szCs w:val="24"/>
        </w:rPr>
        <w:t>uprzedzenie wynikające</w:t>
      </w:r>
      <w:r w:rsidR="0001136D" w:rsidRPr="00CE1385">
        <w:rPr>
          <w:rFonts w:ascii="Times New Roman" w:hAnsi="Times New Roman" w:cs="Times New Roman"/>
          <w:sz w:val="24"/>
          <w:szCs w:val="24"/>
        </w:rPr>
        <w:t xml:space="preserve"> z </w:t>
      </w:r>
      <w:r w:rsidR="001430FD" w:rsidRPr="00CE1385">
        <w:rPr>
          <w:rStyle w:val="FontStyle30"/>
          <w:sz w:val="24"/>
          <w:szCs w:val="24"/>
        </w:rPr>
        <w:t>niepełnosprawnoś</w:t>
      </w:r>
      <w:r w:rsidR="002E65E7" w:rsidRPr="00CE1385">
        <w:rPr>
          <w:rStyle w:val="FontStyle30"/>
          <w:sz w:val="24"/>
          <w:szCs w:val="24"/>
        </w:rPr>
        <w:t>ci</w:t>
      </w:r>
      <w:r w:rsidR="001430FD" w:rsidRPr="00CE1385">
        <w:rPr>
          <w:rStyle w:val="FontStyle30"/>
          <w:sz w:val="24"/>
          <w:szCs w:val="24"/>
        </w:rPr>
        <w:t>, wiek</w:t>
      </w:r>
      <w:r w:rsidR="002E65E7" w:rsidRPr="00CE1385">
        <w:rPr>
          <w:rStyle w:val="FontStyle30"/>
          <w:sz w:val="24"/>
          <w:szCs w:val="24"/>
        </w:rPr>
        <w:t>u</w:t>
      </w:r>
      <w:r w:rsidR="001430FD" w:rsidRPr="00CE1385">
        <w:rPr>
          <w:rStyle w:val="FontStyle30"/>
          <w:sz w:val="24"/>
          <w:szCs w:val="24"/>
        </w:rPr>
        <w:t>, pł</w:t>
      </w:r>
      <w:r w:rsidR="002E65E7" w:rsidRPr="00CE1385">
        <w:rPr>
          <w:rStyle w:val="FontStyle30"/>
          <w:sz w:val="24"/>
          <w:szCs w:val="24"/>
        </w:rPr>
        <w:t>ci</w:t>
      </w:r>
      <w:r w:rsidR="001430FD" w:rsidRPr="00CE1385">
        <w:rPr>
          <w:rStyle w:val="FontStyle30"/>
          <w:sz w:val="24"/>
          <w:szCs w:val="24"/>
        </w:rPr>
        <w:t>, orientacj</w:t>
      </w:r>
      <w:r w:rsidR="002E65E7" w:rsidRPr="00CE1385">
        <w:rPr>
          <w:rStyle w:val="FontStyle30"/>
          <w:sz w:val="24"/>
          <w:szCs w:val="24"/>
        </w:rPr>
        <w:t>i</w:t>
      </w:r>
      <w:r w:rsidR="001430FD" w:rsidRPr="00CE1385">
        <w:rPr>
          <w:rStyle w:val="FontStyle30"/>
          <w:sz w:val="24"/>
          <w:szCs w:val="24"/>
        </w:rPr>
        <w:t xml:space="preserve"> seksualn</w:t>
      </w:r>
      <w:r w:rsidR="002E65E7" w:rsidRPr="00CE1385">
        <w:rPr>
          <w:rStyle w:val="FontStyle30"/>
          <w:sz w:val="24"/>
          <w:szCs w:val="24"/>
        </w:rPr>
        <w:t>ej</w:t>
      </w:r>
      <w:r w:rsidRPr="00CE1385">
        <w:rPr>
          <w:rFonts w:ascii="Times New Roman" w:hAnsi="Times New Roman" w:cs="Times New Roman"/>
          <w:sz w:val="24"/>
          <w:szCs w:val="24"/>
        </w:rPr>
        <w:t xml:space="preserve">. </w:t>
      </w:r>
      <w:r w:rsidR="00EE24AA" w:rsidRPr="00CE1385">
        <w:rPr>
          <w:rFonts w:ascii="Times New Roman" w:hAnsi="Times New Roman" w:cs="Times New Roman"/>
          <w:sz w:val="24"/>
          <w:szCs w:val="24"/>
        </w:rPr>
        <w:t>Osoby pokrzywdzone takim przestępstwem zobowiązane są do sporządzenia prywatnego aktu oskarżenia oraz samodzielnego ustalenia tożsamości sprawcy</w:t>
      </w:r>
      <w:r w:rsidR="0010539D" w:rsidRPr="00CE1385">
        <w:rPr>
          <w:rFonts w:ascii="Times New Roman" w:hAnsi="Times New Roman" w:cs="Times New Roman"/>
          <w:sz w:val="24"/>
          <w:szCs w:val="24"/>
        </w:rPr>
        <w:t xml:space="preserve"> i </w:t>
      </w:r>
      <w:r w:rsidR="00EE24AA" w:rsidRPr="00CE1385">
        <w:rPr>
          <w:rFonts w:ascii="Times New Roman" w:hAnsi="Times New Roman" w:cs="Times New Roman"/>
          <w:sz w:val="24"/>
          <w:szCs w:val="24"/>
        </w:rPr>
        <w:t xml:space="preserve">zgromadzenia materiału dowodowego. </w:t>
      </w:r>
      <w:r w:rsidRPr="00CE1385">
        <w:rPr>
          <w:rFonts w:ascii="Times New Roman" w:hAnsi="Times New Roman" w:cs="Times New Roman"/>
          <w:sz w:val="24"/>
          <w:szCs w:val="24"/>
        </w:rPr>
        <w:t xml:space="preserve">Jeżeli motywem sprawcy </w:t>
      </w:r>
      <w:r w:rsidR="002E65E7" w:rsidRPr="00CE1385">
        <w:rPr>
          <w:rFonts w:ascii="Times New Roman" w:hAnsi="Times New Roman" w:cs="Times New Roman"/>
          <w:sz w:val="24"/>
          <w:szCs w:val="24"/>
        </w:rPr>
        <w:t>jest uprzedzenie wynikające</w:t>
      </w:r>
      <w:r w:rsidR="0001136D" w:rsidRPr="00CE1385">
        <w:rPr>
          <w:rFonts w:ascii="Times New Roman" w:hAnsi="Times New Roman" w:cs="Times New Roman"/>
          <w:sz w:val="24"/>
          <w:szCs w:val="24"/>
        </w:rPr>
        <w:t xml:space="preserve"> z </w:t>
      </w:r>
      <w:r w:rsidR="002E65E7" w:rsidRPr="00CE1385">
        <w:rPr>
          <w:rFonts w:ascii="Times New Roman" w:hAnsi="Times New Roman" w:cs="Times New Roman"/>
          <w:sz w:val="24"/>
          <w:szCs w:val="24"/>
        </w:rPr>
        <w:t xml:space="preserve">powodu przynależności </w:t>
      </w:r>
      <w:r w:rsidR="00AA1810" w:rsidRPr="00CE1385">
        <w:rPr>
          <w:rFonts w:ascii="Times New Roman" w:hAnsi="Times New Roman" w:cs="Times New Roman"/>
          <w:sz w:val="24"/>
          <w:szCs w:val="24"/>
        </w:rPr>
        <w:t>narodowej</w:t>
      </w:r>
      <w:r w:rsidR="002E65E7" w:rsidRPr="00CE1385">
        <w:rPr>
          <w:rFonts w:ascii="Times New Roman" w:hAnsi="Times New Roman" w:cs="Times New Roman"/>
          <w:sz w:val="24"/>
          <w:szCs w:val="24"/>
        </w:rPr>
        <w:t>, etnicznej, rasowej</w:t>
      </w:r>
      <w:r w:rsidR="00190D0A" w:rsidRPr="00CE1385">
        <w:rPr>
          <w:rFonts w:ascii="Times New Roman" w:hAnsi="Times New Roman" w:cs="Times New Roman"/>
          <w:sz w:val="24"/>
          <w:szCs w:val="24"/>
        </w:rPr>
        <w:t>,</w:t>
      </w:r>
      <w:r w:rsidR="001F1241" w:rsidRPr="00CE1385">
        <w:rPr>
          <w:rFonts w:ascii="Times New Roman" w:hAnsi="Times New Roman" w:cs="Times New Roman"/>
          <w:sz w:val="24"/>
          <w:szCs w:val="24"/>
        </w:rPr>
        <w:t xml:space="preserve"> </w:t>
      </w:r>
      <w:r w:rsidR="00AA1810" w:rsidRPr="00CE1385">
        <w:rPr>
          <w:rFonts w:ascii="Times New Roman" w:hAnsi="Times New Roman" w:cs="Times New Roman"/>
          <w:sz w:val="24"/>
          <w:szCs w:val="24"/>
        </w:rPr>
        <w:t>wyznaniowe</w:t>
      </w:r>
      <w:r w:rsidR="00190D0A" w:rsidRPr="00CE1385">
        <w:rPr>
          <w:rFonts w:ascii="Times New Roman" w:hAnsi="Times New Roman" w:cs="Times New Roman"/>
          <w:sz w:val="24"/>
          <w:szCs w:val="24"/>
        </w:rPr>
        <w:t>j</w:t>
      </w:r>
      <w:r w:rsidR="002E65E7" w:rsidRPr="00CE1385">
        <w:rPr>
          <w:rFonts w:ascii="Times New Roman" w:hAnsi="Times New Roman" w:cs="Times New Roman"/>
          <w:sz w:val="24"/>
          <w:szCs w:val="24"/>
        </w:rPr>
        <w:t xml:space="preserve"> lub</w:t>
      </w:r>
      <w:r w:rsidR="0001136D" w:rsidRPr="00CE1385">
        <w:rPr>
          <w:rFonts w:ascii="Times New Roman" w:hAnsi="Times New Roman" w:cs="Times New Roman"/>
          <w:sz w:val="24"/>
          <w:szCs w:val="24"/>
        </w:rPr>
        <w:t xml:space="preserve"> z </w:t>
      </w:r>
      <w:r w:rsidR="002E65E7" w:rsidRPr="00CE1385">
        <w:rPr>
          <w:rFonts w:ascii="Times New Roman" w:hAnsi="Times New Roman" w:cs="Times New Roman"/>
          <w:sz w:val="24"/>
          <w:szCs w:val="24"/>
        </w:rPr>
        <w:t>powodu bezwyznaniowości</w:t>
      </w:r>
      <w:r w:rsidR="00AA1810" w:rsidRPr="00CE1385">
        <w:rPr>
          <w:rFonts w:ascii="Times New Roman" w:hAnsi="Times New Roman" w:cs="Times New Roman"/>
          <w:sz w:val="24"/>
          <w:szCs w:val="24"/>
        </w:rPr>
        <w:t xml:space="preserve"> pokrzywdzonego</w:t>
      </w:r>
      <w:r w:rsidRPr="00CE1385">
        <w:rPr>
          <w:rFonts w:ascii="Times New Roman" w:hAnsi="Times New Roman" w:cs="Times New Roman"/>
          <w:sz w:val="24"/>
          <w:szCs w:val="24"/>
        </w:rPr>
        <w:t xml:space="preserve">, przestępstwo to </w:t>
      </w:r>
      <w:r w:rsidR="00AC6210" w:rsidRPr="00CE1385">
        <w:rPr>
          <w:rFonts w:ascii="Times New Roman" w:hAnsi="Times New Roman" w:cs="Times New Roman"/>
          <w:sz w:val="24"/>
          <w:szCs w:val="24"/>
        </w:rPr>
        <w:t xml:space="preserve">jest </w:t>
      </w:r>
      <w:r w:rsidRPr="00CE1385">
        <w:rPr>
          <w:rFonts w:ascii="Times New Roman" w:hAnsi="Times New Roman" w:cs="Times New Roman"/>
          <w:sz w:val="24"/>
          <w:szCs w:val="24"/>
        </w:rPr>
        <w:t>ścigane</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urzędu.</w:t>
      </w:r>
    </w:p>
    <w:p w14:paraId="451A300F" w14:textId="59FCADA1" w:rsidR="00D41337" w:rsidRPr="00CE1385" w:rsidRDefault="00D33F1D"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 xml:space="preserve">Aczkolwiek motywacja sprawcy jest </w:t>
      </w:r>
      <w:r w:rsidR="00E20C34" w:rsidRPr="00CE1385">
        <w:rPr>
          <w:rFonts w:ascii="Times New Roman" w:hAnsi="Times New Roman" w:cs="Times New Roman"/>
          <w:sz w:val="24"/>
          <w:szCs w:val="24"/>
        </w:rPr>
        <w:t>brana pod uwagę</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 xml:space="preserve">toku prowadzonego postępowania karnego jako okoliczność </w:t>
      </w:r>
      <w:r w:rsidRPr="00CE1385">
        <w:rPr>
          <w:rFonts w:ascii="Times New Roman" w:hAnsi="Times New Roman" w:cs="Times New Roman"/>
          <w:iCs/>
          <w:sz w:val="24"/>
          <w:szCs w:val="24"/>
        </w:rPr>
        <w:t>uwzględniana przez sąd przy wymi</w:t>
      </w:r>
      <w:r w:rsidR="00190D0A" w:rsidRPr="00CE1385">
        <w:rPr>
          <w:rFonts w:ascii="Times New Roman" w:hAnsi="Times New Roman" w:cs="Times New Roman"/>
          <w:iCs/>
          <w:sz w:val="24"/>
          <w:szCs w:val="24"/>
        </w:rPr>
        <w:t>arze</w:t>
      </w:r>
      <w:r w:rsidRPr="00CE1385">
        <w:rPr>
          <w:rFonts w:ascii="Times New Roman" w:hAnsi="Times New Roman" w:cs="Times New Roman"/>
          <w:iCs/>
          <w:sz w:val="24"/>
          <w:szCs w:val="24"/>
        </w:rPr>
        <w:t xml:space="preserve"> kary (art. 53 § 2 k.k.) oraz </w:t>
      </w:r>
      <w:r w:rsidRPr="00CE1385">
        <w:rPr>
          <w:rFonts w:ascii="Times New Roman" w:hAnsi="Times New Roman" w:cs="Times New Roman"/>
          <w:iCs/>
          <w:sz w:val="24"/>
          <w:szCs w:val="24"/>
        </w:rPr>
        <w:lastRenderedPageBreak/>
        <w:t>jako przesłanka oceny karygodności czynu zabronionego</w:t>
      </w:r>
      <w:r w:rsidR="0010539D" w:rsidRPr="00CE1385">
        <w:rPr>
          <w:rFonts w:ascii="Times New Roman" w:hAnsi="Times New Roman" w:cs="Times New Roman"/>
          <w:iCs/>
          <w:sz w:val="24"/>
          <w:szCs w:val="24"/>
        </w:rPr>
        <w:t xml:space="preserve"> w </w:t>
      </w:r>
      <w:r w:rsidRPr="00CE1385">
        <w:rPr>
          <w:rFonts w:ascii="Times New Roman" w:hAnsi="Times New Roman" w:cs="Times New Roman"/>
          <w:iCs/>
          <w:sz w:val="24"/>
          <w:szCs w:val="24"/>
        </w:rPr>
        <w:t>zakresie oceny stopnia społecznej szkodliwości czynu (art. 115 § 2 k.k.), to jednak</w:t>
      </w:r>
      <w:r w:rsidR="0010539D" w:rsidRPr="00CE1385">
        <w:rPr>
          <w:rFonts w:ascii="Times New Roman" w:hAnsi="Times New Roman" w:cs="Times New Roman"/>
          <w:iCs/>
          <w:sz w:val="24"/>
          <w:szCs w:val="24"/>
        </w:rPr>
        <w:t xml:space="preserve"> w </w:t>
      </w:r>
      <w:r w:rsidR="00D13908" w:rsidRPr="00CE1385">
        <w:rPr>
          <w:rFonts w:ascii="Times New Roman" w:hAnsi="Times New Roman" w:cs="Times New Roman"/>
          <w:iCs/>
          <w:sz w:val="24"/>
          <w:szCs w:val="24"/>
        </w:rPr>
        <w:t>katalogu cech szczególnie chronionych uwzględnionego</w:t>
      </w:r>
      <w:r w:rsidR="0010539D" w:rsidRPr="00CE1385">
        <w:rPr>
          <w:rFonts w:ascii="Times New Roman" w:hAnsi="Times New Roman" w:cs="Times New Roman"/>
          <w:iCs/>
          <w:sz w:val="24"/>
          <w:szCs w:val="24"/>
        </w:rPr>
        <w:t xml:space="preserve"> w </w:t>
      </w:r>
      <w:r w:rsidR="00D13908" w:rsidRPr="00CE1385">
        <w:rPr>
          <w:rFonts w:ascii="Times New Roman" w:hAnsi="Times New Roman" w:cs="Times New Roman"/>
          <w:iCs/>
          <w:sz w:val="24"/>
          <w:szCs w:val="24"/>
        </w:rPr>
        <w:t>okolicznościach obciążających</w:t>
      </w:r>
      <w:r w:rsidR="0001136D" w:rsidRPr="00CE1385">
        <w:rPr>
          <w:rFonts w:ascii="Times New Roman" w:hAnsi="Times New Roman" w:cs="Times New Roman"/>
          <w:iCs/>
          <w:sz w:val="24"/>
          <w:szCs w:val="24"/>
        </w:rPr>
        <w:t xml:space="preserve"> z </w:t>
      </w:r>
      <w:r w:rsidR="0010539D" w:rsidRPr="00CE1385">
        <w:rPr>
          <w:rFonts w:ascii="Times New Roman" w:hAnsi="Times New Roman" w:cs="Times New Roman"/>
          <w:iCs/>
          <w:sz w:val="24"/>
          <w:szCs w:val="24"/>
        </w:rPr>
        <w:t>art. </w:t>
      </w:r>
      <w:r w:rsidR="00D13908" w:rsidRPr="00CE1385">
        <w:rPr>
          <w:rFonts w:ascii="Times New Roman" w:hAnsi="Times New Roman" w:cs="Times New Roman"/>
          <w:iCs/>
          <w:sz w:val="24"/>
          <w:szCs w:val="24"/>
        </w:rPr>
        <w:t>53 § 2</w:t>
      </w:r>
      <w:r w:rsidR="00E41DEC" w:rsidRPr="00CE1385">
        <w:rPr>
          <w:rFonts w:ascii="Times New Roman" w:hAnsi="Times New Roman" w:cs="Times New Roman"/>
          <w:iCs/>
          <w:sz w:val="24"/>
          <w:szCs w:val="24"/>
        </w:rPr>
        <w:t>a</w:t>
      </w:r>
      <w:r w:rsidR="00D13908" w:rsidRPr="00CE1385">
        <w:rPr>
          <w:rFonts w:ascii="Times New Roman" w:hAnsi="Times New Roman" w:cs="Times New Roman"/>
          <w:iCs/>
          <w:sz w:val="24"/>
          <w:szCs w:val="24"/>
        </w:rPr>
        <w:t xml:space="preserve"> pkt 6 k.k. wskazano jedynie na </w:t>
      </w:r>
      <w:r w:rsidR="00D13908" w:rsidRPr="00CE1385">
        <w:rPr>
          <w:rFonts w:ascii="Times New Roman" w:hAnsi="Times New Roman" w:cs="Times New Roman"/>
          <w:sz w:val="24"/>
          <w:szCs w:val="24"/>
          <w:shd w:val="clear" w:color="auto" w:fill="FFFFFF"/>
        </w:rPr>
        <w:t>popełnienie przestępstwa motywowanego nienawiścią</w:t>
      </w:r>
      <w:r w:rsidR="0001136D" w:rsidRPr="00CE1385">
        <w:rPr>
          <w:rFonts w:ascii="Times New Roman" w:hAnsi="Times New Roman" w:cs="Times New Roman"/>
          <w:sz w:val="24"/>
          <w:szCs w:val="24"/>
          <w:shd w:val="clear" w:color="auto" w:fill="FFFFFF"/>
        </w:rPr>
        <w:t xml:space="preserve"> z </w:t>
      </w:r>
      <w:r w:rsidR="00D13908" w:rsidRPr="00CE1385">
        <w:rPr>
          <w:rFonts w:ascii="Times New Roman" w:hAnsi="Times New Roman" w:cs="Times New Roman"/>
          <w:sz w:val="24"/>
          <w:szCs w:val="24"/>
          <w:shd w:val="clear" w:color="auto" w:fill="FFFFFF"/>
        </w:rPr>
        <w:t>powodu przynależności narodowej, etnicznej, rasowej, politycznej lub wyznaniowej ofiary albo</w:t>
      </w:r>
      <w:r w:rsidR="0001136D" w:rsidRPr="00CE1385">
        <w:rPr>
          <w:rFonts w:ascii="Times New Roman" w:hAnsi="Times New Roman" w:cs="Times New Roman"/>
          <w:sz w:val="24"/>
          <w:szCs w:val="24"/>
          <w:shd w:val="clear" w:color="auto" w:fill="FFFFFF"/>
        </w:rPr>
        <w:t xml:space="preserve"> z </w:t>
      </w:r>
      <w:r w:rsidR="00D13908" w:rsidRPr="00CE1385">
        <w:rPr>
          <w:rFonts w:ascii="Times New Roman" w:hAnsi="Times New Roman" w:cs="Times New Roman"/>
          <w:sz w:val="24"/>
          <w:szCs w:val="24"/>
          <w:shd w:val="clear" w:color="auto" w:fill="FFFFFF"/>
        </w:rPr>
        <w:t>powodu jej bezwyznaniowości, bez uwzględnienia innych niewątpliw</w:t>
      </w:r>
      <w:r w:rsidR="00AC0496">
        <w:rPr>
          <w:rFonts w:ascii="Times New Roman" w:hAnsi="Times New Roman" w:cs="Times New Roman"/>
          <w:sz w:val="24"/>
          <w:szCs w:val="24"/>
          <w:shd w:val="clear" w:color="auto" w:fill="FFFFFF"/>
        </w:rPr>
        <w:t>i</w:t>
      </w:r>
      <w:r w:rsidR="00D13908" w:rsidRPr="00CE1385">
        <w:rPr>
          <w:rFonts w:ascii="Times New Roman" w:hAnsi="Times New Roman" w:cs="Times New Roman"/>
          <w:sz w:val="24"/>
          <w:szCs w:val="24"/>
          <w:shd w:val="clear" w:color="auto" w:fill="FFFFFF"/>
        </w:rPr>
        <w:t>e nagannych</w:t>
      </w:r>
      <w:r w:rsidR="0010539D" w:rsidRPr="00CE1385">
        <w:rPr>
          <w:rFonts w:ascii="Times New Roman" w:hAnsi="Times New Roman" w:cs="Times New Roman"/>
          <w:sz w:val="24"/>
          <w:szCs w:val="24"/>
          <w:shd w:val="clear" w:color="auto" w:fill="FFFFFF"/>
        </w:rPr>
        <w:t xml:space="preserve"> i </w:t>
      </w:r>
      <w:r w:rsidR="00D13908" w:rsidRPr="00CE1385">
        <w:rPr>
          <w:rFonts w:ascii="Times New Roman" w:hAnsi="Times New Roman" w:cs="Times New Roman"/>
          <w:sz w:val="24"/>
          <w:szCs w:val="24"/>
          <w:shd w:val="clear" w:color="auto" w:fill="FFFFFF"/>
        </w:rPr>
        <w:t xml:space="preserve">społecznie istotnych okoliczności </w:t>
      </w:r>
      <w:r w:rsidR="00FC3B86" w:rsidRPr="00CE1385">
        <w:rPr>
          <w:rFonts w:ascii="Times New Roman" w:hAnsi="Times New Roman" w:cs="Times New Roman"/>
          <w:sz w:val="24"/>
          <w:szCs w:val="24"/>
          <w:shd w:val="clear" w:color="auto" w:fill="FFFFFF"/>
        </w:rPr>
        <w:t>nienawiści</w:t>
      </w:r>
      <w:r w:rsidR="0001136D" w:rsidRPr="00CE1385">
        <w:rPr>
          <w:rFonts w:ascii="Times New Roman" w:hAnsi="Times New Roman" w:cs="Times New Roman"/>
          <w:sz w:val="24"/>
          <w:szCs w:val="24"/>
          <w:shd w:val="clear" w:color="auto" w:fill="FFFFFF"/>
        </w:rPr>
        <w:t xml:space="preserve"> z </w:t>
      </w:r>
      <w:r w:rsidR="00FC3B86" w:rsidRPr="00CE1385">
        <w:rPr>
          <w:rFonts w:ascii="Times New Roman" w:hAnsi="Times New Roman" w:cs="Times New Roman"/>
          <w:sz w:val="24"/>
          <w:szCs w:val="24"/>
          <w:shd w:val="clear" w:color="auto" w:fill="FFFFFF"/>
        </w:rPr>
        <w:t xml:space="preserve">powodu </w:t>
      </w:r>
      <w:r w:rsidR="00FC3B86" w:rsidRPr="00CE1385">
        <w:rPr>
          <w:rStyle w:val="FontStyle30"/>
          <w:sz w:val="24"/>
          <w:szCs w:val="24"/>
        </w:rPr>
        <w:t xml:space="preserve">niepełnosprawności, wieku, płci, orientacji seksualnej. </w:t>
      </w:r>
    </w:p>
    <w:p w14:paraId="4F4E0F89" w14:textId="4D9DD44D" w:rsidR="00FC3B86" w:rsidRPr="00CE1385" w:rsidRDefault="00A25BE1"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Uwzględniając powyższe</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 xml:space="preserve">realizując cele </w:t>
      </w:r>
      <w:bookmarkStart w:id="7" w:name="_Hlk156816537"/>
      <w:r w:rsidRPr="00CE1385">
        <w:rPr>
          <w:rFonts w:ascii="Times New Roman" w:hAnsi="Times New Roman" w:cs="Times New Roman"/>
          <w:sz w:val="24"/>
          <w:szCs w:val="24"/>
        </w:rPr>
        <w:t>projektu</w:t>
      </w:r>
      <w:r w:rsidR="003001A5">
        <w:rPr>
          <w:rFonts w:ascii="Times New Roman" w:hAnsi="Times New Roman" w:cs="Times New Roman"/>
          <w:sz w:val="24"/>
          <w:szCs w:val="24"/>
        </w:rPr>
        <w:t>,</w:t>
      </w:r>
      <w:r w:rsidRPr="00CE1385">
        <w:rPr>
          <w:rFonts w:ascii="Times New Roman" w:hAnsi="Times New Roman" w:cs="Times New Roman"/>
          <w:sz w:val="24"/>
          <w:szCs w:val="24"/>
        </w:rPr>
        <w:t xml:space="preserve"> proponuje się </w:t>
      </w:r>
      <w:r w:rsidR="00FC3B86" w:rsidRPr="00CE1385">
        <w:rPr>
          <w:rFonts w:ascii="Times New Roman" w:hAnsi="Times New Roman" w:cs="Times New Roman"/>
          <w:sz w:val="24"/>
          <w:szCs w:val="24"/>
        </w:rPr>
        <w:t>poszerzenie katalogu przesłanek dyskryminacyjnych</w:t>
      </w:r>
      <w:r w:rsidR="0010539D" w:rsidRPr="00CE1385">
        <w:rPr>
          <w:rFonts w:ascii="Times New Roman" w:hAnsi="Times New Roman" w:cs="Times New Roman"/>
          <w:sz w:val="24"/>
          <w:szCs w:val="24"/>
        </w:rPr>
        <w:t xml:space="preserve"> w art. </w:t>
      </w:r>
      <w:r w:rsidR="00FC3B86" w:rsidRPr="00CE1385">
        <w:rPr>
          <w:rFonts w:ascii="Times New Roman" w:hAnsi="Times New Roman" w:cs="Times New Roman"/>
          <w:sz w:val="24"/>
          <w:szCs w:val="24"/>
        </w:rPr>
        <w:t>53 § 2a pkt 6 k.k.,</w:t>
      </w:r>
      <w:r w:rsidR="0010539D" w:rsidRPr="00CE1385">
        <w:rPr>
          <w:rFonts w:ascii="Times New Roman" w:hAnsi="Times New Roman" w:cs="Times New Roman"/>
          <w:sz w:val="24"/>
          <w:szCs w:val="24"/>
        </w:rPr>
        <w:t xml:space="preserve"> art. </w:t>
      </w:r>
      <w:r w:rsidR="00FC3B86" w:rsidRPr="00CE1385">
        <w:rPr>
          <w:rFonts w:ascii="Times New Roman" w:hAnsi="Times New Roman" w:cs="Times New Roman"/>
          <w:sz w:val="24"/>
          <w:szCs w:val="24"/>
        </w:rPr>
        <w:t>119 § 1 k.k.,</w:t>
      </w:r>
      <w:r w:rsidR="0010539D" w:rsidRPr="00CE1385">
        <w:rPr>
          <w:rFonts w:ascii="Times New Roman" w:hAnsi="Times New Roman" w:cs="Times New Roman"/>
          <w:sz w:val="24"/>
          <w:szCs w:val="24"/>
        </w:rPr>
        <w:t xml:space="preserve"> art. </w:t>
      </w:r>
      <w:r w:rsidR="00FC3B86" w:rsidRPr="00CE1385">
        <w:rPr>
          <w:rFonts w:ascii="Times New Roman" w:hAnsi="Times New Roman" w:cs="Times New Roman"/>
          <w:sz w:val="24"/>
          <w:szCs w:val="24"/>
        </w:rPr>
        <w:t>256 § 1 k.k.</w:t>
      </w:r>
      <w:r w:rsidR="0010539D" w:rsidRPr="00CE1385">
        <w:rPr>
          <w:rFonts w:ascii="Times New Roman" w:hAnsi="Times New Roman" w:cs="Times New Roman"/>
          <w:sz w:val="24"/>
          <w:szCs w:val="24"/>
        </w:rPr>
        <w:t xml:space="preserve"> i art. </w:t>
      </w:r>
      <w:r w:rsidR="00FC3B86" w:rsidRPr="00CE1385">
        <w:rPr>
          <w:rFonts w:ascii="Times New Roman" w:hAnsi="Times New Roman" w:cs="Times New Roman"/>
          <w:sz w:val="24"/>
          <w:szCs w:val="24"/>
        </w:rPr>
        <w:t>257 k.k.</w:t>
      </w:r>
      <w:r w:rsidR="0031352B" w:rsidRPr="00CE1385">
        <w:rPr>
          <w:rFonts w:ascii="Times New Roman" w:hAnsi="Times New Roman" w:cs="Times New Roman"/>
          <w:sz w:val="24"/>
          <w:szCs w:val="24"/>
        </w:rPr>
        <w:t xml:space="preserve"> o </w:t>
      </w:r>
      <w:r w:rsidR="00FC3B86" w:rsidRPr="00CE1385">
        <w:rPr>
          <w:rFonts w:ascii="Times New Roman" w:hAnsi="Times New Roman" w:cs="Times New Roman"/>
          <w:sz w:val="24"/>
          <w:szCs w:val="24"/>
        </w:rPr>
        <w:t>kryterium niepełnosprawności, wieku, płci, orientacji seksualnej.</w:t>
      </w:r>
    </w:p>
    <w:bookmarkEnd w:id="7"/>
    <w:p w14:paraId="4A04810B" w14:textId="79766994" w:rsidR="00F05395" w:rsidRPr="00CE1385" w:rsidRDefault="00BD1638"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Wprowadzenie projektowanych rozwiązań zapewni wzmocnioną</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 xml:space="preserve">pełną ochronę prawnokarną przed stosowaniem </w:t>
      </w:r>
      <w:r w:rsidR="00F05395" w:rsidRPr="00CE1385">
        <w:rPr>
          <w:rFonts w:ascii="Times New Roman" w:hAnsi="Times New Roman" w:cs="Times New Roman"/>
          <w:sz w:val="24"/>
          <w:szCs w:val="24"/>
        </w:rPr>
        <w:t>przemocy lub groźby bezprawnej (art. 119 § 1 k.k.), nawoływaniem do nienawiści (art. 256 § 1 k.k.), znieważaniem</w:t>
      </w:r>
      <w:r w:rsidR="0010539D" w:rsidRPr="00CE1385">
        <w:rPr>
          <w:rFonts w:ascii="Times New Roman" w:hAnsi="Times New Roman" w:cs="Times New Roman"/>
          <w:sz w:val="24"/>
          <w:szCs w:val="24"/>
        </w:rPr>
        <w:t xml:space="preserve"> i </w:t>
      </w:r>
      <w:r w:rsidR="00F05395" w:rsidRPr="00CE1385">
        <w:rPr>
          <w:rFonts w:ascii="Times New Roman" w:hAnsi="Times New Roman" w:cs="Times New Roman"/>
          <w:sz w:val="24"/>
          <w:szCs w:val="24"/>
        </w:rPr>
        <w:t>naruszaniem nietykalności cielesnej (art. 257 k.k.) ze względu na niepełnosprawność, wiek, płeć, orientację</w:t>
      </w:r>
      <w:r w:rsidR="0010357E" w:rsidRPr="00CE1385">
        <w:rPr>
          <w:rFonts w:ascii="Times New Roman" w:hAnsi="Times New Roman" w:cs="Times New Roman"/>
          <w:sz w:val="24"/>
          <w:szCs w:val="24"/>
        </w:rPr>
        <w:t xml:space="preserve"> seksualną</w:t>
      </w:r>
      <w:r w:rsidR="00F05395" w:rsidRPr="00CE1385">
        <w:rPr>
          <w:rFonts w:ascii="Times New Roman" w:hAnsi="Times New Roman" w:cs="Times New Roman"/>
          <w:sz w:val="24"/>
          <w:szCs w:val="24"/>
        </w:rPr>
        <w:t xml:space="preserve">. </w:t>
      </w:r>
    </w:p>
    <w:p w14:paraId="7EE00863" w14:textId="2CE46CF9" w:rsidR="002961BB" w:rsidRPr="00CE1385" w:rsidRDefault="003A6FFE"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 xml:space="preserve">Uzupełnienie </w:t>
      </w:r>
      <w:r w:rsidR="00B92FE8" w:rsidRPr="00CE1385">
        <w:rPr>
          <w:rFonts w:ascii="Times New Roman" w:hAnsi="Times New Roman" w:cs="Times New Roman"/>
          <w:sz w:val="24"/>
          <w:szCs w:val="24"/>
        </w:rPr>
        <w:t xml:space="preserve">katalogu </w:t>
      </w:r>
      <w:r w:rsidRPr="00CE1385">
        <w:rPr>
          <w:rFonts w:ascii="Times New Roman" w:hAnsi="Times New Roman" w:cs="Times New Roman"/>
          <w:sz w:val="24"/>
          <w:szCs w:val="24"/>
        </w:rPr>
        <w:t>okoliczności obciążających uwzględnianych przy wymiarze kary (art.</w:t>
      </w:r>
      <w:r w:rsidR="00B73CA1">
        <w:rPr>
          <w:rFonts w:ascii="Times New Roman" w:hAnsi="Times New Roman" w:cs="Times New Roman"/>
          <w:sz w:val="24"/>
          <w:szCs w:val="24"/>
        </w:rPr>
        <w:t> </w:t>
      </w:r>
      <w:r w:rsidRPr="00CE1385">
        <w:rPr>
          <w:rFonts w:ascii="Times New Roman" w:hAnsi="Times New Roman" w:cs="Times New Roman"/>
          <w:sz w:val="24"/>
          <w:szCs w:val="24"/>
        </w:rPr>
        <w:t>53 § 2a pkt 6 k.k.)</w:t>
      </w:r>
      <w:r w:rsidR="0031352B" w:rsidRPr="00CE1385">
        <w:rPr>
          <w:rFonts w:ascii="Times New Roman" w:hAnsi="Times New Roman" w:cs="Times New Roman"/>
          <w:sz w:val="24"/>
          <w:szCs w:val="24"/>
        </w:rPr>
        <w:t xml:space="preserve"> o </w:t>
      </w:r>
      <w:r w:rsidR="00006019" w:rsidRPr="00CE1385">
        <w:rPr>
          <w:rFonts w:ascii="Times New Roman" w:hAnsi="Times New Roman" w:cs="Times New Roman"/>
          <w:sz w:val="24"/>
          <w:szCs w:val="24"/>
        </w:rPr>
        <w:t xml:space="preserve">popełnienie przestępstwa </w:t>
      </w:r>
      <w:r w:rsidRPr="00CE1385">
        <w:rPr>
          <w:rFonts w:ascii="Times New Roman" w:hAnsi="Times New Roman" w:cs="Times New Roman"/>
          <w:sz w:val="24"/>
          <w:szCs w:val="24"/>
        </w:rPr>
        <w:t>moty</w:t>
      </w:r>
      <w:r w:rsidR="00006019" w:rsidRPr="00CE1385">
        <w:rPr>
          <w:rFonts w:ascii="Times New Roman" w:hAnsi="Times New Roman" w:cs="Times New Roman"/>
          <w:sz w:val="24"/>
          <w:szCs w:val="24"/>
        </w:rPr>
        <w:t>wowanego</w:t>
      </w:r>
      <w:r w:rsidRPr="00CE1385">
        <w:rPr>
          <w:rFonts w:ascii="Times New Roman" w:hAnsi="Times New Roman" w:cs="Times New Roman"/>
          <w:sz w:val="24"/>
          <w:szCs w:val="24"/>
        </w:rPr>
        <w:t xml:space="preserve"> nienawiś</w:t>
      </w:r>
      <w:r w:rsidR="00006019" w:rsidRPr="00CE1385">
        <w:rPr>
          <w:rFonts w:ascii="Times New Roman" w:hAnsi="Times New Roman" w:cs="Times New Roman"/>
          <w:sz w:val="24"/>
          <w:szCs w:val="24"/>
        </w:rPr>
        <w:t>cią</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powodu niepełnosprawnoś</w:t>
      </w:r>
      <w:r w:rsidR="00006019" w:rsidRPr="00CE1385">
        <w:rPr>
          <w:rFonts w:ascii="Times New Roman" w:hAnsi="Times New Roman" w:cs="Times New Roman"/>
          <w:sz w:val="24"/>
          <w:szCs w:val="24"/>
        </w:rPr>
        <w:t>ci</w:t>
      </w:r>
      <w:r w:rsidRPr="00CE1385">
        <w:rPr>
          <w:rFonts w:ascii="Times New Roman" w:hAnsi="Times New Roman" w:cs="Times New Roman"/>
          <w:sz w:val="24"/>
          <w:szCs w:val="24"/>
        </w:rPr>
        <w:t>, wiek</w:t>
      </w:r>
      <w:r w:rsidR="00006019" w:rsidRPr="00CE1385">
        <w:rPr>
          <w:rFonts w:ascii="Times New Roman" w:hAnsi="Times New Roman" w:cs="Times New Roman"/>
          <w:sz w:val="24"/>
          <w:szCs w:val="24"/>
        </w:rPr>
        <w:t>u</w:t>
      </w:r>
      <w:r w:rsidRPr="00CE1385">
        <w:rPr>
          <w:rFonts w:ascii="Times New Roman" w:hAnsi="Times New Roman" w:cs="Times New Roman"/>
          <w:sz w:val="24"/>
          <w:szCs w:val="24"/>
        </w:rPr>
        <w:t>, pł</w:t>
      </w:r>
      <w:r w:rsidR="00006019" w:rsidRPr="00CE1385">
        <w:rPr>
          <w:rFonts w:ascii="Times New Roman" w:hAnsi="Times New Roman" w:cs="Times New Roman"/>
          <w:sz w:val="24"/>
          <w:szCs w:val="24"/>
        </w:rPr>
        <w:t>ci</w:t>
      </w:r>
      <w:r w:rsidRPr="00CE1385">
        <w:rPr>
          <w:rFonts w:ascii="Times New Roman" w:hAnsi="Times New Roman" w:cs="Times New Roman"/>
          <w:sz w:val="24"/>
          <w:szCs w:val="24"/>
        </w:rPr>
        <w:t>, orientacj</w:t>
      </w:r>
      <w:r w:rsidR="00006019" w:rsidRPr="00CE1385">
        <w:rPr>
          <w:rFonts w:ascii="Times New Roman" w:hAnsi="Times New Roman" w:cs="Times New Roman"/>
          <w:sz w:val="24"/>
          <w:szCs w:val="24"/>
        </w:rPr>
        <w:t>i</w:t>
      </w:r>
      <w:r w:rsidRPr="00CE1385">
        <w:rPr>
          <w:rFonts w:ascii="Times New Roman" w:hAnsi="Times New Roman" w:cs="Times New Roman"/>
          <w:sz w:val="24"/>
          <w:szCs w:val="24"/>
        </w:rPr>
        <w:t xml:space="preserve"> seksualn</w:t>
      </w:r>
      <w:r w:rsidR="00006019" w:rsidRPr="00CE1385">
        <w:rPr>
          <w:rFonts w:ascii="Times New Roman" w:hAnsi="Times New Roman" w:cs="Times New Roman"/>
          <w:sz w:val="24"/>
          <w:szCs w:val="24"/>
        </w:rPr>
        <w:t>ej</w:t>
      </w:r>
      <w:r w:rsidRPr="00CE1385">
        <w:rPr>
          <w:rFonts w:ascii="Times New Roman" w:hAnsi="Times New Roman" w:cs="Times New Roman"/>
          <w:sz w:val="24"/>
          <w:szCs w:val="24"/>
        </w:rPr>
        <w:t xml:space="preserve"> </w:t>
      </w:r>
      <w:r w:rsidR="00006019" w:rsidRPr="00CE1385">
        <w:rPr>
          <w:rFonts w:ascii="Times New Roman" w:hAnsi="Times New Roman" w:cs="Times New Roman"/>
          <w:sz w:val="24"/>
          <w:szCs w:val="24"/>
        </w:rPr>
        <w:t>wzmocni</w:t>
      </w:r>
      <w:r w:rsidRPr="00CE1385">
        <w:rPr>
          <w:rFonts w:ascii="Times New Roman" w:hAnsi="Times New Roman" w:cs="Times New Roman"/>
          <w:sz w:val="24"/>
          <w:szCs w:val="24"/>
        </w:rPr>
        <w:t xml:space="preserve"> możliwość </w:t>
      </w:r>
      <w:r w:rsidR="00006019" w:rsidRPr="00CE1385">
        <w:rPr>
          <w:rFonts w:ascii="Times New Roman" w:hAnsi="Times New Roman" w:cs="Times New Roman"/>
          <w:sz w:val="24"/>
          <w:szCs w:val="24"/>
        </w:rPr>
        <w:t xml:space="preserve">uwzględnienia </w:t>
      </w:r>
      <w:r w:rsidR="009F5EE9" w:rsidRPr="00CE1385">
        <w:rPr>
          <w:rFonts w:ascii="Times New Roman" w:hAnsi="Times New Roman" w:cs="Times New Roman"/>
          <w:sz w:val="24"/>
          <w:szCs w:val="24"/>
        </w:rPr>
        <w:t xml:space="preserve">negatywnie ocenianej </w:t>
      </w:r>
      <w:r w:rsidR="00006019" w:rsidRPr="00CE1385">
        <w:rPr>
          <w:rFonts w:ascii="Times New Roman" w:hAnsi="Times New Roman" w:cs="Times New Roman"/>
          <w:sz w:val="24"/>
          <w:szCs w:val="24"/>
        </w:rPr>
        <w:t>motywacji wynikającej</w:t>
      </w:r>
      <w:r w:rsidR="0001136D" w:rsidRPr="00CE1385">
        <w:rPr>
          <w:rFonts w:ascii="Times New Roman" w:hAnsi="Times New Roman" w:cs="Times New Roman"/>
          <w:sz w:val="24"/>
          <w:szCs w:val="24"/>
        </w:rPr>
        <w:t xml:space="preserve"> z </w:t>
      </w:r>
      <w:r w:rsidR="00006019" w:rsidRPr="00CE1385">
        <w:rPr>
          <w:rFonts w:ascii="Times New Roman" w:hAnsi="Times New Roman" w:cs="Times New Roman"/>
          <w:sz w:val="24"/>
          <w:szCs w:val="24"/>
        </w:rPr>
        <w:t xml:space="preserve">uprzedzeń sprawcy oraz </w:t>
      </w:r>
      <w:r w:rsidRPr="00CE1385">
        <w:rPr>
          <w:rFonts w:ascii="Times New Roman" w:hAnsi="Times New Roman" w:cs="Times New Roman"/>
          <w:sz w:val="24"/>
          <w:szCs w:val="24"/>
        </w:rPr>
        <w:t>indywidualizacji rozstrzygnięcia</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konkretnej sprawie</w:t>
      </w:r>
      <w:r w:rsidR="00006019" w:rsidRPr="00CE1385">
        <w:rPr>
          <w:rFonts w:ascii="Times New Roman" w:hAnsi="Times New Roman" w:cs="Times New Roman"/>
          <w:sz w:val="24"/>
          <w:szCs w:val="24"/>
        </w:rPr>
        <w:t>.</w:t>
      </w:r>
      <w:bookmarkStart w:id="8" w:name="_Hlk158195257"/>
      <w:r w:rsidR="00CB1AA0" w:rsidRPr="00CE1385">
        <w:rPr>
          <w:rFonts w:ascii="Times New Roman" w:hAnsi="Times New Roman" w:cs="Times New Roman"/>
          <w:sz w:val="24"/>
          <w:szCs w:val="24"/>
        </w:rPr>
        <w:t xml:space="preserve"> Modyfikacja art. 53 § 2a pkt 6 k.k. recypuje także zaproponowane brzmienie art. 119</w:t>
      </w:r>
      <w:r w:rsidR="00CE1385">
        <w:rPr>
          <w:rFonts w:ascii="Times New Roman" w:hAnsi="Times New Roman" w:cs="Times New Roman"/>
          <w:sz w:val="24"/>
          <w:szCs w:val="24"/>
        </w:rPr>
        <w:t xml:space="preserve"> § 1 k.k.</w:t>
      </w:r>
      <w:r w:rsidR="00CB1AA0" w:rsidRPr="00CE1385">
        <w:rPr>
          <w:rFonts w:ascii="Times New Roman" w:hAnsi="Times New Roman" w:cs="Times New Roman"/>
          <w:sz w:val="24"/>
          <w:szCs w:val="24"/>
        </w:rPr>
        <w:t xml:space="preserve"> i </w:t>
      </w:r>
      <w:r w:rsidR="00CE1385">
        <w:rPr>
          <w:rFonts w:ascii="Times New Roman" w:hAnsi="Times New Roman" w:cs="Times New Roman"/>
          <w:sz w:val="24"/>
          <w:szCs w:val="24"/>
        </w:rPr>
        <w:t xml:space="preserve">art. </w:t>
      </w:r>
      <w:r w:rsidR="00CB1AA0" w:rsidRPr="00CE1385">
        <w:rPr>
          <w:rFonts w:ascii="Times New Roman" w:hAnsi="Times New Roman" w:cs="Times New Roman"/>
          <w:sz w:val="24"/>
          <w:szCs w:val="24"/>
        </w:rPr>
        <w:t>257 k.k.</w:t>
      </w:r>
      <w:r w:rsidR="00AC0496">
        <w:rPr>
          <w:rFonts w:ascii="Times New Roman" w:hAnsi="Times New Roman" w:cs="Times New Roman"/>
          <w:sz w:val="24"/>
          <w:szCs w:val="24"/>
        </w:rPr>
        <w:t>,</w:t>
      </w:r>
      <w:r w:rsidR="00CB1AA0" w:rsidRPr="00CE1385">
        <w:rPr>
          <w:rFonts w:ascii="Times New Roman" w:hAnsi="Times New Roman" w:cs="Times New Roman"/>
          <w:sz w:val="24"/>
          <w:szCs w:val="24"/>
        </w:rPr>
        <w:t xml:space="preserve"> odchodząc od pojęcia </w:t>
      </w:r>
      <w:r w:rsidR="00222BB7" w:rsidRPr="00CE1385">
        <w:rPr>
          <w:rFonts w:ascii="Times New Roman" w:hAnsi="Times New Roman" w:cs="Times New Roman"/>
          <w:sz w:val="24"/>
          <w:szCs w:val="24"/>
        </w:rPr>
        <w:t>„z powodu przynależności” i zastępując je sformułowaniem „w związku z przynależnością”. Rozwiązanie takie zapewni spójność rozwiązań kodeksowych, zaś rezygnacja z odwołania do „ofiary” (tj.</w:t>
      </w:r>
      <w:r w:rsidR="00B73CA1">
        <w:rPr>
          <w:rFonts w:ascii="Times New Roman" w:hAnsi="Times New Roman" w:cs="Times New Roman"/>
          <w:sz w:val="24"/>
          <w:szCs w:val="24"/>
        </w:rPr>
        <w:t> </w:t>
      </w:r>
      <w:r w:rsidR="00222BB7" w:rsidRPr="00CE1385">
        <w:rPr>
          <w:rFonts w:ascii="Times New Roman" w:hAnsi="Times New Roman" w:cs="Times New Roman"/>
          <w:sz w:val="24"/>
          <w:szCs w:val="24"/>
        </w:rPr>
        <w:t>pokrzywdzonego) sprawi, że przesłanka ta zaktualizuje się również, gdy przestępstwo motywowane jest nienawiścią, ale pokrzywdzonym jest osoba nieobdarzona daną cechą (np.</w:t>
      </w:r>
      <w:r w:rsidR="00B73CA1">
        <w:rPr>
          <w:rFonts w:ascii="Times New Roman" w:hAnsi="Times New Roman" w:cs="Times New Roman"/>
          <w:sz w:val="24"/>
          <w:szCs w:val="24"/>
        </w:rPr>
        <w:t> </w:t>
      </w:r>
      <w:r w:rsidR="00222BB7" w:rsidRPr="00CE1385">
        <w:rPr>
          <w:rFonts w:ascii="Times New Roman" w:hAnsi="Times New Roman" w:cs="Times New Roman"/>
          <w:sz w:val="24"/>
          <w:szCs w:val="24"/>
        </w:rPr>
        <w:t xml:space="preserve">występująca w obronie osoby, która </w:t>
      </w:r>
      <w:r w:rsidR="00D475D7" w:rsidRPr="00CE1385">
        <w:rPr>
          <w:rFonts w:ascii="Times New Roman" w:hAnsi="Times New Roman" w:cs="Times New Roman"/>
          <w:sz w:val="24"/>
          <w:szCs w:val="24"/>
        </w:rPr>
        <w:t>taką</w:t>
      </w:r>
      <w:r w:rsidR="00222BB7" w:rsidRPr="00CE1385">
        <w:rPr>
          <w:rFonts w:ascii="Times New Roman" w:hAnsi="Times New Roman" w:cs="Times New Roman"/>
          <w:sz w:val="24"/>
          <w:szCs w:val="24"/>
        </w:rPr>
        <w:t xml:space="preserve"> cechę posiada).</w:t>
      </w:r>
    </w:p>
    <w:bookmarkEnd w:id="8"/>
    <w:p w14:paraId="75F86993" w14:textId="72ECC36A" w:rsidR="004D1601" w:rsidRPr="00CE1385" w:rsidRDefault="00F4411B"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t>Pojęcia niepełnosprawności</w:t>
      </w:r>
      <w:r w:rsidR="00846A7E" w:rsidRPr="00CE1385">
        <w:rPr>
          <w:rFonts w:ascii="Times New Roman" w:hAnsi="Times New Roman" w:cs="Times New Roman"/>
          <w:sz w:val="24"/>
          <w:szCs w:val="24"/>
        </w:rPr>
        <w:t>, wieku, płci</w:t>
      </w:r>
      <w:r w:rsidR="0010539D" w:rsidRPr="00CE1385">
        <w:rPr>
          <w:rFonts w:ascii="Times New Roman" w:hAnsi="Times New Roman" w:cs="Times New Roman"/>
          <w:sz w:val="24"/>
          <w:szCs w:val="24"/>
        </w:rPr>
        <w:t xml:space="preserve"> i </w:t>
      </w:r>
      <w:r w:rsidRPr="00CE1385">
        <w:rPr>
          <w:rFonts w:ascii="Times New Roman" w:hAnsi="Times New Roman" w:cs="Times New Roman"/>
          <w:sz w:val="24"/>
          <w:szCs w:val="24"/>
        </w:rPr>
        <w:t xml:space="preserve">orientacji seksualnej jako względy </w:t>
      </w:r>
      <w:r w:rsidR="0076522E" w:rsidRPr="00CE1385">
        <w:rPr>
          <w:rFonts w:ascii="Times New Roman" w:hAnsi="Times New Roman" w:cs="Times New Roman"/>
          <w:sz w:val="24"/>
          <w:szCs w:val="24"/>
        </w:rPr>
        <w:t xml:space="preserve">niedyskryminowania </w:t>
      </w:r>
      <w:r w:rsidRPr="00CE1385">
        <w:rPr>
          <w:rFonts w:ascii="Times New Roman" w:hAnsi="Times New Roman" w:cs="Times New Roman"/>
          <w:sz w:val="24"/>
          <w:szCs w:val="24"/>
        </w:rPr>
        <w:t xml:space="preserve">funkcjonują </w:t>
      </w:r>
      <w:r w:rsidR="00B51CFE" w:rsidRPr="00CE1385">
        <w:rPr>
          <w:rFonts w:ascii="Times New Roman" w:hAnsi="Times New Roman" w:cs="Times New Roman"/>
          <w:sz w:val="24"/>
          <w:szCs w:val="24"/>
        </w:rPr>
        <w:t>mi</w:t>
      </w:r>
      <w:r w:rsidR="007D4CAE" w:rsidRPr="00CE1385">
        <w:rPr>
          <w:rFonts w:ascii="Times New Roman" w:hAnsi="Times New Roman" w:cs="Times New Roman"/>
          <w:sz w:val="24"/>
          <w:szCs w:val="24"/>
        </w:rPr>
        <w:t>ę</w:t>
      </w:r>
      <w:r w:rsidR="00B51CFE" w:rsidRPr="00CE1385">
        <w:rPr>
          <w:rFonts w:ascii="Times New Roman" w:hAnsi="Times New Roman" w:cs="Times New Roman"/>
          <w:sz w:val="24"/>
          <w:szCs w:val="24"/>
        </w:rPr>
        <w:t xml:space="preserve">dzy innymi </w:t>
      </w:r>
      <w:r w:rsidRPr="00CE1385">
        <w:rPr>
          <w:rFonts w:ascii="Times New Roman" w:hAnsi="Times New Roman" w:cs="Times New Roman"/>
          <w:sz w:val="24"/>
          <w:szCs w:val="24"/>
        </w:rPr>
        <w:t>na gruncie ustawy</w:t>
      </w:r>
      <w:r w:rsidR="0001136D" w:rsidRPr="00CE1385">
        <w:rPr>
          <w:rFonts w:ascii="Times New Roman" w:hAnsi="Times New Roman" w:cs="Times New Roman"/>
          <w:sz w:val="24"/>
          <w:szCs w:val="24"/>
        </w:rPr>
        <w:t xml:space="preserve"> z dnia </w:t>
      </w:r>
      <w:r w:rsidR="0076522E" w:rsidRPr="00CE1385">
        <w:rPr>
          <w:rFonts w:ascii="Times New Roman" w:hAnsi="Times New Roman" w:cs="Times New Roman"/>
          <w:sz w:val="24"/>
          <w:szCs w:val="24"/>
        </w:rPr>
        <w:t>26 czerwca 1974 r. – Kodeks pracy (Dz. U.</w:t>
      </w:r>
      <w:r w:rsidR="0001136D" w:rsidRPr="00CE1385">
        <w:rPr>
          <w:rFonts w:ascii="Times New Roman" w:hAnsi="Times New Roman" w:cs="Times New Roman"/>
          <w:sz w:val="24"/>
          <w:szCs w:val="24"/>
        </w:rPr>
        <w:t xml:space="preserve"> z </w:t>
      </w:r>
      <w:r w:rsidR="0076522E" w:rsidRPr="00CE1385">
        <w:rPr>
          <w:rFonts w:ascii="Times New Roman" w:hAnsi="Times New Roman" w:cs="Times New Roman"/>
          <w:sz w:val="24"/>
          <w:szCs w:val="24"/>
        </w:rPr>
        <w:t>2023 r. poz. 1465</w:t>
      </w:r>
      <w:r w:rsidR="0089527B">
        <w:rPr>
          <w:rFonts w:ascii="Times New Roman" w:hAnsi="Times New Roman" w:cs="Times New Roman"/>
          <w:sz w:val="24"/>
          <w:szCs w:val="24"/>
        </w:rPr>
        <w:t>, z późn. zm.</w:t>
      </w:r>
      <w:r w:rsidR="0076522E" w:rsidRPr="00CE1385">
        <w:rPr>
          <w:rFonts w:ascii="Times New Roman" w:hAnsi="Times New Roman" w:cs="Times New Roman"/>
          <w:sz w:val="24"/>
          <w:szCs w:val="24"/>
        </w:rPr>
        <w:t>)</w:t>
      </w:r>
      <w:r w:rsidR="00846A7E" w:rsidRPr="00CE1385">
        <w:rPr>
          <w:rFonts w:ascii="Times New Roman" w:hAnsi="Times New Roman" w:cs="Times New Roman"/>
          <w:sz w:val="24"/>
          <w:szCs w:val="24"/>
        </w:rPr>
        <w:t xml:space="preserve">, </w:t>
      </w:r>
      <w:r w:rsidR="00441195" w:rsidRPr="00CE1385">
        <w:rPr>
          <w:rFonts w:ascii="Times New Roman" w:hAnsi="Times New Roman" w:cs="Times New Roman"/>
          <w:sz w:val="24"/>
          <w:szCs w:val="24"/>
        </w:rPr>
        <w:t>ustawy</w:t>
      </w:r>
      <w:r w:rsidR="0001136D" w:rsidRPr="00CE1385">
        <w:rPr>
          <w:rFonts w:ascii="Times New Roman" w:hAnsi="Times New Roman" w:cs="Times New Roman"/>
          <w:sz w:val="24"/>
          <w:szCs w:val="24"/>
        </w:rPr>
        <w:t xml:space="preserve"> z dnia </w:t>
      </w:r>
      <w:r w:rsidR="00441195" w:rsidRPr="00CE1385">
        <w:rPr>
          <w:rFonts w:ascii="Times New Roman" w:hAnsi="Times New Roman" w:cs="Times New Roman"/>
          <w:sz w:val="24"/>
          <w:szCs w:val="24"/>
        </w:rPr>
        <w:t>3 grudnia 2010 r.</w:t>
      </w:r>
      <w:r w:rsidR="0031352B" w:rsidRPr="00CE1385">
        <w:rPr>
          <w:rFonts w:ascii="Times New Roman" w:hAnsi="Times New Roman" w:cs="Times New Roman"/>
          <w:sz w:val="24"/>
          <w:szCs w:val="24"/>
        </w:rPr>
        <w:t xml:space="preserve"> o </w:t>
      </w:r>
      <w:r w:rsidR="00441195" w:rsidRPr="00CE1385">
        <w:rPr>
          <w:rFonts w:ascii="Times New Roman" w:hAnsi="Times New Roman" w:cs="Times New Roman"/>
          <w:sz w:val="24"/>
          <w:szCs w:val="24"/>
        </w:rPr>
        <w:t>wdrożeniu niektórych przepisów Unii Europejskiej</w:t>
      </w:r>
      <w:r w:rsidR="0010539D" w:rsidRPr="00CE1385">
        <w:rPr>
          <w:rFonts w:ascii="Times New Roman" w:hAnsi="Times New Roman" w:cs="Times New Roman"/>
          <w:sz w:val="24"/>
          <w:szCs w:val="24"/>
        </w:rPr>
        <w:t xml:space="preserve"> w </w:t>
      </w:r>
      <w:r w:rsidR="00441195" w:rsidRPr="00CE1385">
        <w:rPr>
          <w:rFonts w:ascii="Times New Roman" w:hAnsi="Times New Roman" w:cs="Times New Roman"/>
          <w:sz w:val="24"/>
          <w:szCs w:val="24"/>
        </w:rPr>
        <w:t>zakresie równego traktowania (Dz. U.</w:t>
      </w:r>
      <w:r w:rsidR="0001136D" w:rsidRPr="00CE1385">
        <w:rPr>
          <w:rFonts w:ascii="Times New Roman" w:hAnsi="Times New Roman" w:cs="Times New Roman"/>
          <w:sz w:val="24"/>
          <w:szCs w:val="24"/>
        </w:rPr>
        <w:t xml:space="preserve"> z </w:t>
      </w:r>
      <w:r w:rsidRPr="00CE1385">
        <w:rPr>
          <w:rFonts w:ascii="Times New Roman" w:hAnsi="Times New Roman" w:cs="Times New Roman"/>
          <w:sz w:val="24"/>
          <w:szCs w:val="24"/>
        </w:rPr>
        <w:t>202</w:t>
      </w:r>
      <w:r w:rsidR="0089527B">
        <w:rPr>
          <w:rFonts w:ascii="Times New Roman" w:hAnsi="Times New Roman" w:cs="Times New Roman"/>
          <w:sz w:val="24"/>
          <w:szCs w:val="24"/>
        </w:rPr>
        <w:t>4</w:t>
      </w:r>
      <w:r w:rsidRPr="00CE1385">
        <w:rPr>
          <w:rFonts w:ascii="Times New Roman" w:hAnsi="Times New Roman" w:cs="Times New Roman"/>
          <w:sz w:val="24"/>
          <w:szCs w:val="24"/>
        </w:rPr>
        <w:t xml:space="preserve"> r. poz. </w:t>
      </w:r>
      <w:r w:rsidR="0089527B">
        <w:rPr>
          <w:rFonts w:ascii="Times New Roman" w:hAnsi="Times New Roman" w:cs="Times New Roman"/>
          <w:sz w:val="24"/>
          <w:szCs w:val="24"/>
        </w:rPr>
        <w:t>1175</w:t>
      </w:r>
      <w:r w:rsidRPr="00CE1385">
        <w:rPr>
          <w:rFonts w:ascii="Times New Roman" w:hAnsi="Times New Roman" w:cs="Times New Roman"/>
          <w:sz w:val="24"/>
          <w:szCs w:val="24"/>
        </w:rPr>
        <w:t>)</w:t>
      </w:r>
      <w:r w:rsidR="00846A7E" w:rsidRPr="00CE1385">
        <w:rPr>
          <w:rFonts w:ascii="Times New Roman" w:hAnsi="Times New Roman" w:cs="Times New Roman"/>
          <w:sz w:val="24"/>
          <w:szCs w:val="24"/>
        </w:rPr>
        <w:t>, ustawy z dnia 20 kwietnia 2004 r. o promocji zatrudnienia i instytucjach rynku pracy (Dz. U. z 202</w:t>
      </w:r>
      <w:r w:rsidR="0089527B">
        <w:rPr>
          <w:rFonts w:ascii="Times New Roman" w:hAnsi="Times New Roman" w:cs="Times New Roman"/>
          <w:sz w:val="24"/>
          <w:szCs w:val="24"/>
        </w:rPr>
        <w:t>4</w:t>
      </w:r>
      <w:r w:rsidR="00846A7E" w:rsidRPr="00CE1385">
        <w:rPr>
          <w:rFonts w:ascii="Times New Roman" w:hAnsi="Times New Roman" w:cs="Times New Roman"/>
          <w:sz w:val="24"/>
          <w:szCs w:val="24"/>
        </w:rPr>
        <w:t xml:space="preserve"> r. poz. </w:t>
      </w:r>
      <w:r w:rsidR="0089527B">
        <w:rPr>
          <w:rFonts w:ascii="Times New Roman" w:hAnsi="Times New Roman" w:cs="Times New Roman"/>
          <w:sz w:val="24"/>
          <w:szCs w:val="24"/>
        </w:rPr>
        <w:t>475</w:t>
      </w:r>
      <w:r w:rsidR="00846A7E" w:rsidRPr="00CE1385">
        <w:rPr>
          <w:rFonts w:ascii="Times New Roman" w:hAnsi="Times New Roman" w:cs="Times New Roman"/>
          <w:sz w:val="24"/>
          <w:szCs w:val="24"/>
        </w:rPr>
        <w:t>, z późn. zm.)</w:t>
      </w:r>
      <w:r w:rsidRPr="00CE1385">
        <w:rPr>
          <w:rFonts w:ascii="Times New Roman" w:hAnsi="Times New Roman" w:cs="Times New Roman"/>
          <w:sz w:val="24"/>
          <w:szCs w:val="24"/>
        </w:rPr>
        <w:t xml:space="preserve">. </w:t>
      </w:r>
    </w:p>
    <w:p w14:paraId="4E7159A8" w14:textId="6600E48C" w:rsidR="00A06097" w:rsidRPr="00CE1385" w:rsidRDefault="004F6339" w:rsidP="00412841">
      <w:pPr>
        <w:spacing w:before="120" w:after="0" w:line="360" w:lineRule="auto"/>
        <w:jc w:val="both"/>
        <w:rPr>
          <w:rFonts w:ascii="Times New Roman" w:hAnsi="Times New Roman" w:cs="Times New Roman"/>
          <w:sz w:val="24"/>
          <w:szCs w:val="24"/>
        </w:rPr>
      </w:pPr>
      <w:r w:rsidRPr="00CE1385">
        <w:rPr>
          <w:rFonts w:ascii="Times New Roman" w:hAnsi="Times New Roman" w:cs="Times New Roman"/>
          <w:sz w:val="24"/>
          <w:szCs w:val="24"/>
        </w:rPr>
        <w:lastRenderedPageBreak/>
        <w:t>Przyjęcie proponowanych</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projekcie rozwiązań</w:t>
      </w:r>
      <w:r w:rsidR="0010539D" w:rsidRPr="00CE1385">
        <w:rPr>
          <w:rFonts w:ascii="Times New Roman" w:hAnsi="Times New Roman" w:cs="Times New Roman"/>
          <w:sz w:val="24"/>
          <w:szCs w:val="24"/>
        </w:rPr>
        <w:t xml:space="preserve"> w </w:t>
      </w:r>
      <w:r w:rsidRPr="00CE1385">
        <w:rPr>
          <w:rFonts w:ascii="Times New Roman" w:hAnsi="Times New Roman" w:cs="Times New Roman"/>
          <w:sz w:val="24"/>
          <w:szCs w:val="24"/>
        </w:rPr>
        <w:t>zakresie poszerzenia katalogu niedozwolonych przesłanek dyskryminacji będzie stanowić podkreślenie ich naganności</w:t>
      </w:r>
      <w:r w:rsidR="0010539D" w:rsidRPr="00CE1385">
        <w:rPr>
          <w:rFonts w:ascii="Times New Roman" w:hAnsi="Times New Roman" w:cs="Times New Roman"/>
          <w:sz w:val="24"/>
          <w:szCs w:val="24"/>
        </w:rPr>
        <w:t xml:space="preserve"> i </w:t>
      </w:r>
      <w:r w:rsidR="00BB5882" w:rsidRPr="00CE1385">
        <w:rPr>
          <w:rFonts w:ascii="Times New Roman" w:hAnsi="Times New Roman" w:cs="Times New Roman"/>
          <w:sz w:val="24"/>
          <w:szCs w:val="24"/>
        </w:rPr>
        <w:t>potępienia</w:t>
      </w:r>
      <w:r w:rsidRPr="00CE1385">
        <w:rPr>
          <w:rFonts w:ascii="Times New Roman" w:hAnsi="Times New Roman" w:cs="Times New Roman"/>
          <w:sz w:val="24"/>
          <w:szCs w:val="24"/>
        </w:rPr>
        <w:t xml:space="preserve"> oraz nada im charakter normatywny na płaszczyźnie znamion typów </w:t>
      </w:r>
      <w:r w:rsidR="00CC3728" w:rsidRPr="00CE1385">
        <w:rPr>
          <w:rFonts w:ascii="Times New Roman" w:hAnsi="Times New Roman" w:cs="Times New Roman"/>
          <w:sz w:val="24"/>
          <w:szCs w:val="24"/>
        </w:rPr>
        <w:t>czynów</w:t>
      </w:r>
      <w:r w:rsidRPr="00CE1385">
        <w:rPr>
          <w:rFonts w:ascii="Times New Roman" w:hAnsi="Times New Roman" w:cs="Times New Roman"/>
          <w:sz w:val="24"/>
          <w:szCs w:val="24"/>
        </w:rPr>
        <w:t xml:space="preserve"> zabronionych</w:t>
      </w:r>
      <w:r w:rsidR="00441195" w:rsidRPr="00CE1385">
        <w:rPr>
          <w:rFonts w:ascii="Times New Roman" w:hAnsi="Times New Roman" w:cs="Times New Roman"/>
          <w:sz w:val="24"/>
          <w:szCs w:val="24"/>
        </w:rPr>
        <w:t xml:space="preserve"> ściganych</w:t>
      </w:r>
      <w:r w:rsidR="0001136D" w:rsidRPr="00CE1385">
        <w:rPr>
          <w:rFonts w:ascii="Times New Roman" w:hAnsi="Times New Roman" w:cs="Times New Roman"/>
          <w:sz w:val="24"/>
          <w:szCs w:val="24"/>
        </w:rPr>
        <w:t xml:space="preserve"> z </w:t>
      </w:r>
      <w:r w:rsidR="002C3320" w:rsidRPr="00CE1385">
        <w:rPr>
          <w:rFonts w:ascii="Times New Roman" w:hAnsi="Times New Roman" w:cs="Times New Roman"/>
          <w:sz w:val="24"/>
          <w:szCs w:val="24"/>
        </w:rPr>
        <w:t>oskarżenia publicznego</w:t>
      </w:r>
      <w:r w:rsidRPr="00CE1385">
        <w:rPr>
          <w:rFonts w:ascii="Times New Roman" w:hAnsi="Times New Roman" w:cs="Times New Roman"/>
          <w:sz w:val="24"/>
          <w:szCs w:val="24"/>
        </w:rPr>
        <w:t xml:space="preserve">. </w:t>
      </w:r>
      <w:r w:rsidR="00591E61" w:rsidRPr="00CE1385">
        <w:rPr>
          <w:rFonts w:ascii="Times New Roman" w:hAnsi="Times New Roman" w:cs="Times New Roman"/>
          <w:sz w:val="24"/>
          <w:szCs w:val="24"/>
        </w:rPr>
        <w:t>Wskazane czyny charakteryzują się dużym stopniem społecznej szkodliwości oraz są niebezpieczne dla dóbr prawnych</w:t>
      </w:r>
      <w:r w:rsidR="0010539D" w:rsidRPr="00CE1385">
        <w:rPr>
          <w:rFonts w:ascii="Times New Roman" w:hAnsi="Times New Roman" w:cs="Times New Roman"/>
          <w:sz w:val="24"/>
          <w:szCs w:val="24"/>
        </w:rPr>
        <w:t xml:space="preserve"> w </w:t>
      </w:r>
      <w:r w:rsidR="00591E61" w:rsidRPr="00CE1385">
        <w:rPr>
          <w:rFonts w:ascii="Times New Roman" w:hAnsi="Times New Roman" w:cs="Times New Roman"/>
          <w:sz w:val="24"/>
          <w:szCs w:val="24"/>
        </w:rPr>
        <w:t xml:space="preserve">stopniu </w:t>
      </w:r>
      <w:r w:rsidR="00CC3728" w:rsidRPr="00CE1385">
        <w:rPr>
          <w:rFonts w:ascii="Times New Roman" w:hAnsi="Times New Roman" w:cs="Times New Roman"/>
          <w:sz w:val="24"/>
          <w:szCs w:val="24"/>
        </w:rPr>
        <w:t>przekraczającym</w:t>
      </w:r>
      <w:r w:rsidR="00591E61" w:rsidRPr="00CE1385">
        <w:rPr>
          <w:rFonts w:ascii="Times New Roman" w:hAnsi="Times New Roman" w:cs="Times New Roman"/>
          <w:sz w:val="24"/>
          <w:szCs w:val="24"/>
        </w:rPr>
        <w:t xml:space="preserve"> społecznie akceptowane</w:t>
      </w:r>
      <w:r w:rsidR="0010539D" w:rsidRPr="00CE1385">
        <w:rPr>
          <w:rFonts w:ascii="Times New Roman" w:hAnsi="Times New Roman" w:cs="Times New Roman"/>
          <w:sz w:val="24"/>
          <w:szCs w:val="24"/>
        </w:rPr>
        <w:t xml:space="preserve"> i </w:t>
      </w:r>
      <w:r w:rsidR="00591E61" w:rsidRPr="00CE1385">
        <w:rPr>
          <w:rFonts w:ascii="Times New Roman" w:hAnsi="Times New Roman" w:cs="Times New Roman"/>
          <w:sz w:val="24"/>
          <w:szCs w:val="24"/>
        </w:rPr>
        <w:t xml:space="preserve">tolerowane granice, a </w:t>
      </w:r>
      <w:r w:rsidR="00CC3728" w:rsidRPr="00CE1385">
        <w:rPr>
          <w:rFonts w:ascii="Times New Roman" w:hAnsi="Times New Roman" w:cs="Times New Roman"/>
          <w:sz w:val="24"/>
          <w:szCs w:val="24"/>
        </w:rPr>
        <w:t>projektowane</w:t>
      </w:r>
      <w:r w:rsidR="00591E61" w:rsidRPr="00CE1385">
        <w:rPr>
          <w:rFonts w:ascii="Times New Roman" w:hAnsi="Times New Roman" w:cs="Times New Roman"/>
          <w:sz w:val="24"/>
          <w:szCs w:val="24"/>
        </w:rPr>
        <w:t xml:space="preserve"> regulacje</w:t>
      </w:r>
      <w:r w:rsidR="0031352B" w:rsidRPr="00CE1385">
        <w:rPr>
          <w:rFonts w:ascii="Times New Roman" w:hAnsi="Times New Roman" w:cs="Times New Roman"/>
          <w:sz w:val="24"/>
          <w:szCs w:val="24"/>
        </w:rPr>
        <w:t xml:space="preserve"> o </w:t>
      </w:r>
      <w:r w:rsidR="00591E61" w:rsidRPr="00CE1385">
        <w:rPr>
          <w:rFonts w:ascii="Times New Roman" w:hAnsi="Times New Roman" w:cs="Times New Roman"/>
          <w:sz w:val="24"/>
          <w:szCs w:val="24"/>
        </w:rPr>
        <w:t>charakterze prawnokarnym będą prowadzić do zwalczania</w:t>
      </w:r>
      <w:r w:rsidR="0010539D" w:rsidRPr="00CE1385">
        <w:rPr>
          <w:rFonts w:ascii="Times New Roman" w:hAnsi="Times New Roman" w:cs="Times New Roman"/>
          <w:sz w:val="24"/>
          <w:szCs w:val="24"/>
        </w:rPr>
        <w:t xml:space="preserve"> i </w:t>
      </w:r>
      <w:r w:rsidR="00591E61" w:rsidRPr="00CE1385">
        <w:rPr>
          <w:rFonts w:ascii="Times New Roman" w:hAnsi="Times New Roman" w:cs="Times New Roman"/>
          <w:sz w:val="24"/>
          <w:szCs w:val="24"/>
        </w:rPr>
        <w:t xml:space="preserve">zapobiegania negatywnym </w:t>
      </w:r>
      <w:r w:rsidR="00CC3728" w:rsidRPr="00CE1385">
        <w:rPr>
          <w:rFonts w:ascii="Times New Roman" w:hAnsi="Times New Roman" w:cs="Times New Roman"/>
          <w:sz w:val="24"/>
          <w:szCs w:val="24"/>
        </w:rPr>
        <w:t>zachowaniom</w:t>
      </w:r>
      <w:r w:rsidR="00591E61" w:rsidRPr="00CE1385">
        <w:rPr>
          <w:rFonts w:ascii="Times New Roman" w:hAnsi="Times New Roman" w:cs="Times New Roman"/>
          <w:sz w:val="24"/>
          <w:szCs w:val="24"/>
        </w:rPr>
        <w:t xml:space="preserve"> </w:t>
      </w:r>
      <w:r w:rsidR="00CC3728" w:rsidRPr="00CE1385">
        <w:rPr>
          <w:rFonts w:ascii="Times New Roman" w:hAnsi="Times New Roman" w:cs="Times New Roman"/>
          <w:sz w:val="24"/>
          <w:szCs w:val="24"/>
        </w:rPr>
        <w:t>dyskryminacyjnym</w:t>
      </w:r>
      <w:r w:rsidR="00A8194E" w:rsidRPr="00CE1385">
        <w:rPr>
          <w:rFonts w:ascii="Times New Roman" w:hAnsi="Times New Roman" w:cs="Times New Roman"/>
          <w:sz w:val="24"/>
          <w:szCs w:val="24"/>
        </w:rPr>
        <w:t>.</w:t>
      </w:r>
      <w:r w:rsidR="0089527B">
        <w:rPr>
          <w:rFonts w:ascii="Times New Roman" w:hAnsi="Times New Roman" w:cs="Times New Roman"/>
          <w:sz w:val="24"/>
          <w:szCs w:val="24"/>
        </w:rPr>
        <w:t xml:space="preserve"> </w:t>
      </w:r>
    </w:p>
    <w:p w14:paraId="511C09AF" w14:textId="31E620B2" w:rsidR="00457410" w:rsidRPr="001F0B86" w:rsidRDefault="00457410" w:rsidP="00412841">
      <w:pPr>
        <w:pStyle w:val="ARTartustawynprozporzdzenia"/>
        <w:ind w:firstLine="0"/>
        <w:rPr>
          <w:rFonts w:ascii="Times New Roman" w:hAnsi="Times New Roman" w:cs="Times New Roman"/>
          <w:szCs w:val="24"/>
        </w:rPr>
      </w:pPr>
      <w:r w:rsidRPr="00CE1385">
        <w:rPr>
          <w:rFonts w:ascii="Times New Roman" w:hAnsi="Times New Roman" w:cs="Times New Roman"/>
          <w:szCs w:val="24"/>
        </w:rPr>
        <w:t xml:space="preserve">W projekcie </w:t>
      </w:r>
      <w:r w:rsidRPr="001F0B86">
        <w:rPr>
          <w:rFonts w:ascii="Times New Roman" w:hAnsi="Times New Roman" w:cs="Times New Roman"/>
          <w:szCs w:val="24"/>
        </w:rPr>
        <w:t xml:space="preserve">zrezygnowano </w:t>
      </w:r>
      <w:r w:rsidR="002E2321" w:rsidRPr="001F0B86">
        <w:rPr>
          <w:rFonts w:ascii="Times New Roman" w:hAnsi="Times New Roman" w:cs="Times New Roman"/>
          <w:szCs w:val="24"/>
        </w:rPr>
        <w:t xml:space="preserve">ze </w:t>
      </w:r>
      <w:r w:rsidRPr="001F0B86">
        <w:rPr>
          <w:rFonts w:ascii="Times New Roman" w:hAnsi="Times New Roman" w:cs="Times New Roman"/>
          <w:szCs w:val="24"/>
        </w:rPr>
        <w:t xml:space="preserve">znamienia </w:t>
      </w:r>
      <w:r w:rsidR="0089527B">
        <w:rPr>
          <w:rFonts w:ascii="Times New Roman" w:hAnsi="Times New Roman" w:cs="Times New Roman"/>
          <w:szCs w:val="24"/>
        </w:rPr>
        <w:t>„</w:t>
      </w:r>
      <w:r w:rsidRPr="001F0B86">
        <w:rPr>
          <w:rFonts w:ascii="Times New Roman" w:hAnsi="Times New Roman" w:cs="Times New Roman"/>
          <w:szCs w:val="24"/>
        </w:rPr>
        <w:t>tożsamości płciowej</w:t>
      </w:r>
      <w:r w:rsidR="0089527B">
        <w:rPr>
          <w:rFonts w:ascii="Times New Roman" w:hAnsi="Times New Roman" w:cs="Times New Roman"/>
          <w:szCs w:val="24"/>
        </w:rPr>
        <w:t>”</w:t>
      </w:r>
      <w:r w:rsidRPr="001F0B86">
        <w:rPr>
          <w:rFonts w:ascii="Times New Roman" w:hAnsi="Times New Roman" w:cs="Times New Roman"/>
          <w:szCs w:val="24"/>
        </w:rPr>
        <w:t xml:space="preserve">, jako odrębnej okoliczności determinującej zachowanie sprawcy ww. przestępstw. Pojęcie to wywołuje wątpliwości interpretacyjne, zgłaszane w toku konsultacji publicznych. Wydaje się, że co do zasady sam termin </w:t>
      </w:r>
      <w:r w:rsidR="0089527B">
        <w:rPr>
          <w:rFonts w:ascii="Times New Roman" w:hAnsi="Times New Roman" w:cs="Times New Roman"/>
          <w:szCs w:val="24"/>
        </w:rPr>
        <w:t>„</w:t>
      </w:r>
      <w:r w:rsidRPr="001F0B86">
        <w:rPr>
          <w:rFonts w:ascii="Times New Roman" w:hAnsi="Times New Roman" w:cs="Times New Roman"/>
          <w:szCs w:val="24"/>
        </w:rPr>
        <w:t>w związku z płcią</w:t>
      </w:r>
      <w:r w:rsidR="0089527B">
        <w:rPr>
          <w:rFonts w:ascii="Times New Roman" w:hAnsi="Times New Roman" w:cs="Times New Roman"/>
          <w:szCs w:val="24"/>
        </w:rPr>
        <w:t>”</w:t>
      </w:r>
      <w:r w:rsidRPr="001F0B86">
        <w:rPr>
          <w:rFonts w:ascii="Times New Roman" w:hAnsi="Times New Roman" w:cs="Times New Roman"/>
          <w:szCs w:val="24"/>
        </w:rPr>
        <w:t xml:space="preserve"> </w:t>
      </w:r>
      <w:r w:rsidR="0089527B">
        <w:rPr>
          <w:rFonts w:ascii="Times New Roman" w:hAnsi="Times New Roman" w:cs="Times New Roman"/>
          <w:szCs w:val="24"/>
        </w:rPr>
        <w:t xml:space="preserve">– </w:t>
      </w:r>
      <w:r w:rsidRPr="001F0B86">
        <w:rPr>
          <w:rFonts w:ascii="Times New Roman" w:hAnsi="Times New Roman" w:cs="Times New Roman"/>
          <w:szCs w:val="24"/>
        </w:rPr>
        <w:t xml:space="preserve">zamiast </w:t>
      </w:r>
      <w:r w:rsidR="0089527B">
        <w:rPr>
          <w:rFonts w:ascii="Times New Roman" w:hAnsi="Times New Roman" w:cs="Times New Roman"/>
          <w:szCs w:val="24"/>
        </w:rPr>
        <w:t>„</w:t>
      </w:r>
      <w:r w:rsidRPr="001F0B86">
        <w:rPr>
          <w:rFonts w:ascii="Times New Roman" w:hAnsi="Times New Roman" w:cs="Times New Roman"/>
          <w:szCs w:val="24"/>
        </w:rPr>
        <w:t>z powodu płci</w:t>
      </w:r>
      <w:r w:rsidR="0089527B">
        <w:rPr>
          <w:rFonts w:ascii="Times New Roman" w:hAnsi="Times New Roman" w:cs="Times New Roman"/>
          <w:szCs w:val="24"/>
        </w:rPr>
        <w:t>”</w:t>
      </w:r>
      <w:r w:rsidRPr="001F0B86">
        <w:rPr>
          <w:rFonts w:ascii="Times New Roman" w:hAnsi="Times New Roman" w:cs="Times New Roman"/>
          <w:szCs w:val="24"/>
        </w:rPr>
        <w:t xml:space="preserve"> winien prowadzić do wykładni w duchu Konwencji o zapobieganiu i zwalczaniu przemocy wobec kobiet i przemocy domowej. Tym samym powinien być w tym zakresie wystarczający do zapewnienia stosownego poziomu ochrony prawnokarnej. Określenie „w związku z płcią” jest szersze, bowiem obejmuje także działania</w:t>
      </w:r>
      <w:r w:rsidR="003334E5">
        <w:rPr>
          <w:rFonts w:ascii="Times New Roman" w:hAnsi="Times New Roman" w:cs="Times New Roman"/>
          <w:szCs w:val="24"/>
        </w:rPr>
        <w:t>,</w:t>
      </w:r>
      <w:r w:rsidRPr="001F0B86">
        <w:rPr>
          <w:rFonts w:ascii="Times New Roman" w:hAnsi="Times New Roman" w:cs="Times New Roman"/>
          <w:szCs w:val="24"/>
        </w:rPr>
        <w:t xml:space="preserve"> dla których płeć jest kontekstem. W tym sensie nie chodzi już tylko o zachowania np. znieważające z uwagi na to, że inna osoba jest kobietą (albo mężczyzną)</w:t>
      </w:r>
      <w:r w:rsidR="003334E5">
        <w:rPr>
          <w:rFonts w:ascii="Times New Roman" w:hAnsi="Times New Roman" w:cs="Times New Roman"/>
          <w:szCs w:val="24"/>
        </w:rPr>
        <w:t>,</w:t>
      </w:r>
      <w:r w:rsidRPr="001F0B86">
        <w:rPr>
          <w:rFonts w:ascii="Times New Roman" w:hAnsi="Times New Roman" w:cs="Times New Roman"/>
          <w:szCs w:val="24"/>
        </w:rPr>
        <w:t xml:space="preserve"> lecz także wszystkie inne zachowania, dla których kwestia płci ma znaczenie istotne, bez względu na to, o jaką płeć chodzi. Zaproponowane rozwiązanie wzorowane jest na ustawodawstwie niemieckim. </w:t>
      </w:r>
    </w:p>
    <w:p w14:paraId="3427B82D" w14:textId="64812740" w:rsidR="002C5749" w:rsidRPr="001F0B86" w:rsidRDefault="002C5749" w:rsidP="00412841">
      <w:pPr>
        <w:pStyle w:val="ARTartustawynprozporzdzenia"/>
        <w:ind w:firstLine="0"/>
        <w:rPr>
          <w:rFonts w:ascii="Times New Roman" w:hAnsi="Times New Roman" w:cs="Times New Roman"/>
          <w:szCs w:val="24"/>
        </w:rPr>
      </w:pPr>
      <w:r w:rsidRPr="001F0B86">
        <w:rPr>
          <w:rFonts w:ascii="Times New Roman" w:hAnsi="Times New Roman" w:cs="Times New Roman"/>
          <w:szCs w:val="24"/>
        </w:rPr>
        <w:t xml:space="preserve">Powyższa zamiana nawiązuje również do rozwiązań art. 10 i art. 19 ust. 1 Traktatu o funkcjonowaniu Unii Europejskiej, które to przepisy zakazują dyskryminacji ze względu na płeć, rasę lub pochodzenie etniczne, religię lub światopogląd, niepełnosprawność, wiek, orientację seksualną. Analogiczne rozwiązania znajdują się również w przepisie art. 21 ust. 1 Karty Praw Podstawowych UE, który stanowi, że zakazana jest wszelka dyskryminacja w szczególności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p w14:paraId="70AA5557" w14:textId="26A82811" w:rsidR="00C52B48" w:rsidRPr="001F0B86" w:rsidRDefault="00C52B48" w:rsidP="00412841">
      <w:pPr>
        <w:pStyle w:val="ARTartustawynprozporzdzenia"/>
        <w:ind w:firstLine="0"/>
        <w:rPr>
          <w:rFonts w:ascii="Times New Roman" w:hAnsi="Times New Roman" w:cs="Times New Roman"/>
          <w:szCs w:val="24"/>
        </w:rPr>
      </w:pPr>
      <w:r w:rsidRPr="001F0B86">
        <w:rPr>
          <w:rFonts w:ascii="Times New Roman" w:hAnsi="Times New Roman" w:cs="Times New Roman"/>
          <w:szCs w:val="24"/>
        </w:rPr>
        <w:t xml:space="preserve">Ostatnią zmianą jest modyfikacja ustawowego zagrożenia przestępstwa z art. 257 k.k. Zamiast kary pozbawienia wolności do lat 3 proponowana jest możliwość orzeczenia alternatywnych kar: grzywny, ograniczenia wolności i kary pozbawienia wolności do lat 2. </w:t>
      </w:r>
      <w:r w:rsidR="00AC769F" w:rsidRPr="001F0B86">
        <w:rPr>
          <w:rFonts w:ascii="Times New Roman" w:hAnsi="Times New Roman" w:cs="Times New Roman"/>
          <w:szCs w:val="24"/>
        </w:rPr>
        <w:t xml:space="preserve">Wydaje się, że postulowana sankcja jest wystarczająca z uwagi na </w:t>
      </w:r>
      <w:r w:rsidR="00AC769F" w:rsidRPr="001F0B86">
        <w:rPr>
          <w:rFonts w:ascii="Times New Roman" w:hAnsi="Times New Roman" w:cs="Times New Roman"/>
          <w:i/>
          <w:iCs/>
          <w:szCs w:val="24"/>
        </w:rPr>
        <w:t>ultima ratio</w:t>
      </w:r>
      <w:r w:rsidR="00AC769F" w:rsidRPr="001F0B86">
        <w:rPr>
          <w:rFonts w:ascii="Times New Roman" w:hAnsi="Times New Roman" w:cs="Times New Roman"/>
          <w:szCs w:val="24"/>
        </w:rPr>
        <w:t xml:space="preserve"> samej istoty kary w związku ze </w:t>
      </w:r>
      <w:r w:rsidR="00AC769F" w:rsidRPr="001F0B86">
        <w:rPr>
          <w:rFonts w:ascii="Times New Roman" w:hAnsi="Times New Roman" w:cs="Times New Roman"/>
          <w:szCs w:val="24"/>
        </w:rPr>
        <w:lastRenderedPageBreak/>
        <w:t xml:space="preserve">wskazanym przestępstwem; tym bardziej, że zgodnie z prymatem kar wolnościowych (art. 58 </w:t>
      </w:r>
      <w:r w:rsidR="005606F2" w:rsidRPr="001F0B86">
        <w:rPr>
          <w:rFonts w:ascii="Times New Roman" w:hAnsi="Times New Roman" w:cs="Times New Roman"/>
          <w:szCs w:val="24"/>
        </w:rPr>
        <w:t xml:space="preserve">§ 1 </w:t>
      </w:r>
      <w:r w:rsidR="00AC769F" w:rsidRPr="001F0B86">
        <w:rPr>
          <w:rFonts w:ascii="Times New Roman" w:hAnsi="Times New Roman" w:cs="Times New Roman"/>
          <w:szCs w:val="24"/>
        </w:rPr>
        <w:t xml:space="preserve">k.k.) </w:t>
      </w:r>
      <w:r w:rsidR="0089527B">
        <w:rPr>
          <w:rFonts w:ascii="Times New Roman" w:hAnsi="Times New Roman" w:cs="Times New Roman"/>
          <w:szCs w:val="24"/>
        </w:rPr>
        <w:t xml:space="preserve">– </w:t>
      </w:r>
      <w:r w:rsidR="00AC769F" w:rsidRPr="001F0B86">
        <w:rPr>
          <w:rFonts w:ascii="Times New Roman" w:hAnsi="Times New Roman" w:cs="Times New Roman"/>
          <w:szCs w:val="24"/>
        </w:rPr>
        <w:t>jeżeli ustawa przewiduje możliwość wyboru rodzaju kary, a przestępstwo jest zagrożone karą pozbawienia wolności nieprzekraczającą 5 lat, sąd orzeka karę pozbawienia wolności tylko wtedy, gdy inna kara lub środek karny nie może spełnić celów kary.</w:t>
      </w:r>
    </w:p>
    <w:p w14:paraId="71046ED2" w14:textId="13A58C27" w:rsidR="00011F46" w:rsidRPr="00CE1385" w:rsidRDefault="00011F46" w:rsidP="00412841">
      <w:pPr>
        <w:pStyle w:val="NIEARTTEKSTtekstnieartykuowanynppodstprawnarozplubpreambua"/>
        <w:ind w:firstLine="0"/>
        <w:rPr>
          <w:rFonts w:ascii="Times New Roman" w:hAnsi="Times New Roman" w:cs="Times New Roman"/>
          <w:szCs w:val="24"/>
        </w:rPr>
      </w:pPr>
      <w:r w:rsidRPr="00CE1385">
        <w:rPr>
          <w:rFonts w:ascii="Times New Roman" w:hAnsi="Times New Roman" w:cs="Times New Roman"/>
          <w:szCs w:val="24"/>
        </w:rPr>
        <w:t>Projekt przewiduje, że ustawa wejdzie</w:t>
      </w:r>
      <w:r w:rsidR="0010539D" w:rsidRPr="00CE1385">
        <w:rPr>
          <w:rFonts w:ascii="Times New Roman" w:hAnsi="Times New Roman" w:cs="Times New Roman"/>
          <w:szCs w:val="24"/>
        </w:rPr>
        <w:t xml:space="preserve"> w </w:t>
      </w:r>
      <w:r w:rsidRPr="00CE1385">
        <w:rPr>
          <w:rFonts w:ascii="Times New Roman" w:hAnsi="Times New Roman" w:cs="Times New Roman"/>
          <w:szCs w:val="24"/>
        </w:rPr>
        <w:t>życie</w:t>
      </w:r>
      <w:r w:rsidR="00BB5882" w:rsidRPr="00CE1385">
        <w:rPr>
          <w:rFonts w:ascii="Times New Roman" w:hAnsi="Times New Roman" w:cs="Times New Roman"/>
          <w:szCs w:val="24"/>
        </w:rPr>
        <w:t xml:space="preserve"> po upływie 14 dni od</w:t>
      </w:r>
      <w:r w:rsidR="0001136D" w:rsidRPr="00CE1385">
        <w:rPr>
          <w:rFonts w:ascii="Times New Roman" w:hAnsi="Times New Roman" w:cs="Times New Roman"/>
          <w:szCs w:val="24"/>
        </w:rPr>
        <w:t xml:space="preserve"> dnia </w:t>
      </w:r>
      <w:r w:rsidR="00BB5882" w:rsidRPr="00CE1385">
        <w:rPr>
          <w:rFonts w:ascii="Times New Roman" w:hAnsi="Times New Roman" w:cs="Times New Roman"/>
          <w:szCs w:val="24"/>
        </w:rPr>
        <w:t>ogłoszenia</w:t>
      </w:r>
      <w:r w:rsidR="00EF6B18" w:rsidRPr="00CE1385">
        <w:rPr>
          <w:rFonts w:ascii="Times New Roman" w:hAnsi="Times New Roman" w:cs="Times New Roman"/>
          <w:szCs w:val="24"/>
        </w:rPr>
        <w:t>, co powinno z jednej strony zapewnić możliwość zapoznania się z nowym stanem prawnym wszystkim adresatom, a jednocześnie nie odsuwać nadto w czasie wejścia w życie wzmocnionej ochrony, którą projekt przewiduje.</w:t>
      </w:r>
    </w:p>
    <w:p w14:paraId="521C4F78" w14:textId="04DADDC1" w:rsidR="00011F46" w:rsidRDefault="00011F46" w:rsidP="00412841">
      <w:pPr>
        <w:pStyle w:val="NIEARTTEKSTtekstnieartykuowanynppodstprawnarozplubpreambua"/>
        <w:ind w:firstLine="0"/>
        <w:rPr>
          <w:rFonts w:ascii="Times New Roman" w:hAnsi="Times New Roman" w:cs="Times New Roman"/>
          <w:szCs w:val="24"/>
        </w:rPr>
      </w:pPr>
      <w:r w:rsidRPr="00CE1385">
        <w:rPr>
          <w:rFonts w:ascii="Times New Roman" w:hAnsi="Times New Roman" w:cs="Times New Roman"/>
          <w:szCs w:val="24"/>
        </w:rPr>
        <w:t>Projektowana regulacja nie jest sprzeczna</w:t>
      </w:r>
      <w:r w:rsidR="0001136D" w:rsidRPr="00CE1385">
        <w:rPr>
          <w:rFonts w:ascii="Times New Roman" w:hAnsi="Times New Roman" w:cs="Times New Roman"/>
          <w:szCs w:val="24"/>
        </w:rPr>
        <w:t xml:space="preserve"> z </w:t>
      </w:r>
      <w:r w:rsidRPr="00CE1385">
        <w:rPr>
          <w:rFonts w:ascii="Times New Roman" w:hAnsi="Times New Roman" w:cs="Times New Roman"/>
          <w:szCs w:val="24"/>
        </w:rPr>
        <w:t>prawem Unii Europejskiej.</w:t>
      </w:r>
    </w:p>
    <w:p w14:paraId="1EE17AAD" w14:textId="1C15E626" w:rsidR="008629A6" w:rsidRPr="001F0B86" w:rsidRDefault="008629A6" w:rsidP="00412841">
      <w:pPr>
        <w:pStyle w:val="NIEARTTEKSTtekstnieartykuowanynppodstprawnarozplubpreambua"/>
        <w:ind w:firstLine="0"/>
      </w:pPr>
      <w:r w:rsidRPr="00CE1385">
        <w:rPr>
          <w:rFonts w:ascii="Times New Roman" w:hAnsi="Times New Roman" w:cs="Times New Roman"/>
          <w:szCs w:val="24"/>
        </w:rPr>
        <w:t>Projekt nie wymaga przedstawienia właściwym organom i instytucjom Unii Europejskiej, w tym Europejskiemu Bankowi Centralnemu, w celu uzyskania opinii, dokonania powiadomienia, konsultacji albo uzgodnie</w:t>
      </w:r>
      <w:r w:rsidR="00E36819">
        <w:rPr>
          <w:rFonts w:ascii="Times New Roman" w:hAnsi="Times New Roman" w:cs="Times New Roman"/>
          <w:szCs w:val="24"/>
        </w:rPr>
        <w:t>nia</w:t>
      </w:r>
      <w:r w:rsidRPr="00CE1385">
        <w:rPr>
          <w:rFonts w:ascii="Times New Roman" w:hAnsi="Times New Roman" w:cs="Times New Roman"/>
          <w:szCs w:val="24"/>
        </w:rPr>
        <w:t xml:space="preserve">. </w:t>
      </w:r>
    </w:p>
    <w:p w14:paraId="23219F10" w14:textId="730B95F8" w:rsidR="00011F46" w:rsidRDefault="00011F46" w:rsidP="00412841">
      <w:pPr>
        <w:pStyle w:val="NIEARTTEKSTtekstnieartykuowanynppodstprawnarozplubpreambua"/>
        <w:ind w:firstLine="0"/>
        <w:rPr>
          <w:rFonts w:ascii="Times New Roman" w:hAnsi="Times New Roman" w:cs="Times New Roman"/>
          <w:szCs w:val="24"/>
        </w:rPr>
      </w:pPr>
      <w:r w:rsidRPr="00CE1385">
        <w:rPr>
          <w:rFonts w:ascii="Times New Roman" w:hAnsi="Times New Roman" w:cs="Times New Roman"/>
          <w:szCs w:val="24"/>
        </w:rPr>
        <w:t>Projekt nie zawiera przepisów technicznych</w:t>
      </w:r>
      <w:r w:rsidR="0010539D" w:rsidRPr="00CE1385">
        <w:rPr>
          <w:rFonts w:ascii="Times New Roman" w:hAnsi="Times New Roman" w:cs="Times New Roman"/>
          <w:szCs w:val="24"/>
        </w:rPr>
        <w:t xml:space="preserve"> i </w:t>
      </w:r>
      <w:r w:rsidRPr="00CE1385">
        <w:rPr>
          <w:rFonts w:ascii="Times New Roman" w:hAnsi="Times New Roman" w:cs="Times New Roman"/>
          <w:szCs w:val="24"/>
        </w:rPr>
        <w:t>nie podlega notyfikacji zgodnie</w:t>
      </w:r>
      <w:r w:rsidR="0001136D" w:rsidRPr="00CE1385">
        <w:rPr>
          <w:rFonts w:ascii="Times New Roman" w:hAnsi="Times New Roman" w:cs="Times New Roman"/>
          <w:szCs w:val="24"/>
        </w:rPr>
        <w:t xml:space="preserve"> z </w:t>
      </w:r>
      <w:r w:rsidRPr="00CE1385">
        <w:rPr>
          <w:rFonts w:ascii="Times New Roman" w:hAnsi="Times New Roman" w:cs="Times New Roman"/>
          <w:szCs w:val="24"/>
        </w:rPr>
        <w:t>trybem przewidzianym</w:t>
      </w:r>
      <w:r w:rsidR="0010539D" w:rsidRPr="00CE1385">
        <w:rPr>
          <w:rFonts w:ascii="Times New Roman" w:hAnsi="Times New Roman" w:cs="Times New Roman"/>
          <w:szCs w:val="24"/>
        </w:rPr>
        <w:t xml:space="preserve"> w </w:t>
      </w:r>
      <w:r w:rsidRPr="00CE1385">
        <w:rPr>
          <w:rFonts w:ascii="Times New Roman" w:hAnsi="Times New Roman" w:cs="Times New Roman"/>
          <w:szCs w:val="24"/>
        </w:rPr>
        <w:t>rozporządzeniu Rady Ministrów</w:t>
      </w:r>
      <w:r w:rsidR="0001136D" w:rsidRPr="00CE1385">
        <w:rPr>
          <w:rFonts w:ascii="Times New Roman" w:hAnsi="Times New Roman" w:cs="Times New Roman"/>
          <w:szCs w:val="24"/>
        </w:rPr>
        <w:t xml:space="preserve"> z dnia </w:t>
      </w:r>
      <w:r w:rsidRPr="00CE1385">
        <w:rPr>
          <w:rFonts w:ascii="Times New Roman" w:hAnsi="Times New Roman" w:cs="Times New Roman"/>
          <w:szCs w:val="24"/>
        </w:rPr>
        <w:t>23 grudnia 2002 r.</w:t>
      </w:r>
      <w:r w:rsidR="0010539D" w:rsidRPr="00CE1385">
        <w:rPr>
          <w:rFonts w:ascii="Times New Roman" w:hAnsi="Times New Roman" w:cs="Times New Roman"/>
          <w:szCs w:val="24"/>
        </w:rPr>
        <w:t xml:space="preserve"> w </w:t>
      </w:r>
      <w:r w:rsidRPr="00CE1385">
        <w:rPr>
          <w:rFonts w:ascii="Times New Roman" w:hAnsi="Times New Roman" w:cs="Times New Roman"/>
          <w:szCs w:val="24"/>
        </w:rPr>
        <w:t>sprawie funkcjonowania krajowego systemu notyfikacji norm</w:t>
      </w:r>
      <w:r w:rsidR="0010539D" w:rsidRPr="00CE1385">
        <w:rPr>
          <w:rFonts w:ascii="Times New Roman" w:hAnsi="Times New Roman" w:cs="Times New Roman"/>
          <w:szCs w:val="24"/>
        </w:rPr>
        <w:t xml:space="preserve"> i </w:t>
      </w:r>
      <w:r w:rsidRPr="00CE1385">
        <w:rPr>
          <w:rFonts w:ascii="Times New Roman" w:hAnsi="Times New Roman" w:cs="Times New Roman"/>
          <w:szCs w:val="24"/>
        </w:rPr>
        <w:t>aktów prawnych (Dz. U. poz. 2039 oraz</w:t>
      </w:r>
      <w:r w:rsidR="0001136D" w:rsidRPr="00CE1385">
        <w:rPr>
          <w:rFonts w:ascii="Times New Roman" w:hAnsi="Times New Roman" w:cs="Times New Roman"/>
          <w:szCs w:val="24"/>
        </w:rPr>
        <w:t xml:space="preserve"> z </w:t>
      </w:r>
      <w:r w:rsidRPr="00CE1385">
        <w:rPr>
          <w:rFonts w:ascii="Times New Roman" w:hAnsi="Times New Roman" w:cs="Times New Roman"/>
          <w:szCs w:val="24"/>
        </w:rPr>
        <w:t>2004 r. poz. 597).</w:t>
      </w:r>
    </w:p>
    <w:p w14:paraId="12903841" w14:textId="77777777" w:rsidR="001C63AC" w:rsidRDefault="001C63AC" w:rsidP="00412841">
      <w:pPr>
        <w:pStyle w:val="ARTartustawynprozporzdzenia"/>
        <w:ind w:firstLine="0"/>
      </w:pPr>
      <w:r w:rsidRPr="0098385C">
        <w:t>Zawarte w projekcie regulacje nie będą miały wpływu na działalność mikroprzedsiębiorców, małych i średnich przedsiębiorców, o których mowa w ustawie z dnia 6 marca 2018 r. – Prawo przedsiębiorców (Dz. U. z 2024 r. poz. 236</w:t>
      </w:r>
      <w:r>
        <w:t>, z późn. zm.</w:t>
      </w:r>
      <w:r w:rsidRPr="0098385C">
        <w:t>).</w:t>
      </w:r>
    </w:p>
    <w:p w14:paraId="33C15799" w14:textId="77777777" w:rsidR="001C63AC" w:rsidRDefault="001C63AC" w:rsidP="00412841">
      <w:pPr>
        <w:pStyle w:val="ARTartustawynprozporzdzenia"/>
        <w:ind w:firstLine="0"/>
      </w:pPr>
      <w:r w:rsidRPr="0098385C">
        <w:t>Projekt nie podlegał dokonaniu oceny OSR przez koordynatora OSR w trybie § 32 uchwały nr 190 Rady Ministrów z dnia 29 października 2013 r. – Regulamin pracy Rady Ministrów (M.P. z 202</w:t>
      </w:r>
      <w:r>
        <w:t>4</w:t>
      </w:r>
      <w:r w:rsidRPr="0098385C">
        <w:t xml:space="preserve"> r. poz. </w:t>
      </w:r>
      <w:r>
        <w:t>806</w:t>
      </w:r>
      <w:r w:rsidRPr="0098385C">
        <w:t>).</w:t>
      </w:r>
    </w:p>
    <w:p w14:paraId="556F50D0" w14:textId="243FB0B9" w:rsidR="001C63AC" w:rsidRDefault="001C63AC" w:rsidP="00412841">
      <w:pPr>
        <w:pStyle w:val="ARTartustawynprozporzdzenia"/>
        <w:ind w:firstLine="0"/>
      </w:pPr>
      <w:r w:rsidRPr="0098385C">
        <w:t>Zgodnie z § 52 uchwały nr 190 Rady Ministrów z dnia 29 października 2013 r. – Regulamin pracy Rady Ministrów oraz stosownie do wymogów art. 5 ustawy z dnia 7 lipca 2005 r. o działalności lobbingowej w procesie stanowienia prawa (Dz. U. z 2017 r. poz. 248</w:t>
      </w:r>
      <w:r w:rsidR="00411E3A">
        <w:t>, z późn. zm.</w:t>
      </w:r>
      <w:r w:rsidRPr="0098385C">
        <w:t>) projekt zosta</w:t>
      </w:r>
      <w:r w:rsidR="00411E3A">
        <w:t>ł</w:t>
      </w:r>
      <w:r w:rsidRPr="0098385C">
        <w:t xml:space="preserve"> udostępniony w Biuletynie Informacji Publicznej na stronie </w:t>
      </w:r>
      <w:r>
        <w:t>podmiotowej</w:t>
      </w:r>
      <w:r w:rsidRPr="0098385C">
        <w:t xml:space="preserve"> Rządowego Centrum Legislacji w </w:t>
      </w:r>
      <w:r>
        <w:t xml:space="preserve">serwisie </w:t>
      </w:r>
      <w:r w:rsidRPr="0098385C">
        <w:t>Rządowy Proces Legislacyjny.</w:t>
      </w:r>
    </w:p>
    <w:p w14:paraId="2A7C249D" w14:textId="0549FBC2" w:rsidR="001C63AC" w:rsidRDefault="001C63AC" w:rsidP="00412841">
      <w:pPr>
        <w:pStyle w:val="ARTartustawynprozporzdzenia"/>
        <w:ind w:firstLine="0"/>
      </w:pPr>
      <w:r w:rsidRPr="0098385C">
        <w:t>W celu spełnienia wymogów, o których mowa w § 42 ust. 1 uchwały nr 190 Rady Ministrów z dnia 29 października 2013 r. – Regulamin pracy Rady Ministrów, projekt zosta</w:t>
      </w:r>
      <w:r w:rsidR="00411E3A">
        <w:t>ł</w:t>
      </w:r>
      <w:r w:rsidRPr="0098385C">
        <w:t xml:space="preserve"> skierowany do koordynatora OSR. </w:t>
      </w:r>
    </w:p>
    <w:p w14:paraId="09E59268" w14:textId="77777777" w:rsidR="00411E3A" w:rsidRDefault="001C63AC" w:rsidP="00412841">
      <w:pPr>
        <w:pStyle w:val="ARTartustawynprozporzdzenia"/>
        <w:ind w:firstLine="0"/>
      </w:pPr>
      <w:r w:rsidRPr="0098385C">
        <w:lastRenderedPageBreak/>
        <w:t>Projekt nie dotyczy warunków określonych w uchwale nr 20 Rady Ministrów z dnia 18 lutego 2014 r. w sprawie zaleceń ujednolicenia terminów wejścia w życie niektórych aktów normatywnych (M.P. poz. 205).</w:t>
      </w:r>
    </w:p>
    <w:p w14:paraId="7E38484B" w14:textId="078D1C64" w:rsidR="00FC5114" w:rsidRPr="00CE1385" w:rsidRDefault="00411E3A" w:rsidP="00412841">
      <w:pPr>
        <w:pStyle w:val="NIEARTTEKSTtekstnieartykuowanynppodstprawnarozplubpreambua"/>
        <w:ind w:firstLine="0"/>
        <w:rPr>
          <w:rFonts w:ascii="Times New Roman" w:hAnsi="Times New Roman" w:cs="Times New Roman"/>
          <w:szCs w:val="24"/>
        </w:rPr>
      </w:pPr>
      <w:r w:rsidRPr="005A2FC6">
        <w:rPr>
          <w:rFonts w:cstheme="minorHAnsi"/>
        </w:rPr>
        <w:t>Żaden podmiot nie zgłosił zainteresowania pracami nad projektem</w:t>
      </w:r>
      <w:r>
        <w:rPr>
          <w:rFonts w:cstheme="minorHAnsi"/>
        </w:rPr>
        <w:t xml:space="preserve"> w </w:t>
      </w:r>
      <w:r w:rsidRPr="005A2FC6">
        <w:rPr>
          <w:rFonts w:cstheme="minorHAnsi"/>
        </w:rPr>
        <w:t xml:space="preserve">trybie przepisów o działalności </w:t>
      </w:r>
      <w:r w:rsidRPr="005A2FC6">
        <w:rPr>
          <w:rStyle w:val="highlight"/>
          <w:rFonts w:cstheme="minorHAnsi"/>
        </w:rPr>
        <w:t>lobb</w:t>
      </w:r>
      <w:r w:rsidRPr="005A2FC6">
        <w:rPr>
          <w:rFonts w:cstheme="minorHAnsi"/>
        </w:rPr>
        <w:t>ingowej</w:t>
      </w:r>
      <w:r>
        <w:rPr>
          <w:rFonts w:cstheme="minorHAnsi"/>
        </w:rPr>
        <w:t xml:space="preserve"> w </w:t>
      </w:r>
      <w:r w:rsidRPr="005A2FC6">
        <w:rPr>
          <w:rFonts w:cstheme="minorHAnsi"/>
        </w:rPr>
        <w:t>procesie stanowienia prawa.</w:t>
      </w:r>
    </w:p>
    <w:sectPr w:rsidR="00FC5114" w:rsidRPr="00CE1385" w:rsidSect="0047469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CC43C" w14:textId="77777777" w:rsidR="006B358D" w:rsidRDefault="006B358D" w:rsidP="00995799">
      <w:pPr>
        <w:spacing w:after="0" w:line="240" w:lineRule="auto"/>
      </w:pPr>
      <w:r>
        <w:separator/>
      </w:r>
    </w:p>
  </w:endnote>
  <w:endnote w:type="continuationSeparator" w:id="0">
    <w:p w14:paraId="77321091" w14:textId="77777777" w:rsidR="006B358D" w:rsidRDefault="006B358D" w:rsidP="0099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837040"/>
      <w:docPartObj>
        <w:docPartGallery w:val="Page Numbers (Bottom of Page)"/>
        <w:docPartUnique/>
      </w:docPartObj>
    </w:sdtPr>
    <w:sdtEndPr>
      <w:rPr>
        <w:rFonts w:ascii="Times New Roman" w:hAnsi="Times New Roman" w:cs="Times New Roman"/>
        <w:sz w:val="24"/>
        <w:szCs w:val="24"/>
      </w:rPr>
    </w:sdtEndPr>
    <w:sdtContent>
      <w:p w14:paraId="598DD4DC" w14:textId="22F3701C" w:rsidR="00C36739" w:rsidRPr="00C36739" w:rsidRDefault="00C36739" w:rsidP="00C36739">
        <w:pPr>
          <w:pStyle w:val="Stopka"/>
          <w:jc w:val="center"/>
          <w:rPr>
            <w:rFonts w:ascii="Times New Roman" w:hAnsi="Times New Roman" w:cs="Times New Roman"/>
            <w:sz w:val="24"/>
            <w:szCs w:val="24"/>
          </w:rPr>
        </w:pPr>
        <w:r w:rsidRPr="00C36739">
          <w:rPr>
            <w:rFonts w:ascii="Times New Roman" w:hAnsi="Times New Roman" w:cs="Times New Roman"/>
            <w:sz w:val="24"/>
            <w:szCs w:val="24"/>
          </w:rPr>
          <w:fldChar w:fldCharType="begin"/>
        </w:r>
        <w:r w:rsidRPr="00C36739">
          <w:rPr>
            <w:rFonts w:ascii="Times New Roman" w:hAnsi="Times New Roman" w:cs="Times New Roman"/>
            <w:sz w:val="24"/>
            <w:szCs w:val="24"/>
          </w:rPr>
          <w:instrText>PAGE   \* MERGEFORMAT</w:instrText>
        </w:r>
        <w:r w:rsidRPr="00C36739">
          <w:rPr>
            <w:rFonts w:ascii="Times New Roman" w:hAnsi="Times New Roman" w:cs="Times New Roman"/>
            <w:sz w:val="24"/>
            <w:szCs w:val="24"/>
          </w:rPr>
          <w:fldChar w:fldCharType="separate"/>
        </w:r>
        <w:r w:rsidRPr="00C36739">
          <w:rPr>
            <w:rFonts w:ascii="Times New Roman" w:hAnsi="Times New Roman" w:cs="Times New Roman"/>
            <w:sz w:val="24"/>
            <w:szCs w:val="24"/>
          </w:rPr>
          <w:t>2</w:t>
        </w:r>
        <w:r w:rsidRPr="00C3673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8CBAA" w14:textId="77777777" w:rsidR="006B358D" w:rsidRDefault="006B358D" w:rsidP="00995799">
      <w:pPr>
        <w:spacing w:after="0" w:line="240" w:lineRule="auto"/>
      </w:pPr>
      <w:r>
        <w:separator/>
      </w:r>
    </w:p>
  </w:footnote>
  <w:footnote w:type="continuationSeparator" w:id="0">
    <w:p w14:paraId="7EBFAFCA" w14:textId="77777777" w:rsidR="006B358D" w:rsidRDefault="006B358D" w:rsidP="00995799">
      <w:pPr>
        <w:spacing w:after="0" w:line="240" w:lineRule="auto"/>
      </w:pPr>
      <w:r>
        <w:continuationSeparator/>
      </w:r>
    </w:p>
  </w:footnote>
  <w:footnote w:id="1">
    <w:p w14:paraId="2F3175D3" w14:textId="684A6A2A" w:rsidR="00470412" w:rsidRDefault="00470412" w:rsidP="007F3FBD">
      <w:pPr>
        <w:pStyle w:val="Tekstprzypisudolnego"/>
        <w:spacing w:line="240" w:lineRule="auto"/>
        <w:ind w:left="284" w:hanging="284"/>
        <w:jc w:val="both"/>
      </w:pPr>
      <w:r w:rsidRPr="00470412">
        <w:rPr>
          <w:rStyle w:val="Odwoanieprzypisudolnego"/>
          <w:rFonts w:ascii="Times New Roman" w:hAnsi="Times New Roman"/>
          <w:sz w:val="20"/>
          <w:szCs w:val="20"/>
        </w:rPr>
        <w:footnoteRef/>
      </w:r>
      <w:r>
        <w:rPr>
          <w:rFonts w:ascii="Times New Roman" w:hAnsi="Times New Roman"/>
          <w:sz w:val="20"/>
          <w:szCs w:val="20"/>
          <w:vertAlign w:val="superscript"/>
        </w:rPr>
        <w:t>)</w:t>
      </w:r>
      <w:r>
        <w:rPr>
          <w:rFonts w:ascii="Times New Roman" w:hAnsi="Times New Roman"/>
          <w:sz w:val="20"/>
          <w:szCs w:val="20"/>
          <w:vertAlign w:val="superscript"/>
        </w:rPr>
        <w:tab/>
      </w:r>
      <w:r w:rsidRPr="00470412">
        <w:rPr>
          <w:rFonts w:ascii="Times New Roman" w:hAnsi="Times New Roman"/>
          <w:sz w:val="20"/>
          <w:szCs w:val="20"/>
        </w:rPr>
        <w:t>Podręcznik europejskiego prawa antydyskryminacyjnego, Wydanie z 2018. Agencja Praw Podstawowych Unii Europejskiej i Rada Europy.</w:t>
      </w:r>
    </w:p>
  </w:footnote>
  <w:footnote w:id="2">
    <w:p w14:paraId="53703018" w14:textId="4A79395D" w:rsidR="00470412" w:rsidRPr="00470412" w:rsidRDefault="00470412" w:rsidP="00470412">
      <w:pPr>
        <w:pStyle w:val="Tekstprzypisudolnego"/>
        <w:spacing w:line="240" w:lineRule="auto"/>
        <w:ind w:left="284" w:hanging="284"/>
        <w:jc w:val="both"/>
        <w:rPr>
          <w:rFonts w:ascii="Times New Roman" w:hAnsi="Times New Roman"/>
          <w:sz w:val="20"/>
          <w:szCs w:val="20"/>
        </w:rPr>
      </w:pPr>
      <w:r w:rsidRPr="00470412">
        <w:rPr>
          <w:rStyle w:val="Odwoanieprzypisudolnego"/>
          <w:rFonts w:ascii="Times New Roman" w:hAnsi="Times New Roman"/>
          <w:sz w:val="20"/>
          <w:szCs w:val="20"/>
        </w:rPr>
        <w:footnoteRef/>
      </w:r>
      <w:r>
        <w:rPr>
          <w:rFonts w:ascii="Times New Roman" w:hAnsi="Times New Roman"/>
          <w:sz w:val="20"/>
          <w:szCs w:val="20"/>
          <w:vertAlign w:val="superscript"/>
        </w:rPr>
        <w:t>)</w:t>
      </w:r>
      <w:r>
        <w:rPr>
          <w:rFonts w:ascii="Times New Roman" w:hAnsi="Times New Roman"/>
          <w:sz w:val="20"/>
          <w:szCs w:val="20"/>
          <w:vertAlign w:val="superscript"/>
        </w:rPr>
        <w:tab/>
      </w:r>
      <w:bookmarkStart w:id="3" w:name="_Hlk182567632"/>
      <w:r w:rsidRPr="00470412">
        <w:rPr>
          <w:rFonts w:ascii="Times New Roman" w:hAnsi="Times New Roman"/>
          <w:sz w:val="20"/>
          <w:szCs w:val="20"/>
        </w:rPr>
        <w:t xml:space="preserve">Przestępstwa motywowane uprzedzeniami. Analiza i zalecenia. Zasady równego traktowania – prawo i praktyka nr 23. Biuletyn Rzecznika Praw Obywatelskich. Warszawa 2017. </w:t>
      </w:r>
    </w:p>
    <w:bookmarkEnd w:id="3"/>
  </w:footnote>
  <w:footnote w:id="3">
    <w:p w14:paraId="0D7C3858" w14:textId="6B296286" w:rsidR="00470412" w:rsidRPr="00470412" w:rsidRDefault="00470412" w:rsidP="00470412">
      <w:pPr>
        <w:pStyle w:val="Tekstprzypisudolnego"/>
        <w:spacing w:line="240" w:lineRule="auto"/>
        <w:ind w:left="284" w:hanging="284"/>
        <w:jc w:val="both"/>
        <w:rPr>
          <w:rFonts w:ascii="Times New Roman" w:hAnsi="Times New Roman"/>
          <w:sz w:val="20"/>
          <w:szCs w:val="20"/>
        </w:rPr>
      </w:pPr>
      <w:r w:rsidRPr="00470412">
        <w:rPr>
          <w:rStyle w:val="Odwoanieprzypisudolnego"/>
          <w:rFonts w:ascii="Times New Roman" w:hAnsi="Times New Roman"/>
          <w:sz w:val="20"/>
          <w:szCs w:val="20"/>
        </w:rPr>
        <w:footnoteRef/>
      </w:r>
      <w:r>
        <w:rPr>
          <w:rFonts w:ascii="Times New Roman" w:hAnsi="Times New Roman"/>
          <w:sz w:val="20"/>
          <w:szCs w:val="20"/>
          <w:vertAlign w:val="superscript"/>
        </w:rPr>
        <w:t>)</w:t>
      </w:r>
      <w:r>
        <w:rPr>
          <w:rFonts w:ascii="Times New Roman" w:hAnsi="Times New Roman"/>
          <w:sz w:val="20"/>
          <w:szCs w:val="20"/>
          <w:vertAlign w:val="superscript"/>
        </w:rPr>
        <w:tab/>
      </w:r>
      <w:r w:rsidRPr="00470412">
        <w:rPr>
          <w:rFonts w:ascii="Times New Roman" w:hAnsi="Times New Roman"/>
          <w:sz w:val="20"/>
          <w:szCs w:val="20"/>
        </w:rPr>
        <w:t xml:space="preserve">Przestępstwa motywowane uprzedzeniami. Analiza i zalecenia. Zasady równego traktowania – prawo i praktyka nr 23. Biuletyn Rzecznika Praw Obywatelskich. Warszawa 2017. </w:t>
      </w:r>
    </w:p>
  </w:footnote>
  <w:footnote w:id="4">
    <w:p w14:paraId="322188E0" w14:textId="394AE5FC" w:rsidR="00DA56F8" w:rsidRPr="00DA56F8" w:rsidRDefault="00DA56F8" w:rsidP="00DA56F8">
      <w:pPr>
        <w:spacing w:after="0" w:line="240" w:lineRule="auto"/>
        <w:ind w:left="284" w:hanging="284"/>
        <w:jc w:val="both"/>
        <w:rPr>
          <w:rFonts w:ascii="Times New Roman" w:hAnsi="Times New Roman" w:cs="Times New Roman"/>
          <w:b/>
          <w:bCs/>
          <w:sz w:val="20"/>
          <w:szCs w:val="20"/>
        </w:rPr>
      </w:pPr>
      <w:r w:rsidRPr="00DA56F8">
        <w:rPr>
          <w:rStyle w:val="Odwoanieprzypisudolnego"/>
          <w:rFonts w:ascii="Times New Roman" w:hAnsi="Times New Roman" w:cs="Times New Roman"/>
          <w:sz w:val="20"/>
          <w:szCs w:val="20"/>
        </w:rPr>
        <w:footnoteRef/>
      </w:r>
      <w:r>
        <w:rPr>
          <w:rFonts w:ascii="Times New Roman" w:hAnsi="Times New Roman" w:cs="Times New Roman"/>
          <w:sz w:val="20"/>
          <w:szCs w:val="20"/>
          <w:vertAlign w:val="superscript"/>
        </w:rPr>
        <w:t>)</w:t>
      </w:r>
      <w:r>
        <w:rPr>
          <w:rFonts w:ascii="Times New Roman" w:hAnsi="Times New Roman" w:cs="Times New Roman"/>
          <w:sz w:val="20"/>
          <w:szCs w:val="20"/>
          <w:vertAlign w:val="superscript"/>
        </w:rPr>
        <w:tab/>
      </w:r>
      <w:r w:rsidRPr="00DA56F8">
        <w:rPr>
          <w:rStyle w:val="FontStyle27"/>
          <w:i w:val="0"/>
          <w:iCs w:val="0"/>
          <w:sz w:val="20"/>
          <w:szCs w:val="20"/>
        </w:rPr>
        <w:t>Przemoc wobec osób z niepełnosprawnością intelektualną. Badanie pilotażowe.</w:t>
      </w:r>
      <w:r w:rsidRPr="00DA56F8">
        <w:rPr>
          <w:rStyle w:val="FontStyle27"/>
          <w:sz w:val="20"/>
          <w:szCs w:val="20"/>
        </w:rPr>
        <w:t xml:space="preserve"> </w:t>
      </w:r>
      <w:r w:rsidRPr="00DA56F8">
        <w:rPr>
          <w:rStyle w:val="FontStyle17"/>
          <w:b w:val="0"/>
          <w:bCs w:val="0"/>
          <w:sz w:val="20"/>
          <w:szCs w:val="20"/>
        </w:rPr>
        <w:t>Polskie Stowarzyszenie na rzecz Osób z Niepełnosprawnością Intelektualną w województwie mazowieckim na próbie 90 respondentów.</w:t>
      </w:r>
    </w:p>
  </w:footnote>
  <w:footnote w:id="5">
    <w:p w14:paraId="7B609FA1" w14:textId="27C1F6E0" w:rsidR="00DA56F8" w:rsidRPr="00DA56F8" w:rsidRDefault="00DA56F8" w:rsidP="00DA56F8">
      <w:pPr>
        <w:pStyle w:val="Tekstprzypisudolnego"/>
        <w:spacing w:line="240" w:lineRule="auto"/>
        <w:ind w:left="284" w:hanging="284"/>
        <w:jc w:val="both"/>
        <w:rPr>
          <w:rFonts w:ascii="Times New Roman" w:hAnsi="Times New Roman"/>
          <w:sz w:val="20"/>
          <w:szCs w:val="20"/>
        </w:rPr>
      </w:pPr>
      <w:r w:rsidRPr="00DA56F8">
        <w:rPr>
          <w:rStyle w:val="Odwoanieprzypisudolnego"/>
          <w:rFonts w:ascii="Times New Roman" w:hAnsi="Times New Roman"/>
          <w:sz w:val="20"/>
          <w:szCs w:val="20"/>
        </w:rPr>
        <w:footnoteRef/>
      </w:r>
      <w:r>
        <w:rPr>
          <w:rFonts w:ascii="Times New Roman" w:hAnsi="Times New Roman"/>
          <w:sz w:val="20"/>
          <w:szCs w:val="20"/>
          <w:vertAlign w:val="superscript"/>
        </w:rPr>
        <w:t>)</w:t>
      </w:r>
      <w:r>
        <w:rPr>
          <w:rFonts w:ascii="Times New Roman" w:hAnsi="Times New Roman"/>
          <w:sz w:val="20"/>
          <w:szCs w:val="20"/>
          <w:vertAlign w:val="superscript"/>
        </w:rPr>
        <w:tab/>
      </w:r>
      <w:r w:rsidRPr="00DA56F8">
        <w:rPr>
          <w:rFonts w:ascii="Times New Roman" w:hAnsi="Times New Roman"/>
          <w:sz w:val="20"/>
          <w:szCs w:val="20"/>
        </w:rPr>
        <w:t>Antonina Ostrowska, Niepełnosprawni w społeczeństwie 1993–2013, Wydawnictwo IFiS PAN, Warszawa 2015.</w:t>
      </w:r>
    </w:p>
  </w:footnote>
  <w:footnote w:id="6">
    <w:p w14:paraId="5710F992" w14:textId="26E67110" w:rsidR="00DA56F8" w:rsidRPr="00DA56F8" w:rsidRDefault="00DA56F8" w:rsidP="00DA56F8">
      <w:pPr>
        <w:pStyle w:val="Tekstprzypisudolnego"/>
        <w:spacing w:line="240" w:lineRule="auto"/>
        <w:ind w:left="284" w:hanging="284"/>
        <w:jc w:val="both"/>
        <w:rPr>
          <w:rFonts w:ascii="Times New Roman" w:hAnsi="Times New Roman"/>
          <w:sz w:val="20"/>
          <w:szCs w:val="20"/>
        </w:rPr>
      </w:pPr>
      <w:r w:rsidRPr="00DA56F8">
        <w:rPr>
          <w:rStyle w:val="Odwoanieprzypisudolnego"/>
          <w:rFonts w:ascii="Times New Roman" w:hAnsi="Times New Roman"/>
          <w:sz w:val="20"/>
          <w:szCs w:val="20"/>
        </w:rPr>
        <w:footnoteRef/>
      </w:r>
      <w:r>
        <w:rPr>
          <w:rFonts w:ascii="Times New Roman" w:hAnsi="Times New Roman"/>
          <w:sz w:val="20"/>
          <w:szCs w:val="20"/>
          <w:vertAlign w:val="superscript"/>
        </w:rPr>
        <w:t>)</w:t>
      </w:r>
      <w:r>
        <w:rPr>
          <w:rFonts w:ascii="Times New Roman" w:hAnsi="Times New Roman"/>
          <w:sz w:val="20"/>
          <w:szCs w:val="20"/>
          <w:vertAlign w:val="superscript"/>
        </w:rPr>
        <w:tab/>
      </w:r>
      <w:r w:rsidRPr="00DA56F8">
        <w:rPr>
          <w:rStyle w:val="Bodytext1"/>
          <w:rFonts w:ascii="Times New Roman" w:hAnsi="Times New Roman" w:cs="Times New Roman"/>
          <w:sz w:val="20"/>
          <w:szCs w:val="20"/>
        </w:rPr>
        <w:t xml:space="preserve">Komunikat Komisji do Parlamentu Europejskiego, Rady, Europejskiego Komitetu Ekonomiczno-Społecznego i Komitetu Regionów – </w:t>
      </w:r>
      <w:r w:rsidRPr="00DA56F8">
        <w:rPr>
          <w:rFonts w:ascii="Times New Roman" w:hAnsi="Times New Roman"/>
          <w:sz w:val="20"/>
          <w:szCs w:val="20"/>
        </w:rPr>
        <w:t xml:space="preserve">Unia równości: Strategia na rzecz praw osób z niepełnosprawnościami na lata </w:t>
      </w:r>
      <w:r>
        <w:rPr>
          <w:rFonts w:ascii="Times New Roman" w:hAnsi="Times New Roman"/>
          <w:sz w:val="20"/>
          <w:szCs w:val="20"/>
        </w:rPr>
        <w:br/>
      </w:r>
      <w:r w:rsidRPr="00DA56F8">
        <w:rPr>
          <w:rFonts w:ascii="Times New Roman" w:hAnsi="Times New Roman"/>
          <w:sz w:val="20"/>
          <w:szCs w:val="20"/>
        </w:rPr>
        <w:t xml:space="preserve">2021–2030 </w:t>
      </w:r>
      <w:r w:rsidRPr="00DA56F8">
        <w:rPr>
          <w:rFonts w:ascii="Times New Roman" w:hAnsi="Times New Roman"/>
          <w:sz w:val="20"/>
          <w:szCs w:val="20"/>
          <w:shd w:val="clear" w:color="auto" w:fill="FFFFFF"/>
        </w:rPr>
        <w:t>COM/2021/101 final.</w:t>
      </w:r>
    </w:p>
  </w:footnote>
  <w:footnote w:id="7">
    <w:p w14:paraId="13EBE5FD" w14:textId="37E49AE9" w:rsidR="00DA56F8" w:rsidRPr="00DA56F8" w:rsidRDefault="00DA56F8" w:rsidP="00DA56F8">
      <w:pPr>
        <w:pStyle w:val="Tekstprzypisudolnego"/>
        <w:spacing w:line="240" w:lineRule="auto"/>
        <w:ind w:left="284" w:hanging="284"/>
        <w:jc w:val="both"/>
        <w:rPr>
          <w:rFonts w:ascii="Times New Roman" w:hAnsi="Times New Roman"/>
          <w:sz w:val="20"/>
          <w:szCs w:val="20"/>
        </w:rPr>
      </w:pPr>
      <w:r w:rsidRPr="00DA56F8">
        <w:rPr>
          <w:rStyle w:val="Odwoanieprzypisudolnego"/>
          <w:rFonts w:ascii="Times New Roman" w:hAnsi="Times New Roman"/>
          <w:sz w:val="20"/>
          <w:szCs w:val="20"/>
        </w:rPr>
        <w:footnoteRef/>
      </w:r>
      <w:r w:rsidRPr="00DA56F8">
        <w:rPr>
          <w:rFonts w:ascii="Times New Roman" w:hAnsi="Times New Roman"/>
          <w:sz w:val="20"/>
          <w:szCs w:val="20"/>
          <w:vertAlign w:val="superscript"/>
        </w:rPr>
        <w:t>)</w:t>
      </w:r>
      <w:r w:rsidRPr="00DA56F8">
        <w:rPr>
          <w:rFonts w:ascii="Times New Roman" w:hAnsi="Times New Roman"/>
          <w:sz w:val="20"/>
          <w:szCs w:val="20"/>
          <w:vertAlign w:val="superscript"/>
        </w:rPr>
        <w:tab/>
      </w:r>
      <w:r w:rsidRPr="00DA56F8">
        <w:rPr>
          <w:rFonts w:ascii="Times New Roman" w:hAnsi="Times New Roman"/>
          <w:sz w:val="20"/>
          <w:szCs w:val="20"/>
        </w:rPr>
        <w:t>CBOS. Komunikat z badań nr 164/2016.</w:t>
      </w:r>
    </w:p>
  </w:footnote>
  <w:footnote w:id="8">
    <w:p w14:paraId="1C3E4555" w14:textId="2D66525B" w:rsidR="000F772E" w:rsidRPr="000017BD" w:rsidRDefault="000F772E" w:rsidP="000017BD">
      <w:pPr>
        <w:pStyle w:val="Tekstprzypisudolnego"/>
        <w:spacing w:line="240" w:lineRule="auto"/>
        <w:ind w:left="284" w:hanging="284"/>
        <w:rPr>
          <w:rFonts w:ascii="Times New Roman" w:hAnsi="Times New Roman"/>
          <w:sz w:val="20"/>
          <w:szCs w:val="20"/>
        </w:rPr>
      </w:pPr>
      <w:r w:rsidRPr="000017BD">
        <w:rPr>
          <w:rStyle w:val="Odwoanieprzypisudolnego"/>
          <w:rFonts w:ascii="Times New Roman" w:hAnsi="Times New Roman"/>
          <w:sz w:val="20"/>
          <w:szCs w:val="20"/>
        </w:rPr>
        <w:footnoteRef/>
      </w:r>
      <w:r w:rsidR="000017BD">
        <w:rPr>
          <w:rFonts w:ascii="Times New Roman" w:hAnsi="Times New Roman"/>
          <w:sz w:val="20"/>
          <w:szCs w:val="20"/>
          <w:vertAlign w:val="superscript"/>
        </w:rPr>
        <w:t>)</w:t>
      </w:r>
      <w:r w:rsidR="000017BD">
        <w:rPr>
          <w:rFonts w:ascii="Times New Roman" w:hAnsi="Times New Roman"/>
          <w:sz w:val="20"/>
          <w:szCs w:val="20"/>
          <w:vertAlign w:val="superscript"/>
        </w:rPr>
        <w:tab/>
      </w:r>
      <w:r w:rsidRPr="000017BD">
        <w:rPr>
          <w:rFonts w:ascii="Times New Roman" w:hAnsi="Times New Roman"/>
          <w:sz w:val="20"/>
          <w:szCs w:val="20"/>
        </w:rPr>
        <w:t>Kantar, listopad 2021.</w:t>
      </w:r>
    </w:p>
  </w:footnote>
  <w:footnote w:id="9">
    <w:p w14:paraId="1C27EBA9" w14:textId="113AE487" w:rsidR="00CD025F" w:rsidRPr="000017BD" w:rsidRDefault="00CD025F" w:rsidP="000017BD">
      <w:pPr>
        <w:pStyle w:val="Tekstprzypisudolnego"/>
        <w:spacing w:line="240" w:lineRule="auto"/>
        <w:ind w:left="284" w:hanging="284"/>
        <w:jc w:val="both"/>
        <w:rPr>
          <w:rFonts w:ascii="Times New Roman" w:hAnsi="Times New Roman"/>
          <w:sz w:val="20"/>
          <w:szCs w:val="20"/>
        </w:rPr>
      </w:pPr>
      <w:r w:rsidRPr="000017BD">
        <w:rPr>
          <w:rStyle w:val="Odwoanieprzypisudolnego"/>
          <w:rFonts w:ascii="Times New Roman" w:hAnsi="Times New Roman"/>
          <w:sz w:val="20"/>
          <w:szCs w:val="20"/>
        </w:rPr>
        <w:footnoteRef/>
      </w:r>
      <w:r w:rsidR="000017BD">
        <w:rPr>
          <w:rFonts w:ascii="Times New Roman" w:hAnsi="Times New Roman"/>
          <w:sz w:val="20"/>
          <w:szCs w:val="20"/>
          <w:vertAlign w:val="superscript"/>
        </w:rPr>
        <w:t>)</w:t>
      </w:r>
      <w:r w:rsidR="000017BD">
        <w:rPr>
          <w:rFonts w:ascii="Times New Roman" w:hAnsi="Times New Roman"/>
          <w:sz w:val="20"/>
          <w:szCs w:val="20"/>
          <w:vertAlign w:val="superscript"/>
        </w:rPr>
        <w:tab/>
      </w:r>
      <w:r w:rsidRPr="000017BD">
        <w:rPr>
          <w:rFonts w:ascii="Times New Roman" w:hAnsi="Times New Roman"/>
          <w:sz w:val="20"/>
          <w:szCs w:val="20"/>
        </w:rPr>
        <w:t>Sytuacja społeczna osób LGBTA</w:t>
      </w:r>
      <w:r w:rsidR="0010539D" w:rsidRPr="000017BD">
        <w:rPr>
          <w:rFonts w:ascii="Times New Roman" w:hAnsi="Times New Roman"/>
          <w:sz w:val="20"/>
          <w:szCs w:val="20"/>
        </w:rPr>
        <w:t xml:space="preserve"> w </w:t>
      </w:r>
      <w:r w:rsidRPr="000017BD">
        <w:rPr>
          <w:rFonts w:ascii="Times New Roman" w:hAnsi="Times New Roman"/>
          <w:sz w:val="20"/>
          <w:szCs w:val="20"/>
        </w:rPr>
        <w:t>Polsce – raport za lata 201</w:t>
      </w:r>
      <w:r w:rsidR="007D3A1F" w:rsidRPr="000017BD">
        <w:rPr>
          <w:rFonts w:ascii="Times New Roman" w:hAnsi="Times New Roman"/>
          <w:sz w:val="20"/>
          <w:szCs w:val="20"/>
        </w:rPr>
        <w:t>9</w:t>
      </w:r>
      <w:r w:rsidRPr="000017BD">
        <w:rPr>
          <w:rFonts w:ascii="Times New Roman" w:hAnsi="Times New Roman"/>
          <w:sz w:val="20"/>
          <w:szCs w:val="20"/>
        </w:rPr>
        <w:t>–20</w:t>
      </w:r>
      <w:r w:rsidR="007D3A1F" w:rsidRPr="000017BD">
        <w:rPr>
          <w:rFonts w:ascii="Times New Roman" w:hAnsi="Times New Roman"/>
          <w:sz w:val="20"/>
          <w:szCs w:val="20"/>
        </w:rPr>
        <w:t>20</w:t>
      </w:r>
      <w:r w:rsidRPr="000017BD">
        <w:rPr>
          <w:rFonts w:ascii="Times New Roman" w:hAnsi="Times New Roman"/>
          <w:sz w:val="20"/>
          <w:szCs w:val="20"/>
        </w:rPr>
        <w:t>, red. Magdalena Świder</w:t>
      </w:r>
      <w:r w:rsidR="0010539D" w:rsidRPr="000017BD">
        <w:rPr>
          <w:rFonts w:ascii="Times New Roman" w:hAnsi="Times New Roman"/>
          <w:sz w:val="20"/>
          <w:szCs w:val="20"/>
        </w:rPr>
        <w:t xml:space="preserve"> i </w:t>
      </w:r>
      <w:r w:rsidRPr="000017BD">
        <w:rPr>
          <w:rFonts w:ascii="Times New Roman" w:hAnsi="Times New Roman"/>
          <w:sz w:val="20"/>
          <w:szCs w:val="20"/>
        </w:rPr>
        <w:t xml:space="preserve">Mikołaj Winiewski, </w:t>
      </w:r>
      <w:r w:rsidR="006C78A7" w:rsidRPr="000017BD">
        <w:rPr>
          <w:rFonts w:ascii="Times New Roman" w:hAnsi="Times New Roman"/>
          <w:sz w:val="20"/>
          <w:szCs w:val="20"/>
        </w:rPr>
        <w:t xml:space="preserve">Kampania Przeciw Homofobii i Stowarzyszenie Lambada Warszawa, </w:t>
      </w:r>
      <w:r w:rsidRPr="000017BD">
        <w:rPr>
          <w:rFonts w:ascii="Times New Roman" w:hAnsi="Times New Roman"/>
          <w:sz w:val="20"/>
          <w:szCs w:val="20"/>
        </w:rPr>
        <w:t>s.</w:t>
      </w:r>
      <w:r w:rsidR="00B86A64">
        <w:rPr>
          <w:rFonts w:ascii="Times New Roman" w:hAnsi="Times New Roman"/>
          <w:sz w:val="20"/>
          <w:szCs w:val="20"/>
        </w:rPr>
        <w:t xml:space="preserve"> </w:t>
      </w:r>
      <w:r w:rsidR="007D3A1F" w:rsidRPr="000017BD">
        <w:rPr>
          <w:rFonts w:ascii="Times New Roman" w:hAnsi="Times New Roman"/>
          <w:sz w:val="20"/>
          <w:szCs w:val="20"/>
        </w:rPr>
        <w:t>125</w:t>
      </w:r>
      <w:r w:rsidR="00B86A64">
        <w:rPr>
          <w:rFonts w:ascii="Times New Roman" w:hAnsi="Times New Roman"/>
          <w:sz w:val="20"/>
          <w:szCs w:val="20"/>
        </w:rPr>
        <w:t>–</w:t>
      </w:r>
      <w:r w:rsidR="0041618D" w:rsidRPr="000017BD">
        <w:rPr>
          <w:rFonts w:ascii="Times New Roman" w:hAnsi="Times New Roman"/>
          <w:sz w:val="20"/>
          <w:szCs w:val="20"/>
        </w:rPr>
        <w:t>153</w:t>
      </w:r>
      <w:r w:rsidRPr="000017BD">
        <w:rPr>
          <w:rFonts w:ascii="Times New Roman" w:hAnsi="Times New Roman"/>
          <w:sz w:val="20"/>
          <w:szCs w:val="20"/>
        </w:rPr>
        <w:t>.</w:t>
      </w:r>
    </w:p>
  </w:footnote>
  <w:footnote w:id="10">
    <w:p w14:paraId="17F6F1BE" w14:textId="79691E0D" w:rsidR="00CD025F" w:rsidRPr="000017BD" w:rsidRDefault="00CD025F" w:rsidP="000017BD">
      <w:pPr>
        <w:pStyle w:val="Tekstprzypisudolnego"/>
        <w:spacing w:line="240" w:lineRule="auto"/>
        <w:ind w:left="284" w:hanging="284"/>
        <w:jc w:val="both"/>
        <w:rPr>
          <w:rFonts w:ascii="Times New Roman" w:hAnsi="Times New Roman"/>
          <w:sz w:val="20"/>
          <w:szCs w:val="20"/>
        </w:rPr>
      </w:pPr>
      <w:r w:rsidRPr="000017BD">
        <w:rPr>
          <w:rStyle w:val="Odwoanieprzypisudolnego"/>
          <w:rFonts w:ascii="Times New Roman" w:hAnsi="Times New Roman"/>
          <w:sz w:val="20"/>
          <w:szCs w:val="20"/>
        </w:rPr>
        <w:footnoteRef/>
      </w:r>
      <w:r w:rsidR="000017BD">
        <w:rPr>
          <w:rFonts w:ascii="Times New Roman" w:hAnsi="Times New Roman"/>
          <w:sz w:val="20"/>
          <w:szCs w:val="20"/>
          <w:vertAlign w:val="superscript"/>
        </w:rPr>
        <w:t>)</w:t>
      </w:r>
      <w:r w:rsidR="000017BD">
        <w:rPr>
          <w:rFonts w:ascii="Times New Roman" w:hAnsi="Times New Roman"/>
          <w:sz w:val="20"/>
          <w:szCs w:val="20"/>
          <w:vertAlign w:val="superscript"/>
        </w:rPr>
        <w:tab/>
      </w:r>
      <w:r w:rsidRPr="000017BD">
        <w:rPr>
          <w:rFonts w:ascii="Times New Roman" w:hAnsi="Times New Roman"/>
          <w:sz w:val="20"/>
          <w:szCs w:val="20"/>
        </w:rPr>
        <w:t>Raport A long way to go for LGBTI equality, Agencja Praw Podstawowych Unii Europejskiej, Maj 2020, s.</w:t>
      </w:r>
      <w:r w:rsidR="00B86A64">
        <w:rPr>
          <w:rFonts w:ascii="Times New Roman" w:hAnsi="Times New Roman"/>
          <w:sz w:val="20"/>
          <w:szCs w:val="20"/>
        </w:rPr>
        <w:t> </w:t>
      </w:r>
      <w:r w:rsidRPr="000017BD">
        <w:rPr>
          <w:rFonts w:ascii="Times New Roman" w:hAnsi="Times New Roman"/>
          <w:sz w:val="20"/>
          <w:szCs w:val="20"/>
        </w:rPr>
        <w:t>38</w:t>
      </w:r>
      <w:r w:rsidR="00B86A64">
        <w:rPr>
          <w:rFonts w:ascii="Times New Roman" w:hAnsi="Times New Roman"/>
          <w:sz w:val="20"/>
          <w:szCs w:val="20"/>
        </w:rPr>
        <w:t>–</w:t>
      </w:r>
      <w:r w:rsidRPr="000017BD">
        <w:rPr>
          <w:rFonts w:ascii="Times New Roman" w:hAnsi="Times New Roman"/>
          <w:sz w:val="20"/>
          <w:szCs w:val="20"/>
        </w:rPr>
        <w:t>45.</w:t>
      </w:r>
    </w:p>
  </w:footnote>
  <w:footnote w:id="11">
    <w:p w14:paraId="0A2C2D08" w14:textId="50B2D0AF" w:rsidR="00FC5114" w:rsidRPr="000017BD" w:rsidRDefault="00FC5114" w:rsidP="000017BD">
      <w:pPr>
        <w:pStyle w:val="Tekstprzypisudolnego"/>
        <w:spacing w:line="240" w:lineRule="auto"/>
        <w:ind w:left="284" w:hanging="284"/>
        <w:jc w:val="both"/>
        <w:rPr>
          <w:rFonts w:ascii="Times New Roman" w:hAnsi="Times New Roman"/>
          <w:sz w:val="20"/>
          <w:szCs w:val="20"/>
          <w:lang w:val="en-GB"/>
        </w:rPr>
      </w:pPr>
      <w:r w:rsidRPr="000017BD">
        <w:rPr>
          <w:rStyle w:val="OdwoanieprzypisudolnegoFootnoteReferneceFootnoteReferenceNumber"/>
          <w:rFonts w:ascii="Times New Roman" w:hAnsi="Times New Roman"/>
          <w:sz w:val="20"/>
          <w:szCs w:val="20"/>
        </w:rPr>
        <w:footnoteRef/>
      </w:r>
      <w:r w:rsidR="000017BD">
        <w:rPr>
          <w:rStyle w:val="apple-converted-space"/>
          <w:rFonts w:ascii="Times New Roman" w:hAnsi="Times New Roman"/>
          <w:sz w:val="20"/>
          <w:szCs w:val="20"/>
          <w:vertAlign w:val="superscript"/>
          <w:lang w:val="en-US"/>
        </w:rPr>
        <w:t>)</w:t>
      </w:r>
      <w:r w:rsidR="000017BD">
        <w:rPr>
          <w:rStyle w:val="apple-converted-space"/>
          <w:rFonts w:ascii="Times New Roman" w:hAnsi="Times New Roman"/>
          <w:sz w:val="20"/>
          <w:szCs w:val="20"/>
          <w:vertAlign w:val="superscript"/>
          <w:lang w:val="en-US"/>
        </w:rPr>
        <w:tab/>
      </w:r>
      <w:r w:rsidRPr="000017BD">
        <w:rPr>
          <w:rStyle w:val="apple-converted-space"/>
          <w:rFonts w:ascii="Times New Roman" w:hAnsi="Times New Roman"/>
          <w:sz w:val="20"/>
          <w:szCs w:val="20"/>
          <w:lang w:val="en-US"/>
        </w:rPr>
        <w:t xml:space="preserve">Paul Iganski, </w:t>
      </w:r>
      <w:r w:rsidR="00E95A98" w:rsidRPr="000017BD">
        <w:rPr>
          <w:rStyle w:val="apple-converted-space"/>
          <w:rFonts w:ascii="Times New Roman" w:hAnsi="Times New Roman"/>
          <w:sz w:val="20"/>
          <w:szCs w:val="20"/>
          <w:lang w:val="en-US"/>
        </w:rPr>
        <w:t>„</w:t>
      </w:r>
      <w:r w:rsidRPr="000017BD">
        <w:rPr>
          <w:rStyle w:val="apple-converted-space"/>
          <w:rFonts w:ascii="Times New Roman" w:hAnsi="Times New Roman"/>
          <w:sz w:val="20"/>
          <w:szCs w:val="20"/>
          <w:lang w:val="en-US"/>
        </w:rPr>
        <w:t xml:space="preserve">Using the Law to Challenge Cultures of Hate | ESRC Centre for Corpus Approaches to Social Science (CASS),” accessed January 8, 2015, </w:t>
      </w:r>
      <w:hyperlink r:id="rId1" w:history="1">
        <w:r w:rsidRPr="000017BD">
          <w:rPr>
            <w:rStyle w:val="Hipercze"/>
            <w:rFonts w:ascii="Times New Roman" w:hAnsi="Times New Roman"/>
            <w:color w:val="auto"/>
            <w:sz w:val="20"/>
            <w:szCs w:val="20"/>
            <w:u w:val="none"/>
            <w:lang w:val="en-US"/>
          </w:rPr>
          <w:t>http://cass.lancs.ac.uk/?p=1510</w:t>
        </w:r>
      </w:hyperlink>
      <w:r w:rsidRPr="000017BD">
        <w:rPr>
          <w:rStyle w:val="apple-converted-space"/>
          <w:rFonts w:ascii="Times New Roman" w:hAnsi="Times New Roman"/>
          <w:sz w:val="20"/>
          <w:szCs w:val="20"/>
          <w:lang w:val="en-US"/>
        </w:rPr>
        <w:t xml:space="preserve">. </w:t>
      </w:r>
      <w:r w:rsidRPr="000017BD">
        <w:rPr>
          <w:rStyle w:val="apple-converted-space"/>
          <w:rFonts w:ascii="Times New Roman" w:hAnsi="Times New Roman"/>
          <w:sz w:val="20"/>
          <w:szCs w:val="20"/>
        </w:rPr>
        <w:t>Kompleksowe badania, których wyniki wskazują na wyjątkowo negatywne skutki przestępstw motywowanych uprzedzeniami, zostały przeprowadzone m.in. na Uniwersytecie</w:t>
      </w:r>
      <w:r w:rsidR="0010539D" w:rsidRPr="000017BD">
        <w:rPr>
          <w:rStyle w:val="apple-converted-space"/>
          <w:rFonts w:ascii="Times New Roman" w:hAnsi="Times New Roman"/>
          <w:sz w:val="20"/>
          <w:szCs w:val="20"/>
        </w:rPr>
        <w:t xml:space="preserve"> w </w:t>
      </w:r>
      <w:r w:rsidRPr="000017BD">
        <w:rPr>
          <w:rStyle w:val="apple-converted-space"/>
          <w:rFonts w:ascii="Times New Roman" w:hAnsi="Times New Roman"/>
          <w:sz w:val="20"/>
          <w:szCs w:val="20"/>
        </w:rPr>
        <w:t xml:space="preserve">Leicester (Neil Chakraborti, Jon Garland, and Stevie-Jade Hardy, The Leicester Hate Crime Project. </w:t>
      </w:r>
      <w:r w:rsidRPr="000017BD">
        <w:rPr>
          <w:rStyle w:val="apple-converted-space"/>
          <w:rFonts w:ascii="Times New Roman" w:hAnsi="Times New Roman"/>
          <w:sz w:val="20"/>
          <w:szCs w:val="20"/>
          <w:lang w:val="en-US"/>
        </w:rPr>
        <w:t xml:space="preserve">Findings and Conclusions (Leicester: University of Leicester, 2014), </w:t>
      </w:r>
      <w:hyperlink r:id="rId2" w:history="1">
        <w:r w:rsidRPr="000017BD">
          <w:rPr>
            <w:rStyle w:val="Hipercze"/>
            <w:rFonts w:ascii="Times New Roman" w:hAnsi="Times New Roman"/>
            <w:color w:val="auto"/>
            <w:sz w:val="20"/>
            <w:szCs w:val="20"/>
            <w:u w:val="none"/>
            <w:lang w:val="en-US"/>
          </w:rPr>
          <w:t>http://www2.le.ac.uk/departments/criminology/research/current-projects/hate-crime/documents-and-images/findings-and-conclusions-full-report</w:t>
        </w:r>
      </w:hyperlink>
      <w:r w:rsidRPr="000017BD">
        <w:rPr>
          <w:rStyle w:val="apple-converted-space"/>
          <w:rFonts w:ascii="Times New Roman" w:hAnsi="Times New Roman"/>
          <w:sz w:val="20"/>
          <w:szCs w:val="20"/>
          <w:lang w:val="en-US"/>
        </w:rPr>
        <w:t>).</w:t>
      </w:r>
    </w:p>
  </w:footnote>
  <w:footnote w:id="12">
    <w:p w14:paraId="03D59ED9" w14:textId="6DEE88CC" w:rsidR="00FC5114" w:rsidRPr="000017BD" w:rsidRDefault="00FC5114" w:rsidP="000017BD">
      <w:pPr>
        <w:pStyle w:val="Tekstprzypisudolnego"/>
        <w:spacing w:line="240" w:lineRule="auto"/>
        <w:ind w:left="284" w:hanging="284"/>
        <w:jc w:val="both"/>
        <w:rPr>
          <w:rFonts w:ascii="Times New Roman" w:hAnsi="Times New Roman"/>
          <w:sz w:val="20"/>
          <w:szCs w:val="20"/>
          <w:lang w:val="en-US"/>
        </w:rPr>
      </w:pPr>
      <w:r w:rsidRPr="000017BD">
        <w:rPr>
          <w:rStyle w:val="OdwoanieprzypisudolnegoFootnoteReferneceFootnoteReferenceNumber"/>
          <w:rFonts w:ascii="Times New Roman" w:hAnsi="Times New Roman"/>
          <w:sz w:val="20"/>
          <w:szCs w:val="20"/>
        </w:rPr>
        <w:footnoteRef/>
      </w:r>
      <w:r w:rsidR="000017BD">
        <w:rPr>
          <w:rStyle w:val="apple-converted-space"/>
          <w:rFonts w:ascii="Times New Roman" w:hAnsi="Times New Roman"/>
          <w:sz w:val="20"/>
          <w:szCs w:val="20"/>
          <w:vertAlign w:val="superscript"/>
          <w:lang w:val="en-US"/>
        </w:rPr>
        <w:t>)</w:t>
      </w:r>
      <w:r w:rsidR="000017BD">
        <w:rPr>
          <w:rStyle w:val="apple-converted-space"/>
          <w:rFonts w:ascii="Times New Roman" w:hAnsi="Times New Roman"/>
          <w:sz w:val="20"/>
          <w:szCs w:val="20"/>
          <w:vertAlign w:val="superscript"/>
          <w:lang w:val="en-US"/>
        </w:rPr>
        <w:tab/>
      </w:r>
      <w:r w:rsidRPr="000017BD">
        <w:rPr>
          <w:rStyle w:val="apple-converted-space"/>
          <w:rFonts w:ascii="Times New Roman" w:hAnsi="Times New Roman"/>
          <w:sz w:val="20"/>
          <w:szCs w:val="20"/>
          <w:lang w:val="en-US"/>
        </w:rPr>
        <w:t xml:space="preserve">Ann P. Haas et al., </w:t>
      </w:r>
      <w:r w:rsidR="00E95A98" w:rsidRPr="000017BD">
        <w:rPr>
          <w:rStyle w:val="apple-converted-space"/>
          <w:rFonts w:ascii="Times New Roman" w:hAnsi="Times New Roman"/>
          <w:sz w:val="20"/>
          <w:szCs w:val="20"/>
          <w:lang w:val="en-US"/>
        </w:rPr>
        <w:t>„</w:t>
      </w:r>
      <w:r w:rsidRPr="000017BD">
        <w:rPr>
          <w:rStyle w:val="apple-converted-space"/>
          <w:rFonts w:ascii="Times New Roman" w:hAnsi="Times New Roman"/>
          <w:sz w:val="20"/>
          <w:szCs w:val="20"/>
          <w:lang w:val="en-US"/>
        </w:rPr>
        <w:t xml:space="preserve">Suicide and Suicide Risk in Lesbian, Gay, Bisexual, and Transgender Populations: Review and Recommendations” Journal of Homosexuality 58, no. 1 (January 2011): 10–51, doi:10.1080/00918369.2011.534038; Gary Remafedi, James A. Farrow, and Robert W. Deisher, </w:t>
      </w:r>
      <w:r w:rsidR="00E95A98" w:rsidRPr="000017BD">
        <w:rPr>
          <w:rStyle w:val="apple-converted-space"/>
          <w:rFonts w:ascii="Times New Roman" w:hAnsi="Times New Roman"/>
          <w:sz w:val="20"/>
          <w:szCs w:val="20"/>
          <w:lang w:val="en-US"/>
        </w:rPr>
        <w:t>„</w:t>
      </w:r>
      <w:r w:rsidRPr="000017BD">
        <w:rPr>
          <w:rStyle w:val="apple-converted-space"/>
          <w:rFonts w:ascii="Times New Roman" w:hAnsi="Times New Roman"/>
          <w:sz w:val="20"/>
          <w:szCs w:val="20"/>
          <w:lang w:val="en-US"/>
        </w:rPr>
        <w:t xml:space="preserve">Risk Factors for Attempted Suicie in Gay and Bisexual Youth,” Pediatrics 87, no. 6 (June 1, 1991): 869–75; S. T. Russell and K. Joyner, </w:t>
      </w:r>
      <w:r w:rsidR="00E95A98" w:rsidRPr="000017BD">
        <w:rPr>
          <w:rStyle w:val="apple-converted-space"/>
          <w:rFonts w:ascii="Times New Roman" w:hAnsi="Times New Roman"/>
          <w:sz w:val="20"/>
          <w:szCs w:val="20"/>
          <w:lang w:val="en-US"/>
        </w:rPr>
        <w:t>„</w:t>
      </w:r>
      <w:r w:rsidRPr="000017BD">
        <w:rPr>
          <w:rStyle w:val="apple-converted-space"/>
          <w:rFonts w:ascii="Times New Roman" w:hAnsi="Times New Roman"/>
          <w:sz w:val="20"/>
          <w:szCs w:val="20"/>
          <w:lang w:val="en-US"/>
        </w:rPr>
        <w:t>Adolescent Sexual Orientation and Suicide Risk: Evidence from a National Study,” American Journal of Public Health 91, no. 8 (August 2001): 1276–81.</w:t>
      </w:r>
    </w:p>
  </w:footnote>
  <w:footnote w:id="13">
    <w:p w14:paraId="5791A7C0" w14:textId="3EBD7C44" w:rsidR="00D0121C" w:rsidRPr="000017BD" w:rsidRDefault="00D0121C" w:rsidP="000017BD">
      <w:pPr>
        <w:pStyle w:val="Tekstprzypisudolnego"/>
        <w:spacing w:line="240" w:lineRule="auto"/>
        <w:ind w:left="284" w:hanging="284"/>
        <w:jc w:val="both"/>
        <w:rPr>
          <w:rFonts w:ascii="Times New Roman" w:hAnsi="Times New Roman"/>
          <w:sz w:val="20"/>
          <w:szCs w:val="20"/>
        </w:rPr>
      </w:pPr>
      <w:r w:rsidRPr="000017BD">
        <w:rPr>
          <w:rStyle w:val="Odwoanieprzypisudolnego"/>
          <w:rFonts w:ascii="Times New Roman" w:hAnsi="Times New Roman"/>
          <w:sz w:val="20"/>
          <w:szCs w:val="20"/>
        </w:rPr>
        <w:footnoteRef/>
      </w:r>
      <w:r w:rsidR="000017BD">
        <w:rPr>
          <w:rFonts w:ascii="Times New Roman" w:hAnsi="Times New Roman"/>
          <w:sz w:val="20"/>
          <w:szCs w:val="20"/>
          <w:vertAlign w:val="superscript"/>
        </w:rPr>
        <w:t>)</w:t>
      </w:r>
      <w:r w:rsidR="000017BD">
        <w:rPr>
          <w:rFonts w:ascii="Times New Roman" w:hAnsi="Times New Roman"/>
          <w:sz w:val="20"/>
          <w:szCs w:val="20"/>
          <w:vertAlign w:val="superscript"/>
        </w:rPr>
        <w:tab/>
      </w:r>
      <w:r w:rsidRPr="000017BD">
        <w:rPr>
          <w:rFonts w:ascii="Times New Roman" w:hAnsi="Times New Roman"/>
          <w:sz w:val="20"/>
          <w:szCs w:val="20"/>
        </w:rPr>
        <w:t>Podręcznik europejskiego prawa antydyskryminacyjnego</w:t>
      </w:r>
      <w:r w:rsidR="002E65E7" w:rsidRPr="000017BD">
        <w:rPr>
          <w:rFonts w:ascii="Times New Roman" w:hAnsi="Times New Roman"/>
          <w:sz w:val="20"/>
          <w:szCs w:val="20"/>
        </w:rPr>
        <w:t>.</w:t>
      </w:r>
      <w:r w:rsidRPr="000017BD">
        <w:rPr>
          <w:rFonts w:ascii="Times New Roman" w:hAnsi="Times New Roman"/>
          <w:sz w:val="20"/>
          <w:szCs w:val="20"/>
        </w:rPr>
        <w:t xml:space="preserve"> Wydanie</w:t>
      </w:r>
      <w:r w:rsidR="0001136D" w:rsidRPr="000017BD">
        <w:rPr>
          <w:rFonts w:ascii="Times New Roman" w:hAnsi="Times New Roman"/>
          <w:sz w:val="20"/>
          <w:szCs w:val="20"/>
        </w:rPr>
        <w:t xml:space="preserve"> z </w:t>
      </w:r>
      <w:r w:rsidRPr="000017BD">
        <w:rPr>
          <w:rFonts w:ascii="Times New Roman" w:hAnsi="Times New Roman"/>
          <w:sz w:val="20"/>
          <w:szCs w:val="20"/>
        </w:rPr>
        <w:t>2018.</w:t>
      </w:r>
      <w:r w:rsidR="00A378BB" w:rsidRPr="000017BD">
        <w:rPr>
          <w:rFonts w:ascii="Times New Roman" w:hAnsi="Times New Roman"/>
          <w:sz w:val="20"/>
          <w:szCs w:val="20"/>
        </w:rPr>
        <w:t xml:space="preserve"> Agencja Praw Podstawowych U</w:t>
      </w:r>
      <w:r w:rsidR="00F114E4" w:rsidRPr="000017BD">
        <w:rPr>
          <w:rFonts w:ascii="Times New Roman" w:hAnsi="Times New Roman"/>
          <w:sz w:val="20"/>
          <w:szCs w:val="20"/>
        </w:rPr>
        <w:t>nii Europejskiej</w:t>
      </w:r>
      <w:r w:rsidR="0010539D" w:rsidRPr="000017BD">
        <w:rPr>
          <w:rFonts w:ascii="Times New Roman" w:hAnsi="Times New Roman"/>
          <w:sz w:val="20"/>
          <w:szCs w:val="20"/>
        </w:rPr>
        <w:t xml:space="preserve"> i </w:t>
      </w:r>
      <w:r w:rsidR="00F114E4" w:rsidRPr="000017BD">
        <w:rPr>
          <w:rFonts w:ascii="Times New Roman" w:hAnsi="Times New Roman"/>
          <w:sz w:val="20"/>
          <w:szCs w:val="20"/>
        </w:rPr>
        <w:t xml:space="preserve">Rady Europy. </w:t>
      </w:r>
    </w:p>
  </w:footnote>
  <w:footnote w:id="14">
    <w:p w14:paraId="0D05C558" w14:textId="20420E77" w:rsidR="001E2E5E" w:rsidRPr="000017BD" w:rsidRDefault="001E2E5E" w:rsidP="000017BD">
      <w:pPr>
        <w:pStyle w:val="Tekstprzypisudolnego"/>
        <w:spacing w:line="240" w:lineRule="auto"/>
        <w:ind w:left="284" w:hanging="284"/>
        <w:jc w:val="both"/>
        <w:rPr>
          <w:rFonts w:ascii="Times New Roman" w:hAnsi="Times New Roman"/>
          <w:sz w:val="20"/>
          <w:szCs w:val="20"/>
        </w:rPr>
      </w:pPr>
      <w:r w:rsidRPr="000017BD">
        <w:rPr>
          <w:rStyle w:val="Odwoanieprzypisudolnego"/>
          <w:rFonts w:ascii="Times New Roman" w:hAnsi="Times New Roman"/>
          <w:sz w:val="20"/>
          <w:szCs w:val="20"/>
        </w:rPr>
        <w:footnoteRef/>
      </w:r>
      <w:r w:rsidR="000017BD">
        <w:rPr>
          <w:rFonts w:ascii="Times New Roman" w:hAnsi="Times New Roman"/>
          <w:sz w:val="20"/>
          <w:szCs w:val="20"/>
          <w:vertAlign w:val="superscript"/>
        </w:rPr>
        <w:t>)</w:t>
      </w:r>
      <w:r w:rsidR="000017BD">
        <w:rPr>
          <w:rFonts w:ascii="Times New Roman" w:hAnsi="Times New Roman"/>
          <w:sz w:val="20"/>
          <w:szCs w:val="20"/>
          <w:vertAlign w:val="superscript"/>
        </w:rPr>
        <w:tab/>
      </w:r>
      <w:bookmarkStart w:id="5" w:name="_Hlk182567690"/>
      <w:bookmarkStart w:id="6" w:name="_Hlk182567691"/>
      <w:r w:rsidRPr="000017BD">
        <w:rPr>
          <w:rFonts w:ascii="Times New Roman" w:hAnsi="Times New Roman"/>
          <w:sz w:val="20"/>
          <w:szCs w:val="20"/>
        </w:rPr>
        <w:t>Przestępstwa motywowane uprzedzeniami. Analiza</w:t>
      </w:r>
      <w:r w:rsidR="0010539D" w:rsidRPr="000017BD">
        <w:rPr>
          <w:rFonts w:ascii="Times New Roman" w:hAnsi="Times New Roman"/>
          <w:sz w:val="20"/>
          <w:szCs w:val="20"/>
        </w:rPr>
        <w:t xml:space="preserve"> i </w:t>
      </w:r>
      <w:r w:rsidRPr="000017BD">
        <w:rPr>
          <w:rFonts w:ascii="Times New Roman" w:hAnsi="Times New Roman"/>
          <w:sz w:val="20"/>
          <w:szCs w:val="20"/>
        </w:rPr>
        <w:t>zalecenia. Zasady równego traktowania – prawo</w:t>
      </w:r>
      <w:r w:rsidR="0010539D" w:rsidRPr="000017BD">
        <w:rPr>
          <w:rFonts w:ascii="Times New Roman" w:hAnsi="Times New Roman"/>
          <w:sz w:val="20"/>
          <w:szCs w:val="20"/>
        </w:rPr>
        <w:t xml:space="preserve"> i </w:t>
      </w:r>
      <w:r w:rsidRPr="000017BD">
        <w:rPr>
          <w:rFonts w:ascii="Times New Roman" w:hAnsi="Times New Roman"/>
          <w:sz w:val="20"/>
          <w:szCs w:val="20"/>
        </w:rPr>
        <w:t>praktyka</w:t>
      </w:r>
      <w:r w:rsidR="0010539D" w:rsidRPr="000017BD">
        <w:rPr>
          <w:rFonts w:ascii="Times New Roman" w:hAnsi="Times New Roman"/>
          <w:sz w:val="20"/>
          <w:szCs w:val="20"/>
        </w:rPr>
        <w:t xml:space="preserve"> nr </w:t>
      </w:r>
      <w:r w:rsidRPr="000017BD">
        <w:rPr>
          <w:rFonts w:ascii="Times New Roman" w:hAnsi="Times New Roman"/>
          <w:sz w:val="20"/>
          <w:szCs w:val="20"/>
        </w:rPr>
        <w:t>23. Biuletyn Rzecznika Praw Obywatelskich. Warszawa 2017.</w:t>
      </w:r>
      <w:bookmarkEnd w:id="5"/>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748B8"/>
    <w:multiLevelType w:val="hybridMultilevel"/>
    <w:tmpl w:val="B2A6FD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B6465C"/>
    <w:multiLevelType w:val="hybridMultilevel"/>
    <w:tmpl w:val="D4B49600"/>
    <w:lvl w:ilvl="0" w:tplc="C204C276">
      <w:start w:val="4"/>
      <w:numFmt w:val="bullet"/>
      <w:lvlText w:val="-"/>
      <w:lvlJc w:val="left"/>
      <w:pPr>
        <w:ind w:left="720" w:hanging="360"/>
      </w:pPr>
      <w:rPr>
        <w:rFonts w:ascii="Times New Roman" w:eastAsia="Arial Unicode M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830235"/>
    <w:multiLevelType w:val="hybridMultilevel"/>
    <w:tmpl w:val="D74E83EC"/>
    <w:lvl w:ilvl="0" w:tplc="E5DA7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CE40E3"/>
    <w:multiLevelType w:val="hybridMultilevel"/>
    <w:tmpl w:val="F50ED748"/>
    <w:lvl w:ilvl="0" w:tplc="E5DA7A7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4F524F06"/>
    <w:multiLevelType w:val="hybridMultilevel"/>
    <w:tmpl w:val="B9B62626"/>
    <w:lvl w:ilvl="0" w:tplc="E5DA7A7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16cid:durableId="1136214682">
    <w:abstractNumId w:val="0"/>
  </w:num>
  <w:num w:numId="2" w16cid:durableId="223221968">
    <w:abstractNumId w:val="1"/>
  </w:num>
  <w:num w:numId="3" w16cid:durableId="123498987">
    <w:abstractNumId w:val="2"/>
  </w:num>
  <w:num w:numId="4" w16cid:durableId="2106999047">
    <w:abstractNumId w:val="4"/>
  </w:num>
  <w:num w:numId="5" w16cid:durableId="1079670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6A"/>
    <w:rsid w:val="000017BD"/>
    <w:rsid w:val="00002075"/>
    <w:rsid w:val="00004F39"/>
    <w:rsid w:val="00006019"/>
    <w:rsid w:val="0001136D"/>
    <w:rsid w:val="00011624"/>
    <w:rsid w:val="00011F46"/>
    <w:rsid w:val="00012C68"/>
    <w:rsid w:val="0001659F"/>
    <w:rsid w:val="000227E0"/>
    <w:rsid w:val="0004292D"/>
    <w:rsid w:val="000463C3"/>
    <w:rsid w:val="00062D14"/>
    <w:rsid w:val="00065076"/>
    <w:rsid w:val="000656A6"/>
    <w:rsid w:val="00070024"/>
    <w:rsid w:val="0007750B"/>
    <w:rsid w:val="00077CD4"/>
    <w:rsid w:val="00081325"/>
    <w:rsid w:val="00085A12"/>
    <w:rsid w:val="000B37F8"/>
    <w:rsid w:val="000B7C26"/>
    <w:rsid w:val="000C2053"/>
    <w:rsid w:val="000C34D5"/>
    <w:rsid w:val="000C5878"/>
    <w:rsid w:val="000D471E"/>
    <w:rsid w:val="000D6383"/>
    <w:rsid w:val="000E3BFB"/>
    <w:rsid w:val="000E4E14"/>
    <w:rsid w:val="000F50C2"/>
    <w:rsid w:val="000F7659"/>
    <w:rsid w:val="000F772E"/>
    <w:rsid w:val="0010357E"/>
    <w:rsid w:val="0010539D"/>
    <w:rsid w:val="00105FA9"/>
    <w:rsid w:val="0011164B"/>
    <w:rsid w:val="00115617"/>
    <w:rsid w:val="001236F1"/>
    <w:rsid w:val="0012451A"/>
    <w:rsid w:val="001370A3"/>
    <w:rsid w:val="0014108C"/>
    <w:rsid w:val="001430FD"/>
    <w:rsid w:val="0014711F"/>
    <w:rsid w:val="001473DC"/>
    <w:rsid w:val="001506A8"/>
    <w:rsid w:val="00154813"/>
    <w:rsid w:val="001561C3"/>
    <w:rsid w:val="00156ADF"/>
    <w:rsid w:val="00157EB7"/>
    <w:rsid w:val="001631AC"/>
    <w:rsid w:val="001721DF"/>
    <w:rsid w:val="00177E9F"/>
    <w:rsid w:val="00186420"/>
    <w:rsid w:val="00190D0A"/>
    <w:rsid w:val="0019367C"/>
    <w:rsid w:val="001A08A7"/>
    <w:rsid w:val="001A2EA6"/>
    <w:rsid w:val="001A3255"/>
    <w:rsid w:val="001A7728"/>
    <w:rsid w:val="001A77F8"/>
    <w:rsid w:val="001B1A57"/>
    <w:rsid w:val="001B7E00"/>
    <w:rsid w:val="001B7E87"/>
    <w:rsid w:val="001C0EE4"/>
    <w:rsid w:val="001C3B4A"/>
    <w:rsid w:val="001C63AC"/>
    <w:rsid w:val="001D03E1"/>
    <w:rsid w:val="001D2974"/>
    <w:rsid w:val="001E2E5E"/>
    <w:rsid w:val="001E2FED"/>
    <w:rsid w:val="001E630B"/>
    <w:rsid w:val="001F0B86"/>
    <w:rsid w:val="001F1241"/>
    <w:rsid w:val="001F397C"/>
    <w:rsid w:val="001F6892"/>
    <w:rsid w:val="00200C06"/>
    <w:rsid w:val="002028F3"/>
    <w:rsid w:val="00206E10"/>
    <w:rsid w:val="00222BB7"/>
    <w:rsid w:val="0023344E"/>
    <w:rsid w:val="0024789E"/>
    <w:rsid w:val="00254F56"/>
    <w:rsid w:val="0025507F"/>
    <w:rsid w:val="00255948"/>
    <w:rsid w:val="0025651C"/>
    <w:rsid w:val="00262057"/>
    <w:rsid w:val="002671E3"/>
    <w:rsid w:val="00273AEC"/>
    <w:rsid w:val="00281CDF"/>
    <w:rsid w:val="00290125"/>
    <w:rsid w:val="00293C4F"/>
    <w:rsid w:val="002961BB"/>
    <w:rsid w:val="002C27A7"/>
    <w:rsid w:val="002C3320"/>
    <w:rsid w:val="002C5749"/>
    <w:rsid w:val="002D7EF8"/>
    <w:rsid w:val="002E05F2"/>
    <w:rsid w:val="002E2321"/>
    <w:rsid w:val="002E65E7"/>
    <w:rsid w:val="002F1B69"/>
    <w:rsid w:val="002F1C38"/>
    <w:rsid w:val="002F5656"/>
    <w:rsid w:val="002F6F30"/>
    <w:rsid w:val="003001A5"/>
    <w:rsid w:val="0031352B"/>
    <w:rsid w:val="00316D83"/>
    <w:rsid w:val="00321643"/>
    <w:rsid w:val="0033286D"/>
    <w:rsid w:val="003334E5"/>
    <w:rsid w:val="00335E6B"/>
    <w:rsid w:val="00335F03"/>
    <w:rsid w:val="00341A37"/>
    <w:rsid w:val="0034678C"/>
    <w:rsid w:val="003561A8"/>
    <w:rsid w:val="003673AD"/>
    <w:rsid w:val="00370006"/>
    <w:rsid w:val="00373584"/>
    <w:rsid w:val="00380951"/>
    <w:rsid w:val="003822C0"/>
    <w:rsid w:val="00386C79"/>
    <w:rsid w:val="003914F8"/>
    <w:rsid w:val="00391B33"/>
    <w:rsid w:val="003A6FFE"/>
    <w:rsid w:val="003B190D"/>
    <w:rsid w:val="003C10B2"/>
    <w:rsid w:val="003C4C26"/>
    <w:rsid w:val="003C56EB"/>
    <w:rsid w:val="003C6018"/>
    <w:rsid w:val="003E2AE3"/>
    <w:rsid w:val="003F25C6"/>
    <w:rsid w:val="004037B8"/>
    <w:rsid w:val="00411E3A"/>
    <w:rsid w:val="00412841"/>
    <w:rsid w:val="0041618D"/>
    <w:rsid w:val="004273E3"/>
    <w:rsid w:val="00437ADD"/>
    <w:rsid w:val="00441195"/>
    <w:rsid w:val="00441E20"/>
    <w:rsid w:val="0044305B"/>
    <w:rsid w:val="00451F08"/>
    <w:rsid w:val="0045389B"/>
    <w:rsid w:val="00454ECC"/>
    <w:rsid w:val="00457410"/>
    <w:rsid w:val="00462784"/>
    <w:rsid w:val="00463EFA"/>
    <w:rsid w:val="00466E3E"/>
    <w:rsid w:val="00467F87"/>
    <w:rsid w:val="00470412"/>
    <w:rsid w:val="004708EE"/>
    <w:rsid w:val="00474274"/>
    <w:rsid w:val="00474699"/>
    <w:rsid w:val="004774F2"/>
    <w:rsid w:val="00481A28"/>
    <w:rsid w:val="00483161"/>
    <w:rsid w:val="00492066"/>
    <w:rsid w:val="00492CD9"/>
    <w:rsid w:val="0049595D"/>
    <w:rsid w:val="00496347"/>
    <w:rsid w:val="00496F1F"/>
    <w:rsid w:val="004974B1"/>
    <w:rsid w:val="004A3DA9"/>
    <w:rsid w:val="004B0ED5"/>
    <w:rsid w:val="004B2848"/>
    <w:rsid w:val="004B2B67"/>
    <w:rsid w:val="004B42BF"/>
    <w:rsid w:val="004C3831"/>
    <w:rsid w:val="004C5794"/>
    <w:rsid w:val="004D045A"/>
    <w:rsid w:val="004D0C54"/>
    <w:rsid w:val="004D1601"/>
    <w:rsid w:val="004D3C39"/>
    <w:rsid w:val="004D5689"/>
    <w:rsid w:val="004D7124"/>
    <w:rsid w:val="004E110B"/>
    <w:rsid w:val="004E20AD"/>
    <w:rsid w:val="004E424B"/>
    <w:rsid w:val="004E43FA"/>
    <w:rsid w:val="004F0CCE"/>
    <w:rsid w:val="004F201E"/>
    <w:rsid w:val="004F3F3A"/>
    <w:rsid w:val="004F6339"/>
    <w:rsid w:val="004F66F1"/>
    <w:rsid w:val="004F7D6A"/>
    <w:rsid w:val="00507FD1"/>
    <w:rsid w:val="00511E3E"/>
    <w:rsid w:val="005123F3"/>
    <w:rsid w:val="00516449"/>
    <w:rsid w:val="005254D7"/>
    <w:rsid w:val="00531258"/>
    <w:rsid w:val="00537BB2"/>
    <w:rsid w:val="00540D9C"/>
    <w:rsid w:val="00544968"/>
    <w:rsid w:val="00544D40"/>
    <w:rsid w:val="00546051"/>
    <w:rsid w:val="0054731E"/>
    <w:rsid w:val="00553D64"/>
    <w:rsid w:val="005606F2"/>
    <w:rsid w:val="0056320E"/>
    <w:rsid w:val="0057237F"/>
    <w:rsid w:val="00572D10"/>
    <w:rsid w:val="0057460F"/>
    <w:rsid w:val="0057521A"/>
    <w:rsid w:val="00590C1D"/>
    <w:rsid w:val="00591E61"/>
    <w:rsid w:val="0059239C"/>
    <w:rsid w:val="005954D1"/>
    <w:rsid w:val="005A23E2"/>
    <w:rsid w:val="005A256F"/>
    <w:rsid w:val="005B4B8C"/>
    <w:rsid w:val="005B5534"/>
    <w:rsid w:val="005B7F7E"/>
    <w:rsid w:val="005C3011"/>
    <w:rsid w:val="005D45A5"/>
    <w:rsid w:val="005E280D"/>
    <w:rsid w:val="005F3BB1"/>
    <w:rsid w:val="00606800"/>
    <w:rsid w:val="00634332"/>
    <w:rsid w:val="006469B1"/>
    <w:rsid w:val="00653888"/>
    <w:rsid w:val="00655EF8"/>
    <w:rsid w:val="00666C21"/>
    <w:rsid w:val="0067596A"/>
    <w:rsid w:val="0068297B"/>
    <w:rsid w:val="0069008F"/>
    <w:rsid w:val="00692D19"/>
    <w:rsid w:val="00694C2E"/>
    <w:rsid w:val="00695734"/>
    <w:rsid w:val="006B0604"/>
    <w:rsid w:val="006B2AEB"/>
    <w:rsid w:val="006B358D"/>
    <w:rsid w:val="006B5ECF"/>
    <w:rsid w:val="006B7DC4"/>
    <w:rsid w:val="006C1413"/>
    <w:rsid w:val="006C2888"/>
    <w:rsid w:val="006C78A7"/>
    <w:rsid w:val="006D37BF"/>
    <w:rsid w:val="006E6EDD"/>
    <w:rsid w:val="006F39BF"/>
    <w:rsid w:val="006F4A90"/>
    <w:rsid w:val="006F5183"/>
    <w:rsid w:val="007039FE"/>
    <w:rsid w:val="00710CB6"/>
    <w:rsid w:val="00731094"/>
    <w:rsid w:val="007342AB"/>
    <w:rsid w:val="00734A52"/>
    <w:rsid w:val="00742092"/>
    <w:rsid w:val="00757BB5"/>
    <w:rsid w:val="0076020D"/>
    <w:rsid w:val="00763344"/>
    <w:rsid w:val="0076522E"/>
    <w:rsid w:val="00772125"/>
    <w:rsid w:val="0078338B"/>
    <w:rsid w:val="00783B45"/>
    <w:rsid w:val="007875FF"/>
    <w:rsid w:val="007960B3"/>
    <w:rsid w:val="007969FE"/>
    <w:rsid w:val="007A7780"/>
    <w:rsid w:val="007B297F"/>
    <w:rsid w:val="007B2AD2"/>
    <w:rsid w:val="007B2F59"/>
    <w:rsid w:val="007C0878"/>
    <w:rsid w:val="007C2E4F"/>
    <w:rsid w:val="007D0DCD"/>
    <w:rsid w:val="007D3A1F"/>
    <w:rsid w:val="007D4CAE"/>
    <w:rsid w:val="007D635D"/>
    <w:rsid w:val="007E3865"/>
    <w:rsid w:val="007E6F6E"/>
    <w:rsid w:val="007E70CA"/>
    <w:rsid w:val="007F03B7"/>
    <w:rsid w:val="007F0D4C"/>
    <w:rsid w:val="007F1D9A"/>
    <w:rsid w:val="007F3046"/>
    <w:rsid w:val="007F3FBD"/>
    <w:rsid w:val="00802F09"/>
    <w:rsid w:val="0080636A"/>
    <w:rsid w:val="008103CE"/>
    <w:rsid w:val="008126AE"/>
    <w:rsid w:val="00824E57"/>
    <w:rsid w:val="00827749"/>
    <w:rsid w:val="00830DD3"/>
    <w:rsid w:val="008320B6"/>
    <w:rsid w:val="00841732"/>
    <w:rsid w:val="008451B7"/>
    <w:rsid w:val="00846A7E"/>
    <w:rsid w:val="008503F2"/>
    <w:rsid w:val="008508DF"/>
    <w:rsid w:val="0085269A"/>
    <w:rsid w:val="008542B0"/>
    <w:rsid w:val="0085518C"/>
    <w:rsid w:val="00857A3C"/>
    <w:rsid w:val="008629A6"/>
    <w:rsid w:val="0086361A"/>
    <w:rsid w:val="00864EDB"/>
    <w:rsid w:val="008658AE"/>
    <w:rsid w:val="00865943"/>
    <w:rsid w:val="00875E7F"/>
    <w:rsid w:val="00876D0D"/>
    <w:rsid w:val="0088223B"/>
    <w:rsid w:val="0089527B"/>
    <w:rsid w:val="008A5B87"/>
    <w:rsid w:val="008A65BB"/>
    <w:rsid w:val="008C2092"/>
    <w:rsid w:val="008C6784"/>
    <w:rsid w:val="008D1314"/>
    <w:rsid w:val="008D45F6"/>
    <w:rsid w:val="008F20D9"/>
    <w:rsid w:val="00906E3A"/>
    <w:rsid w:val="0091301C"/>
    <w:rsid w:val="009138F5"/>
    <w:rsid w:val="00914927"/>
    <w:rsid w:val="00921E4C"/>
    <w:rsid w:val="009248A2"/>
    <w:rsid w:val="00927C53"/>
    <w:rsid w:val="00933517"/>
    <w:rsid w:val="00943FEB"/>
    <w:rsid w:val="00944C6A"/>
    <w:rsid w:val="00956321"/>
    <w:rsid w:val="00956445"/>
    <w:rsid w:val="009620C8"/>
    <w:rsid w:val="009622ED"/>
    <w:rsid w:val="0096665E"/>
    <w:rsid w:val="00967302"/>
    <w:rsid w:val="0096799D"/>
    <w:rsid w:val="00972EA4"/>
    <w:rsid w:val="009765CF"/>
    <w:rsid w:val="009825BF"/>
    <w:rsid w:val="00985CC8"/>
    <w:rsid w:val="00990B7B"/>
    <w:rsid w:val="009925F3"/>
    <w:rsid w:val="009944FB"/>
    <w:rsid w:val="00995799"/>
    <w:rsid w:val="00996BA9"/>
    <w:rsid w:val="00997377"/>
    <w:rsid w:val="009A00E4"/>
    <w:rsid w:val="009A0408"/>
    <w:rsid w:val="009A26DB"/>
    <w:rsid w:val="009B1278"/>
    <w:rsid w:val="009B4B16"/>
    <w:rsid w:val="009C134E"/>
    <w:rsid w:val="009C29C0"/>
    <w:rsid w:val="009C5C44"/>
    <w:rsid w:val="009D3E31"/>
    <w:rsid w:val="009D710B"/>
    <w:rsid w:val="009E314D"/>
    <w:rsid w:val="009E3E41"/>
    <w:rsid w:val="009E608A"/>
    <w:rsid w:val="009F08D3"/>
    <w:rsid w:val="009F5EE9"/>
    <w:rsid w:val="00A01FA7"/>
    <w:rsid w:val="00A06097"/>
    <w:rsid w:val="00A1349D"/>
    <w:rsid w:val="00A1550F"/>
    <w:rsid w:val="00A25BE1"/>
    <w:rsid w:val="00A25E32"/>
    <w:rsid w:val="00A26CC9"/>
    <w:rsid w:val="00A30269"/>
    <w:rsid w:val="00A378BB"/>
    <w:rsid w:val="00A44165"/>
    <w:rsid w:val="00A51674"/>
    <w:rsid w:val="00A538E4"/>
    <w:rsid w:val="00A54488"/>
    <w:rsid w:val="00A72F4C"/>
    <w:rsid w:val="00A73517"/>
    <w:rsid w:val="00A748B3"/>
    <w:rsid w:val="00A8194E"/>
    <w:rsid w:val="00A868DF"/>
    <w:rsid w:val="00A87600"/>
    <w:rsid w:val="00A91312"/>
    <w:rsid w:val="00A91BCD"/>
    <w:rsid w:val="00A92E6A"/>
    <w:rsid w:val="00AA17AA"/>
    <w:rsid w:val="00AA1810"/>
    <w:rsid w:val="00AB1808"/>
    <w:rsid w:val="00AB3260"/>
    <w:rsid w:val="00AB7E3D"/>
    <w:rsid w:val="00AC0496"/>
    <w:rsid w:val="00AC4372"/>
    <w:rsid w:val="00AC6210"/>
    <w:rsid w:val="00AC7067"/>
    <w:rsid w:val="00AC769F"/>
    <w:rsid w:val="00AD07ED"/>
    <w:rsid w:val="00AD3F63"/>
    <w:rsid w:val="00AD6B19"/>
    <w:rsid w:val="00AD754B"/>
    <w:rsid w:val="00AD79AE"/>
    <w:rsid w:val="00AF0F49"/>
    <w:rsid w:val="00AF59AB"/>
    <w:rsid w:val="00B0028E"/>
    <w:rsid w:val="00B011C7"/>
    <w:rsid w:val="00B026F4"/>
    <w:rsid w:val="00B04CE2"/>
    <w:rsid w:val="00B115DE"/>
    <w:rsid w:val="00B2493E"/>
    <w:rsid w:val="00B2571C"/>
    <w:rsid w:val="00B279FB"/>
    <w:rsid w:val="00B45CE2"/>
    <w:rsid w:val="00B46D4E"/>
    <w:rsid w:val="00B51CFE"/>
    <w:rsid w:val="00B545CF"/>
    <w:rsid w:val="00B57F63"/>
    <w:rsid w:val="00B60860"/>
    <w:rsid w:val="00B6294F"/>
    <w:rsid w:val="00B652FA"/>
    <w:rsid w:val="00B73CA1"/>
    <w:rsid w:val="00B80684"/>
    <w:rsid w:val="00B854C9"/>
    <w:rsid w:val="00B85D50"/>
    <w:rsid w:val="00B86A64"/>
    <w:rsid w:val="00B91DBB"/>
    <w:rsid w:val="00B92000"/>
    <w:rsid w:val="00B92FE8"/>
    <w:rsid w:val="00B9352C"/>
    <w:rsid w:val="00BA18CD"/>
    <w:rsid w:val="00BA7507"/>
    <w:rsid w:val="00BB1473"/>
    <w:rsid w:val="00BB5882"/>
    <w:rsid w:val="00BC64DA"/>
    <w:rsid w:val="00BC7033"/>
    <w:rsid w:val="00BD1521"/>
    <w:rsid w:val="00BD1638"/>
    <w:rsid w:val="00BD2832"/>
    <w:rsid w:val="00BD7685"/>
    <w:rsid w:val="00BE5F6A"/>
    <w:rsid w:val="00BF08BD"/>
    <w:rsid w:val="00BF0ADC"/>
    <w:rsid w:val="00BF5F85"/>
    <w:rsid w:val="00BF71D3"/>
    <w:rsid w:val="00C03736"/>
    <w:rsid w:val="00C13FD6"/>
    <w:rsid w:val="00C14F18"/>
    <w:rsid w:val="00C31FB9"/>
    <w:rsid w:val="00C32705"/>
    <w:rsid w:val="00C330BC"/>
    <w:rsid w:val="00C34916"/>
    <w:rsid w:val="00C365BD"/>
    <w:rsid w:val="00C36739"/>
    <w:rsid w:val="00C443CB"/>
    <w:rsid w:val="00C50FDF"/>
    <w:rsid w:val="00C52B48"/>
    <w:rsid w:val="00C53386"/>
    <w:rsid w:val="00C552F5"/>
    <w:rsid w:val="00C57307"/>
    <w:rsid w:val="00C619E0"/>
    <w:rsid w:val="00C627CE"/>
    <w:rsid w:val="00C701FD"/>
    <w:rsid w:val="00C70FB8"/>
    <w:rsid w:val="00C71A23"/>
    <w:rsid w:val="00C73669"/>
    <w:rsid w:val="00C810A5"/>
    <w:rsid w:val="00C86BFB"/>
    <w:rsid w:val="00CB0DC9"/>
    <w:rsid w:val="00CB1AA0"/>
    <w:rsid w:val="00CB340F"/>
    <w:rsid w:val="00CB3F0F"/>
    <w:rsid w:val="00CC2122"/>
    <w:rsid w:val="00CC3728"/>
    <w:rsid w:val="00CC4D17"/>
    <w:rsid w:val="00CD025F"/>
    <w:rsid w:val="00CD632A"/>
    <w:rsid w:val="00CE1385"/>
    <w:rsid w:val="00CE55F7"/>
    <w:rsid w:val="00CE6D42"/>
    <w:rsid w:val="00CE7B88"/>
    <w:rsid w:val="00D0121C"/>
    <w:rsid w:val="00D05758"/>
    <w:rsid w:val="00D13908"/>
    <w:rsid w:val="00D175FB"/>
    <w:rsid w:val="00D22511"/>
    <w:rsid w:val="00D33725"/>
    <w:rsid w:val="00D33F1D"/>
    <w:rsid w:val="00D3458E"/>
    <w:rsid w:val="00D405CC"/>
    <w:rsid w:val="00D41337"/>
    <w:rsid w:val="00D46FB9"/>
    <w:rsid w:val="00D475D7"/>
    <w:rsid w:val="00D50CCE"/>
    <w:rsid w:val="00D71446"/>
    <w:rsid w:val="00D73322"/>
    <w:rsid w:val="00D756A0"/>
    <w:rsid w:val="00D911B4"/>
    <w:rsid w:val="00D92A50"/>
    <w:rsid w:val="00D93502"/>
    <w:rsid w:val="00D94AE9"/>
    <w:rsid w:val="00DA56F8"/>
    <w:rsid w:val="00DA60C5"/>
    <w:rsid w:val="00DB196B"/>
    <w:rsid w:val="00DB1EF1"/>
    <w:rsid w:val="00DB3E59"/>
    <w:rsid w:val="00DB607C"/>
    <w:rsid w:val="00DB6B6C"/>
    <w:rsid w:val="00DB7473"/>
    <w:rsid w:val="00DD482B"/>
    <w:rsid w:val="00DE2E69"/>
    <w:rsid w:val="00DE5C8F"/>
    <w:rsid w:val="00DE6169"/>
    <w:rsid w:val="00E030D1"/>
    <w:rsid w:val="00E0479B"/>
    <w:rsid w:val="00E06F16"/>
    <w:rsid w:val="00E078DF"/>
    <w:rsid w:val="00E1036E"/>
    <w:rsid w:val="00E20C34"/>
    <w:rsid w:val="00E21942"/>
    <w:rsid w:val="00E23B64"/>
    <w:rsid w:val="00E31DF3"/>
    <w:rsid w:val="00E36819"/>
    <w:rsid w:val="00E37B81"/>
    <w:rsid w:val="00E40563"/>
    <w:rsid w:val="00E41D48"/>
    <w:rsid w:val="00E41DEC"/>
    <w:rsid w:val="00E44885"/>
    <w:rsid w:val="00E63823"/>
    <w:rsid w:val="00E6590F"/>
    <w:rsid w:val="00E710C0"/>
    <w:rsid w:val="00E7150F"/>
    <w:rsid w:val="00E72214"/>
    <w:rsid w:val="00E77648"/>
    <w:rsid w:val="00E81487"/>
    <w:rsid w:val="00E861A3"/>
    <w:rsid w:val="00E875E9"/>
    <w:rsid w:val="00E95A98"/>
    <w:rsid w:val="00E9705F"/>
    <w:rsid w:val="00EA40C2"/>
    <w:rsid w:val="00EA5CD6"/>
    <w:rsid w:val="00EA70E6"/>
    <w:rsid w:val="00EA790F"/>
    <w:rsid w:val="00EC4159"/>
    <w:rsid w:val="00EC7C58"/>
    <w:rsid w:val="00EE1D44"/>
    <w:rsid w:val="00EE24AA"/>
    <w:rsid w:val="00EE4210"/>
    <w:rsid w:val="00EF6B18"/>
    <w:rsid w:val="00F046EB"/>
    <w:rsid w:val="00F05395"/>
    <w:rsid w:val="00F0706D"/>
    <w:rsid w:val="00F114E4"/>
    <w:rsid w:val="00F11C60"/>
    <w:rsid w:val="00F140F4"/>
    <w:rsid w:val="00F20A25"/>
    <w:rsid w:val="00F440A4"/>
    <w:rsid w:val="00F4411B"/>
    <w:rsid w:val="00F54257"/>
    <w:rsid w:val="00F544C4"/>
    <w:rsid w:val="00F7126A"/>
    <w:rsid w:val="00F73374"/>
    <w:rsid w:val="00F73A94"/>
    <w:rsid w:val="00FB1542"/>
    <w:rsid w:val="00FB28B6"/>
    <w:rsid w:val="00FB780A"/>
    <w:rsid w:val="00FC02B1"/>
    <w:rsid w:val="00FC10B8"/>
    <w:rsid w:val="00FC3B86"/>
    <w:rsid w:val="00FC5114"/>
    <w:rsid w:val="00FD648B"/>
    <w:rsid w:val="00FF35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27BA"/>
  <w15:chartTrackingRefBased/>
  <w15:docId w15:val="{01062340-953C-4416-87C3-EA5976B0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3BFB"/>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90C1D"/>
    <w:rPr>
      <w:b/>
      <w:bCs/>
    </w:rPr>
  </w:style>
  <w:style w:type="paragraph" w:customStyle="1" w:styleId="Style6">
    <w:name w:val="Style6"/>
    <w:basedOn w:val="Normalny"/>
    <w:uiPriority w:val="99"/>
    <w:rsid w:val="009765CF"/>
    <w:pPr>
      <w:widowControl w:val="0"/>
      <w:autoSpaceDE w:val="0"/>
      <w:autoSpaceDN w:val="0"/>
      <w:adjustRightInd w:val="0"/>
      <w:spacing w:after="0" w:line="413" w:lineRule="exact"/>
      <w:ind w:firstLine="698"/>
    </w:pPr>
    <w:rPr>
      <w:rFonts w:ascii="Times New Roman" w:eastAsiaTheme="minorEastAsia" w:hAnsi="Times New Roman" w:cs="Times New Roman"/>
      <w:sz w:val="24"/>
      <w:szCs w:val="24"/>
      <w:lang w:eastAsia="pl-PL"/>
      <w14:ligatures w14:val="standardContextual"/>
    </w:rPr>
  </w:style>
  <w:style w:type="paragraph" w:customStyle="1" w:styleId="Style14">
    <w:name w:val="Style14"/>
    <w:basedOn w:val="Normalny"/>
    <w:uiPriority w:val="99"/>
    <w:rsid w:val="009765CF"/>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14:ligatures w14:val="standardContextual"/>
    </w:rPr>
  </w:style>
  <w:style w:type="character" w:customStyle="1" w:styleId="FontStyle29">
    <w:name w:val="Font Style29"/>
    <w:basedOn w:val="Domylnaczcionkaakapitu"/>
    <w:uiPriority w:val="99"/>
    <w:rsid w:val="009765CF"/>
    <w:rPr>
      <w:rFonts w:ascii="Times New Roman" w:hAnsi="Times New Roman" w:cs="Times New Roman"/>
      <w:b/>
      <w:bCs/>
      <w:sz w:val="20"/>
      <w:szCs w:val="20"/>
    </w:rPr>
  </w:style>
  <w:style w:type="character" w:customStyle="1" w:styleId="FontStyle30">
    <w:name w:val="Font Style30"/>
    <w:basedOn w:val="Domylnaczcionkaakapitu"/>
    <w:uiPriority w:val="99"/>
    <w:rsid w:val="009765CF"/>
    <w:rPr>
      <w:rFonts w:ascii="Times New Roman" w:hAnsi="Times New Roman" w:cs="Times New Roman"/>
      <w:sz w:val="20"/>
      <w:szCs w:val="20"/>
    </w:rPr>
  </w:style>
  <w:style w:type="paragraph" w:customStyle="1" w:styleId="Style16">
    <w:name w:val="Style16"/>
    <w:basedOn w:val="Normalny"/>
    <w:uiPriority w:val="99"/>
    <w:rsid w:val="009765CF"/>
    <w:pPr>
      <w:widowControl w:val="0"/>
      <w:autoSpaceDE w:val="0"/>
      <w:autoSpaceDN w:val="0"/>
      <w:adjustRightInd w:val="0"/>
      <w:spacing w:after="0" w:line="410" w:lineRule="exact"/>
      <w:ind w:firstLine="706"/>
      <w:jc w:val="both"/>
    </w:pPr>
    <w:rPr>
      <w:rFonts w:ascii="Times New Roman" w:eastAsiaTheme="minorEastAsia" w:hAnsi="Times New Roman" w:cs="Times New Roman"/>
      <w:sz w:val="24"/>
      <w:szCs w:val="24"/>
      <w:lang w:eastAsia="pl-PL"/>
      <w14:ligatures w14:val="standardContextual"/>
    </w:rPr>
  </w:style>
  <w:style w:type="character" w:customStyle="1" w:styleId="FontStyle26">
    <w:name w:val="Font Style26"/>
    <w:basedOn w:val="Domylnaczcionkaakapitu"/>
    <w:uiPriority w:val="99"/>
    <w:rsid w:val="009765CF"/>
    <w:rPr>
      <w:rFonts w:ascii="Times New Roman" w:hAnsi="Times New Roman" w:cs="Times New Roman"/>
      <w:sz w:val="20"/>
      <w:szCs w:val="20"/>
    </w:rPr>
  </w:style>
  <w:style w:type="character" w:customStyle="1" w:styleId="FontStyle28">
    <w:name w:val="Font Style28"/>
    <w:basedOn w:val="Domylnaczcionkaakapitu"/>
    <w:uiPriority w:val="99"/>
    <w:rsid w:val="009765CF"/>
    <w:rPr>
      <w:rFonts w:ascii="Times New Roman" w:hAnsi="Times New Roman" w:cs="Times New Roman"/>
      <w:sz w:val="20"/>
      <w:szCs w:val="20"/>
    </w:rPr>
  </w:style>
  <w:style w:type="paragraph" w:customStyle="1" w:styleId="Style9">
    <w:name w:val="Style9"/>
    <w:basedOn w:val="Normalny"/>
    <w:uiPriority w:val="99"/>
    <w:rsid w:val="00DB7473"/>
    <w:pPr>
      <w:widowControl w:val="0"/>
      <w:autoSpaceDE w:val="0"/>
      <w:autoSpaceDN w:val="0"/>
      <w:adjustRightInd w:val="0"/>
      <w:spacing w:after="0" w:line="415" w:lineRule="exact"/>
      <w:ind w:firstLine="698"/>
      <w:jc w:val="both"/>
    </w:pPr>
    <w:rPr>
      <w:rFonts w:ascii="Times New Roman" w:eastAsiaTheme="minorEastAsia" w:hAnsi="Times New Roman" w:cs="Times New Roman"/>
      <w:sz w:val="24"/>
      <w:szCs w:val="24"/>
      <w:lang w:eastAsia="pl-PL"/>
      <w14:ligatures w14:val="standardContextual"/>
    </w:rPr>
  </w:style>
  <w:style w:type="character" w:customStyle="1" w:styleId="FontStyle25">
    <w:name w:val="Font Style25"/>
    <w:basedOn w:val="Domylnaczcionkaakapitu"/>
    <w:uiPriority w:val="99"/>
    <w:rsid w:val="00DB7473"/>
    <w:rPr>
      <w:rFonts w:ascii="Times New Roman" w:hAnsi="Times New Roman" w:cs="Times New Roman"/>
      <w:i/>
      <w:iCs/>
      <w:sz w:val="20"/>
      <w:szCs w:val="20"/>
    </w:rPr>
  </w:style>
  <w:style w:type="paragraph" w:styleId="NormalnyWeb">
    <w:name w:val="Normal (Web)"/>
    <w:basedOn w:val="Normalny"/>
    <w:uiPriority w:val="99"/>
    <w:unhideWhenUsed/>
    <w:rsid w:val="00E710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544D40"/>
    <w:pPr>
      <w:widowControl w:val="0"/>
      <w:autoSpaceDE w:val="0"/>
      <w:autoSpaceDN w:val="0"/>
      <w:adjustRightInd w:val="0"/>
      <w:spacing w:after="0" w:line="346" w:lineRule="exact"/>
      <w:ind w:firstLine="684"/>
      <w:jc w:val="both"/>
    </w:pPr>
    <w:rPr>
      <w:rFonts w:ascii="Times New Roman" w:eastAsiaTheme="minorEastAsia" w:hAnsi="Times New Roman" w:cs="Times New Roman"/>
      <w:sz w:val="24"/>
      <w:szCs w:val="24"/>
      <w:lang w:eastAsia="pl-PL"/>
      <w14:ligatures w14:val="standardContextual"/>
    </w:rPr>
  </w:style>
  <w:style w:type="character" w:customStyle="1" w:styleId="FontStyle17">
    <w:name w:val="Font Style17"/>
    <w:basedOn w:val="Domylnaczcionkaakapitu"/>
    <w:uiPriority w:val="99"/>
    <w:rsid w:val="00544D40"/>
    <w:rPr>
      <w:rFonts w:ascii="Times New Roman" w:hAnsi="Times New Roman" w:cs="Times New Roman"/>
      <w:b/>
      <w:bCs/>
      <w:sz w:val="24"/>
      <w:szCs w:val="24"/>
    </w:rPr>
  </w:style>
  <w:style w:type="paragraph" w:customStyle="1" w:styleId="Style7">
    <w:name w:val="Style7"/>
    <w:basedOn w:val="Normalny"/>
    <w:uiPriority w:val="99"/>
    <w:rsid w:val="00206E10"/>
    <w:pPr>
      <w:widowControl w:val="0"/>
      <w:autoSpaceDE w:val="0"/>
      <w:autoSpaceDN w:val="0"/>
      <w:adjustRightInd w:val="0"/>
      <w:spacing w:after="0" w:line="302" w:lineRule="exact"/>
      <w:jc w:val="both"/>
    </w:pPr>
    <w:rPr>
      <w:rFonts w:ascii="Times New Roman" w:eastAsiaTheme="minorEastAsia" w:hAnsi="Times New Roman" w:cs="Times New Roman"/>
      <w:sz w:val="24"/>
      <w:szCs w:val="24"/>
      <w:lang w:eastAsia="pl-PL"/>
      <w14:ligatures w14:val="standardContextual"/>
    </w:rPr>
  </w:style>
  <w:style w:type="character" w:customStyle="1" w:styleId="FontStyle27">
    <w:name w:val="Font Style27"/>
    <w:basedOn w:val="Domylnaczcionkaakapitu"/>
    <w:uiPriority w:val="99"/>
    <w:rsid w:val="00206E10"/>
    <w:rPr>
      <w:rFonts w:ascii="Times New Roman" w:hAnsi="Times New Roman" w:cs="Times New Roman"/>
      <w:i/>
      <w:iCs/>
      <w:sz w:val="24"/>
      <w:szCs w:val="24"/>
    </w:rPr>
  </w:style>
  <w:style w:type="paragraph" w:customStyle="1" w:styleId="Style18">
    <w:name w:val="Style18"/>
    <w:basedOn w:val="Normalny"/>
    <w:uiPriority w:val="99"/>
    <w:rsid w:val="007F1D9A"/>
    <w:pPr>
      <w:widowControl w:val="0"/>
      <w:autoSpaceDE w:val="0"/>
      <w:autoSpaceDN w:val="0"/>
      <w:adjustRightInd w:val="0"/>
      <w:spacing w:after="0" w:line="331" w:lineRule="exact"/>
      <w:jc w:val="both"/>
    </w:pPr>
    <w:rPr>
      <w:rFonts w:ascii="Times New Roman" w:eastAsiaTheme="minorEastAsia" w:hAnsi="Times New Roman" w:cs="Times New Roman"/>
      <w:sz w:val="24"/>
      <w:szCs w:val="24"/>
      <w:lang w:eastAsia="pl-PL"/>
      <w14:ligatures w14:val="standardContextual"/>
    </w:rPr>
  </w:style>
  <w:style w:type="character" w:customStyle="1" w:styleId="FontStyle36">
    <w:name w:val="Font Style36"/>
    <w:basedOn w:val="Domylnaczcionkaakapitu"/>
    <w:uiPriority w:val="99"/>
    <w:rsid w:val="007F1D9A"/>
    <w:rPr>
      <w:rFonts w:ascii="Tahoma" w:hAnsi="Tahoma" w:cs="Tahoma"/>
      <w:i/>
      <w:iCs/>
      <w:sz w:val="22"/>
      <w:szCs w:val="22"/>
    </w:rPr>
  </w:style>
  <w:style w:type="character" w:customStyle="1" w:styleId="FontStyle37">
    <w:name w:val="Font Style37"/>
    <w:basedOn w:val="Domylnaczcionkaakapitu"/>
    <w:uiPriority w:val="99"/>
    <w:rsid w:val="007F1D9A"/>
    <w:rPr>
      <w:rFonts w:ascii="Tahoma" w:hAnsi="Tahoma" w:cs="Tahoma"/>
      <w:sz w:val="22"/>
      <w:szCs w:val="22"/>
    </w:rPr>
  </w:style>
  <w:style w:type="character" w:customStyle="1" w:styleId="FontStyle41">
    <w:name w:val="Font Style41"/>
    <w:basedOn w:val="Domylnaczcionkaakapitu"/>
    <w:uiPriority w:val="99"/>
    <w:rsid w:val="00995799"/>
    <w:rPr>
      <w:rFonts w:ascii="Times New Roman" w:hAnsi="Times New Roman" w:cs="Times New Roman"/>
      <w:sz w:val="26"/>
      <w:szCs w:val="26"/>
    </w:rPr>
  </w:style>
  <w:style w:type="paragraph" w:customStyle="1" w:styleId="Style25">
    <w:name w:val="Style25"/>
    <w:basedOn w:val="Normalny"/>
    <w:uiPriority w:val="99"/>
    <w:rsid w:val="00995799"/>
    <w:pPr>
      <w:widowControl w:val="0"/>
      <w:autoSpaceDE w:val="0"/>
      <w:autoSpaceDN w:val="0"/>
      <w:adjustRightInd w:val="0"/>
      <w:spacing w:after="0" w:line="269" w:lineRule="exact"/>
      <w:jc w:val="both"/>
    </w:pPr>
    <w:rPr>
      <w:rFonts w:ascii="Times New Roman" w:eastAsiaTheme="minorEastAsia" w:hAnsi="Times New Roman" w:cs="Times New Roman"/>
      <w:sz w:val="24"/>
      <w:szCs w:val="24"/>
      <w:lang w:eastAsia="pl-PL"/>
      <w14:ligatures w14:val="standardContextual"/>
    </w:rPr>
  </w:style>
  <w:style w:type="character" w:customStyle="1" w:styleId="FontStyle32">
    <w:name w:val="Font Style32"/>
    <w:basedOn w:val="Domylnaczcionkaakapitu"/>
    <w:uiPriority w:val="99"/>
    <w:rsid w:val="00995799"/>
    <w:rPr>
      <w:rFonts w:ascii="Times New Roman" w:hAnsi="Times New Roman" w:cs="Times New Roman"/>
      <w:sz w:val="24"/>
      <w:szCs w:val="24"/>
    </w:rPr>
  </w:style>
  <w:style w:type="character" w:customStyle="1" w:styleId="articletitle">
    <w:name w:val="articletitle"/>
    <w:basedOn w:val="Domylnaczcionkaakapitu"/>
    <w:rsid w:val="0049595D"/>
  </w:style>
  <w:style w:type="paragraph" w:customStyle="1" w:styleId="parinner">
    <w:name w:val="parinner"/>
    <w:basedOn w:val="Normalny"/>
    <w:rsid w:val="004959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63EFA"/>
    <w:rPr>
      <w:i/>
      <w:iCs/>
    </w:rPr>
  </w:style>
  <w:style w:type="paragraph" w:styleId="Tekstprzypisudolnego">
    <w:name w:val="footnote text"/>
    <w:basedOn w:val="Normalny"/>
    <w:link w:val="TekstprzypisudolnegoZnak"/>
    <w:uiPriority w:val="99"/>
    <w:qFormat/>
    <w:rsid w:val="009D3E31"/>
    <w:pPr>
      <w:widowControl w:val="0"/>
      <w:autoSpaceDE w:val="0"/>
      <w:autoSpaceDN w:val="0"/>
      <w:adjustRightInd w:val="0"/>
      <w:spacing w:after="0" w:line="360" w:lineRule="auto"/>
    </w:pPr>
    <w:rPr>
      <w:rFonts w:ascii="Times" w:eastAsia="Times New Roman" w:hAnsi="Times" w:cs="Times New Roman"/>
      <w:sz w:val="24"/>
      <w:szCs w:val="24"/>
      <w:lang w:eastAsia="pl-PL"/>
    </w:rPr>
  </w:style>
  <w:style w:type="character" w:customStyle="1" w:styleId="TekstprzypisudolnegoZnak">
    <w:name w:val="Tekst przypisu dolnego Znak"/>
    <w:basedOn w:val="Domylnaczcionkaakapitu"/>
    <w:link w:val="Tekstprzypisudolnego"/>
    <w:uiPriority w:val="99"/>
    <w:rsid w:val="009D3E31"/>
    <w:rPr>
      <w:rFonts w:ascii="Times" w:eastAsia="Times New Roman" w:hAnsi="Times" w:cs="Times New Roman"/>
      <w:kern w:val="0"/>
      <w:sz w:val="24"/>
      <w:szCs w:val="24"/>
      <w:lang w:eastAsia="pl-PL"/>
      <w14:ligatures w14:val="none"/>
    </w:rPr>
  </w:style>
  <w:style w:type="character" w:customStyle="1" w:styleId="apple-converted-space">
    <w:name w:val="apple-converted-space"/>
    <w:rsid w:val="009D3E31"/>
  </w:style>
  <w:style w:type="character" w:customStyle="1" w:styleId="OdwoanieprzypisudolnegoFootnoteReferneceFootnoteReferenceNumber">
    <w:name w:val="Odwołanie przypisu dolnego;Footnote Refernece;Footnote Reference Number"/>
    <w:basedOn w:val="apple-converted-space"/>
    <w:rsid w:val="009D3E31"/>
    <w:rPr>
      <w:vertAlign w:val="superscript"/>
    </w:rPr>
  </w:style>
  <w:style w:type="character" w:styleId="Hipercze">
    <w:name w:val="Hyperlink"/>
    <w:basedOn w:val="Domylnaczcionkaakapitu"/>
    <w:uiPriority w:val="99"/>
    <w:unhideWhenUsed/>
    <w:rsid w:val="009D3E31"/>
    <w:rPr>
      <w:color w:val="0563C1" w:themeColor="hyperlink"/>
      <w:u w:val="single"/>
    </w:rPr>
  </w:style>
  <w:style w:type="paragraph" w:customStyle="1" w:styleId="NIEARTTEKSTtekstnieartykuowanynppodstprawnarozplubpreambua">
    <w:name w:val="NIEART_TEKST – tekst nieartykułowany (np. podst. prawna rozp. lub preambuła)"/>
    <w:basedOn w:val="Normalny"/>
    <w:next w:val="Normalny"/>
    <w:uiPriority w:val="7"/>
    <w:qFormat/>
    <w:rsid w:val="00011F46"/>
    <w:pPr>
      <w:suppressAutoHyphens/>
      <w:autoSpaceDE w:val="0"/>
      <w:autoSpaceDN w:val="0"/>
      <w:adjustRightInd w:val="0"/>
      <w:spacing w:before="120"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basedOn w:val="Domylnaczcionkaakapitu"/>
    <w:uiPriority w:val="99"/>
    <w:semiHidden/>
    <w:unhideWhenUsed/>
    <w:rsid w:val="0069008F"/>
    <w:rPr>
      <w:vertAlign w:val="superscript"/>
    </w:rPr>
  </w:style>
  <w:style w:type="paragraph" w:styleId="Nagwek">
    <w:name w:val="header"/>
    <w:basedOn w:val="Normalny"/>
    <w:link w:val="NagwekZnak"/>
    <w:uiPriority w:val="99"/>
    <w:unhideWhenUsed/>
    <w:rsid w:val="00467F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7F87"/>
    <w:rPr>
      <w:kern w:val="0"/>
      <w14:ligatures w14:val="none"/>
    </w:rPr>
  </w:style>
  <w:style w:type="paragraph" w:styleId="Stopka">
    <w:name w:val="footer"/>
    <w:basedOn w:val="Normalny"/>
    <w:link w:val="StopkaZnak"/>
    <w:uiPriority w:val="99"/>
    <w:unhideWhenUsed/>
    <w:rsid w:val="00467F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7F87"/>
    <w:rPr>
      <w:kern w:val="0"/>
      <w14:ligatures w14:val="none"/>
    </w:rPr>
  </w:style>
  <w:style w:type="character" w:customStyle="1" w:styleId="Bodytext1">
    <w:name w:val="Body text|1_"/>
    <w:basedOn w:val="Domylnaczcionkaakapitu"/>
    <w:link w:val="Bodytext10"/>
    <w:rsid w:val="009925F3"/>
    <w:rPr>
      <w:rFonts w:ascii="Arial" w:eastAsia="Arial" w:hAnsi="Arial" w:cs="Arial"/>
    </w:rPr>
  </w:style>
  <w:style w:type="paragraph" w:customStyle="1" w:styleId="Bodytext10">
    <w:name w:val="Body text|1"/>
    <w:basedOn w:val="Normalny"/>
    <w:link w:val="Bodytext1"/>
    <w:rsid w:val="009925F3"/>
    <w:pPr>
      <w:widowControl w:val="0"/>
      <w:spacing w:after="60" w:line="319" w:lineRule="auto"/>
      <w:ind w:firstLine="20"/>
    </w:pPr>
    <w:rPr>
      <w:rFonts w:ascii="Arial" w:eastAsia="Arial" w:hAnsi="Arial" w:cs="Arial"/>
      <w:kern w:val="2"/>
      <w14:ligatures w14:val="standardContextual"/>
    </w:rPr>
  </w:style>
  <w:style w:type="paragraph" w:styleId="Akapitzlist">
    <w:name w:val="List Paragraph"/>
    <w:basedOn w:val="Normalny"/>
    <w:qFormat/>
    <w:rsid w:val="00CB340F"/>
    <w:pPr>
      <w:spacing w:after="0" w:line="240" w:lineRule="auto"/>
      <w:ind w:left="720"/>
      <w:contextualSpacing/>
    </w:pPr>
    <w:rPr>
      <w:rFonts w:eastAsiaTheme="minorEastAsia"/>
      <w:sz w:val="24"/>
      <w:szCs w:val="24"/>
      <w:lang w:eastAsia="ja-JP"/>
    </w:rPr>
  </w:style>
  <w:style w:type="paragraph" w:customStyle="1" w:styleId="StyleLeft">
    <w:name w:val="Style Left"/>
    <w:basedOn w:val="Normalny"/>
    <w:rsid w:val="004B2848"/>
    <w:pPr>
      <w:spacing w:after="240" w:line="240" w:lineRule="auto"/>
      <w:textboxTightWrap w:val="firstAndLastLine"/>
    </w:pPr>
    <w:rPr>
      <w:rFonts w:ascii="Times New Roman" w:eastAsia="Times New Roman" w:hAnsi="Times New Roman" w:cs="Times New Roman"/>
      <w:sz w:val="24"/>
      <w:szCs w:val="24"/>
      <w:lang w:eastAsia="fr-BE"/>
    </w:rPr>
  </w:style>
  <w:style w:type="paragraph" w:styleId="Poprawka">
    <w:name w:val="Revision"/>
    <w:hidden/>
    <w:uiPriority w:val="99"/>
    <w:semiHidden/>
    <w:rsid w:val="00062D14"/>
    <w:pPr>
      <w:spacing w:after="0" w:line="240" w:lineRule="auto"/>
    </w:pPr>
    <w:rPr>
      <w:kern w:val="0"/>
      <w14:ligatures w14:val="none"/>
    </w:rPr>
  </w:style>
  <w:style w:type="character" w:styleId="Odwoaniedokomentarza">
    <w:name w:val="annotation reference"/>
    <w:basedOn w:val="Domylnaczcionkaakapitu"/>
    <w:uiPriority w:val="99"/>
    <w:semiHidden/>
    <w:unhideWhenUsed/>
    <w:rsid w:val="00F54257"/>
    <w:rPr>
      <w:sz w:val="16"/>
      <w:szCs w:val="16"/>
    </w:rPr>
  </w:style>
  <w:style w:type="paragraph" w:styleId="Tekstkomentarza">
    <w:name w:val="annotation text"/>
    <w:basedOn w:val="Normalny"/>
    <w:link w:val="TekstkomentarzaZnak"/>
    <w:uiPriority w:val="99"/>
    <w:unhideWhenUsed/>
    <w:rsid w:val="00F54257"/>
    <w:pPr>
      <w:spacing w:line="240" w:lineRule="auto"/>
    </w:pPr>
    <w:rPr>
      <w:sz w:val="20"/>
      <w:szCs w:val="20"/>
    </w:rPr>
  </w:style>
  <w:style w:type="character" w:customStyle="1" w:styleId="TekstkomentarzaZnak">
    <w:name w:val="Tekst komentarza Znak"/>
    <w:basedOn w:val="Domylnaczcionkaakapitu"/>
    <w:link w:val="Tekstkomentarza"/>
    <w:uiPriority w:val="99"/>
    <w:rsid w:val="00F54257"/>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54257"/>
    <w:rPr>
      <w:b/>
      <w:bCs/>
    </w:rPr>
  </w:style>
  <w:style w:type="character" w:customStyle="1" w:styleId="TematkomentarzaZnak">
    <w:name w:val="Temat komentarza Znak"/>
    <w:basedOn w:val="TekstkomentarzaZnak"/>
    <w:link w:val="Tematkomentarza"/>
    <w:uiPriority w:val="99"/>
    <w:semiHidden/>
    <w:rsid w:val="00F54257"/>
    <w:rPr>
      <w:b/>
      <w:bCs/>
      <w:kern w:val="0"/>
      <w:sz w:val="20"/>
      <w:szCs w:val="20"/>
      <w14:ligatures w14:val="none"/>
    </w:rPr>
  </w:style>
  <w:style w:type="paragraph" w:customStyle="1" w:styleId="ARTartustawynprozporzdzenia">
    <w:name w:val="ART(§) – art. ustawy (§ np. rozporządzenia)"/>
    <w:uiPriority w:val="11"/>
    <w:qFormat/>
    <w:rsid w:val="001E630B"/>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character" w:customStyle="1" w:styleId="Kkursywa">
    <w:name w:val="_K_ – kursywa"/>
    <w:basedOn w:val="Domylnaczcionkaakapitu"/>
    <w:uiPriority w:val="1"/>
    <w:qFormat/>
    <w:rsid w:val="001E630B"/>
    <w:rPr>
      <w:i/>
    </w:rPr>
  </w:style>
  <w:style w:type="character" w:customStyle="1" w:styleId="highlight">
    <w:name w:val="highlight"/>
    <w:basedOn w:val="Domylnaczcionkaakapitu"/>
    <w:rsid w:val="00411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552845">
      <w:bodyDiv w:val="1"/>
      <w:marLeft w:val="0"/>
      <w:marRight w:val="0"/>
      <w:marTop w:val="0"/>
      <w:marBottom w:val="0"/>
      <w:divBdr>
        <w:top w:val="none" w:sz="0" w:space="0" w:color="auto"/>
        <w:left w:val="none" w:sz="0" w:space="0" w:color="auto"/>
        <w:bottom w:val="none" w:sz="0" w:space="0" w:color="auto"/>
        <w:right w:val="none" w:sz="0" w:space="0" w:color="auto"/>
      </w:divBdr>
    </w:div>
    <w:div w:id="300157178">
      <w:bodyDiv w:val="1"/>
      <w:marLeft w:val="0"/>
      <w:marRight w:val="0"/>
      <w:marTop w:val="0"/>
      <w:marBottom w:val="0"/>
      <w:divBdr>
        <w:top w:val="none" w:sz="0" w:space="0" w:color="auto"/>
        <w:left w:val="none" w:sz="0" w:space="0" w:color="auto"/>
        <w:bottom w:val="none" w:sz="0" w:space="0" w:color="auto"/>
        <w:right w:val="none" w:sz="0" w:space="0" w:color="auto"/>
      </w:divBdr>
      <w:divsChild>
        <w:div w:id="1236015316">
          <w:marLeft w:val="0"/>
          <w:marRight w:val="0"/>
          <w:marTop w:val="105"/>
          <w:marBottom w:val="0"/>
          <w:divBdr>
            <w:top w:val="none" w:sz="0" w:space="0" w:color="auto"/>
            <w:left w:val="none" w:sz="0" w:space="0" w:color="auto"/>
            <w:bottom w:val="none" w:sz="0" w:space="0" w:color="auto"/>
            <w:right w:val="none" w:sz="0" w:space="0" w:color="auto"/>
          </w:divBdr>
        </w:div>
      </w:divsChild>
    </w:div>
    <w:div w:id="577246512">
      <w:bodyDiv w:val="1"/>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150"/>
          <w:marBottom w:val="168"/>
          <w:divBdr>
            <w:top w:val="none" w:sz="0" w:space="0" w:color="auto"/>
            <w:left w:val="none" w:sz="0" w:space="0" w:color="auto"/>
            <w:bottom w:val="none" w:sz="0" w:space="0" w:color="auto"/>
            <w:right w:val="none" w:sz="0" w:space="0" w:color="auto"/>
          </w:divBdr>
        </w:div>
        <w:div w:id="1248345000">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105"/>
              <w:marBottom w:val="0"/>
              <w:divBdr>
                <w:top w:val="none" w:sz="0" w:space="0" w:color="auto"/>
                <w:left w:val="none" w:sz="0" w:space="0" w:color="auto"/>
                <w:bottom w:val="none" w:sz="0" w:space="0" w:color="auto"/>
                <w:right w:val="none" w:sz="0" w:space="0" w:color="auto"/>
              </w:divBdr>
            </w:div>
          </w:divsChild>
        </w:div>
        <w:div w:id="1462337052">
          <w:marLeft w:val="0"/>
          <w:marRight w:val="0"/>
          <w:marTop w:val="0"/>
          <w:marBottom w:val="0"/>
          <w:divBdr>
            <w:top w:val="none" w:sz="0" w:space="0" w:color="auto"/>
            <w:left w:val="none" w:sz="0" w:space="0" w:color="auto"/>
            <w:bottom w:val="none" w:sz="0" w:space="0" w:color="auto"/>
            <w:right w:val="none" w:sz="0" w:space="0" w:color="auto"/>
          </w:divBdr>
          <w:divsChild>
            <w:div w:id="6419340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07957544">
      <w:bodyDiv w:val="1"/>
      <w:marLeft w:val="0"/>
      <w:marRight w:val="0"/>
      <w:marTop w:val="0"/>
      <w:marBottom w:val="0"/>
      <w:divBdr>
        <w:top w:val="none" w:sz="0" w:space="0" w:color="auto"/>
        <w:left w:val="none" w:sz="0" w:space="0" w:color="auto"/>
        <w:bottom w:val="none" w:sz="0" w:space="0" w:color="auto"/>
        <w:right w:val="none" w:sz="0" w:space="0" w:color="auto"/>
      </w:divBdr>
      <w:divsChild>
        <w:div w:id="1305085948">
          <w:marLeft w:val="0"/>
          <w:marRight w:val="0"/>
          <w:marTop w:val="105"/>
          <w:marBottom w:val="0"/>
          <w:divBdr>
            <w:top w:val="none" w:sz="0" w:space="0" w:color="auto"/>
            <w:left w:val="none" w:sz="0" w:space="0" w:color="auto"/>
            <w:bottom w:val="none" w:sz="0" w:space="0" w:color="auto"/>
            <w:right w:val="none" w:sz="0" w:space="0" w:color="auto"/>
          </w:divBdr>
        </w:div>
      </w:divsChild>
    </w:div>
    <w:div w:id="1713991034">
      <w:bodyDiv w:val="1"/>
      <w:marLeft w:val="0"/>
      <w:marRight w:val="0"/>
      <w:marTop w:val="0"/>
      <w:marBottom w:val="0"/>
      <w:divBdr>
        <w:top w:val="none" w:sz="0" w:space="0" w:color="auto"/>
        <w:left w:val="none" w:sz="0" w:space="0" w:color="auto"/>
        <w:bottom w:val="none" w:sz="0" w:space="0" w:color="auto"/>
        <w:right w:val="none" w:sz="0" w:space="0" w:color="auto"/>
      </w:divBdr>
      <w:divsChild>
        <w:div w:id="710346474">
          <w:marLeft w:val="0"/>
          <w:marRight w:val="0"/>
          <w:marTop w:val="0"/>
          <w:marBottom w:val="0"/>
          <w:divBdr>
            <w:top w:val="none" w:sz="0" w:space="0" w:color="auto"/>
            <w:left w:val="none" w:sz="0" w:space="0" w:color="auto"/>
            <w:bottom w:val="none" w:sz="0" w:space="0" w:color="auto"/>
            <w:right w:val="none" w:sz="0" w:space="0" w:color="auto"/>
          </w:divBdr>
        </w:div>
        <w:div w:id="1261451040">
          <w:marLeft w:val="0"/>
          <w:marRight w:val="0"/>
          <w:marTop w:val="0"/>
          <w:marBottom w:val="0"/>
          <w:divBdr>
            <w:top w:val="none" w:sz="0" w:space="0" w:color="auto"/>
            <w:left w:val="none" w:sz="0" w:space="0" w:color="auto"/>
            <w:bottom w:val="none" w:sz="0" w:space="0" w:color="auto"/>
            <w:right w:val="none" w:sz="0" w:space="0" w:color="auto"/>
          </w:divBdr>
        </w:div>
        <w:div w:id="1486698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2.le.ac.uk/departments/criminology/research/current-projects/hate-crime/documents-and-images/findings-and-conclusions-full-report" TargetMode="External"/><Relationship Id="rId1" Type="http://schemas.openxmlformats.org/officeDocument/2006/relationships/hyperlink" Target="http://cass.lancs.ac.uk/?p=151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B11C1-5396-453E-8B0E-4D756FAC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6643</Words>
  <Characters>39862</Characters>
  <Application>Microsoft Office Word</Application>
  <DocSecurity>4</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Kruczek Monika  (DLPK)</dc:creator>
  <cp:keywords/>
  <dc:description/>
  <cp:lastModifiedBy>Bodych Dominika</cp:lastModifiedBy>
  <cp:revision>2</cp:revision>
  <cp:lastPrinted>2024-02-07T10:37:00Z</cp:lastPrinted>
  <dcterms:created xsi:type="dcterms:W3CDTF">2024-11-27T07:20:00Z</dcterms:created>
  <dcterms:modified xsi:type="dcterms:W3CDTF">2024-11-27T07:20:00Z</dcterms:modified>
</cp:coreProperties>
</file>