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2A197" w14:textId="52EDC5B7" w:rsidR="00BE67EE" w:rsidRPr="00052A8C" w:rsidRDefault="00996CC9" w:rsidP="00BE67EE">
      <w:pPr>
        <w:spacing w:before="120" w:after="0" w:line="276" w:lineRule="auto"/>
        <w:jc w:val="center"/>
        <w:rPr>
          <w:rFonts w:ascii="Times New Roman" w:hAnsi="Times New Roman" w:cs="Times New Roman"/>
          <w:caps/>
          <w:sz w:val="24"/>
          <w:szCs w:val="24"/>
        </w:rPr>
      </w:pPr>
      <w:r w:rsidRPr="00052A8C">
        <w:rPr>
          <w:rFonts w:ascii="Times New Roman" w:hAnsi="Times New Roman" w:cs="Times New Roman"/>
          <w:caps/>
          <w:sz w:val="24"/>
          <w:szCs w:val="24"/>
        </w:rPr>
        <w:t>Uzasadnienie</w:t>
      </w:r>
    </w:p>
    <w:p w14:paraId="0DC66C71" w14:textId="6A6DC1D9" w:rsidR="00C3584E" w:rsidRPr="00AC71A2" w:rsidRDefault="001E75B5"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W niniejszym projekcie proponuje się zmiany w</w:t>
      </w:r>
      <w:r w:rsidR="00C3584E" w:rsidRPr="00AC71A2">
        <w:rPr>
          <w:rFonts w:ascii="Times New Roman" w:hAnsi="Times New Roman" w:cs="Times New Roman"/>
          <w:sz w:val="24"/>
          <w:szCs w:val="24"/>
        </w:rPr>
        <w:t>:</w:t>
      </w:r>
    </w:p>
    <w:p w14:paraId="1B71E437" w14:textId="068FB2FC" w:rsidR="004C7C87" w:rsidRPr="00AC71A2" w:rsidRDefault="001E75B5" w:rsidP="00052A8C">
      <w:pPr>
        <w:pStyle w:val="Akapitzlist"/>
        <w:numPr>
          <w:ilvl w:val="0"/>
          <w:numId w:val="1"/>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ustawie z dnia 11 marca 2004 r. o podatku od towarów i usług</w:t>
      </w:r>
      <w:r w:rsidRPr="00AC71A2">
        <w:rPr>
          <w:rStyle w:val="Odwoanieprzypisudolnego"/>
          <w:rFonts w:ascii="Times New Roman" w:hAnsi="Times New Roman" w:cs="Times New Roman"/>
          <w:sz w:val="24"/>
          <w:szCs w:val="24"/>
        </w:rPr>
        <w:footnoteReference w:id="1"/>
      </w:r>
      <w:r w:rsidR="00F07DB1">
        <w:rPr>
          <w:rFonts w:ascii="Times New Roman" w:hAnsi="Times New Roman" w:cs="Times New Roman"/>
          <w:sz w:val="24"/>
          <w:szCs w:val="24"/>
          <w:vertAlign w:val="superscript"/>
        </w:rPr>
        <w:t>)</w:t>
      </w:r>
      <w:r w:rsidRPr="00AC71A2">
        <w:rPr>
          <w:rFonts w:ascii="Times New Roman" w:hAnsi="Times New Roman" w:cs="Times New Roman"/>
          <w:sz w:val="24"/>
          <w:szCs w:val="24"/>
        </w:rPr>
        <w:t>,</w:t>
      </w:r>
    </w:p>
    <w:p w14:paraId="09873EA7" w14:textId="0EE6262D" w:rsidR="00D46CE6" w:rsidRPr="00AC71A2" w:rsidRDefault="00D46CE6" w:rsidP="00052A8C">
      <w:pPr>
        <w:pStyle w:val="Akapitzlist"/>
        <w:numPr>
          <w:ilvl w:val="0"/>
          <w:numId w:val="1"/>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ustawie z dnia 6 grudnia 2008 r. o podatku akcyzowym</w:t>
      </w:r>
      <w:r w:rsidRPr="00AC71A2">
        <w:rPr>
          <w:rStyle w:val="Odwoanieprzypisudolnego"/>
          <w:rFonts w:ascii="Times New Roman" w:hAnsi="Times New Roman" w:cs="Times New Roman"/>
          <w:sz w:val="24"/>
          <w:szCs w:val="24"/>
        </w:rPr>
        <w:footnoteReference w:id="2"/>
      </w:r>
      <w:r w:rsidR="00F07DB1">
        <w:rPr>
          <w:rFonts w:ascii="Times New Roman" w:hAnsi="Times New Roman" w:cs="Times New Roman"/>
          <w:sz w:val="24"/>
          <w:szCs w:val="24"/>
          <w:vertAlign w:val="superscript"/>
        </w:rPr>
        <w:t>)</w:t>
      </w:r>
      <w:r w:rsidRPr="00AC71A2">
        <w:rPr>
          <w:rFonts w:ascii="Times New Roman" w:hAnsi="Times New Roman" w:cs="Times New Roman"/>
          <w:sz w:val="24"/>
          <w:szCs w:val="24"/>
        </w:rPr>
        <w:t>,</w:t>
      </w:r>
    </w:p>
    <w:p w14:paraId="7BA65194" w14:textId="2DFC7ECC" w:rsidR="004872B9" w:rsidRPr="00052A8C" w:rsidRDefault="004872B9" w:rsidP="00052A8C">
      <w:pPr>
        <w:pStyle w:val="Akapitzlist"/>
        <w:numPr>
          <w:ilvl w:val="0"/>
          <w:numId w:val="1"/>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 xml:space="preserve">ustawie z dnia 29 sierpnia 1997 r. </w:t>
      </w:r>
      <w:r w:rsidR="00F215F5">
        <w:rPr>
          <w:rFonts w:ascii="Times New Roman" w:hAnsi="Times New Roman" w:cs="Times New Roman"/>
          <w:sz w:val="24"/>
          <w:szCs w:val="24"/>
        </w:rPr>
        <w:t xml:space="preserve">– </w:t>
      </w:r>
      <w:r w:rsidRPr="00052A8C">
        <w:rPr>
          <w:rFonts w:ascii="Times New Roman" w:hAnsi="Times New Roman" w:cs="Times New Roman"/>
          <w:sz w:val="24"/>
          <w:szCs w:val="24"/>
        </w:rPr>
        <w:t>Prawo bankowe</w:t>
      </w:r>
      <w:r w:rsidRPr="00AC71A2">
        <w:rPr>
          <w:rStyle w:val="Odwoanieprzypisudolnego"/>
          <w:rFonts w:ascii="Times New Roman" w:hAnsi="Times New Roman" w:cs="Times New Roman"/>
          <w:sz w:val="24"/>
          <w:szCs w:val="24"/>
        </w:rPr>
        <w:footnoteReference w:id="3"/>
      </w:r>
      <w:r w:rsidR="00F07DB1" w:rsidRPr="00052A8C">
        <w:rPr>
          <w:rFonts w:ascii="Times New Roman" w:hAnsi="Times New Roman" w:cs="Times New Roman"/>
          <w:sz w:val="24"/>
          <w:szCs w:val="24"/>
          <w:vertAlign w:val="superscript"/>
        </w:rPr>
        <w:t>)</w:t>
      </w:r>
      <w:r w:rsidRPr="00052A8C">
        <w:rPr>
          <w:rFonts w:ascii="Times New Roman" w:hAnsi="Times New Roman" w:cs="Times New Roman"/>
          <w:sz w:val="24"/>
          <w:szCs w:val="24"/>
        </w:rPr>
        <w:t>,</w:t>
      </w:r>
    </w:p>
    <w:p w14:paraId="045800BB" w14:textId="22CC91C7" w:rsidR="00DA7B49" w:rsidRPr="00052A8C" w:rsidRDefault="00127405" w:rsidP="00052A8C">
      <w:pPr>
        <w:pStyle w:val="Akapitzlist"/>
        <w:numPr>
          <w:ilvl w:val="0"/>
          <w:numId w:val="1"/>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 xml:space="preserve">ustawie z dnia 10 września 1999 r. </w:t>
      </w:r>
      <w:r w:rsidR="00980AC4">
        <w:rPr>
          <w:rFonts w:ascii="Times New Roman" w:hAnsi="Times New Roman" w:cs="Times New Roman"/>
          <w:sz w:val="24"/>
          <w:szCs w:val="24"/>
        </w:rPr>
        <w:t xml:space="preserve">– </w:t>
      </w:r>
      <w:r w:rsidRPr="00052A8C">
        <w:rPr>
          <w:rFonts w:ascii="Times New Roman" w:hAnsi="Times New Roman" w:cs="Times New Roman"/>
          <w:sz w:val="24"/>
          <w:szCs w:val="24"/>
        </w:rPr>
        <w:t>Kodeks karny skarbowy</w:t>
      </w:r>
      <w:r w:rsidRPr="00AC71A2">
        <w:rPr>
          <w:rStyle w:val="Odwoanieprzypisudolnego"/>
          <w:rFonts w:ascii="Times New Roman" w:hAnsi="Times New Roman" w:cs="Times New Roman"/>
          <w:sz w:val="24"/>
          <w:szCs w:val="24"/>
        </w:rPr>
        <w:footnoteReference w:id="4"/>
      </w:r>
      <w:r w:rsidR="00F07DB1" w:rsidRPr="00052A8C">
        <w:rPr>
          <w:rFonts w:ascii="Times New Roman" w:hAnsi="Times New Roman" w:cs="Times New Roman"/>
          <w:sz w:val="24"/>
          <w:szCs w:val="24"/>
          <w:vertAlign w:val="superscript"/>
        </w:rPr>
        <w:t>)</w:t>
      </w:r>
      <w:r w:rsidR="004872B9" w:rsidRPr="00052A8C">
        <w:rPr>
          <w:rFonts w:ascii="Times New Roman" w:hAnsi="Times New Roman" w:cs="Times New Roman"/>
          <w:sz w:val="24"/>
          <w:szCs w:val="24"/>
        </w:rPr>
        <w:t>,</w:t>
      </w:r>
    </w:p>
    <w:p w14:paraId="53984944" w14:textId="51D21256" w:rsidR="00C3584E" w:rsidRPr="00AC71A2" w:rsidRDefault="00C3584E" w:rsidP="00052A8C">
      <w:pPr>
        <w:pStyle w:val="Akapitzlist"/>
        <w:numPr>
          <w:ilvl w:val="0"/>
          <w:numId w:val="1"/>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ustawie z dnia 16 listopada 2016 r. o Krajowej Administracji Skarbowej</w:t>
      </w:r>
      <w:r w:rsidRPr="00AC71A2">
        <w:rPr>
          <w:rStyle w:val="Odwoanieprzypisudolnego"/>
          <w:rFonts w:ascii="Times New Roman" w:hAnsi="Times New Roman" w:cs="Times New Roman"/>
          <w:sz w:val="24"/>
          <w:szCs w:val="24"/>
        </w:rPr>
        <w:footnoteReference w:id="5"/>
      </w:r>
      <w:r w:rsidR="00F07DB1">
        <w:rPr>
          <w:rFonts w:ascii="Times New Roman" w:hAnsi="Times New Roman" w:cs="Times New Roman"/>
          <w:sz w:val="24"/>
          <w:szCs w:val="24"/>
          <w:vertAlign w:val="superscript"/>
        </w:rPr>
        <w:t>)</w:t>
      </w:r>
      <w:r w:rsidRPr="00AC71A2">
        <w:rPr>
          <w:rFonts w:ascii="Times New Roman" w:hAnsi="Times New Roman" w:cs="Times New Roman"/>
          <w:sz w:val="24"/>
          <w:szCs w:val="24"/>
        </w:rPr>
        <w:t>,</w:t>
      </w:r>
    </w:p>
    <w:p w14:paraId="1BB76226" w14:textId="7B3A305B" w:rsidR="00AB2664" w:rsidRPr="00AC71A2" w:rsidRDefault="00C3584E" w:rsidP="00052A8C">
      <w:pPr>
        <w:pStyle w:val="Akapitzlist"/>
        <w:numPr>
          <w:ilvl w:val="0"/>
          <w:numId w:val="1"/>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ustawie z dnia 29 października 2021 r. o zmianie ustawy o podatku dochodowym od osób fizycznych, ustawy o podatku dochodowym od osób prawnych oraz niektórych innych ustaw</w:t>
      </w:r>
      <w:r w:rsidRPr="00AC71A2">
        <w:rPr>
          <w:rStyle w:val="Odwoanieprzypisudolnego"/>
          <w:rFonts w:ascii="Times New Roman" w:hAnsi="Times New Roman" w:cs="Times New Roman"/>
          <w:sz w:val="24"/>
          <w:szCs w:val="24"/>
        </w:rPr>
        <w:footnoteReference w:id="6"/>
      </w:r>
      <w:r w:rsidR="00F07DB1">
        <w:rPr>
          <w:rFonts w:ascii="Times New Roman" w:hAnsi="Times New Roman" w:cs="Times New Roman"/>
          <w:sz w:val="24"/>
          <w:szCs w:val="24"/>
          <w:vertAlign w:val="superscript"/>
        </w:rPr>
        <w:t>)</w:t>
      </w:r>
      <w:r w:rsidR="0028357E" w:rsidRPr="00AC71A2">
        <w:rPr>
          <w:rFonts w:ascii="Times New Roman" w:hAnsi="Times New Roman" w:cs="Times New Roman"/>
          <w:sz w:val="24"/>
          <w:szCs w:val="24"/>
        </w:rPr>
        <w:t>.</w:t>
      </w:r>
    </w:p>
    <w:p w14:paraId="00A8140F" w14:textId="1AA8E6CD" w:rsidR="00EA5D0A" w:rsidRPr="00AC71A2" w:rsidRDefault="00E875FD" w:rsidP="00052A8C">
      <w:pPr>
        <w:autoSpaceDE w:val="0"/>
        <w:autoSpaceDN w:val="0"/>
        <w:adjustRightInd w:val="0"/>
        <w:spacing w:before="120" w:after="0" w:line="360" w:lineRule="auto"/>
        <w:jc w:val="both"/>
        <w:rPr>
          <w:rFonts w:ascii="Times New Roman" w:eastAsia="Cambria" w:hAnsi="Times New Roman" w:cs="Times New Roman"/>
          <w:sz w:val="24"/>
          <w:szCs w:val="24"/>
        </w:rPr>
      </w:pPr>
      <w:r w:rsidRPr="00AC71A2">
        <w:rPr>
          <w:rFonts w:ascii="Times New Roman" w:eastAsia="Cambria" w:hAnsi="Times New Roman" w:cs="Times New Roman"/>
          <w:sz w:val="24"/>
          <w:szCs w:val="24"/>
        </w:rPr>
        <w:t xml:space="preserve">Przepisy przedmiotowego projektu </w:t>
      </w:r>
      <w:r w:rsidR="00EA5D0A" w:rsidRPr="00AC71A2">
        <w:rPr>
          <w:rFonts w:ascii="Times New Roman" w:eastAsia="Cambria" w:hAnsi="Times New Roman" w:cs="Times New Roman"/>
          <w:sz w:val="24"/>
          <w:szCs w:val="24"/>
        </w:rPr>
        <w:t>generalnie wprowadzają rozwiązania o charakterze doprecyzowującym, wdrażającym, czy ułatwiającym prowadzenie działalności gospodarczej – w tym zakresie również są odpowiedzią na postulaty podatników.</w:t>
      </w:r>
    </w:p>
    <w:p w14:paraId="60DBCB13" w14:textId="03164E34" w:rsidR="00E875FD" w:rsidRPr="00AC71A2" w:rsidRDefault="00EA5D0A" w:rsidP="00052A8C">
      <w:pPr>
        <w:autoSpaceDE w:val="0"/>
        <w:autoSpaceDN w:val="0"/>
        <w:adjustRightInd w:val="0"/>
        <w:spacing w:before="120" w:after="0" w:line="360" w:lineRule="auto"/>
        <w:jc w:val="both"/>
        <w:rPr>
          <w:rFonts w:ascii="Times New Roman" w:eastAsia="Cambria" w:hAnsi="Times New Roman" w:cs="Times New Roman"/>
          <w:sz w:val="24"/>
          <w:szCs w:val="24"/>
        </w:rPr>
      </w:pPr>
      <w:r w:rsidRPr="00AC71A2">
        <w:rPr>
          <w:rFonts w:ascii="Times New Roman" w:eastAsia="Cambria" w:hAnsi="Times New Roman" w:cs="Times New Roman"/>
          <w:sz w:val="24"/>
          <w:szCs w:val="24"/>
        </w:rPr>
        <w:t xml:space="preserve">Rozwiązania przewidziane w </w:t>
      </w:r>
      <w:r w:rsidR="00045330" w:rsidRPr="00AC71A2">
        <w:rPr>
          <w:rFonts w:ascii="Times New Roman" w:eastAsia="Cambria" w:hAnsi="Times New Roman" w:cs="Times New Roman"/>
          <w:sz w:val="24"/>
          <w:szCs w:val="24"/>
        </w:rPr>
        <w:t xml:space="preserve">projekcie </w:t>
      </w:r>
      <w:r w:rsidR="00E875FD" w:rsidRPr="00AC71A2">
        <w:rPr>
          <w:rFonts w:ascii="Times New Roman" w:eastAsia="Cambria" w:hAnsi="Times New Roman" w:cs="Times New Roman"/>
          <w:sz w:val="24"/>
          <w:szCs w:val="24"/>
        </w:rPr>
        <w:t>można pogrupować w następujące bloki tematyczne</w:t>
      </w:r>
      <w:r w:rsidR="00EB5491" w:rsidRPr="00AC71A2">
        <w:rPr>
          <w:rFonts w:ascii="Times New Roman" w:eastAsia="Cambria" w:hAnsi="Times New Roman" w:cs="Times New Roman"/>
          <w:sz w:val="24"/>
          <w:szCs w:val="24"/>
        </w:rPr>
        <w:t>, które przewidują następujące zmiany</w:t>
      </w:r>
      <w:r w:rsidR="00E875FD" w:rsidRPr="00AC71A2">
        <w:rPr>
          <w:rFonts w:ascii="Times New Roman" w:eastAsia="Cambria" w:hAnsi="Times New Roman" w:cs="Times New Roman"/>
          <w:sz w:val="24"/>
          <w:szCs w:val="24"/>
        </w:rPr>
        <w:t>:</w:t>
      </w:r>
    </w:p>
    <w:p w14:paraId="1515EC3B" w14:textId="6CA5D4BD" w:rsidR="0028357E" w:rsidRPr="00AC71A2" w:rsidRDefault="0028357E" w:rsidP="0072425B">
      <w:pPr>
        <w:pStyle w:val="Tekstpodstawowy"/>
        <w:numPr>
          <w:ilvl w:val="0"/>
          <w:numId w:val="7"/>
        </w:numPr>
        <w:spacing w:before="120" w:line="276" w:lineRule="auto"/>
        <w:ind w:left="426" w:hanging="284"/>
        <w:rPr>
          <w:b/>
          <w:bCs/>
          <w:sz w:val="24"/>
          <w:szCs w:val="24"/>
          <w:u w:val="single"/>
        </w:rPr>
      </w:pPr>
      <w:r w:rsidRPr="00AC71A2">
        <w:rPr>
          <w:b/>
          <w:bCs/>
          <w:sz w:val="24"/>
          <w:szCs w:val="24"/>
          <w:u w:val="single"/>
        </w:rPr>
        <w:t>Podatek od towarów i usług:</w:t>
      </w:r>
    </w:p>
    <w:p w14:paraId="128F0DED" w14:textId="0C73334B" w:rsidR="0028357E" w:rsidRPr="00AC71A2" w:rsidRDefault="00E875FD" w:rsidP="0072425B">
      <w:pPr>
        <w:pStyle w:val="Akapitzlist"/>
        <w:numPr>
          <w:ilvl w:val="0"/>
          <w:numId w:val="8"/>
        </w:numPr>
        <w:spacing w:before="120" w:after="0" w:line="276" w:lineRule="auto"/>
        <w:ind w:hanging="294"/>
        <w:contextualSpacing w:val="0"/>
        <w:jc w:val="both"/>
        <w:rPr>
          <w:rFonts w:ascii="Times New Roman" w:hAnsi="Times New Roman" w:cs="Times New Roman"/>
          <w:sz w:val="24"/>
          <w:szCs w:val="24"/>
        </w:rPr>
      </w:pPr>
      <w:r w:rsidRPr="00AC71A2">
        <w:rPr>
          <w:rFonts w:ascii="Times New Roman" w:hAnsi="Times New Roman" w:cs="Times New Roman"/>
          <w:b/>
          <w:bCs/>
          <w:sz w:val="24"/>
          <w:szCs w:val="24"/>
        </w:rPr>
        <w:t>Stawki obniżone</w:t>
      </w:r>
      <w:r w:rsidRPr="00AC71A2">
        <w:rPr>
          <w:rFonts w:ascii="Times New Roman" w:hAnsi="Times New Roman" w:cs="Times New Roman"/>
          <w:sz w:val="24"/>
          <w:szCs w:val="24"/>
        </w:rPr>
        <w:t>:</w:t>
      </w:r>
    </w:p>
    <w:p w14:paraId="5895C95F" w14:textId="3C470B39" w:rsidR="00456F37" w:rsidRPr="00AC71A2" w:rsidRDefault="004424E4" w:rsidP="00052A8C">
      <w:pPr>
        <w:pStyle w:val="Tekstpodstawowy"/>
        <w:spacing w:before="120" w:line="360" w:lineRule="auto"/>
        <w:ind w:left="709"/>
        <w:rPr>
          <w:sz w:val="24"/>
          <w:szCs w:val="24"/>
        </w:rPr>
      </w:pPr>
      <w:r w:rsidRPr="00AC71A2">
        <w:rPr>
          <w:sz w:val="24"/>
          <w:szCs w:val="24"/>
        </w:rPr>
        <w:t>D</w:t>
      </w:r>
      <w:r w:rsidR="00456F37" w:rsidRPr="00AC71A2">
        <w:rPr>
          <w:sz w:val="24"/>
          <w:szCs w:val="24"/>
        </w:rPr>
        <w:t>oprecyzowanie</w:t>
      </w:r>
      <w:r w:rsidR="00C66B6F" w:rsidRPr="00AC71A2">
        <w:rPr>
          <w:sz w:val="24"/>
          <w:szCs w:val="24"/>
        </w:rPr>
        <w:t>, dostosowanie i zmiany</w:t>
      </w:r>
      <w:r w:rsidR="00456F37" w:rsidRPr="00AC71A2">
        <w:rPr>
          <w:sz w:val="24"/>
          <w:szCs w:val="24"/>
        </w:rPr>
        <w:t xml:space="preserve"> </w:t>
      </w:r>
      <w:r w:rsidR="00F06270" w:rsidRPr="00AC71A2">
        <w:rPr>
          <w:sz w:val="24"/>
          <w:szCs w:val="24"/>
        </w:rPr>
        <w:t xml:space="preserve">regulacji </w:t>
      </w:r>
      <w:r w:rsidR="00456F37" w:rsidRPr="00AC71A2">
        <w:rPr>
          <w:sz w:val="24"/>
          <w:szCs w:val="24"/>
        </w:rPr>
        <w:t>w obszarze stawek VAT po 4 latach funkcjonowania nowej matrycy stawek VAT</w:t>
      </w:r>
      <w:r w:rsidR="002F01FF" w:rsidRPr="00AC71A2">
        <w:rPr>
          <w:sz w:val="24"/>
          <w:szCs w:val="24"/>
        </w:rPr>
        <w:t>.</w:t>
      </w:r>
    </w:p>
    <w:p w14:paraId="70DDFA9F" w14:textId="72EBB0F1" w:rsidR="00E875FD" w:rsidRPr="00AC71A2" w:rsidRDefault="00E875FD" w:rsidP="0072425B">
      <w:pPr>
        <w:pStyle w:val="Akapitzlist"/>
        <w:numPr>
          <w:ilvl w:val="0"/>
          <w:numId w:val="8"/>
        </w:numPr>
        <w:spacing w:before="120" w:after="0" w:line="276" w:lineRule="auto"/>
        <w:ind w:hanging="294"/>
        <w:contextualSpacing w:val="0"/>
        <w:jc w:val="both"/>
        <w:rPr>
          <w:rFonts w:ascii="Times New Roman" w:hAnsi="Times New Roman" w:cs="Times New Roman"/>
          <w:b/>
          <w:bCs/>
          <w:sz w:val="24"/>
          <w:szCs w:val="24"/>
        </w:rPr>
      </w:pPr>
      <w:r w:rsidRPr="00AC71A2">
        <w:rPr>
          <w:rFonts w:ascii="Times New Roman" w:hAnsi="Times New Roman" w:cs="Times New Roman"/>
          <w:b/>
          <w:bCs/>
          <w:sz w:val="24"/>
          <w:szCs w:val="24"/>
        </w:rPr>
        <w:t>Mechanizm odwrotnego obciążenia:</w:t>
      </w:r>
    </w:p>
    <w:p w14:paraId="3A7134C2" w14:textId="129928FB" w:rsidR="0028357E" w:rsidRPr="00AC71A2" w:rsidRDefault="00EA5D0A" w:rsidP="00052A8C">
      <w:pPr>
        <w:pStyle w:val="Tekstpodstawowy"/>
        <w:numPr>
          <w:ilvl w:val="0"/>
          <w:numId w:val="9"/>
        </w:numPr>
        <w:spacing w:before="120" w:line="360" w:lineRule="auto"/>
        <w:ind w:left="992" w:hanging="295"/>
        <w:rPr>
          <w:sz w:val="24"/>
          <w:szCs w:val="24"/>
        </w:rPr>
      </w:pPr>
      <w:r w:rsidRPr="00AC71A2">
        <w:rPr>
          <w:sz w:val="24"/>
          <w:szCs w:val="24"/>
        </w:rPr>
        <w:t>p</w:t>
      </w:r>
      <w:r w:rsidR="0028357E" w:rsidRPr="00AC71A2">
        <w:rPr>
          <w:sz w:val="24"/>
          <w:szCs w:val="24"/>
        </w:rPr>
        <w:t>rzedłużenie stosowania mechanizmu odwrotnego obciążenia podatkiem w</w:t>
      </w:r>
      <w:r w:rsidR="006E5BD0" w:rsidRPr="00AC71A2">
        <w:rPr>
          <w:sz w:val="24"/>
          <w:szCs w:val="24"/>
        </w:rPr>
        <w:t> </w:t>
      </w:r>
      <w:r w:rsidR="0028357E" w:rsidRPr="00AC71A2">
        <w:rPr>
          <w:sz w:val="24"/>
          <w:szCs w:val="24"/>
        </w:rPr>
        <w:t>odniesieniu do gazu w systemie gazowym, energii elektrycznej w systemie elektroenergetycznym i usług w</w:t>
      </w:r>
      <w:r w:rsidR="00F07DB1">
        <w:rPr>
          <w:sz w:val="24"/>
          <w:szCs w:val="24"/>
        </w:rPr>
        <w:t xml:space="preserve"> </w:t>
      </w:r>
      <w:r w:rsidR="0028357E" w:rsidRPr="00AC71A2">
        <w:rPr>
          <w:sz w:val="24"/>
          <w:szCs w:val="24"/>
        </w:rPr>
        <w:t>zakresie przenoszenia uprawnień do emisji gazów cieplarnianych</w:t>
      </w:r>
      <w:r w:rsidR="00E875FD" w:rsidRPr="00AC71A2">
        <w:rPr>
          <w:sz w:val="24"/>
          <w:szCs w:val="24"/>
        </w:rPr>
        <w:t xml:space="preserve"> do dnia 31 grudnia 2026</w:t>
      </w:r>
      <w:r w:rsidR="00F07DB1">
        <w:rPr>
          <w:sz w:val="24"/>
          <w:szCs w:val="24"/>
        </w:rPr>
        <w:t xml:space="preserve"> </w:t>
      </w:r>
      <w:r w:rsidR="00E875FD" w:rsidRPr="00AC71A2">
        <w:rPr>
          <w:sz w:val="24"/>
          <w:szCs w:val="24"/>
        </w:rPr>
        <w:t>r.</w:t>
      </w:r>
      <w:r w:rsidR="005F3AD0" w:rsidRPr="00AC71A2">
        <w:rPr>
          <w:sz w:val="24"/>
          <w:szCs w:val="24"/>
        </w:rPr>
        <w:t>,</w:t>
      </w:r>
    </w:p>
    <w:p w14:paraId="5A9CFF84" w14:textId="18C5E145" w:rsidR="00BA1BB9" w:rsidRPr="00AC71A2" w:rsidRDefault="00EA5D0A" w:rsidP="00052A8C">
      <w:pPr>
        <w:pStyle w:val="Tekstpodstawowy"/>
        <w:numPr>
          <w:ilvl w:val="0"/>
          <w:numId w:val="9"/>
        </w:numPr>
        <w:spacing w:before="120" w:line="360" w:lineRule="auto"/>
        <w:ind w:left="993" w:hanging="296"/>
        <w:rPr>
          <w:sz w:val="24"/>
          <w:szCs w:val="24"/>
        </w:rPr>
      </w:pPr>
      <w:r w:rsidRPr="00AC71A2">
        <w:rPr>
          <w:sz w:val="24"/>
          <w:szCs w:val="24"/>
        </w:rPr>
        <w:t>d</w:t>
      </w:r>
      <w:r w:rsidR="00EB5491" w:rsidRPr="00AC71A2">
        <w:rPr>
          <w:sz w:val="24"/>
          <w:szCs w:val="24"/>
        </w:rPr>
        <w:t>oprecyzowanie przepisów</w:t>
      </w:r>
      <w:r w:rsidRPr="00AC71A2">
        <w:rPr>
          <w:sz w:val="24"/>
          <w:szCs w:val="24"/>
        </w:rPr>
        <w:t xml:space="preserve"> w tym obszarze</w:t>
      </w:r>
      <w:r w:rsidR="005F3AD0" w:rsidRPr="00AC71A2">
        <w:rPr>
          <w:sz w:val="24"/>
          <w:szCs w:val="24"/>
        </w:rPr>
        <w:t>.</w:t>
      </w:r>
      <w:bookmarkStart w:id="0" w:name="_Hlk175313413"/>
    </w:p>
    <w:p w14:paraId="40B4059E" w14:textId="77777777" w:rsidR="00805E13" w:rsidRPr="00AC71A2" w:rsidRDefault="00805E13" w:rsidP="00805E13">
      <w:pPr>
        <w:pStyle w:val="Tekstpodstawowy"/>
        <w:numPr>
          <w:ilvl w:val="0"/>
          <w:numId w:val="7"/>
        </w:numPr>
        <w:spacing w:before="120" w:line="276" w:lineRule="auto"/>
        <w:ind w:left="426" w:hanging="284"/>
        <w:rPr>
          <w:b/>
          <w:bCs/>
          <w:sz w:val="24"/>
          <w:szCs w:val="24"/>
          <w:u w:val="single"/>
        </w:rPr>
      </w:pPr>
      <w:r w:rsidRPr="00AC71A2">
        <w:rPr>
          <w:b/>
          <w:bCs/>
          <w:sz w:val="24"/>
          <w:szCs w:val="24"/>
          <w:u w:val="single"/>
        </w:rPr>
        <w:lastRenderedPageBreak/>
        <w:t>Podatek akcyzowy:</w:t>
      </w:r>
    </w:p>
    <w:p w14:paraId="6BC5B672" w14:textId="7A5FD237" w:rsidR="00CF58F1" w:rsidRPr="00AC71A2" w:rsidRDefault="00805E13" w:rsidP="00052A8C">
      <w:pPr>
        <w:numPr>
          <w:ilvl w:val="0"/>
          <w:numId w:val="9"/>
        </w:numPr>
        <w:spacing w:before="120" w:after="0" w:line="360" w:lineRule="auto"/>
        <w:ind w:left="1145" w:hanging="357"/>
        <w:jc w:val="both"/>
        <w:rPr>
          <w:rFonts w:ascii="Times New Roman" w:hAnsi="Times New Roman" w:cs="Times New Roman"/>
          <w:sz w:val="24"/>
          <w:szCs w:val="24"/>
        </w:rPr>
      </w:pPr>
      <w:r w:rsidRPr="00AC71A2">
        <w:rPr>
          <w:rFonts w:ascii="Times New Roman" w:hAnsi="Times New Roman" w:cs="Times New Roman"/>
          <w:sz w:val="24"/>
          <w:szCs w:val="24"/>
        </w:rPr>
        <w:t>wprowadzenie zwolnienia od akcyzy dla samochodów osobowych rejestrowanych profesjonalnie na terytorium kraju w celu wykonywania jazd testowych zgodnie z</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przepisami prawa o ruchu drogowym, które będą przedmiotem badań naukowych lub prac rozwojowych w ramach prowadzonej działalności badawczo-rozwojowej</w:t>
      </w:r>
      <w:r w:rsidR="000A40C4">
        <w:rPr>
          <w:rFonts w:ascii="Times New Roman" w:hAnsi="Times New Roman" w:cs="Times New Roman"/>
          <w:sz w:val="24"/>
          <w:szCs w:val="24"/>
        </w:rPr>
        <w:t>,</w:t>
      </w:r>
    </w:p>
    <w:p w14:paraId="5844FFA7" w14:textId="5EC2A1CA" w:rsidR="00805E13" w:rsidRPr="00AC71A2" w:rsidRDefault="00805E13" w:rsidP="00052A8C">
      <w:pPr>
        <w:numPr>
          <w:ilvl w:val="0"/>
          <w:numId w:val="9"/>
        </w:numPr>
        <w:spacing w:before="120" w:after="0" w:line="360" w:lineRule="auto"/>
        <w:ind w:left="1145" w:hanging="357"/>
        <w:jc w:val="both"/>
        <w:rPr>
          <w:rFonts w:ascii="Times New Roman" w:hAnsi="Times New Roman" w:cs="Times New Roman"/>
          <w:sz w:val="24"/>
          <w:szCs w:val="24"/>
        </w:rPr>
      </w:pPr>
      <w:r w:rsidRPr="00AC71A2">
        <w:rPr>
          <w:rFonts w:ascii="Times New Roman" w:hAnsi="Times New Roman" w:cs="Times New Roman"/>
          <w:sz w:val="24"/>
          <w:szCs w:val="24"/>
        </w:rPr>
        <w:t xml:space="preserve">wprowadzenie instytucji zwrotu </w:t>
      </w:r>
      <w:r w:rsidRPr="00270A7E">
        <w:rPr>
          <w:rFonts w:ascii="Times New Roman" w:hAnsi="Times New Roman" w:cs="Times New Roman"/>
          <w:sz w:val="24"/>
          <w:szCs w:val="24"/>
        </w:rPr>
        <w:t>akcyzy od samochodów osobowych zarejestrowanych czasowo w celu ich wywozu z kraju.</w:t>
      </w:r>
    </w:p>
    <w:p w14:paraId="4E781075" w14:textId="1D8A289E" w:rsidR="0028357E" w:rsidRPr="00AC71A2" w:rsidRDefault="0028357E" w:rsidP="0072425B">
      <w:pPr>
        <w:pStyle w:val="Tekstpodstawowy"/>
        <w:numPr>
          <w:ilvl w:val="0"/>
          <w:numId w:val="7"/>
        </w:numPr>
        <w:spacing w:before="120" w:line="276" w:lineRule="auto"/>
        <w:ind w:left="426" w:hanging="284"/>
        <w:rPr>
          <w:b/>
          <w:bCs/>
          <w:sz w:val="24"/>
          <w:szCs w:val="24"/>
          <w:u w:val="single"/>
        </w:rPr>
      </w:pPr>
      <w:r w:rsidRPr="00AC71A2">
        <w:rPr>
          <w:b/>
          <w:bCs/>
          <w:sz w:val="24"/>
          <w:szCs w:val="24"/>
          <w:u w:val="single"/>
        </w:rPr>
        <w:t>Kasy rejestrujące</w:t>
      </w:r>
      <w:r w:rsidR="00E04F52" w:rsidRPr="00AC71A2">
        <w:rPr>
          <w:b/>
          <w:bCs/>
          <w:sz w:val="24"/>
          <w:szCs w:val="24"/>
          <w:u w:val="single"/>
        </w:rPr>
        <w:t>:</w:t>
      </w:r>
    </w:p>
    <w:p w14:paraId="71E0A0D1" w14:textId="13A6B12A" w:rsidR="00110CFF" w:rsidRPr="00AC71A2" w:rsidRDefault="00EA5D0A" w:rsidP="00052A8C">
      <w:pPr>
        <w:pStyle w:val="Tekstpodstawowy"/>
        <w:numPr>
          <w:ilvl w:val="0"/>
          <w:numId w:val="9"/>
        </w:numPr>
        <w:spacing w:before="120" w:line="360" w:lineRule="auto"/>
        <w:ind w:left="993" w:hanging="296"/>
        <w:rPr>
          <w:sz w:val="24"/>
          <w:szCs w:val="24"/>
        </w:rPr>
      </w:pPr>
      <w:r w:rsidRPr="00AC71A2">
        <w:rPr>
          <w:sz w:val="24"/>
          <w:szCs w:val="24"/>
        </w:rPr>
        <w:t>z</w:t>
      </w:r>
      <w:r w:rsidR="0028357E" w:rsidRPr="00AC71A2">
        <w:rPr>
          <w:sz w:val="24"/>
          <w:szCs w:val="24"/>
        </w:rPr>
        <w:t>niesienie obowiązku integracji kas rejestrujących online z terminalami płatniczymi</w:t>
      </w:r>
      <w:r w:rsidR="005F3AD0" w:rsidRPr="00AC71A2">
        <w:rPr>
          <w:sz w:val="24"/>
          <w:szCs w:val="24"/>
        </w:rPr>
        <w:t>,</w:t>
      </w:r>
    </w:p>
    <w:p w14:paraId="7B4B7901" w14:textId="21B2E2D4" w:rsidR="00110CFF" w:rsidRPr="00AC71A2" w:rsidRDefault="00EA5D0A" w:rsidP="00052A8C">
      <w:pPr>
        <w:pStyle w:val="Tekstpodstawowy"/>
        <w:numPr>
          <w:ilvl w:val="0"/>
          <w:numId w:val="9"/>
        </w:numPr>
        <w:spacing w:before="120" w:line="360" w:lineRule="auto"/>
        <w:ind w:left="993" w:hanging="296"/>
        <w:rPr>
          <w:sz w:val="24"/>
          <w:szCs w:val="24"/>
        </w:rPr>
      </w:pPr>
      <w:r w:rsidRPr="00AC71A2">
        <w:rPr>
          <w:sz w:val="24"/>
          <w:szCs w:val="24"/>
        </w:rPr>
        <w:t>u</w:t>
      </w:r>
      <w:r w:rsidR="00110CFF" w:rsidRPr="00AC71A2">
        <w:rPr>
          <w:sz w:val="24"/>
          <w:szCs w:val="24"/>
        </w:rPr>
        <w:t xml:space="preserve">trzymanie zastępczego raportowania </w:t>
      </w:r>
      <w:r w:rsidRPr="00AC71A2">
        <w:rPr>
          <w:sz w:val="24"/>
          <w:szCs w:val="24"/>
        </w:rPr>
        <w:t xml:space="preserve">odpowiednich danych </w:t>
      </w:r>
      <w:r w:rsidR="00110CFF" w:rsidRPr="00AC71A2">
        <w:rPr>
          <w:sz w:val="24"/>
          <w:szCs w:val="24"/>
        </w:rPr>
        <w:t>przez agentów rozliczeniowych</w:t>
      </w:r>
      <w:r w:rsidR="004872B9" w:rsidRPr="00AC71A2">
        <w:rPr>
          <w:sz w:val="24"/>
          <w:szCs w:val="24"/>
        </w:rPr>
        <w:t>,</w:t>
      </w:r>
    </w:p>
    <w:p w14:paraId="57E8B02A" w14:textId="1F80AE04" w:rsidR="004872B9" w:rsidRPr="006F03C4" w:rsidRDefault="004872B9" w:rsidP="00052A8C">
      <w:pPr>
        <w:pStyle w:val="Tekstpodstawowy"/>
        <w:numPr>
          <w:ilvl w:val="0"/>
          <w:numId w:val="9"/>
        </w:numPr>
        <w:spacing w:before="120" w:line="360" w:lineRule="auto"/>
        <w:ind w:left="993" w:hanging="296"/>
        <w:rPr>
          <w:sz w:val="24"/>
          <w:szCs w:val="24"/>
        </w:rPr>
      </w:pPr>
      <w:r w:rsidRPr="00AC71A2">
        <w:rPr>
          <w:sz w:val="24"/>
          <w:szCs w:val="24"/>
        </w:rPr>
        <w:t>rozszerzeni</w:t>
      </w:r>
      <w:r w:rsidR="003620C5" w:rsidRPr="00AC71A2">
        <w:rPr>
          <w:sz w:val="24"/>
          <w:szCs w:val="24"/>
        </w:rPr>
        <w:t>e</w:t>
      </w:r>
      <w:r w:rsidRPr="00AC71A2">
        <w:rPr>
          <w:sz w:val="24"/>
          <w:szCs w:val="24"/>
        </w:rPr>
        <w:t xml:space="preserve"> katalogu określonego w art. 105 ust. 1 ustawy </w:t>
      </w:r>
      <w:r w:rsidR="006F03C4">
        <w:rPr>
          <w:sz w:val="24"/>
          <w:szCs w:val="24"/>
        </w:rPr>
        <w:t xml:space="preserve">– </w:t>
      </w:r>
      <w:r w:rsidR="003620C5" w:rsidRPr="006F03C4">
        <w:rPr>
          <w:sz w:val="24"/>
          <w:szCs w:val="24"/>
        </w:rPr>
        <w:t xml:space="preserve">Prawo bankowe </w:t>
      </w:r>
      <w:r w:rsidRPr="006F03C4">
        <w:rPr>
          <w:sz w:val="24"/>
          <w:szCs w:val="24"/>
        </w:rPr>
        <w:t>o</w:t>
      </w:r>
      <w:r w:rsidR="00CD4D63" w:rsidRPr="006F03C4">
        <w:rPr>
          <w:sz w:val="24"/>
          <w:szCs w:val="24"/>
        </w:rPr>
        <w:t> </w:t>
      </w:r>
      <w:r w:rsidRPr="006F03C4">
        <w:rPr>
          <w:sz w:val="24"/>
          <w:szCs w:val="24"/>
        </w:rPr>
        <w:t>informacje stanowiące tajemnicę bankową, które będą przekazywane co miesiąc przez banki będące agentami rozliczeniowymi Szefowi K</w:t>
      </w:r>
      <w:r w:rsidR="006F03C4">
        <w:rPr>
          <w:sz w:val="24"/>
          <w:szCs w:val="24"/>
        </w:rPr>
        <w:t xml:space="preserve">rajowej </w:t>
      </w:r>
      <w:r w:rsidRPr="006F03C4">
        <w:rPr>
          <w:sz w:val="24"/>
          <w:szCs w:val="24"/>
        </w:rPr>
        <w:t>A</w:t>
      </w:r>
      <w:r w:rsidR="006F03C4">
        <w:rPr>
          <w:sz w:val="24"/>
          <w:szCs w:val="24"/>
        </w:rPr>
        <w:t xml:space="preserve">dministracji </w:t>
      </w:r>
      <w:r w:rsidRPr="006F03C4">
        <w:rPr>
          <w:sz w:val="24"/>
          <w:szCs w:val="24"/>
        </w:rPr>
        <w:t>S</w:t>
      </w:r>
      <w:r w:rsidR="006F03C4">
        <w:rPr>
          <w:sz w:val="24"/>
          <w:szCs w:val="24"/>
        </w:rPr>
        <w:t>karbowej</w:t>
      </w:r>
      <w:r w:rsidRPr="006F03C4">
        <w:rPr>
          <w:sz w:val="24"/>
          <w:szCs w:val="24"/>
        </w:rPr>
        <w:t xml:space="preserve"> w związku z</w:t>
      </w:r>
      <w:r w:rsidR="006F03C4">
        <w:rPr>
          <w:sz w:val="24"/>
          <w:szCs w:val="24"/>
        </w:rPr>
        <w:t xml:space="preserve"> </w:t>
      </w:r>
      <w:r w:rsidRPr="006F03C4">
        <w:rPr>
          <w:sz w:val="24"/>
          <w:szCs w:val="24"/>
        </w:rPr>
        <w:t>wykonywaniem zadań określonych w projektowanym art.</w:t>
      </w:r>
      <w:r w:rsidR="006F03C4">
        <w:rPr>
          <w:sz w:val="24"/>
          <w:szCs w:val="24"/>
        </w:rPr>
        <w:t> </w:t>
      </w:r>
      <w:r w:rsidRPr="006F03C4">
        <w:rPr>
          <w:sz w:val="24"/>
          <w:szCs w:val="24"/>
        </w:rPr>
        <w:t>49</w:t>
      </w:r>
      <w:r w:rsidR="00E33F88" w:rsidRPr="006F03C4">
        <w:rPr>
          <w:sz w:val="24"/>
          <w:szCs w:val="24"/>
        </w:rPr>
        <w:t>aaa</w:t>
      </w:r>
      <w:r w:rsidRPr="006F03C4">
        <w:rPr>
          <w:sz w:val="24"/>
          <w:szCs w:val="24"/>
        </w:rPr>
        <w:t xml:space="preserve"> ustawy o</w:t>
      </w:r>
      <w:r w:rsidR="006F03C4">
        <w:rPr>
          <w:sz w:val="24"/>
          <w:szCs w:val="24"/>
        </w:rPr>
        <w:t xml:space="preserve"> </w:t>
      </w:r>
      <w:r w:rsidRPr="006F03C4">
        <w:rPr>
          <w:sz w:val="24"/>
          <w:szCs w:val="24"/>
        </w:rPr>
        <w:t>Krajowej Administracji Skarbowej.</w:t>
      </w:r>
    </w:p>
    <w:bookmarkEnd w:id="0"/>
    <w:p w14:paraId="01D51C51" w14:textId="77777777" w:rsidR="0095551E" w:rsidRPr="00AC71A2" w:rsidRDefault="0095551E" w:rsidP="00052A8C">
      <w:pPr>
        <w:pStyle w:val="Tekstpodstawowy"/>
        <w:tabs>
          <w:tab w:val="left" w:pos="142"/>
        </w:tabs>
        <w:spacing w:before="120" w:line="360" w:lineRule="auto"/>
        <w:rPr>
          <w:sz w:val="24"/>
          <w:szCs w:val="24"/>
        </w:rPr>
      </w:pPr>
    </w:p>
    <w:p w14:paraId="62C83897" w14:textId="30DF4E8C" w:rsidR="00C3584E" w:rsidRPr="00AC71A2" w:rsidRDefault="00DA3902" w:rsidP="00052A8C">
      <w:pPr>
        <w:pStyle w:val="Tekstpodstawowy"/>
        <w:tabs>
          <w:tab w:val="left" w:pos="142"/>
        </w:tabs>
        <w:spacing w:before="120" w:line="360" w:lineRule="auto"/>
        <w:rPr>
          <w:sz w:val="24"/>
          <w:szCs w:val="24"/>
        </w:rPr>
      </w:pPr>
      <w:r w:rsidRPr="00AC71A2">
        <w:rPr>
          <w:sz w:val="24"/>
          <w:szCs w:val="24"/>
        </w:rPr>
        <w:t>Poniżej przedstawiono s</w:t>
      </w:r>
      <w:r w:rsidR="00D36975" w:rsidRPr="00AC71A2">
        <w:rPr>
          <w:sz w:val="24"/>
          <w:szCs w:val="24"/>
        </w:rPr>
        <w:t>zczegółowe wyjaśnienia</w:t>
      </w:r>
      <w:r w:rsidRPr="00AC71A2">
        <w:rPr>
          <w:sz w:val="24"/>
          <w:szCs w:val="24"/>
        </w:rPr>
        <w:t xml:space="preserve"> we wskazanych obszarach:</w:t>
      </w:r>
    </w:p>
    <w:p w14:paraId="1ACE1F3A" w14:textId="77777777" w:rsidR="00EA5D0A" w:rsidRPr="00AC71A2" w:rsidRDefault="00EA5D0A" w:rsidP="001F70DA">
      <w:pPr>
        <w:pStyle w:val="Tekstpodstawowy"/>
        <w:tabs>
          <w:tab w:val="left" w:pos="142"/>
        </w:tabs>
        <w:spacing w:before="120" w:line="276" w:lineRule="auto"/>
        <w:rPr>
          <w:sz w:val="24"/>
          <w:szCs w:val="24"/>
        </w:rPr>
      </w:pPr>
    </w:p>
    <w:p w14:paraId="6F566868" w14:textId="694D0F4B" w:rsidR="009F3313" w:rsidRPr="00AC71A2" w:rsidRDefault="009F3313" w:rsidP="00052A8C">
      <w:pPr>
        <w:pStyle w:val="Tekstpodstawowy"/>
        <w:numPr>
          <w:ilvl w:val="0"/>
          <w:numId w:val="4"/>
        </w:numPr>
        <w:spacing w:before="120" w:line="360" w:lineRule="auto"/>
        <w:ind w:left="142" w:hanging="142"/>
        <w:rPr>
          <w:b/>
          <w:bCs/>
          <w:sz w:val="24"/>
          <w:szCs w:val="24"/>
          <w:u w:val="single"/>
        </w:rPr>
      </w:pPr>
      <w:r w:rsidRPr="00AC71A2">
        <w:rPr>
          <w:b/>
          <w:bCs/>
          <w:sz w:val="24"/>
          <w:szCs w:val="24"/>
          <w:u w:val="single"/>
        </w:rPr>
        <w:t>Podatek od towarów i usług</w:t>
      </w:r>
    </w:p>
    <w:p w14:paraId="60F05165" w14:textId="7D7F2A0D" w:rsidR="009F3313" w:rsidRPr="00AC71A2" w:rsidRDefault="009F3313" w:rsidP="00052A8C">
      <w:pPr>
        <w:pStyle w:val="Tekstpodstawowy"/>
        <w:numPr>
          <w:ilvl w:val="0"/>
          <w:numId w:val="5"/>
        </w:numPr>
        <w:spacing w:before="120" w:line="360" w:lineRule="auto"/>
        <w:ind w:left="709" w:hanging="425"/>
        <w:rPr>
          <w:b/>
          <w:bCs/>
          <w:sz w:val="24"/>
          <w:szCs w:val="24"/>
        </w:rPr>
      </w:pPr>
      <w:r w:rsidRPr="00AC71A2">
        <w:rPr>
          <w:b/>
          <w:bCs/>
          <w:sz w:val="24"/>
          <w:szCs w:val="24"/>
        </w:rPr>
        <w:t>Stawki obniżone VAT</w:t>
      </w:r>
    </w:p>
    <w:p w14:paraId="4DA2A5E1" w14:textId="78918234" w:rsidR="00B751D2" w:rsidRPr="00AC71A2" w:rsidRDefault="00B751D2"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Zmiany w obszarze systemu stawek obniżonych VAT </w:t>
      </w:r>
      <w:r w:rsidR="002219C2" w:rsidRPr="00AC71A2">
        <w:rPr>
          <w:rFonts w:ascii="Times New Roman" w:hAnsi="Times New Roman" w:cs="Times New Roman"/>
          <w:sz w:val="24"/>
          <w:szCs w:val="24"/>
        </w:rPr>
        <w:t>polegają na</w:t>
      </w:r>
      <w:r w:rsidRPr="00AC71A2">
        <w:rPr>
          <w:rFonts w:ascii="Times New Roman" w:hAnsi="Times New Roman" w:cs="Times New Roman"/>
          <w:sz w:val="24"/>
          <w:szCs w:val="24"/>
        </w:rPr>
        <w:t xml:space="preserve"> doprecyzow</w:t>
      </w:r>
      <w:r w:rsidR="002219C2" w:rsidRPr="00AC71A2">
        <w:rPr>
          <w:rFonts w:ascii="Times New Roman" w:hAnsi="Times New Roman" w:cs="Times New Roman"/>
          <w:sz w:val="24"/>
          <w:szCs w:val="24"/>
        </w:rPr>
        <w:t>aniu</w:t>
      </w:r>
      <w:r w:rsidR="00C66B6F" w:rsidRPr="00AC71A2">
        <w:rPr>
          <w:rFonts w:ascii="Times New Roman" w:hAnsi="Times New Roman" w:cs="Times New Roman"/>
          <w:sz w:val="24"/>
          <w:szCs w:val="24"/>
        </w:rPr>
        <w:t>,</w:t>
      </w:r>
      <w:r w:rsidRPr="00AC71A2">
        <w:rPr>
          <w:rFonts w:ascii="Times New Roman" w:hAnsi="Times New Roman" w:cs="Times New Roman"/>
          <w:sz w:val="24"/>
          <w:szCs w:val="24"/>
        </w:rPr>
        <w:t xml:space="preserve"> dostosow</w:t>
      </w:r>
      <w:r w:rsidR="002219C2" w:rsidRPr="00AC71A2">
        <w:rPr>
          <w:rFonts w:ascii="Times New Roman" w:hAnsi="Times New Roman" w:cs="Times New Roman"/>
          <w:sz w:val="24"/>
          <w:szCs w:val="24"/>
        </w:rPr>
        <w:t xml:space="preserve">aniu </w:t>
      </w:r>
      <w:r w:rsidR="00C66B6F" w:rsidRPr="00AC71A2">
        <w:rPr>
          <w:rFonts w:ascii="Times New Roman" w:hAnsi="Times New Roman" w:cs="Times New Roman"/>
          <w:sz w:val="24"/>
          <w:szCs w:val="24"/>
        </w:rPr>
        <w:t xml:space="preserve">i zmianach </w:t>
      </w:r>
      <w:r w:rsidR="002219C2" w:rsidRPr="00AC71A2">
        <w:rPr>
          <w:rFonts w:ascii="Times New Roman" w:hAnsi="Times New Roman" w:cs="Times New Roman"/>
          <w:sz w:val="24"/>
          <w:szCs w:val="24"/>
        </w:rPr>
        <w:t>przepisów</w:t>
      </w:r>
      <w:r w:rsidRPr="00AC71A2">
        <w:rPr>
          <w:rFonts w:ascii="Times New Roman" w:hAnsi="Times New Roman" w:cs="Times New Roman"/>
          <w:sz w:val="24"/>
          <w:szCs w:val="24"/>
        </w:rPr>
        <w:t xml:space="preserve"> w obszarze stawek VAT po 4 latach funkcjonowania nowej matrycy stawek VAT (art. 1 pkt 1, 2, </w:t>
      </w:r>
      <w:r w:rsidR="00F87A73" w:rsidRPr="00AC71A2">
        <w:rPr>
          <w:rFonts w:ascii="Times New Roman" w:hAnsi="Times New Roman" w:cs="Times New Roman"/>
          <w:sz w:val="24"/>
          <w:szCs w:val="24"/>
        </w:rPr>
        <w:t xml:space="preserve">4 </w:t>
      </w:r>
      <w:r w:rsidRPr="00AC71A2">
        <w:rPr>
          <w:rFonts w:ascii="Times New Roman" w:hAnsi="Times New Roman" w:cs="Times New Roman"/>
          <w:sz w:val="24"/>
          <w:szCs w:val="24"/>
        </w:rPr>
        <w:t xml:space="preserve">i </w:t>
      </w:r>
      <w:r w:rsidR="00F87A73" w:rsidRPr="00AC71A2">
        <w:rPr>
          <w:rFonts w:ascii="Times New Roman" w:hAnsi="Times New Roman" w:cs="Times New Roman"/>
          <w:sz w:val="24"/>
          <w:szCs w:val="24"/>
        </w:rPr>
        <w:t xml:space="preserve">5 </w:t>
      </w:r>
      <w:r w:rsidRPr="00AC71A2">
        <w:rPr>
          <w:rFonts w:ascii="Times New Roman" w:hAnsi="Times New Roman" w:cs="Times New Roman"/>
          <w:sz w:val="24"/>
          <w:szCs w:val="24"/>
        </w:rPr>
        <w:t>projektu ustawy)</w:t>
      </w:r>
      <w:r w:rsidR="002219C2" w:rsidRPr="00AC71A2">
        <w:rPr>
          <w:rFonts w:ascii="Times New Roman" w:hAnsi="Times New Roman" w:cs="Times New Roman"/>
          <w:sz w:val="24"/>
          <w:szCs w:val="24"/>
        </w:rPr>
        <w:t>.</w:t>
      </w:r>
    </w:p>
    <w:p w14:paraId="7079E1A1" w14:textId="77777777" w:rsidR="001F2469" w:rsidRPr="00AC71A2" w:rsidRDefault="001F2469" w:rsidP="001F70DA">
      <w:pPr>
        <w:spacing w:before="120" w:after="0" w:line="276" w:lineRule="auto"/>
        <w:jc w:val="both"/>
        <w:rPr>
          <w:rFonts w:ascii="Times New Roman" w:hAnsi="Times New Roman" w:cs="Times New Roman"/>
          <w:sz w:val="24"/>
          <w:szCs w:val="24"/>
        </w:rPr>
      </w:pPr>
    </w:p>
    <w:p w14:paraId="2ACA0C9D" w14:textId="6F04AF50" w:rsidR="00744FCA" w:rsidRPr="00AC71A2" w:rsidRDefault="004424E4" w:rsidP="00052A8C">
      <w:pPr>
        <w:pStyle w:val="Tekstpodstawowy"/>
        <w:spacing w:before="120" w:line="360" w:lineRule="auto"/>
        <w:rPr>
          <w:sz w:val="24"/>
          <w:szCs w:val="24"/>
        </w:rPr>
      </w:pPr>
      <w:r w:rsidRPr="00AC71A2">
        <w:rPr>
          <w:sz w:val="24"/>
          <w:szCs w:val="24"/>
        </w:rPr>
        <w:t>Z</w:t>
      </w:r>
      <w:r w:rsidR="00C64570" w:rsidRPr="00AC71A2">
        <w:rPr>
          <w:sz w:val="24"/>
          <w:szCs w:val="24"/>
        </w:rPr>
        <w:t xml:space="preserve">miany w zakresie stawek VAT </w:t>
      </w:r>
      <w:r w:rsidR="006F03C4" w:rsidRPr="00AC71A2">
        <w:rPr>
          <w:sz w:val="24"/>
          <w:szCs w:val="24"/>
        </w:rPr>
        <w:t xml:space="preserve">są </w:t>
      </w:r>
      <w:r w:rsidR="00C64570" w:rsidRPr="00AC71A2">
        <w:rPr>
          <w:sz w:val="24"/>
          <w:szCs w:val="24"/>
        </w:rPr>
        <w:t xml:space="preserve">związane z potrzebą doprecyzowania, uzupełnienia </w:t>
      </w:r>
      <w:r w:rsidR="002F01FF" w:rsidRPr="00AC71A2">
        <w:rPr>
          <w:sz w:val="24"/>
          <w:szCs w:val="24"/>
        </w:rPr>
        <w:t xml:space="preserve">oraz </w:t>
      </w:r>
      <w:r w:rsidR="00C64570" w:rsidRPr="00AC71A2">
        <w:rPr>
          <w:sz w:val="24"/>
          <w:szCs w:val="24"/>
        </w:rPr>
        <w:t>dostosowania przepisów wprowadzonych tzw. nową matryc</w:t>
      </w:r>
      <w:r w:rsidR="00BB18B9" w:rsidRPr="00AC71A2">
        <w:rPr>
          <w:sz w:val="24"/>
          <w:szCs w:val="24"/>
        </w:rPr>
        <w:t>ą</w:t>
      </w:r>
      <w:r w:rsidR="00C64570" w:rsidRPr="00AC71A2">
        <w:rPr>
          <w:sz w:val="24"/>
          <w:szCs w:val="24"/>
        </w:rPr>
        <w:t xml:space="preserve"> stawek VAT</w:t>
      </w:r>
      <w:r w:rsidR="00744FCA" w:rsidRPr="00AC71A2">
        <w:rPr>
          <w:sz w:val="24"/>
          <w:szCs w:val="24"/>
        </w:rPr>
        <w:t xml:space="preserve">, </w:t>
      </w:r>
      <w:r w:rsidR="00BB2E49" w:rsidRPr="00AC71A2">
        <w:rPr>
          <w:sz w:val="24"/>
          <w:szCs w:val="24"/>
        </w:rPr>
        <w:t xml:space="preserve">wdrożoną do krajowego porządku prawnego </w:t>
      </w:r>
      <w:r w:rsidR="00317E13" w:rsidRPr="00AC71A2">
        <w:rPr>
          <w:sz w:val="24"/>
          <w:szCs w:val="24"/>
        </w:rPr>
        <w:t>ustawą z dnia 9 sierpnia 2019 r. o zmianie ustawy o podatku od towarów i usług oraz niektórych innych ustaw</w:t>
      </w:r>
      <w:r w:rsidR="00317E13" w:rsidRPr="00AC71A2">
        <w:rPr>
          <w:rStyle w:val="Odwoanieprzypisudolnego"/>
          <w:sz w:val="24"/>
          <w:szCs w:val="24"/>
        </w:rPr>
        <w:footnoteReference w:id="7"/>
      </w:r>
      <w:r w:rsidR="006F03C4">
        <w:rPr>
          <w:sz w:val="24"/>
          <w:szCs w:val="24"/>
          <w:vertAlign w:val="superscript"/>
        </w:rPr>
        <w:t>)</w:t>
      </w:r>
      <w:r w:rsidR="00C432E7" w:rsidRPr="00AC71A2">
        <w:rPr>
          <w:sz w:val="24"/>
          <w:szCs w:val="24"/>
        </w:rPr>
        <w:t>. Ustawa ta, stosowana od 1 lipca 2020</w:t>
      </w:r>
      <w:r w:rsidR="00AC71A2">
        <w:rPr>
          <w:sz w:val="24"/>
          <w:szCs w:val="24"/>
        </w:rPr>
        <w:t> </w:t>
      </w:r>
      <w:r w:rsidR="00C432E7" w:rsidRPr="00AC71A2">
        <w:rPr>
          <w:sz w:val="24"/>
          <w:szCs w:val="24"/>
        </w:rPr>
        <w:t>r.,</w:t>
      </w:r>
      <w:r w:rsidR="00744FCA" w:rsidRPr="00AC71A2">
        <w:rPr>
          <w:sz w:val="24"/>
          <w:szCs w:val="24"/>
        </w:rPr>
        <w:t xml:space="preserve"> </w:t>
      </w:r>
      <w:r w:rsidR="00CA6238" w:rsidRPr="00AC71A2">
        <w:rPr>
          <w:sz w:val="24"/>
          <w:szCs w:val="24"/>
        </w:rPr>
        <w:lastRenderedPageBreak/>
        <w:t>wprowadziła</w:t>
      </w:r>
      <w:r w:rsidR="00744FCA" w:rsidRPr="00AC71A2">
        <w:rPr>
          <w:sz w:val="24"/>
          <w:szCs w:val="24"/>
        </w:rPr>
        <w:t xml:space="preserve"> now</w:t>
      </w:r>
      <w:r w:rsidR="00CA6238" w:rsidRPr="00AC71A2">
        <w:rPr>
          <w:sz w:val="24"/>
          <w:szCs w:val="24"/>
        </w:rPr>
        <w:t>e</w:t>
      </w:r>
      <w:r w:rsidR="00744FCA" w:rsidRPr="00AC71A2">
        <w:rPr>
          <w:sz w:val="24"/>
          <w:szCs w:val="24"/>
        </w:rPr>
        <w:t xml:space="preserve"> wykazy towarów i usług opodatkowanych stawkami obniżonymi (5% i 8%)</w:t>
      </w:r>
      <w:r w:rsidR="002F01FF" w:rsidRPr="00AC71A2">
        <w:rPr>
          <w:sz w:val="24"/>
          <w:szCs w:val="24"/>
        </w:rPr>
        <w:t>,</w:t>
      </w:r>
      <w:r w:rsidR="00744FCA" w:rsidRPr="00AC71A2">
        <w:rPr>
          <w:sz w:val="24"/>
          <w:szCs w:val="24"/>
        </w:rPr>
        <w:t xml:space="preserve"> opart</w:t>
      </w:r>
      <w:r w:rsidR="00CA6238" w:rsidRPr="00AC71A2">
        <w:rPr>
          <w:sz w:val="24"/>
          <w:szCs w:val="24"/>
        </w:rPr>
        <w:t xml:space="preserve">e </w:t>
      </w:r>
      <w:r w:rsidR="00744FCA" w:rsidRPr="00AC71A2">
        <w:rPr>
          <w:sz w:val="24"/>
          <w:szCs w:val="24"/>
        </w:rPr>
        <w:t>o</w:t>
      </w:r>
      <w:r w:rsidR="00AC71A2">
        <w:rPr>
          <w:sz w:val="24"/>
          <w:szCs w:val="24"/>
        </w:rPr>
        <w:t xml:space="preserve"> </w:t>
      </w:r>
      <w:r w:rsidR="00744FCA" w:rsidRPr="00AC71A2">
        <w:rPr>
          <w:sz w:val="24"/>
          <w:szCs w:val="24"/>
        </w:rPr>
        <w:t>nowy sposób identyfikowania ich na potrzeby VAT, polegający na odejściu od</w:t>
      </w:r>
      <w:r w:rsidR="00AC71A2">
        <w:rPr>
          <w:sz w:val="24"/>
          <w:szCs w:val="24"/>
        </w:rPr>
        <w:t xml:space="preserve"> </w:t>
      </w:r>
      <w:r w:rsidR="00744FCA" w:rsidRPr="00AC71A2">
        <w:rPr>
          <w:sz w:val="24"/>
          <w:szCs w:val="24"/>
        </w:rPr>
        <w:t>stosowania do</w:t>
      </w:r>
      <w:r w:rsidR="00AC71A2">
        <w:rPr>
          <w:sz w:val="24"/>
          <w:szCs w:val="24"/>
        </w:rPr>
        <w:t xml:space="preserve"> </w:t>
      </w:r>
      <w:r w:rsidR="00744FCA" w:rsidRPr="00AC71A2">
        <w:rPr>
          <w:sz w:val="24"/>
          <w:szCs w:val="24"/>
        </w:rPr>
        <w:t>ww.</w:t>
      </w:r>
      <w:r w:rsidR="00AC71A2">
        <w:rPr>
          <w:sz w:val="24"/>
          <w:szCs w:val="24"/>
        </w:rPr>
        <w:t xml:space="preserve"> </w:t>
      </w:r>
      <w:r w:rsidR="00744FCA" w:rsidRPr="00AC71A2">
        <w:rPr>
          <w:sz w:val="24"/>
          <w:szCs w:val="24"/>
        </w:rPr>
        <w:t>celów Polskiej Klasyfikacji Wyrobów i Usług (PKWiU 2008) na</w:t>
      </w:r>
      <w:r w:rsidR="00AC71A2">
        <w:rPr>
          <w:sz w:val="24"/>
          <w:szCs w:val="24"/>
        </w:rPr>
        <w:t xml:space="preserve"> </w:t>
      </w:r>
      <w:r w:rsidR="00744FCA" w:rsidRPr="00AC71A2">
        <w:rPr>
          <w:sz w:val="24"/>
          <w:szCs w:val="24"/>
        </w:rPr>
        <w:t>rzecz:</w:t>
      </w:r>
    </w:p>
    <w:p w14:paraId="2452A8CC" w14:textId="77777777" w:rsidR="00744FCA" w:rsidRPr="00AC71A2" w:rsidRDefault="00744FCA" w:rsidP="00052A8C">
      <w:pPr>
        <w:pStyle w:val="Tekstpodstawowy"/>
        <w:numPr>
          <w:ilvl w:val="0"/>
          <w:numId w:val="13"/>
        </w:numPr>
        <w:spacing w:before="120" w:line="360" w:lineRule="auto"/>
        <w:rPr>
          <w:sz w:val="24"/>
          <w:szCs w:val="24"/>
        </w:rPr>
      </w:pPr>
      <w:r w:rsidRPr="00AC71A2">
        <w:rPr>
          <w:sz w:val="24"/>
          <w:szCs w:val="24"/>
        </w:rPr>
        <w:t>Nomenklatury scalonej (CN) lub – w niektórych przypadkach Polskiej Klasyfikacji Obiektów Budowlanych (PKOB) lub aktualnej Polskiej Klasyfikacji Wyrobów i Usług (PKWiU) w zakresie towarów,</w:t>
      </w:r>
    </w:p>
    <w:p w14:paraId="122251B6" w14:textId="77777777" w:rsidR="00744FCA" w:rsidRPr="00AC71A2" w:rsidRDefault="00744FCA" w:rsidP="00052A8C">
      <w:pPr>
        <w:pStyle w:val="Tekstpodstawowy"/>
        <w:numPr>
          <w:ilvl w:val="0"/>
          <w:numId w:val="13"/>
        </w:numPr>
        <w:spacing w:before="120" w:line="360" w:lineRule="auto"/>
        <w:rPr>
          <w:sz w:val="24"/>
          <w:szCs w:val="24"/>
        </w:rPr>
      </w:pPr>
      <w:r w:rsidRPr="00AC71A2">
        <w:rPr>
          <w:sz w:val="24"/>
          <w:szCs w:val="24"/>
        </w:rPr>
        <w:t>aktualnej PKWiU w zakresie usług.</w:t>
      </w:r>
    </w:p>
    <w:p w14:paraId="5B6505F6" w14:textId="1BFC607B" w:rsidR="00B751D2" w:rsidRPr="00AC71A2" w:rsidRDefault="00B751D2" w:rsidP="00052A8C">
      <w:pPr>
        <w:pStyle w:val="Tekstpodstawowy"/>
        <w:spacing w:before="120" w:line="360" w:lineRule="auto"/>
        <w:rPr>
          <w:sz w:val="24"/>
          <w:szCs w:val="24"/>
        </w:rPr>
      </w:pPr>
    </w:p>
    <w:p w14:paraId="2D80EC2E" w14:textId="6C28A74D" w:rsidR="00D36975" w:rsidRPr="00AC71A2" w:rsidRDefault="00D36975" w:rsidP="00052A8C">
      <w:pPr>
        <w:pStyle w:val="Tekstpodstawowy"/>
        <w:numPr>
          <w:ilvl w:val="0"/>
          <w:numId w:val="10"/>
        </w:numPr>
        <w:spacing w:before="120" w:line="360" w:lineRule="auto"/>
        <w:ind w:left="709" w:hanging="425"/>
        <w:rPr>
          <w:b/>
          <w:bCs/>
          <w:sz w:val="24"/>
          <w:szCs w:val="24"/>
        </w:rPr>
      </w:pPr>
      <w:bookmarkStart w:id="1" w:name="_Hlk174968544"/>
      <w:r w:rsidRPr="00AC71A2">
        <w:rPr>
          <w:b/>
          <w:bCs/>
          <w:sz w:val="24"/>
          <w:szCs w:val="24"/>
        </w:rPr>
        <w:t xml:space="preserve">Objęcie 0% stawką VAT </w:t>
      </w:r>
      <w:r w:rsidR="005E52F2" w:rsidRPr="00AC71A2">
        <w:rPr>
          <w:b/>
          <w:bCs/>
          <w:sz w:val="24"/>
          <w:szCs w:val="24"/>
        </w:rPr>
        <w:t xml:space="preserve">dostawy </w:t>
      </w:r>
      <w:r w:rsidRPr="00AC71A2">
        <w:rPr>
          <w:b/>
          <w:bCs/>
          <w:sz w:val="24"/>
          <w:szCs w:val="24"/>
        </w:rPr>
        <w:t>statków ratowniczych i łodzi ratunkowych, które są wykorzystywane na morzu, a nie są statkami i łodziami pełnomorskimi (art. 1 pkt 1 projektu ustawy)</w:t>
      </w:r>
    </w:p>
    <w:p w14:paraId="3F2B07E5" w14:textId="252C4F02" w:rsidR="00D36975" w:rsidRPr="00AC71A2" w:rsidRDefault="00D36975" w:rsidP="00052A8C">
      <w:pPr>
        <w:pStyle w:val="Tekstpodstawowy"/>
        <w:tabs>
          <w:tab w:val="left" w:pos="142"/>
        </w:tabs>
        <w:spacing w:before="120" w:line="360" w:lineRule="auto"/>
        <w:rPr>
          <w:sz w:val="24"/>
          <w:szCs w:val="24"/>
        </w:rPr>
      </w:pPr>
      <w:r w:rsidRPr="00AC71A2">
        <w:rPr>
          <w:sz w:val="24"/>
          <w:szCs w:val="24"/>
        </w:rPr>
        <w:t>Obecnie zgodnie z art.</w:t>
      </w:r>
      <w:r w:rsidR="00527099" w:rsidRPr="00AC71A2">
        <w:rPr>
          <w:sz w:val="24"/>
          <w:szCs w:val="24"/>
        </w:rPr>
        <w:t xml:space="preserve"> </w:t>
      </w:r>
      <w:r w:rsidRPr="00AC71A2">
        <w:rPr>
          <w:sz w:val="24"/>
          <w:szCs w:val="24"/>
        </w:rPr>
        <w:t>83 ust.</w:t>
      </w:r>
      <w:r w:rsidR="006F03C4">
        <w:rPr>
          <w:sz w:val="24"/>
          <w:szCs w:val="24"/>
        </w:rPr>
        <w:t xml:space="preserve"> </w:t>
      </w:r>
      <w:r w:rsidRPr="00AC71A2">
        <w:rPr>
          <w:sz w:val="24"/>
          <w:szCs w:val="24"/>
        </w:rPr>
        <w:t xml:space="preserve">1 pkt 1 lit. b ustawy o VAT </w:t>
      </w:r>
      <w:r w:rsidR="00DD6E6F" w:rsidRPr="00AC71A2">
        <w:rPr>
          <w:sz w:val="24"/>
          <w:szCs w:val="24"/>
        </w:rPr>
        <w:t xml:space="preserve">stawkę 0% stosuje się do </w:t>
      </w:r>
      <w:r w:rsidR="005E52F2" w:rsidRPr="00AC71A2">
        <w:rPr>
          <w:sz w:val="24"/>
          <w:szCs w:val="24"/>
        </w:rPr>
        <w:t xml:space="preserve">dostawy </w:t>
      </w:r>
      <w:r w:rsidR="00D447A2" w:rsidRPr="00AC71A2">
        <w:rPr>
          <w:sz w:val="24"/>
          <w:szCs w:val="24"/>
        </w:rPr>
        <w:t>wykorzystywanych</w:t>
      </w:r>
      <w:r w:rsidRPr="00AC71A2">
        <w:rPr>
          <w:sz w:val="24"/>
          <w:szCs w:val="24"/>
        </w:rPr>
        <w:t xml:space="preserve"> na morzu statków ratowniczych morskich (CN ex 8905 90 10) i łodzi ratunkowych (CN ex 8906 90 10)</w:t>
      </w:r>
      <w:r w:rsidR="00DD6E6F" w:rsidRPr="00AC71A2">
        <w:rPr>
          <w:sz w:val="24"/>
          <w:szCs w:val="24"/>
        </w:rPr>
        <w:t>. Przepis ten ogranicza możliwość stosowania stawki</w:t>
      </w:r>
      <w:r w:rsidR="006F03C4">
        <w:rPr>
          <w:sz w:val="24"/>
          <w:szCs w:val="24"/>
        </w:rPr>
        <w:t xml:space="preserve"> </w:t>
      </w:r>
      <w:r w:rsidR="00DD6E6F" w:rsidRPr="00AC71A2">
        <w:rPr>
          <w:sz w:val="24"/>
          <w:szCs w:val="24"/>
        </w:rPr>
        <w:t>0%</w:t>
      </w:r>
      <w:r w:rsidR="006F03C4">
        <w:rPr>
          <w:sz w:val="24"/>
          <w:szCs w:val="24"/>
        </w:rPr>
        <w:t xml:space="preserve"> </w:t>
      </w:r>
      <w:r w:rsidR="00DD6E6F" w:rsidRPr="00AC71A2">
        <w:rPr>
          <w:sz w:val="24"/>
          <w:szCs w:val="24"/>
        </w:rPr>
        <w:t>do</w:t>
      </w:r>
      <w:r w:rsidR="006F03C4">
        <w:rPr>
          <w:sz w:val="24"/>
          <w:szCs w:val="24"/>
        </w:rPr>
        <w:t xml:space="preserve"> </w:t>
      </w:r>
      <w:r w:rsidR="005E52F2" w:rsidRPr="00AC71A2">
        <w:rPr>
          <w:sz w:val="24"/>
          <w:szCs w:val="24"/>
        </w:rPr>
        <w:t xml:space="preserve">dostawy </w:t>
      </w:r>
      <w:r w:rsidR="00DD6E6F" w:rsidRPr="00AC71A2">
        <w:rPr>
          <w:sz w:val="24"/>
          <w:szCs w:val="24"/>
        </w:rPr>
        <w:t xml:space="preserve">pełnomorskich statków i łodzi ratunkowych i nie obejmuje </w:t>
      </w:r>
      <w:r w:rsidRPr="00AC71A2">
        <w:rPr>
          <w:sz w:val="24"/>
          <w:szCs w:val="24"/>
        </w:rPr>
        <w:t>statków ratowniczych i łodzi ratunkowych, które są</w:t>
      </w:r>
      <w:r w:rsidR="006F03C4">
        <w:rPr>
          <w:sz w:val="24"/>
          <w:szCs w:val="24"/>
        </w:rPr>
        <w:t xml:space="preserve"> </w:t>
      </w:r>
      <w:r w:rsidRPr="00AC71A2">
        <w:rPr>
          <w:sz w:val="24"/>
          <w:szCs w:val="24"/>
        </w:rPr>
        <w:t>wykorzystywane na morzu, a nie są statkami i</w:t>
      </w:r>
      <w:r w:rsidR="006F03C4">
        <w:rPr>
          <w:sz w:val="24"/>
          <w:szCs w:val="24"/>
        </w:rPr>
        <w:t xml:space="preserve"> </w:t>
      </w:r>
      <w:r w:rsidRPr="00AC71A2">
        <w:rPr>
          <w:sz w:val="24"/>
          <w:szCs w:val="24"/>
        </w:rPr>
        <w:t>łodziami pełnomorskimi</w:t>
      </w:r>
      <w:r w:rsidR="00DD6E6F" w:rsidRPr="00AC71A2">
        <w:rPr>
          <w:sz w:val="24"/>
          <w:szCs w:val="24"/>
        </w:rPr>
        <w:t xml:space="preserve">. W konsekwencji </w:t>
      </w:r>
      <w:r w:rsidR="002F01FF" w:rsidRPr="00AC71A2">
        <w:rPr>
          <w:sz w:val="24"/>
          <w:szCs w:val="24"/>
        </w:rPr>
        <w:t xml:space="preserve">dostawa </w:t>
      </w:r>
      <w:r w:rsidR="00DD6E6F" w:rsidRPr="00AC71A2">
        <w:rPr>
          <w:sz w:val="24"/>
          <w:szCs w:val="24"/>
        </w:rPr>
        <w:t>taki</w:t>
      </w:r>
      <w:r w:rsidR="002F01FF" w:rsidRPr="00AC71A2">
        <w:rPr>
          <w:sz w:val="24"/>
          <w:szCs w:val="24"/>
        </w:rPr>
        <w:t>ch</w:t>
      </w:r>
      <w:r w:rsidR="00DD6E6F" w:rsidRPr="00AC71A2">
        <w:rPr>
          <w:sz w:val="24"/>
          <w:szCs w:val="24"/>
        </w:rPr>
        <w:t xml:space="preserve"> statk</w:t>
      </w:r>
      <w:r w:rsidR="002F01FF" w:rsidRPr="00AC71A2">
        <w:rPr>
          <w:sz w:val="24"/>
          <w:szCs w:val="24"/>
        </w:rPr>
        <w:t>ów</w:t>
      </w:r>
      <w:r w:rsidR="00DD6E6F" w:rsidRPr="00AC71A2">
        <w:rPr>
          <w:sz w:val="24"/>
          <w:szCs w:val="24"/>
        </w:rPr>
        <w:t xml:space="preserve"> </w:t>
      </w:r>
      <w:r w:rsidR="002F01FF" w:rsidRPr="00AC71A2">
        <w:rPr>
          <w:sz w:val="24"/>
          <w:szCs w:val="24"/>
        </w:rPr>
        <w:t>jest</w:t>
      </w:r>
      <w:r w:rsidR="00DD6E6F" w:rsidRPr="00AC71A2">
        <w:rPr>
          <w:sz w:val="24"/>
          <w:szCs w:val="24"/>
        </w:rPr>
        <w:t xml:space="preserve"> opoda</w:t>
      </w:r>
      <w:r w:rsidR="00344C7E" w:rsidRPr="00AC71A2">
        <w:rPr>
          <w:sz w:val="24"/>
          <w:szCs w:val="24"/>
        </w:rPr>
        <w:t>t</w:t>
      </w:r>
      <w:r w:rsidR="00DD6E6F" w:rsidRPr="00AC71A2">
        <w:rPr>
          <w:sz w:val="24"/>
          <w:szCs w:val="24"/>
        </w:rPr>
        <w:t>kowan</w:t>
      </w:r>
      <w:r w:rsidR="002F01FF" w:rsidRPr="00AC71A2">
        <w:rPr>
          <w:sz w:val="24"/>
          <w:szCs w:val="24"/>
        </w:rPr>
        <w:t>a</w:t>
      </w:r>
      <w:r w:rsidRPr="00AC71A2">
        <w:rPr>
          <w:sz w:val="24"/>
          <w:szCs w:val="24"/>
        </w:rPr>
        <w:t xml:space="preserve"> stawką </w:t>
      </w:r>
      <w:r w:rsidR="002F01FF" w:rsidRPr="00AC71A2">
        <w:rPr>
          <w:sz w:val="24"/>
          <w:szCs w:val="24"/>
        </w:rPr>
        <w:t>V</w:t>
      </w:r>
      <w:r w:rsidR="00F76D46" w:rsidRPr="00AC71A2">
        <w:rPr>
          <w:sz w:val="24"/>
          <w:szCs w:val="24"/>
        </w:rPr>
        <w:t>AT</w:t>
      </w:r>
      <w:r w:rsidR="002F01FF" w:rsidRPr="00AC71A2">
        <w:rPr>
          <w:sz w:val="24"/>
          <w:szCs w:val="24"/>
        </w:rPr>
        <w:t xml:space="preserve"> w wysokości </w:t>
      </w:r>
      <w:r w:rsidRPr="00AC71A2">
        <w:rPr>
          <w:sz w:val="24"/>
          <w:szCs w:val="24"/>
        </w:rPr>
        <w:t>23%.</w:t>
      </w:r>
    </w:p>
    <w:p w14:paraId="72BD0855" w14:textId="5C7EBCF1" w:rsidR="00D36975" w:rsidRPr="00AC71A2" w:rsidRDefault="00DD6E6F" w:rsidP="00052A8C">
      <w:pPr>
        <w:pStyle w:val="Tekstpodstawowy"/>
        <w:tabs>
          <w:tab w:val="left" w:pos="142"/>
        </w:tabs>
        <w:spacing w:before="120" w:line="360" w:lineRule="auto"/>
        <w:rPr>
          <w:sz w:val="24"/>
          <w:szCs w:val="24"/>
        </w:rPr>
      </w:pPr>
      <w:r w:rsidRPr="00AC71A2">
        <w:rPr>
          <w:sz w:val="24"/>
          <w:szCs w:val="24"/>
        </w:rPr>
        <w:t>Należy zauważyć, że d</w:t>
      </w:r>
      <w:r w:rsidR="00D36975" w:rsidRPr="00AC71A2">
        <w:rPr>
          <w:sz w:val="24"/>
          <w:szCs w:val="24"/>
        </w:rPr>
        <w:t>yrektywa VAT daje większą swobodę w tym obszarze. Art. 148 lit. a i</w:t>
      </w:r>
      <w:r w:rsidR="006F03C4">
        <w:rPr>
          <w:sz w:val="24"/>
          <w:szCs w:val="24"/>
        </w:rPr>
        <w:t> </w:t>
      </w:r>
      <w:r w:rsidR="00D36975" w:rsidRPr="00AC71A2">
        <w:rPr>
          <w:sz w:val="24"/>
          <w:szCs w:val="24"/>
        </w:rPr>
        <w:t>c dyrektywy</w:t>
      </w:r>
      <w:r w:rsidR="006F03C4">
        <w:rPr>
          <w:sz w:val="24"/>
          <w:szCs w:val="24"/>
        </w:rPr>
        <w:t xml:space="preserve"> </w:t>
      </w:r>
      <w:r w:rsidR="00D36975" w:rsidRPr="00AC71A2">
        <w:rPr>
          <w:sz w:val="24"/>
          <w:szCs w:val="24"/>
        </w:rPr>
        <w:t>VAT zwalnia od podatku m.in. dostawy towarów w celu zaopatrzenia w paliwo i</w:t>
      </w:r>
      <w:r w:rsidR="00527099" w:rsidRPr="00AC71A2">
        <w:rPr>
          <w:sz w:val="24"/>
          <w:szCs w:val="24"/>
        </w:rPr>
        <w:t> </w:t>
      </w:r>
      <w:r w:rsidR="00D36975" w:rsidRPr="00AC71A2">
        <w:rPr>
          <w:sz w:val="24"/>
          <w:szCs w:val="24"/>
        </w:rPr>
        <w:t>zaopatrzenia ogólnego statków ratowniczych i udzielających pomocy na morzu, jak również dostawy i</w:t>
      </w:r>
      <w:r w:rsidR="006F03C4">
        <w:rPr>
          <w:sz w:val="24"/>
          <w:szCs w:val="24"/>
        </w:rPr>
        <w:t xml:space="preserve"> </w:t>
      </w:r>
      <w:r w:rsidR="00D36975" w:rsidRPr="00AC71A2">
        <w:rPr>
          <w:sz w:val="24"/>
          <w:szCs w:val="24"/>
        </w:rPr>
        <w:t>import, przebudowę, naprawę, czarterowanie, wynajem tych statków. Z brzmienia przepisów art.</w:t>
      </w:r>
      <w:r w:rsidR="006F03C4">
        <w:rPr>
          <w:sz w:val="24"/>
          <w:szCs w:val="24"/>
        </w:rPr>
        <w:t xml:space="preserve"> </w:t>
      </w:r>
      <w:r w:rsidR="00D36975" w:rsidRPr="00AC71A2">
        <w:rPr>
          <w:sz w:val="24"/>
          <w:szCs w:val="24"/>
        </w:rPr>
        <w:t>148 dyrektywy VAT nie wynika zatem, że statki ratownicze muszą spełniać warunek przeznaczenia do żeglugi na pełnym morzu.</w:t>
      </w:r>
    </w:p>
    <w:p w14:paraId="7BB10F91" w14:textId="6B321276" w:rsidR="00344C7E" w:rsidRPr="00AC71A2" w:rsidRDefault="00344C7E" w:rsidP="00052A8C">
      <w:pPr>
        <w:pStyle w:val="Tekstpodstawowy"/>
        <w:tabs>
          <w:tab w:val="left" w:pos="142"/>
        </w:tabs>
        <w:spacing w:before="120" w:line="360" w:lineRule="auto"/>
        <w:rPr>
          <w:sz w:val="24"/>
          <w:szCs w:val="24"/>
        </w:rPr>
      </w:pPr>
      <w:r w:rsidRPr="006F03C4">
        <w:rPr>
          <w:sz w:val="24"/>
          <w:szCs w:val="24"/>
        </w:rPr>
        <w:t>Z uwagi na powyższe proponuje się z</w:t>
      </w:r>
      <w:r w:rsidR="00D36975" w:rsidRPr="006F03C4">
        <w:rPr>
          <w:sz w:val="24"/>
          <w:szCs w:val="24"/>
        </w:rPr>
        <w:t>mian</w:t>
      </w:r>
      <w:r w:rsidRPr="006F03C4">
        <w:rPr>
          <w:sz w:val="24"/>
          <w:szCs w:val="24"/>
        </w:rPr>
        <w:t>ę</w:t>
      </w:r>
      <w:r w:rsidR="00D36975" w:rsidRPr="006F03C4">
        <w:rPr>
          <w:sz w:val="24"/>
          <w:szCs w:val="24"/>
        </w:rPr>
        <w:t xml:space="preserve"> brzmienia lit. b w art. 83 w ust. 1 w pkt 1 ustawy o VAT</w:t>
      </w:r>
      <w:r w:rsidRPr="006F03C4">
        <w:rPr>
          <w:sz w:val="24"/>
          <w:szCs w:val="24"/>
        </w:rPr>
        <w:t>, któr</w:t>
      </w:r>
      <w:r w:rsidR="00744FCA" w:rsidRPr="006F03C4">
        <w:rPr>
          <w:sz w:val="24"/>
          <w:szCs w:val="24"/>
        </w:rPr>
        <w:t xml:space="preserve">a </w:t>
      </w:r>
      <w:r w:rsidR="00D36975" w:rsidRPr="006F03C4">
        <w:rPr>
          <w:sz w:val="24"/>
          <w:szCs w:val="24"/>
        </w:rPr>
        <w:t xml:space="preserve">ma umożliwić </w:t>
      </w:r>
      <w:r w:rsidRPr="006F03C4">
        <w:rPr>
          <w:sz w:val="24"/>
          <w:szCs w:val="24"/>
        </w:rPr>
        <w:t>obniżeni</w:t>
      </w:r>
      <w:r w:rsidR="00C64570" w:rsidRPr="006F03C4">
        <w:rPr>
          <w:sz w:val="24"/>
          <w:szCs w:val="24"/>
        </w:rPr>
        <w:t>e</w:t>
      </w:r>
      <w:r w:rsidRPr="006F03C4">
        <w:rPr>
          <w:sz w:val="24"/>
          <w:szCs w:val="24"/>
        </w:rPr>
        <w:t xml:space="preserve"> </w:t>
      </w:r>
      <w:r w:rsidR="00BB18B9" w:rsidRPr="006F03C4">
        <w:rPr>
          <w:sz w:val="24"/>
          <w:szCs w:val="24"/>
        </w:rPr>
        <w:t xml:space="preserve">stawki VAT </w:t>
      </w:r>
      <w:r w:rsidRPr="006F03C4">
        <w:rPr>
          <w:sz w:val="24"/>
          <w:szCs w:val="24"/>
        </w:rPr>
        <w:t xml:space="preserve">z 23% do 0% </w:t>
      </w:r>
      <w:r w:rsidR="00BB18B9" w:rsidRPr="006F03C4">
        <w:rPr>
          <w:sz w:val="24"/>
          <w:szCs w:val="24"/>
        </w:rPr>
        <w:t xml:space="preserve">do dostawy </w:t>
      </w:r>
      <w:r w:rsidRPr="006F03C4">
        <w:rPr>
          <w:sz w:val="24"/>
          <w:szCs w:val="24"/>
        </w:rPr>
        <w:t>statków ratowniczych i</w:t>
      </w:r>
      <w:r w:rsidR="00BD4FD9">
        <w:rPr>
          <w:sz w:val="24"/>
          <w:szCs w:val="24"/>
        </w:rPr>
        <w:t xml:space="preserve"> </w:t>
      </w:r>
      <w:r w:rsidRPr="006F03C4">
        <w:rPr>
          <w:sz w:val="24"/>
          <w:szCs w:val="24"/>
        </w:rPr>
        <w:t>łodzi ratunkowych, które są wykorzystywane na morzu, a nie są statkami i</w:t>
      </w:r>
      <w:r w:rsidR="00C240F4" w:rsidRPr="006F03C4">
        <w:rPr>
          <w:sz w:val="24"/>
          <w:szCs w:val="24"/>
        </w:rPr>
        <w:t> </w:t>
      </w:r>
      <w:r w:rsidRPr="006F03C4">
        <w:rPr>
          <w:sz w:val="24"/>
          <w:szCs w:val="24"/>
        </w:rPr>
        <w:t>łodziami pełnomorskimi. Ujednolici to sposób opodatkowania w odniesieniu do</w:t>
      </w:r>
      <w:r w:rsidR="00BD4FD9">
        <w:rPr>
          <w:sz w:val="24"/>
          <w:szCs w:val="24"/>
        </w:rPr>
        <w:t xml:space="preserve"> </w:t>
      </w:r>
      <w:r w:rsidR="00BB18B9" w:rsidRPr="006F03C4">
        <w:rPr>
          <w:sz w:val="24"/>
          <w:szCs w:val="24"/>
        </w:rPr>
        <w:t xml:space="preserve">dostaw </w:t>
      </w:r>
      <w:r w:rsidRPr="00AC71A2">
        <w:rPr>
          <w:sz w:val="24"/>
          <w:szCs w:val="24"/>
        </w:rPr>
        <w:t>statków ratowniczych oraz łodzi ratunkowych wykorzystywanych do realizacji tego samego celu (</w:t>
      </w:r>
      <w:r w:rsidR="00BB18B9" w:rsidRPr="00AC71A2">
        <w:rPr>
          <w:sz w:val="24"/>
          <w:szCs w:val="24"/>
        </w:rPr>
        <w:t xml:space="preserve">dostawa </w:t>
      </w:r>
      <w:r w:rsidRPr="00AC71A2">
        <w:rPr>
          <w:sz w:val="24"/>
          <w:szCs w:val="24"/>
        </w:rPr>
        <w:t>statk</w:t>
      </w:r>
      <w:r w:rsidR="00BB18B9" w:rsidRPr="00AC71A2">
        <w:rPr>
          <w:sz w:val="24"/>
          <w:szCs w:val="24"/>
        </w:rPr>
        <w:t>ów</w:t>
      </w:r>
      <w:r w:rsidRPr="00AC71A2">
        <w:rPr>
          <w:sz w:val="24"/>
          <w:szCs w:val="24"/>
        </w:rPr>
        <w:t xml:space="preserve"> i łodzi ratownicz</w:t>
      </w:r>
      <w:r w:rsidR="00BB18B9" w:rsidRPr="00AC71A2">
        <w:rPr>
          <w:sz w:val="24"/>
          <w:szCs w:val="24"/>
        </w:rPr>
        <w:t>ych</w:t>
      </w:r>
      <w:r w:rsidRPr="00AC71A2">
        <w:rPr>
          <w:sz w:val="24"/>
          <w:szCs w:val="24"/>
        </w:rPr>
        <w:t xml:space="preserve"> pełnomorski</w:t>
      </w:r>
      <w:r w:rsidR="00BB18B9" w:rsidRPr="00AC71A2">
        <w:rPr>
          <w:sz w:val="24"/>
          <w:szCs w:val="24"/>
        </w:rPr>
        <w:t>ch</w:t>
      </w:r>
      <w:r w:rsidRPr="00AC71A2">
        <w:rPr>
          <w:sz w:val="24"/>
          <w:szCs w:val="24"/>
        </w:rPr>
        <w:t xml:space="preserve"> objęt</w:t>
      </w:r>
      <w:r w:rsidR="00BB2E49" w:rsidRPr="00AC71A2">
        <w:rPr>
          <w:sz w:val="24"/>
          <w:szCs w:val="24"/>
        </w:rPr>
        <w:t>a</w:t>
      </w:r>
      <w:r w:rsidRPr="00AC71A2">
        <w:rPr>
          <w:sz w:val="24"/>
          <w:szCs w:val="24"/>
        </w:rPr>
        <w:t xml:space="preserve"> </w:t>
      </w:r>
      <w:r w:rsidR="00BB18B9" w:rsidRPr="00AC71A2">
        <w:rPr>
          <w:sz w:val="24"/>
          <w:szCs w:val="24"/>
        </w:rPr>
        <w:t xml:space="preserve">jest </w:t>
      </w:r>
      <w:r w:rsidRPr="00AC71A2">
        <w:rPr>
          <w:sz w:val="24"/>
          <w:szCs w:val="24"/>
        </w:rPr>
        <w:t>stawką 0%).</w:t>
      </w:r>
    </w:p>
    <w:p w14:paraId="5DF8CECE" w14:textId="77777777" w:rsidR="00D36975" w:rsidRPr="00AC71A2" w:rsidRDefault="00D36975" w:rsidP="001F70DA">
      <w:pPr>
        <w:pStyle w:val="Tekstpodstawowy"/>
        <w:spacing w:before="120" w:line="276" w:lineRule="auto"/>
        <w:rPr>
          <w:sz w:val="24"/>
          <w:szCs w:val="24"/>
        </w:rPr>
      </w:pPr>
    </w:p>
    <w:p w14:paraId="0A44A4A0" w14:textId="4B1B1957" w:rsidR="00BA1FAD" w:rsidRPr="00AC71A2" w:rsidRDefault="00937A3A" w:rsidP="00052A8C">
      <w:pPr>
        <w:pStyle w:val="Tekstpodstawowy"/>
        <w:numPr>
          <w:ilvl w:val="0"/>
          <w:numId w:val="10"/>
        </w:numPr>
        <w:spacing w:before="120" w:line="360" w:lineRule="auto"/>
        <w:ind w:left="709" w:hanging="425"/>
        <w:rPr>
          <w:b/>
          <w:bCs/>
          <w:sz w:val="24"/>
          <w:szCs w:val="24"/>
        </w:rPr>
      </w:pPr>
      <w:r w:rsidRPr="00AC71A2">
        <w:rPr>
          <w:b/>
          <w:bCs/>
          <w:sz w:val="24"/>
          <w:szCs w:val="24"/>
        </w:rPr>
        <w:lastRenderedPageBreak/>
        <w:t>Przedłużenie s</w:t>
      </w:r>
      <w:r w:rsidR="00D36975" w:rsidRPr="00AC71A2">
        <w:rPr>
          <w:b/>
          <w:bCs/>
          <w:sz w:val="24"/>
          <w:szCs w:val="24"/>
        </w:rPr>
        <w:t>tosowani</w:t>
      </w:r>
      <w:r w:rsidRPr="00AC71A2">
        <w:rPr>
          <w:b/>
          <w:bCs/>
          <w:sz w:val="24"/>
          <w:szCs w:val="24"/>
        </w:rPr>
        <w:t>a</w:t>
      </w:r>
      <w:r w:rsidR="00D36975" w:rsidRPr="00AC71A2">
        <w:rPr>
          <w:b/>
          <w:bCs/>
          <w:sz w:val="24"/>
          <w:szCs w:val="24"/>
        </w:rPr>
        <w:t xml:space="preserve"> stawki VAT </w:t>
      </w:r>
      <w:r w:rsidR="002F01FF" w:rsidRPr="00AC71A2">
        <w:rPr>
          <w:b/>
          <w:bCs/>
          <w:sz w:val="24"/>
          <w:szCs w:val="24"/>
        </w:rPr>
        <w:t xml:space="preserve">w wysokości </w:t>
      </w:r>
      <w:r w:rsidR="00D36975" w:rsidRPr="00AC71A2">
        <w:rPr>
          <w:b/>
          <w:bCs/>
          <w:sz w:val="24"/>
          <w:szCs w:val="24"/>
        </w:rPr>
        <w:t xml:space="preserve">8% dla </w:t>
      </w:r>
      <w:r w:rsidR="00BB18B9" w:rsidRPr="00AC71A2">
        <w:rPr>
          <w:b/>
          <w:bCs/>
          <w:sz w:val="24"/>
          <w:szCs w:val="24"/>
        </w:rPr>
        <w:t xml:space="preserve">dostawy </w:t>
      </w:r>
      <w:r w:rsidR="00D36975" w:rsidRPr="00AC71A2">
        <w:rPr>
          <w:b/>
          <w:bCs/>
          <w:sz w:val="24"/>
          <w:szCs w:val="24"/>
        </w:rPr>
        <w:t xml:space="preserve">wyrobów medycznych </w:t>
      </w:r>
      <w:r w:rsidR="00AB4EAF" w:rsidRPr="00AC71A2">
        <w:rPr>
          <w:b/>
          <w:bCs/>
          <w:sz w:val="24"/>
          <w:szCs w:val="24"/>
        </w:rPr>
        <w:t>wprowadzonych</w:t>
      </w:r>
      <w:r w:rsidR="00D36975" w:rsidRPr="00AC71A2">
        <w:rPr>
          <w:b/>
          <w:bCs/>
          <w:sz w:val="24"/>
          <w:szCs w:val="24"/>
        </w:rPr>
        <w:t xml:space="preserve"> do obrotu na podstawie poprzednio obowiązującej ustawy o</w:t>
      </w:r>
      <w:r w:rsidR="00BD4FD9">
        <w:rPr>
          <w:b/>
          <w:bCs/>
          <w:sz w:val="24"/>
          <w:szCs w:val="24"/>
        </w:rPr>
        <w:t xml:space="preserve"> </w:t>
      </w:r>
      <w:r w:rsidR="00D36975" w:rsidRPr="00AC71A2">
        <w:rPr>
          <w:b/>
          <w:bCs/>
          <w:sz w:val="24"/>
          <w:szCs w:val="24"/>
        </w:rPr>
        <w:t>wyrobach medycznych – dotyczy wyrobów, które są nadal przedmiotem obrotu, a więc muszą spełniać określone przepisami wymagania</w:t>
      </w:r>
      <w:r w:rsidR="007D674C" w:rsidRPr="00AC71A2">
        <w:rPr>
          <w:b/>
          <w:bCs/>
          <w:sz w:val="24"/>
          <w:szCs w:val="24"/>
        </w:rPr>
        <w:t xml:space="preserve"> (art. </w:t>
      </w:r>
      <w:r w:rsidR="008B3E98" w:rsidRPr="00AC71A2">
        <w:rPr>
          <w:b/>
          <w:bCs/>
          <w:sz w:val="24"/>
          <w:szCs w:val="24"/>
        </w:rPr>
        <w:t>1 pkt</w:t>
      </w:r>
      <w:r w:rsidR="00AC71A2">
        <w:rPr>
          <w:b/>
          <w:bCs/>
          <w:sz w:val="24"/>
          <w:szCs w:val="24"/>
        </w:rPr>
        <w:t> </w:t>
      </w:r>
      <w:r w:rsidR="008B3E98" w:rsidRPr="00AC71A2">
        <w:rPr>
          <w:b/>
          <w:bCs/>
          <w:sz w:val="24"/>
          <w:szCs w:val="24"/>
        </w:rPr>
        <w:t>2 projektu ustawy</w:t>
      </w:r>
      <w:r w:rsidR="007D674C" w:rsidRPr="00AC71A2">
        <w:rPr>
          <w:b/>
          <w:bCs/>
          <w:sz w:val="24"/>
          <w:szCs w:val="24"/>
        </w:rPr>
        <w:t>)</w:t>
      </w:r>
    </w:p>
    <w:p w14:paraId="5CA2CB1F" w14:textId="69C8380B" w:rsidR="008B3E98" w:rsidRPr="00AC71A2" w:rsidRDefault="00BA1FAD" w:rsidP="00052A8C">
      <w:pPr>
        <w:pStyle w:val="Tekstpodstawowy"/>
        <w:tabs>
          <w:tab w:val="left" w:pos="142"/>
        </w:tabs>
        <w:spacing w:before="120" w:line="360" w:lineRule="auto"/>
        <w:rPr>
          <w:sz w:val="24"/>
          <w:szCs w:val="24"/>
        </w:rPr>
      </w:pPr>
      <w:r w:rsidRPr="00AC71A2">
        <w:rPr>
          <w:sz w:val="24"/>
          <w:szCs w:val="24"/>
        </w:rPr>
        <w:t>Obecnie</w:t>
      </w:r>
      <w:r w:rsidR="00C64570" w:rsidRPr="00AC71A2">
        <w:rPr>
          <w:sz w:val="24"/>
          <w:szCs w:val="24"/>
        </w:rPr>
        <w:t>,</w:t>
      </w:r>
      <w:r w:rsidRPr="00AC71A2">
        <w:rPr>
          <w:sz w:val="24"/>
          <w:szCs w:val="24"/>
        </w:rPr>
        <w:t xml:space="preserve"> </w:t>
      </w:r>
      <w:r w:rsidR="00F30D39" w:rsidRPr="00AC71A2">
        <w:rPr>
          <w:sz w:val="24"/>
          <w:szCs w:val="24"/>
        </w:rPr>
        <w:t>zgodnie z art. 145c ustawy o VAT</w:t>
      </w:r>
      <w:r w:rsidR="00BB2E49" w:rsidRPr="00AC71A2">
        <w:rPr>
          <w:sz w:val="24"/>
          <w:szCs w:val="24"/>
        </w:rPr>
        <w:t>,</w:t>
      </w:r>
      <w:r w:rsidR="00F30D39" w:rsidRPr="00AC71A2">
        <w:rPr>
          <w:sz w:val="24"/>
          <w:szCs w:val="24"/>
        </w:rPr>
        <w:t xml:space="preserve"> </w:t>
      </w:r>
      <w:r w:rsidRPr="00AC71A2">
        <w:rPr>
          <w:sz w:val="24"/>
          <w:szCs w:val="24"/>
        </w:rPr>
        <w:t xml:space="preserve">dostawa wyrobów medycznych, które zostały </w:t>
      </w:r>
      <w:r w:rsidR="00AB4EAF" w:rsidRPr="00AC71A2">
        <w:rPr>
          <w:sz w:val="24"/>
          <w:szCs w:val="24"/>
        </w:rPr>
        <w:t>wprowadzone</w:t>
      </w:r>
      <w:r w:rsidRPr="00AC71A2">
        <w:rPr>
          <w:sz w:val="24"/>
          <w:szCs w:val="24"/>
        </w:rPr>
        <w:t xml:space="preserve"> do obrotu na podstawie poprzednio obowiązującej ustawy o wyrobach medycznych z dnia 20 maja 2010 r.</w:t>
      </w:r>
      <w:r w:rsidRPr="00AC71A2">
        <w:rPr>
          <w:rStyle w:val="Odwoanieprzypisudolnego"/>
          <w:sz w:val="24"/>
          <w:szCs w:val="24"/>
        </w:rPr>
        <w:footnoteReference w:id="8"/>
      </w:r>
      <w:r w:rsidR="00BD4FD9">
        <w:rPr>
          <w:sz w:val="24"/>
          <w:szCs w:val="24"/>
          <w:vertAlign w:val="superscript"/>
        </w:rPr>
        <w:t>)</w:t>
      </w:r>
      <w:r w:rsidR="00D447A2" w:rsidRPr="00AC71A2">
        <w:rPr>
          <w:sz w:val="24"/>
          <w:szCs w:val="24"/>
        </w:rPr>
        <w:t xml:space="preserve"> (</w:t>
      </w:r>
      <w:r w:rsidRPr="00AC71A2">
        <w:rPr>
          <w:rFonts w:eastAsia="Lato"/>
          <w:sz w:val="24"/>
          <w:szCs w:val="24"/>
          <w:shd w:val="clear" w:color="auto" w:fill="FFFFFF"/>
        </w:rPr>
        <w:t>zastąpionej ustawą z</w:t>
      </w:r>
      <w:r w:rsidR="00AC71A2">
        <w:rPr>
          <w:rFonts w:eastAsia="Lato"/>
          <w:sz w:val="24"/>
          <w:szCs w:val="24"/>
          <w:shd w:val="clear" w:color="auto" w:fill="FFFFFF"/>
        </w:rPr>
        <w:t xml:space="preserve"> </w:t>
      </w:r>
      <w:r w:rsidRPr="00AC71A2">
        <w:rPr>
          <w:rFonts w:eastAsia="Lato"/>
          <w:sz w:val="24"/>
          <w:szCs w:val="24"/>
          <w:shd w:val="clear" w:color="auto" w:fill="FFFFFF"/>
        </w:rPr>
        <w:t xml:space="preserve">dnia 7 kwietnia 2022 r. o </w:t>
      </w:r>
      <w:r w:rsidRPr="00AC71A2">
        <w:rPr>
          <w:sz w:val="24"/>
          <w:szCs w:val="24"/>
        </w:rPr>
        <w:t>wyrobach medycznych</w:t>
      </w:r>
      <w:r w:rsidRPr="00AC71A2">
        <w:rPr>
          <w:sz w:val="24"/>
          <w:szCs w:val="24"/>
          <w:vertAlign w:val="superscript"/>
        </w:rPr>
        <w:footnoteReference w:id="9"/>
      </w:r>
      <w:r w:rsidR="00980AC4">
        <w:rPr>
          <w:sz w:val="24"/>
          <w:szCs w:val="24"/>
          <w:vertAlign w:val="superscript"/>
        </w:rPr>
        <w:t>)</w:t>
      </w:r>
      <w:r w:rsidR="00D447A2" w:rsidRPr="00AC71A2">
        <w:rPr>
          <w:sz w:val="24"/>
          <w:szCs w:val="24"/>
        </w:rPr>
        <w:t>)</w:t>
      </w:r>
      <w:r w:rsidRPr="00AC71A2">
        <w:rPr>
          <w:sz w:val="24"/>
          <w:szCs w:val="24"/>
        </w:rPr>
        <w:t>, jest opodatkowana stawką 8%</w:t>
      </w:r>
      <w:r w:rsidR="00D447A2" w:rsidRPr="00AC71A2">
        <w:rPr>
          <w:sz w:val="24"/>
          <w:szCs w:val="24"/>
        </w:rPr>
        <w:t xml:space="preserve"> </w:t>
      </w:r>
      <w:r w:rsidR="00F30D39" w:rsidRPr="00AC71A2">
        <w:rPr>
          <w:sz w:val="24"/>
          <w:szCs w:val="24"/>
        </w:rPr>
        <w:t>wyłącznie</w:t>
      </w:r>
      <w:r w:rsidR="00D447A2" w:rsidRPr="00AC71A2">
        <w:rPr>
          <w:sz w:val="24"/>
          <w:szCs w:val="24"/>
        </w:rPr>
        <w:t xml:space="preserve"> </w:t>
      </w:r>
      <w:r w:rsidRPr="00AC71A2">
        <w:rPr>
          <w:sz w:val="24"/>
          <w:szCs w:val="24"/>
        </w:rPr>
        <w:t xml:space="preserve">do 27 maja 2025 r. </w:t>
      </w:r>
      <w:r w:rsidR="008B3E98" w:rsidRPr="00AC71A2">
        <w:rPr>
          <w:sz w:val="24"/>
          <w:szCs w:val="24"/>
        </w:rPr>
        <w:t xml:space="preserve">Termin ten </w:t>
      </w:r>
      <w:r w:rsidR="00527099" w:rsidRPr="00AC71A2">
        <w:rPr>
          <w:sz w:val="24"/>
          <w:szCs w:val="24"/>
        </w:rPr>
        <w:t>jest</w:t>
      </w:r>
      <w:r w:rsidR="008B3E98" w:rsidRPr="00AC71A2">
        <w:rPr>
          <w:sz w:val="24"/>
          <w:szCs w:val="24"/>
        </w:rPr>
        <w:t xml:space="preserve"> skorelowany z </w:t>
      </w:r>
      <w:r w:rsidR="0080467E" w:rsidRPr="00AC71A2">
        <w:rPr>
          <w:sz w:val="24"/>
          <w:szCs w:val="24"/>
        </w:rPr>
        <w:t xml:space="preserve">pierwotnym </w:t>
      </w:r>
      <w:r w:rsidR="008B3E98" w:rsidRPr="00AC71A2">
        <w:rPr>
          <w:sz w:val="24"/>
          <w:szCs w:val="24"/>
        </w:rPr>
        <w:t>brzmieniem art. 120 rozporządzenia 2017/745</w:t>
      </w:r>
      <w:r w:rsidR="008B3E98" w:rsidRPr="00AC71A2">
        <w:rPr>
          <w:sz w:val="24"/>
          <w:szCs w:val="24"/>
          <w:vertAlign w:val="superscript"/>
        </w:rPr>
        <w:footnoteReference w:id="10"/>
      </w:r>
      <w:r w:rsidR="00BD4FD9">
        <w:rPr>
          <w:sz w:val="24"/>
          <w:szCs w:val="24"/>
          <w:vertAlign w:val="superscript"/>
        </w:rPr>
        <w:t>)</w:t>
      </w:r>
      <w:r w:rsidR="008B3E98" w:rsidRPr="00AC71A2">
        <w:rPr>
          <w:sz w:val="24"/>
          <w:szCs w:val="24"/>
        </w:rPr>
        <w:t xml:space="preserve"> i art.</w:t>
      </w:r>
      <w:r w:rsidR="00AC71A2">
        <w:rPr>
          <w:sz w:val="24"/>
          <w:szCs w:val="24"/>
        </w:rPr>
        <w:t> </w:t>
      </w:r>
      <w:r w:rsidR="008B3E98" w:rsidRPr="00AC71A2">
        <w:rPr>
          <w:sz w:val="24"/>
          <w:szCs w:val="24"/>
        </w:rPr>
        <w:t>110 rozporządzenia 2017/746</w:t>
      </w:r>
      <w:r w:rsidR="008B3E98" w:rsidRPr="00AC71A2">
        <w:rPr>
          <w:sz w:val="24"/>
          <w:szCs w:val="24"/>
          <w:vertAlign w:val="superscript"/>
        </w:rPr>
        <w:footnoteReference w:id="11"/>
      </w:r>
      <w:r w:rsidR="00BD4FD9">
        <w:rPr>
          <w:sz w:val="24"/>
          <w:szCs w:val="24"/>
          <w:vertAlign w:val="superscript"/>
        </w:rPr>
        <w:t>)</w:t>
      </w:r>
      <w:r w:rsidR="008B3E98" w:rsidRPr="00AC71A2">
        <w:rPr>
          <w:sz w:val="24"/>
          <w:szCs w:val="24"/>
        </w:rPr>
        <w:t>, któr</w:t>
      </w:r>
      <w:r w:rsidR="00BB2E49" w:rsidRPr="00AC71A2">
        <w:rPr>
          <w:sz w:val="24"/>
          <w:szCs w:val="24"/>
        </w:rPr>
        <w:t>e</w:t>
      </w:r>
      <w:r w:rsidR="008B3E98" w:rsidRPr="00AC71A2">
        <w:rPr>
          <w:sz w:val="24"/>
          <w:szCs w:val="24"/>
        </w:rPr>
        <w:t xml:space="preserve"> pierwotnie zakładał</w:t>
      </w:r>
      <w:r w:rsidR="00BB2E49" w:rsidRPr="00AC71A2">
        <w:rPr>
          <w:sz w:val="24"/>
          <w:szCs w:val="24"/>
        </w:rPr>
        <w:t>y</w:t>
      </w:r>
      <w:r w:rsidR="008B3E98" w:rsidRPr="00AC71A2">
        <w:rPr>
          <w:sz w:val="24"/>
          <w:szCs w:val="24"/>
        </w:rPr>
        <w:t xml:space="preserve"> właśnie </w:t>
      </w:r>
      <w:r w:rsidR="00F30D39" w:rsidRPr="00AC71A2">
        <w:rPr>
          <w:sz w:val="24"/>
          <w:szCs w:val="24"/>
        </w:rPr>
        <w:t>ten termin</w:t>
      </w:r>
      <w:r w:rsidR="008B3E98" w:rsidRPr="00AC71A2">
        <w:rPr>
          <w:sz w:val="24"/>
          <w:szCs w:val="24"/>
        </w:rPr>
        <w:t xml:space="preserve"> jako datę graniczną udostępniania na rynku lub wprowadzania do używania konkretnych wyrobów medycznych.</w:t>
      </w:r>
    </w:p>
    <w:p w14:paraId="5C747428" w14:textId="411AF37C" w:rsidR="00BA1FAD" w:rsidRPr="00AC71A2" w:rsidRDefault="00BA1FAD" w:rsidP="00052A8C">
      <w:pPr>
        <w:pStyle w:val="Tekstpodstawowy"/>
        <w:tabs>
          <w:tab w:val="left" w:pos="142"/>
        </w:tabs>
        <w:spacing w:before="120" w:line="360" w:lineRule="auto"/>
        <w:rPr>
          <w:sz w:val="24"/>
          <w:szCs w:val="24"/>
        </w:rPr>
      </w:pPr>
      <w:r w:rsidRPr="00AC71A2">
        <w:rPr>
          <w:sz w:val="24"/>
          <w:szCs w:val="24"/>
        </w:rPr>
        <w:t>Po tym dniu</w:t>
      </w:r>
      <w:r w:rsidR="00C64570" w:rsidRPr="00AC71A2">
        <w:rPr>
          <w:sz w:val="24"/>
          <w:szCs w:val="24"/>
        </w:rPr>
        <w:t>,</w:t>
      </w:r>
      <w:r w:rsidRPr="00AC71A2">
        <w:rPr>
          <w:sz w:val="24"/>
          <w:szCs w:val="24"/>
        </w:rPr>
        <w:t xml:space="preserve"> </w:t>
      </w:r>
      <w:r w:rsidR="00F30D39" w:rsidRPr="00AC71A2">
        <w:rPr>
          <w:sz w:val="24"/>
          <w:szCs w:val="24"/>
        </w:rPr>
        <w:t>zgodnie z przepisami ustawy o VAT</w:t>
      </w:r>
      <w:r w:rsidR="00C64570" w:rsidRPr="00AC71A2">
        <w:rPr>
          <w:sz w:val="24"/>
          <w:szCs w:val="24"/>
        </w:rPr>
        <w:t>,</w:t>
      </w:r>
      <w:r w:rsidR="00F30D39" w:rsidRPr="00AC71A2">
        <w:rPr>
          <w:sz w:val="24"/>
          <w:szCs w:val="24"/>
        </w:rPr>
        <w:t xml:space="preserve"> </w:t>
      </w:r>
      <w:r w:rsidRPr="00AC71A2">
        <w:rPr>
          <w:sz w:val="24"/>
          <w:szCs w:val="24"/>
        </w:rPr>
        <w:t>dostawa ww. wyrobów będzie objęta podstawową stawką podatku VAT.</w:t>
      </w:r>
    </w:p>
    <w:p w14:paraId="2B791EA9" w14:textId="41FBAEB1" w:rsidR="00D60BF2" w:rsidRPr="00AC71A2" w:rsidRDefault="00D60BF2" w:rsidP="00052A8C">
      <w:pPr>
        <w:pStyle w:val="Tekstpodstawowy"/>
        <w:tabs>
          <w:tab w:val="left" w:pos="142"/>
        </w:tabs>
        <w:spacing w:before="120" w:line="360" w:lineRule="auto"/>
        <w:rPr>
          <w:sz w:val="24"/>
          <w:szCs w:val="24"/>
        </w:rPr>
      </w:pPr>
      <w:r w:rsidRPr="00AC71A2">
        <w:rPr>
          <w:sz w:val="24"/>
          <w:szCs w:val="24"/>
        </w:rPr>
        <w:t>W dniu 20 marca 2023 r. weszło w życie rozporządzenie Parlamentu Europejskiego i Rady (UE) 2023/607</w:t>
      </w:r>
      <w:r w:rsidR="00C665F9" w:rsidRPr="00AC71A2">
        <w:rPr>
          <w:rStyle w:val="Odwoanieprzypisudolnego"/>
          <w:sz w:val="24"/>
          <w:szCs w:val="24"/>
        </w:rPr>
        <w:footnoteReference w:id="12"/>
      </w:r>
      <w:r w:rsidR="00436A5E">
        <w:rPr>
          <w:sz w:val="24"/>
          <w:szCs w:val="24"/>
          <w:vertAlign w:val="superscript"/>
        </w:rPr>
        <w:t>)</w:t>
      </w:r>
      <w:r w:rsidRPr="00AC71A2">
        <w:rPr>
          <w:sz w:val="24"/>
          <w:szCs w:val="24"/>
        </w:rPr>
        <w:t>, które zmieniło ww. rozporządzenia m. in. w zakresie udostępniania na rynku i wprowadzania do używania wyrobów wprowadzonych do obrotu na podstawie poprzednich przepisów – istotą tych zmian była możliwość bezterminowego obrotu takimi produktami</w:t>
      </w:r>
      <w:r w:rsidR="00D82F65" w:rsidRPr="00AC71A2">
        <w:rPr>
          <w:rStyle w:val="Odwoanieprzypisudolnego"/>
          <w:sz w:val="24"/>
          <w:szCs w:val="24"/>
        </w:rPr>
        <w:footnoteReference w:id="13"/>
      </w:r>
      <w:r w:rsidR="00436A5E">
        <w:rPr>
          <w:sz w:val="24"/>
          <w:szCs w:val="24"/>
          <w:vertAlign w:val="superscript"/>
        </w:rPr>
        <w:t>)</w:t>
      </w:r>
      <w:r w:rsidR="00C66B6F" w:rsidRPr="00AC71A2">
        <w:rPr>
          <w:sz w:val="24"/>
          <w:szCs w:val="24"/>
        </w:rPr>
        <w:t>, tj.</w:t>
      </w:r>
      <w:r w:rsidR="00CD4D63" w:rsidRPr="00AC71A2">
        <w:rPr>
          <w:sz w:val="24"/>
          <w:szCs w:val="24"/>
        </w:rPr>
        <w:t> </w:t>
      </w:r>
      <w:r w:rsidR="00C66B6F" w:rsidRPr="00AC71A2">
        <w:rPr>
          <w:sz w:val="24"/>
          <w:szCs w:val="24"/>
        </w:rPr>
        <w:t>do momentu</w:t>
      </w:r>
      <w:r w:rsidR="00436A5E">
        <w:rPr>
          <w:sz w:val="24"/>
          <w:szCs w:val="24"/>
        </w:rPr>
        <w:t>,</w:t>
      </w:r>
      <w:r w:rsidR="00C66B6F" w:rsidRPr="00AC71A2">
        <w:rPr>
          <w:sz w:val="24"/>
          <w:szCs w:val="24"/>
        </w:rPr>
        <w:t xml:space="preserve"> kiedy dany wyrób przestanie spełniać wymagania wyrobu medycznego (np.</w:t>
      </w:r>
      <w:r w:rsidR="00CD4D63" w:rsidRPr="00AC71A2">
        <w:rPr>
          <w:sz w:val="24"/>
          <w:szCs w:val="24"/>
        </w:rPr>
        <w:t> </w:t>
      </w:r>
      <w:r w:rsidR="00C66B6F" w:rsidRPr="00AC71A2">
        <w:rPr>
          <w:sz w:val="24"/>
          <w:szCs w:val="24"/>
        </w:rPr>
        <w:t>fizycznie się zużyje czy ulegnie zniszczeniu).</w:t>
      </w:r>
    </w:p>
    <w:p w14:paraId="1978EEAE" w14:textId="23E8DE0C" w:rsidR="009E4D5B" w:rsidRPr="00AC71A2" w:rsidRDefault="009E4D5B" w:rsidP="00052A8C">
      <w:pPr>
        <w:pStyle w:val="Tekstpodstawowy"/>
        <w:tabs>
          <w:tab w:val="left" w:pos="142"/>
        </w:tabs>
        <w:spacing w:before="120" w:line="360" w:lineRule="auto"/>
        <w:rPr>
          <w:sz w:val="24"/>
          <w:szCs w:val="24"/>
        </w:rPr>
      </w:pPr>
      <w:r w:rsidRPr="00AC71A2">
        <w:rPr>
          <w:sz w:val="24"/>
          <w:szCs w:val="24"/>
        </w:rPr>
        <w:lastRenderedPageBreak/>
        <w:t xml:space="preserve">Zgodnie zatem z brzmieniem (pierwotnym, jak i obecnym) wskazanych przepisów rozporządzeń unijnych wyroby medyczne i wyroby medyczne do diagnostyki </w:t>
      </w:r>
      <w:r w:rsidRPr="00052A8C">
        <w:rPr>
          <w:i/>
          <w:iCs/>
          <w:sz w:val="24"/>
          <w:szCs w:val="24"/>
        </w:rPr>
        <w:t>in vitro</w:t>
      </w:r>
      <w:r w:rsidRPr="00AC71A2">
        <w:rPr>
          <w:sz w:val="24"/>
          <w:szCs w:val="24"/>
        </w:rPr>
        <w:t xml:space="preserve"> wprowadzone do obrotu na podstawie poprzednio obowiązujących przepisów regulujących przedmiotową materię, tj. dyrektyw 90/385/EWG</w:t>
      </w:r>
      <w:r w:rsidR="00C66B6F" w:rsidRPr="00AC71A2">
        <w:rPr>
          <w:rStyle w:val="Odwoanieprzypisudolnego"/>
          <w:sz w:val="24"/>
          <w:szCs w:val="24"/>
        </w:rPr>
        <w:footnoteReference w:id="14"/>
      </w:r>
      <w:r w:rsidR="00852B9F">
        <w:rPr>
          <w:sz w:val="24"/>
          <w:szCs w:val="24"/>
          <w:vertAlign w:val="superscript"/>
        </w:rPr>
        <w:t>)</w:t>
      </w:r>
      <w:r w:rsidRPr="00AC71A2">
        <w:rPr>
          <w:sz w:val="24"/>
          <w:szCs w:val="24"/>
        </w:rPr>
        <w:t xml:space="preserve"> i 93/42/EWG</w:t>
      </w:r>
      <w:r w:rsidR="00C66B6F" w:rsidRPr="00AC71A2">
        <w:rPr>
          <w:rStyle w:val="Odwoanieprzypisudolnego"/>
          <w:sz w:val="24"/>
          <w:szCs w:val="24"/>
        </w:rPr>
        <w:footnoteReference w:id="15"/>
      </w:r>
      <w:r w:rsidR="00852B9F">
        <w:rPr>
          <w:sz w:val="24"/>
          <w:szCs w:val="24"/>
          <w:vertAlign w:val="superscript"/>
        </w:rPr>
        <w:t>)</w:t>
      </w:r>
      <w:r w:rsidRPr="00AC71A2">
        <w:rPr>
          <w:sz w:val="24"/>
          <w:szCs w:val="24"/>
        </w:rPr>
        <w:t>, 98/79/WE</w:t>
      </w:r>
      <w:r w:rsidR="00C66B6F" w:rsidRPr="00AC71A2">
        <w:rPr>
          <w:rStyle w:val="Odwoanieprzypisudolnego"/>
          <w:sz w:val="24"/>
          <w:szCs w:val="24"/>
        </w:rPr>
        <w:footnoteReference w:id="16"/>
      </w:r>
      <w:r w:rsidR="00852B9F">
        <w:rPr>
          <w:sz w:val="24"/>
          <w:szCs w:val="24"/>
          <w:vertAlign w:val="superscript"/>
        </w:rPr>
        <w:t>)</w:t>
      </w:r>
      <w:r w:rsidRPr="00AC71A2">
        <w:rPr>
          <w:sz w:val="24"/>
          <w:szCs w:val="24"/>
        </w:rPr>
        <w:t>, mogły być nadal udostępniane na rynku lub wprowadzane do używania (czyli mogły być przedmiotem obrotu).</w:t>
      </w:r>
    </w:p>
    <w:p w14:paraId="1449D21A" w14:textId="3E943E78" w:rsidR="009E4D5B" w:rsidRPr="00AC71A2" w:rsidRDefault="009E4D5B" w:rsidP="00052A8C">
      <w:pPr>
        <w:pStyle w:val="Tekstpodstawowy"/>
        <w:tabs>
          <w:tab w:val="left" w:pos="142"/>
        </w:tabs>
        <w:spacing w:before="120" w:line="360" w:lineRule="auto"/>
        <w:rPr>
          <w:sz w:val="24"/>
          <w:szCs w:val="24"/>
        </w:rPr>
      </w:pPr>
      <w:r w:rsidRPr="00AC71A2">
        <w:rPr>
          <w:sz w:val="24"/>
          <w:szCs w:val="24"/>
        </w:rPr>
        <w:t>Wskazać należy, że ustawa z dnia 20 maja 2010 r. o wyrobach medycznych w</w:t>
      </w:r>
      <w:r w:rsidR="00622504">
        <w:rPr>
          <w:sz w:val="24"/>
          <w:szCs w:val="24"/>
        </w:rPr>
        <w:t xml:space="preserve"> </w:t>
      </w:r>
      <w:r w:rsidRPr="00AC71A2">
        <w:rPr>
          <w:sz w:val="24"/>
          <w:szCs w:val="24"/>
        </w:rPr>
        <w:t>zakresie swojej regulacji wdrażała postanowienia m.in. wskazanych dyrektyw 90/385/EWG</w:t>
      </w:r>
      <w:r w:rsidR="00EF1826">
        <w:rPr>
          <w:sz w:val="24"/>
          <w:szCs w:val="24"/>
        </w:rPr>
        <w:t>,</w:t>
      </w:r>
      <w:r w:rsidRPr="00AC71A2">
        <w:rPr>
          <w:sz w:val="24"/>
          <w:szCs w:val="24"/>
        </w:rPr>
        <w:t xml:space="preserve"> 93/42/EWG</w:t>
      </w:r>
      <w:r w:rsidR="00EF1826">
        <w:rPr>
          <w:sz w:val="24"/>
          <w:szCs w:val="24"/>
        </w:rPr>
        <w:t xml:space="preserve"> i</w:t>
      </w:r>
      <w:r w:rsidRPr="00AC71A2">
        <w:rPr>
          <w:sz w:val="24"/>
          <w:szCs w:val="24"/>
        </w:rPr>
        <w:t xml:space="preserve"> 98/79/WE.</w:t>
      </w:r>
    </w:p>
    <w:p w14:paraId="053CCD16" w14:textId="5FA37CC9" w:rsidR="009E4D5B" w:rsidRPr="00AC71A2" w:rsidRDefault="009E4D5B" w:rsidP="00052A8C">
      <w:pPr>
        <w:pStyle w:val="Tekstpodstawowy"/>
        <w:tabs>
          <w:tab w:val="left" w:pos="142"/>
        </w:tabs>
        <w:spacing w:before="120" w:line="360" w:lineRule="auto"/>
        <w:rPr>
          <w:sz w:val="24"/>
          <w:szCs w:val="24"/>
        </w:rPr>
      </w:pPr>
      <w:r w:rsidRPr="00AC71A2">
        <w:rPr>
          <w:sz w:val="24"/>
          <w:szCs w:val="24"/>
        </w:rPr>
        <w:t>W związku z decyzją o wykreśleniu daty końcowej preferencji w podatku VAT w art.</w:t>
      </w:r>
      <w:r w:rsidR="00AC71A2">
        <w:rPr>
          <w:sz w:val="24"/>
          <w:szCs w:val="24"/>
        </w:rPr>
        <w:t> </w:t>
      </w:r>
      <w:r w:rsidRPr="00AC71A2">
        <w:rPr>
          <w:sz w:val="24"/>
          <w:szCs w:val="24"/>
        </w:rPr>
        <w:t>145c ustawy o VAT, uznano za zasadne bezpośrednie odniesienie się w nim do art. 120 ust.</w:t>
      </w:r>
      <w:r w:rsidR="00AC71A2">
        <w:rPr>
          <w:sz w:val="24"/>
          <w:szCs w:val="24"/>
        </w:rPr>
        <w:t> </w:t>
      </w:r>
      <w:r w:rsidRPr="00AC71A2">
        <w:rPr>
          <w:sz w:val="24"/>
          <w:szCs w:val="24"/>
        </w:rPr>
        <w:t>4 rozporządzenia 2017/745 i art. 110 ust. 4 rozporządzenia 2017/746, które to przepisy dotyczą również wyrobów wprowadzonych do obrotu na podstawie odpowiednio art. 120 ust. 3, 3a, 3b i 3f i art. 110 ust. 3 tych rozporządzeń.</w:t>
      </w:r>
    </w:p>
    <w:p w14:paraId="08948A4E" w14:textId="6A68246A" w:rsidR="009E4D5B" w:rsidRPr="00AC71A2" w:rsidRDefault="009E4D5B" w:rsidP="00052A8C">
      <w:pPr>
        <w:pStyle w:val="Tekstpodstawowy"/>
        <w:tabs>
          <w:tab w:val="left" w:pos="142"/>
        </w:tabs>
        <w:spacing w:before="120" w:line="360" w:lineRule="auto"/>
        <w:rPr>
          <w:sz w:val="24"/>
          <w:szCs w:val="24"/>
        </w:rPr>
      </w:pPr>
      <w:r w:rsidRPr="00AC71A2">
        <w:rPr>
          <w:sz w:val="24"/>
          <w:szCs w:val="24"/>
        </w:rPr>
        <w:t>Ma to na celu zwiększenie przejrzystości prawa i jednoznaczne wskazanie, że wyroby, o</w:t>
      </w:r>
      <w:r w:rsidR="00CD4D63" w:rsidRPr="00AC71A2">
        <w:rPr>
          <w:sz w:val="24"/>
          <w:szCs w:val="24"/>
        </w:rPr>
        <w:t> </w:t>
      </w:r>
      <w:r w:rsidRPr="00AC71A2">
        <w:rPr>
          <w:sz w:val="24"/>
          <w:szCs w:val="24"/>
        </w:rPr>
        <w:t>których mowa w powołanych rozporządzeniach, są objęte stawką 8% bez względu na to, na podstawie których przepisów zostały wprowadzone do obrotu.</w:t>
      </w:r>
    </w:p>
    <w:p w14:paraId="2D5D8790" w14:textId="04F4CA98" w:rsidR="009E4D5B" w:rsidRPr="00052A8C" w:rsidRDefault="009E4D5B" w:rsidP="00052A8C">
      <w:pPr>
        <w:pStyle w:val="Tekstpodstawowy"/>
        <w:tabs>
          <w:tab w:val="left" w:pos="142"/>
        </w:tabs>
        <w:spacing w:before="120" w:line="360" w:lineRule="auto"/>
        <w:rPr>
          <w:sz w:val="24"/>
          <w:szCs w:val="24"/>
        </w:rPr>
      </w:pPr>
      <w:r w:rsidRPr="00AC71A2">
        <w:rPr>
          <w:sz w:val="24"/>
          <w:szCs w:val="24"/>
        </w:rPr>
        <w:t>Nie nastąpiła przy tym zmiana zakresu omawianej preferencji – jak wskazano powyżej ustawa o wyrobach medycznych z 2010 r. wdrażała dyrektywy unijne dotyczące warunków obrotu tymi produktami.</w:t>
      </w:r>
    </w:p>
    <w:p w14:paraId="114B3D32" w14:textId="3849EC25" w:rsidR="00D60BF2" w:rsidRPr="00AC71A2" w:rsidRDefault="00937A3A" w:rsidP="00052A8C">
      <w:pPr>
        <w:pStyle w:val="Tekstpodstawowy"/>
        <w:tabs>
          <w:tab w:val="left" w:pos="142"/>
        </w:tabs>
        <w:spacing w:before="120" w:line="360" w:lineRule="auto"/>
        <w:rPr>
          <w:sz w:val="24"/>
          <w:szCs w:val="24"/>
        </w:rPr>
      </w:pPr>
      <w:r w:rsidRPr="00AC71A2">
        <w:rPr>
          <w:sz w:val="24"/>
          <w:szCs w:val="24"/>
        </w:rPr>
        <w:t xml:space="preserve">Przedłużenie </w:t>
      </w:r>
      <w:r w:rsidR="00D60BF2" w:rsidRPr="00AC71A2">
        <w:rPr>
          <w:sz w:val="24"/>
          <w:szCs w:val="24"/>
        </w:rPr>
        <w:t xml:space="preserve">zatem stosowanej </w:t>
      </w:r>
      <w:r w:rsidR="002F01FF" w:rsidRPr="00AC71A2">
        <w:rPr>
          <w:sz w:val="24"/>
          <w:szCs w:val="24"/>
        </w:rPr>
        <w:t xml:space="preserve">do dostawy </w:t>
      </w:r>
      <w:r w:rsidR="00D60BF2" w:rsidRPr="00AC71A2">
        <w:rPr>
          <w:sz w:val="24"/>
          <w:szCs w:val="24"/>
        </w:rPr>
        <w:t>takich wyrobów stawki VAT w wysokości 8% wpisuje się w ramy regulacji unijnych.</w:t>
      </w:r>
    </w:p>
    <w:p w14:paraId="68CD8727" w14:textId="1DF724C8" w:rsidR="00252A63" w:rsidRPr="00AC71A2" w:rsidRDefault="00B04326" w:rsidP="00052A8C">
      <w:pPr>
        <w:pStyle w:val="Tekstpodstawowy"/>
        <w:tabs>
          <w:tab w:val="left" w:pos="142"/>
        </w:tabs>
        <w:spacing w:before="120" w:line="360" w:lineRule="auto"/>
        <w:rPr>
          <w:sz w:val="24"/>
          <w:szCs w:val="24"/>
        </w:rPr>
      </w:pPr>
      <w:r w:rsidRPr="00AC71A2">
        <w:rPr>
          <w:sz w:val="24"/>
          <w:szCs w:val="24"/>
        </w:rPr>
        <w:t xml:space="preserve">Projektowany przepis art. 145c ustawy o VAT w nowym brzmieniu przedłużający preferencję nie wskazuje konkretnej daty końcowej co oznacza, że </w:t>
      </w:r>
      <w:r w:rsidR="00BB18B9" w:rsidRPr="00AC71A2">
        <w:rPr>
          <w:sz w:val="24"/>
          <w:szCs w:val="24"/>
        </w:rPr>
        <w:t xml:space="preserve">dostawa </w:t>
      </w:r>
      <w:r w:rsidRPr="00AC71A2">
        <w:rPr>
          <w:sz w:val="24"/>
          <w:szCs w:val="24"/>
        </w:rPr>
        <w:t>przedmiotow</w:t>
      </w:r>
      <w:r w:rsidR="00BB18B9" w:rsidRPr="00AC71A2">
        <w:rPr>
          <w:sz w:val="24"/>
          <w:szCs w:val="24"/>
        </w:rPr>
        <w:t>ych</w:t>
      </w:r>
      <w:r w:rsidRPr="00AC71A2">
        <w:rPr>
          <w:sz w:val="24"/>
          <w:szCs w:val="24"/>
        </w:rPr>
        <w:t xml:space="preserve"> wyrob</w:t>
      </w:r>
      <w:r w:rsidR="00BB18B9" w:rsidRPr="00AC71A2">
        <w:rPr>
          <w:sz w:val="24"/>
          <w:szCs w:val="24"/>
        </w:rPr>
        <w:t>ów</w:t>
      </w:r>
      <w:r w:rsidRPr="00AC71A2">
        <w:rPr>
          <w:sz w:val="24"/>
          <w:szCs w:val="24"/>
        </w:rPr>
        <w:t xml:space="preserve"> medyczn</w:t>
      </w:r>
      <w:r w:rsidR="00BB18B9" w:rsidRPr="00AC71A2">
        <w:rPr>
          <w:sz w:val="24"/>
          <w:szCs w:val="24"/>
        </w:rPr>
        <w:t>ych</w:t>
      </w:r>
      <w:r w:rsidRPr="00AC71A2">
        <w:rPr>
          <w:sz w:val="24"/>
          <w:szCs w:val="24"/>
        </w:rPr>
        <w:t xml:space="preserve"> będąc</w:t>
      </w:r>
      <w:r w:rsidR="00BB18B9" w:rsidRPr="00AC71A2">
        <w:rPr>
          <w:sz w:val="24"/>
          <w:szCs w:val="24"/>
        </w:rPr>
        <w:t>ych</w:t>
      </w:r>
      <w:r w:rsidRPr="00AC71A2">
        <w:rPr>
          <w:sz w:val="24"/>
          <w:szCs w:val="24"/>
        </w:rPr>
        <w:t xml:space="preserve"> w obrocie aż do ich fizycznego „zużycia” będ</w:t>
      </w:r>
      <w:r w:rsidR="00BB18B9" w:rsidRPr="00AC71A2">
        <w:rPr>
          <w:sz w:val="24"/>
          <w:szCs w:val="24"/>
        </w:rPr>
        <w:t>zie</w:t>
      </w:r>
      <w:r w:rsidRPr="00AC71A2">
        <w:rPr>
          <w:sz w:val="24"/>
          <w:szCs w:val="24"/>
        </w:rPr>
        <w:t xml:space="preserve"> korzystał</w:t>
      </w:r>
      <w:r w:rsidR="00BB18B9" w:rsidRPr="00AC71A2">
        <w:rPr>
          <w:sz w:val="24"/>
          <w:szCs w:val="24"/>
        </w:rPr>
        <w:t>a</w:t>
      </w:r>
      <w:r w:rsidRPr="00AC71A2">
        <w:rPr>
          <w:sz w:val="24"/>
          <w:szCs w:val="24"/>
        </w:rPr>
        <w:t xml:space="preserve"> z</w:t>
      </w:r>
      <w:r w:rsidR="00C240F4" w:rsidRPr="00AC71A2">
        <w:rPr>
          <w:sz w:val="24"/>
          <w:szCs w:val="24"/>
        </w:rPr>
        <w:t> </w:t>
      </w:r>
      <w:r w:rsidRPr="00AC71A2">
        <w:rPr>
          <w:sz w:val="24"/>
          <w:szCs w:val="24"/>
        </w:rPr>
        <w:t>preferencyjnej 8% stawki VAT.</w:t>
      </w:r>
    </w:p>
    <w:p w14:paraId="5B7A6D50" w14:textId="26505AD2" w:rsidR="00B04326" w:rsidRPr="00AC71A2" w:rsidRDefault="00252A63" w:rsidP="00052A8C">
      <w:pPr>
        <w:pStyle w:val="Tekstpodstawowy"/>
        <w:tabs>
          <w:tab w:val="left" w:pos="142"/>
        </w:tabs>
        <w:spacing w:before="120" w:line="360" w:lineRule="auto"/>
        <w:rPr>
          <w:sz w:val="24"/>
          <w:szCs w:val="24"/>
        </w:rPr>
      </w:pPr>
      <w:r w:rsidRPr="00AC71A2">
        <w:rPr>
          <w:sz w:val="24"/>
          <w:szCs w:val="24"/>
        </w:rPr>
        <w:lastRenderedPageBreak/>
        <w:t>Jednocześnie zaproponowan</w:t>
      </w:r>
      <w:r w:rsidR="00622504">
        <w:rPr>
          <w:sz w:val="24"/>
          <w:szCs w:val="24"/>
        </w:rPr>
        <w:t>a</w:t>
      </w:r>
      <w:r w:rsidRPr="00AC71A2">
        <w:rPr>
          <w:sz w:val="24"/>
          <w:szCs w:val="24"/>
        </w:rPr>
        <w:t xml:space="preserve"> zmian</w:t>
      </w:r>
      <w:r w:rsidR="00622504">
        <w:rPr>
          <w:sz w:val="24"/>
          <w:szCs w:val="24"/>
        </w:rPr>
        <w:t>a</w:t>
      </w:r>
      <w:r w:rsidRPr="00AC71A2">
        <w:rPr>
          <w:sz w:val="24"/>
          <w:szCs w:val="24"/>
        </w:rPr>
        <w:t xml:space="preserve"> brzmienia</w:t>
      </w:r>
      <w:r w:rsidR="00156E67" w:rsidRPr="00AC71A2">
        <w:rPr>
          <w:sz w:val="24"/>
          <w:szCs w:val="24"/>
        </w:rPr>
        <w:t xml:space="preserve"> art. 145d </w:t>
      </w:r>
      <w:r w:rsidR="005D0781" w:rsidRPr="00AC71A2">
        <w:rPr>
          <w:sz w:val="24"/>
          <w:szCs w:val="24"/>
        </w:rPr>
        <w:t>ustawy o VAT</w:t>
      </w:r>
      <w:r w:rsidRPr="00AC71A2">
        <w:rPr>
          <w:sz w:val="24"/>
          <w:szCs w:val="24"/>
        </w:rPr>
        <w:t xml:space="preserve"> </w:t>
      </w:r>
      <w:r w:rsidR="00156E67" w:rsidRPr="00AC71A2">
        <w:rPr>
          <w:sz w:val="24"/>
          <w:szCs w:val="24"/>
        </w:rPr>
        <w:t>ma charakter dostosowawczy i</w:t>
      </w:r>
      <w:r w:rsidR="00622504">
        <w:rPr>
          <w:sz w:val="24"/>
          <w:szCs w:val="24"/>
        </w:rPr>
        <w:t xml:space="preserve"> </w:t>
      </w:r>
      <w:r w:rsidR="00156E67" w:rsidRPr="00AC71A2">
        <w:rPr>
          <w:sz w:val="24"/>
          <w:szCs w:val="24"/>
        </w:rPr>
        <w:t>zapewnia zgodność z nowym brzmieniem a</w:t>
      </w:r>
      <w:r w:rsidR="00083E12" w:rsidRPr="00AC71A2">
        <w:rPr>
          <w:sz w:val="24"/>
          <w:szCs w:val="24"/>
        </w:rPr>
        <w:t>r</w:t>
      </w:r>
      <w:r w:rsidR="00156E67" w:rsidRPr="00AC71A2">
        <w:rPr>
          <w:sz w:val="24"/>
          <w:szCs w:val="24"/>
        </w:rPr>
        <w:t>t. 145c</w:t>
      </w:r>
      <w:r w:rsidR="005D0781" w:rsidRPr="00AC71A2">
        <w:rPr>
          <w:sz w:val="24"/>
          <w:szCs w:val="24"/>
        </w:rPr>
        <w:t xml:space="preserve"> ustawy o VAT</w:t>
      </w:r>
      <w:r w:rsidR="00156E67" w:rsidRPr="00AC71A2">
        <w:rPr>
          <w:sz w:val="24"/>
          <w:szCs w:val="24"/>
        </w:rPr>
        <w:t>.</w:t>
      </w:r>
    </w:p>
    <w:p w14:paraId="3028CFAC" w14:textId="73B90387" w:rsidR="00D60BF2" w:rsidRPr="00AC71A2" w:rsidRDefault="00D60BF2" w:rsidP="00052A8C">
      <w:pPr>
        <w:pStyle w:val="Tekstpodstawowy"/>
        <w:tabs>
          <w:tab w:val="left" w:pos="142"/>
        </w:tabs>
        <w:spacing w:before="120" w:line="360" w:lineRule="auto"/>
        <w:rPr>
          <w:sz w:val="24"/>
          <w:szCs w:val="24"/>
        </w:rPr>
      </w:pPr>
      <w:r w:rsidRPr="00AC71A2">
        <w:rPr>
          <w:sz w:val="24"/>
          <w:szCs w:val="24"/>
        </w:rPr>
        <w:t xml:space="preserve">Proponowane rozwiązanie zapewni, że </w:t>
      </w:r>
      <w:r w:rsidR="00BB18B9" w:rsidRPr="00AC71A2">
        <w:rPr>
          <w:sz w:val="24"/>
          <w:szCs w:val="24"/>
        </w:rPr>
        <w:t xml:space="preserve">dostawa </w:t>
      </w:r>
      <w:r w:rsidRPr="00AC71A2">
        <w:rPr>
          <w:sz w:val="24"/>
          <w:szCs w:val="24"/>
        </w:rPr>
        <w:t>wszystki</w:t>
      </w:r>
      <w:r w:rsidR="00BB18B9" w:rsidRPr="00AC71A2">
        <w:rPr>
          <w:sz w:val="24"/>
          <w:szCs w:val="24"/>
        </w:rPr>
        <w:t>ch</w:t>
      </w:r>
      <w:r w:rsidRPr="00AC71A2">
        <w:rPr>
          <w:sz w:val="24"/>
          <w:szCs w:val="24"/>
        </w:rPr>
        <w:t xml:space="preserve"> wyrob</w:t>
      </w:r>
      <w:r w:rsidR="00BB18B9" w:rsidRPr="00AC71A2">
        <w:rPr>
          <w:sz w:val="24"/>
          <w:szCs w:val="24"/>
        </w:rPr>
        <w:t>ów</w:t>
      </w:r>
      <w:r w:rsidRPr="00AC71A2">
        <w:rPr>
          <w:sz w:val="24"/>
          <w:szCs w:val="24"/>
        </w:rPr>
        <w:t xml:space="preserve"> medyczn</w:t>
      </w:r>
      <w:r w:rsidR="00BB18B9" w:rsidRPr="00AC71A2">
        <w:rPr>
          <w:sz w:val="24"/>
          <w:szCs w:val="24"/>
        </w:rPr>
        <w:t>ych</w:t>
      </w:r>
      <w:r w:rsidRPr="00AC71A2">
        <w:rPr>
          <w:sz w:val="24"/>
          <w:szCs w:val="24"/>
        </w:rPr>
        <w:t xml:space="preserve"> (które spełniać będą określone przepisami wymagania) – niezależnie od tego, czy zostały </w:t>
      </w:r>
      <w:r w:rsidR="00AB4EAF" w:rsidRPr="00AC71A2">
        <w:rPr>
          <w:sz w:val="24"/>
          <w:szCs w:val="24"/>
        </w:rPr>
        <w:t>wprowadzone</w:t>
      </w:r>
      <w:r w:rsidRPr="00AC71A2">
        <w:rPr>
          <w:sz w:val="24"/>
          <w:szCs w:val="24"/>
        </w:rPr>
        <w:t xml:space="preserve"> do obrotu na podstawie poprzednich czy też obecnie obowiązujących przepisów krajowych regulujących ten obszar – </w:t>
      </w:r>
      <w:r w:rsidR="00BB18B9" w:rsidRPr="00AC71A2">
        <w:rPr>
          <w:sz w:val="24"/>
          <w:szCs w:val="24"/>
        </w:rPr>
        <w:t xml:space="preserve">będzie </w:t>
      </w:r>
      <w:r w:rsidRPr="00AC71A2">
        <w:rPr>
          <w:sz w:val="24"/>
          <w:szCs w:val="24"/>
        </w:rPr>
        <w:t>opodatkowan</w:t>
      </w:r>
      <w:r w:rsidR="00BB18B9" w:rsidRPr="00AC71A2">
        <w:rPr>
          <w:sz w:val="24"/>
          <w:szCs w:val="24"/>
        </w:rPr>
        <w:t>a</w:t>
      </w:r>
      <w:r w:rsidRPr="00AC71A2">
        <w:rPr>
          <w:sz w:val="24"/>
          <w:szCs w:val="24"/>
        </w:rPr>
        <w:t xml:space="preserve"> taką samą stawką VAT. Zapewni to równe traktowanie przedsiębiorców dokonujących obrotu krajowego takimi wyrobami, a</w:t>
      </w:r>
      <w:r w:rsidR="00BB18B9" w:rsidRPr="00AC71A2">
        <w:rPr>
          <w:sz w:val="24"/>
          <w:szCs w:val="24"/>
        </w:rPr>
        <w:t> </w:t>
      </w:r>
      <w:r w:rsidRPr="00AC71A2">
        <w:rPr>
          <w:sz w:val="24"/>
          <w:szCs w:val="24"/>
        </w:rPr>
        <w:t>zatem nie wpłynie na konkurencję na rynku krajowym.</w:t>
      </w:r>
    </w:p>
    <w:p w14:paraId="633F523A" w14:textId="47571091" w:rsidR="005C7153" w:rsidRPr="00AC71A2" w:rsidRDefault="00D60BF2" w:rsidP="00052A8C">
      <w:pPr>
        <w:pStyle w:val="Tekstpodstawowy"/>
        <w:tabs>
          <w:tab w:val="left" w:pos="142"/>
        </w:tabs>
        <w:spacing w:before="120" w:line="360" w:lineRule="auto"/>
        <w:rPr>
          <w:sz w:val="24"/>
          <w:szCs w:val="24"/>
        </w:rPr>
      </w:pPr>
      <w:r w:rsidRPr="00AC71A2">
        <w:rPr>
          <w:sz w:val="24"/>
          <w:szCs w:val="24"/>
        </w:rPr>
        <w:t>Oceniając wpływ tego rozwiązania na konkurencję na rynku UE</w:t>
      </w:r>
      <w:r w:rsidR="00622504">
        <w:rPr>
          <w:sz w:val="24"/>
          <w:szCs w:val="24"/>
        </w:rPr>
        <w:t>,</w:t>
      </w:r>
      <w:r w:rsidRPr="00AC71A2">
        <w:rPr>
          <w:sz w:val="24"/>
          <w:szCs w:val="24"/>
        </w:rPr>
        <w:t xml:space="preserve"> wskazać należy, że zgodnie z</w:t>
      </w:r>
      <w:r w:rsidR="00D82F65" w:rsidRPr="00AC71A2">
        <w:rPr>
          <w:sz w:val="24"/>
          <w:szCs w:val="24"/>
        </w:rPr>
        <w:t> </w:t>
      </w:r>
      <w:r w:rsidRPr="00AC71A2">
        <w:rPr>
          <w:sz w:val="24"/>
          <w:szCs w:val="24"/>
        </w:rPr>
        <w:t xml:space="preserve">przepisami dyrektywy VAT państwa członkowskie UE mogą stosować stawkę obniżoną </w:t>
      </w:r>
      <w:r w:rsidR="005E52F2" w:rsidRPr="00AC71A2">
        <w:rPr>
          <w:sz w:val="24"/>
          <w:szCs w:val="24"/>
        </w:rPr>
        <w:t xml:space="preserve">do dostawy </w:t>
      </w:r>
      <w:r w:rsidRPr="00AC71A2">
        <w:rPr>
          <w:sz w:val="24"/>
          <w:szCs w:val="24"/>
        </w:rPr>
        <w:t>tego rodzaju produktów</w:t>
      </w:r>
      <w:r w:rsidR="00D82F65" w:rsidRPr="00AC71A2">
        <w:rPr>
          <w:rStyle w:val="Odwoanieprzypisudolnego"/>
          <w:sz w:val="24"/>
          <w:szCs w:val="24"/>
        </w:rPr>
        <w:footnoteReference w:id="17"/>
      </w:r>
      <w:r w:rsidR="00622504">
        <w:rPr>
          <w:sz w:val="24"/>
          <w:szCs w:val="24"/>
          <w:vertAlign w:val="superscript"/>
        </w:rPr>
        <w:t>)</w:t>
      </w:r>
      <w:r w:rsidRPr="00AC71A2">
        <w:rPr>
          <w:sz w:val="24"/>
          <w:szCs w:val="24"/>
        </w:rPr>
        <w:t xml:space="preserve">, </w:t>
      </w:r>
      <w:r w:rsidR="005E52F2" w:rsidRPr="00AC71A2">
        <w:rPr>
          <w:sz w:val="24"/>
          <w:szCs w:val="24"/>
        </w:rPr>
        <w:t xml:space="preserve">z jednoczesną </w:t>
      </w:r>
      <w:r w:rsidRPr="00AC71A2">
        <w:rPr>
          <w:sz w:val="24"/>
          <w:szCs w:val="24"/>
        </w:rPr>
        <w:t>swobod</w:t>
      </w:r>
      <w:r w:rsidR="005E52F2" w:rsidRPr="00AC71A2">
        <w:rPr>
          <w:sz w:val="24"/>
          <w:szCs w:val="24"/>
        </w:rPr>
        <w:t>ą</w:t>
      </w:r>
      <w:r w:rsidRPr="00AC71A2">
        <w:rPr>
          <w:sz w:val="24"/>
          <w:szCs w:val="24"/>
        </w:rPr>
        <w:t xml:space="preserve"> w określeniu wysokości tej stawki. W odniesieniu do tej kategorii produktów może to być nawet zwolnienie z prawem do odliczenia (w istocie stawka 0%). Kwestia określenia – co jest wyrobem medycznym dla potrzeb stosowania przepisów VAT (wysokości stawki VAT, jeśli dane państwo członkowskie stosuje preferencyjną stawkę VAT) pozostaje w gestii państw członkowskich UE, zatem wprowadzone </w:t>
      </w:r>
      <w:r w:rsidR="00E10E27" w:rsidRPr="00AC71A2">
        <w:rPr>
          <w:sz w:val="24"/>
          <w:szCs w:val="24"/>
        </w:rPr>
        <w:t xml:space="preserve">w przepisach krajowych </w:t>
      </w:r>
      <w:r w:rsidRPr="00AC71A2">
        <w:rPr>
          <w:sz w:val="24"/>
          <w:szCs w:val="24"/>
        </w:rPr>
        <w:t>doprecyzowanie nie wpływa na konkurencję na rynku UE (to w gestii państwa członkowskiego innego niż Polska będzie</w:t>
      </w:r>
      <w:r w:rsidR="00193771" w:rsidRPr="00AC71A2">
        <w:rPr>
          <w:sz w:val="24"/>
          <w:szCs w:val="24"/>
        </w:rPr>
        <w:t xml:space="preserve"> określenie</w:t>
      </w:r>
      <w:r w:rsidRPr="00AC71A2">
        <w:rPr>
          <w:sz w:val="24"/>
          <w:szCs w:val="24"/>
        </w:rPr>
        <w:t>, czy wyroby, które w Polsce mogą być opodatkowane stawką 8%</w:t>
      </w:r>
      <w:r w:rsidR="005E52F2" w:rsidRPr="00AC71A2">
        <w:rPr>
          <w:sz w:val="24"/>
          <w:szCs w:val="24"/>
        </w:rPr>
        <w:t>,</w:t>
      </w:r>
      <w:r w:rsidRPr="00AC71A2">
        <w:rPr>
          <w:sz w:val="24"/>
          <w:szCs w:val="24"/>
        </w:rPr>
        <w:t xml:space="preserve"> będą </w:t>
      </w:r>
      <w:r w:rsidR="005E52F2" w:rsidRPr="00AC71A2">
        <w:rPr>
          <w:sz w:val="24"/>
          <w:szCs w:val="24"/>
        </w:rPr>
        <w:t xml:space="preserve">mogły być </w:t>
      </w:r>
      <w:r w:rsidRPr="00AC71A2">
        <w:rPr>
          <w:sz w:val="24"/>
          <w:szCs w:val="24"/>
        </w:rPr>
        <w:t xml:space="preserve">opodatkowane stawką preferencyjną w </w:t>
      </w:r>
      <w:r w:rsidR="00193771" w:rsidRPr="00AC71A2">
        <w:rPr>
          <w:sz w:val="24"/>
          <w:szCs w:val="24"/>
        </w:rPr>
        <w:t xml:space="preserve">tym </w:t>
      </w:r>
      <w:r w:rsidRPr="00AC71A2">
        <w:rPr>
          <w:sz w:val="24"/>
          <w:szCs w:val="24"/>
        </w:rPr>
        <w:t>innym państwie członkowskim).</w:t>
      </w:r>
    </w:p>
    <w:p w14:paraId="09265E1E" w14:textId="77777777" w:rsidR="000F36C1" w:rsidRPr="00AC71A2" w:rsidRDefault="000F36C1" w:rsidP="00052A8C">
      <w:pPr>
        <w:pStyle w:val="Tekstpodstawowy"/>
        <w:tabs>
          <w:tab w:val="left" w:pos="142"/>
        </w:tabs>
        <w:spacing w:before="120" w:line="360" w:lineRule="auto"/>
        <w:rPr>
          <w:sz w:val="24"/>
          <w:szCs w:val="24"/>
        </w:rPr>
      </w:pPr>
    </w:p>
    <w:p w14:paraId="63CB5848" w14:textId="5F300D78" w:rsidR="00D35405" w:rsidRPr="00622504" w:rsidRDefault="00C343A4" w:rsidP="00052A8C">
      <w:pPr>
        <w:pStyle w:val="Tekstpodstawowy"/>
        <w:numPr>
          <w:ilvl w:val="0"/>
          <w:numId w:val="10"/>
        </w:numPr>
        <w:spacing w:before="120" w:line="360" w:lineRule="auto"/>
        <w:ind w:left="709" w:hanging="425"/>
        <w:rPr>
          <w:b/>
          <w:bCs/>
          <w:sz w:val="24"/>
          <w:szCs w:val="24"/>
        </w:rPr>
      </w:pPr>
      <w:r w:rsidRPr="00AC71A2">
        <w:rPr>
          <w:b/>
          <w:bCs/>
          <w:sz w:val="24"/>
          <w:szCs w:val="24"/>
        </w:rPr>
        <w:t>Doprecyzowanie przepisów dotyczących stosowania stawki obniżonej na nawozy, środki ochrony roślin i pasze przez odwołanie do definicji tych produktów w</w:t>
      </w:r>
      <w:r w:rsidR="00CD4D63" w:rsidRPr="00AC71A2">
        <w:rPr>
          <w:b/>
          <w:bCs/>
          <w:sz w:val="24"/>
          <w:szCs w:val="24"/>
        </w:rPr>
        <w:t> </w:t>
      </w:r>
      <w:r w:rsidRPr="00AC71A2">
        <w:rPr>
          <w:b/>
          <w:bCs/>
          <w:sz w:val="24"/>
          <w:szCs w:val="24"/>
        </w:rPr>
        <w:t xml:space="preserve">określonych przepisach branżowych </w:t>
      </w:r>
      <w:r w:rsidR="00622504">
        <w:rPr>
          <w:b/>
          <w:bCs/>
          <w:sz w:val="24"/>
          <w:szCs w:val="24"/>
        </w:rPr>
        <w:t>–</w:t>
      </w:r>
      <w:r w:rsidRPr="00AC71A2">
        <w:rPr>
          <w:b/>
          <w:bCs/>
          <w:sz w:val="24"/>
          <w:szCs w:val="24"/>
        </w:rPr>
        <w:t xml:space="preserve"> </w:t>
      </w:r>
      <w:r w:rsidRPr="00622504">
        <w:rPr>
          <w:b/>
          <w:bCs/>
          <w:sz w:val="24"/>
          <w:szCs w:val="24"/>
        </w:rPr>
        <w:t>s</w:t>
      </w:r>
      <w:r w:rsidR="00BB18B9" w:rsidRPr="00622504">
        <w:rPr>
          <w:b/>
          <w:bCs/>
          <w:sz w:val="24"/>
          <w:szCs w:val="24"/>
        </w:rPr>
        <w:t xml:space="preserve">kreślenie </w:t>
      </w:r>
      <w:r w:rsidR="00D36975" w:rsidRPr="00622504">
        <w:rPr>
          <w:b/>
          <w:bCs/>
          <w:sz w:val="24"/>
          <w:szCs w:val="24"/>
        </w:rPr>
        <w:t xml:space="preserve">poz. 10 załącznika nr 3 do ustawy o VAT </w:t>
      </w:r>
      <w:r w:rsidR="00BB18B9" w:rsidRPr="00622504">
        <w:rPr>
          <w:b/>
          <w:bCs/>
          <w:sz w:val="24"/>
          <w:szCs w:val="24"/>
        </w:rPr>
        <w:t xml:space="preserve">oraz wprowadzenie poz. 10a (dotyczącej </w:t>
      </w:r>
      <w:r w:rsidR="005F446D" w:rsidRPr="00622504">
        <w:rPr>
          <w:b/>
          <w:bCs/>
          <w:sz w:val="24"/>
          <w:szCs w:val="24"/>
        </w:rPr>
        <w:t>produktów nawozowych</w:t>
      </w:r>
      <w:r w:rsidR="00BB18B9" w:rsidRPr="00622504">
        <w:rPr>
          <w:b/>
          <w:bCs/>
          <w:sz w:val="24"/>
          <w:szCs w:val="24"/>
        </w:rPr>
        <w:t xml:space="preserve">), poz. 10b (dotyczącej środków ochrony roślin) oraz poz. 10c (dotyczącej pasz) </w:t>
      </w:r>
      <w:r w:rsidR="008664B1" w:rsidRPr="00622504">
        <w:rPr>
          <w:b/>
          <w:bCs/>
          <w:sz w:val="24"/>
          <w:szCs w:val="24"/>
        </w:rPr>
        <w:t xml:space="preserve">- </w:t>
      </w:r>
      <w:r w:rsidR="00D35405" w:rsidRPr="00622504">
        <w:rPr>
          <w:b/>
          <w:bCs/>
          <w:sz w:val="24"/>
          <w:szCs w:val="24"/>
        </w:rPr>
        <w:t>(art.</w:t>
      </w:r>
      <w:r w:rsidR="00BB18B9" w:rsidRPr="00622504">
        <w:rPr>
          <w:b/>
          <w:bCs/>
          <w:sz w:val="24"/>
          <w:szCs w:val="24"/>
        </w:rPr>
        <w:t> </w:t>
      </w:r>
      <w:r w:rsidR="00D35405" w:rsidRPr="00622504">
        <w:rPr>
          <w:b/>
          <w:bCs/>
          <w:sz w:val="24"/>
          <w:szCs w:val="24"/>
        </w:rPr>
        <w:t xml:space="preserve">1 pkt </w:t>
      </w:r>
      <w:r w:rsidR="00F87A73" w:rsidRPr="00622504">
        <w:rPr>
          <w:b/>
          <w:bCs/>
          <w:sz w:val="24"/>
          <w:szCs w:val="24"/>
        </w:rPr>
        <w:t xml:space="preserve">4 </w:t>
      </w:r>
      <w:r w:rsidR="00D35405" w:rsidRPr="00622504">
        <w:rPr>
          <w:b/>
          <w:bCs/>
          <w:sz w:val="24"/>
          <w:szCs w:val="24"/>
        </w:rPr>
        <w:t xml:space="preserve">lit. </w:t>
      </w:r>
      <w:r w:rsidR="004424E4" w:rsidRPr="00622504">
        <w:rPr>
          <w:b/>
          <w:bCs/>
          <w:sz w:val="24"/>
          <w:szCs w:val="24"/>
        </w:rPr>
        <w:t>a</w:t>
      </w:r>
      <w:r w:rsidR="00193771" w:rsidRPr="00622504">
        <w:rPr>
          <w:b/>
          <w:bCs/>
          <w:sz w:val="24"/>
          <w:szCs w:val="24"/>
        </w:rPr>
        <w:t xml:space="preserve"> i </w:t>
      </w:r>
      <w:r w:rsidR="004424E4" w:rsidRPr="00622504">
        <w:rPr>
          <w:b/>
          <w:bCs/>
          <w:sz w:val="24"/>
          <w:szCs w:val="24"/>
        </w:rPr>
        <w:t>b</w:t>
      </w:r>
      <w:r w:rsidR="00D35405" w:rsidRPr="00622504">
        <w:rPr>
          <w:b/>
          <w:bCs/>
          <w:sz w:val="24"/>
          <w:szCs w:val="24"/>
        </w:rPr>
        <w:t xml:space="preserve"> projektu ustawy)</w:t>
      </w:r>
    </w:p>
    <w:p w14:paraId="27B3404C" w14:textId="7202CCD7" w:rsidR="00611EF9" w:rsidRPr="00052A8C" w:rsidRDefault="00611EF9" w:rsidP="00052A8C">
      <w:pPr>
        <w:spacing w:before="120" w:after="0" w:line="360" w:lineRule="auto"/>
        <w:jc w:val="both"/>
        <w:rPr>
          <w:sz w:val="24"/>
          <w:szCs w:val="24"/>
        </w:rPr>
      </w:pPr>
      <w:r w:rsidRPr="00052A8C">
        <w:rPr>
          <w:rFonts w:ascii="Times New Roman" w:hAnsi="Times New Roman" w:cs="Times New Roman"/>
          <w:sz w:val="24"/>
          <w:szCs w:val="24"/>
        </w:rPr>
        <w:t xml:space="preserve">Obecnie </w:t>
      </w:r>
      <w:r w:rsidR="00BB18B9" w:rsidRPr="00052A8C">
        <w:rPr>
          <w:rFonts w:ascii="Times New Roman" w:hAnsi="Times New Roman" w:cs="Times New Roman"/>
          <w:sz w:val="24"/>
          <w:szCs w:val="24"/>
        </w:rPr>
        <w:t xml:space="preserve">dostawa nawozów </w:t>
      </w:r>
      <w:r w:rsidR="008F1CE8" w:rsidRPr="00052A8C">
        <w:rPr>
          <w:rFonts w:ascii="Times New Roman" w:hAnsi="Times New Roman" w:cs="Times New Roman"/>
          <w:sz w:val="24"/>
          <w:szCs w:val="24"/>
        </w:rPr>
        <w:t>i środk</w:t>
      </w:r>
      <w:r w:rsidR="00BB18B9" w:rsidRPr="00052A8C">
        <w:rPr>
          <w:rFonts w:ascii="Times New Roman" w:hAnsi="Times New Roman" w:cs="Times New Roman"/>
          <w:sz w:val="24"/>
          <w:szCs w:val="24"/>
        </w:rPr>
        <w:t>ów</w:t>
      </w:r>
      <w:r w:rsidR="008F1CE8" w:rsidRPr="00052A8C">
        <w:rPr>
          <w:rFonts w:ascii="Times New Roman" w:hAnsi="Times New Roman" w:cs="Times New Roman"/>
          <w:sz w:val="24"/>
          <w:szCs w:val="24"/>
        </w:rPr>
        <w:t xml:space="preserve"> ochrony roślin – zwykle przeznaczon</w:t>
      </w:r>
      <w:r w:rsidR="00193771" w:rsidRPr="00052A8C">
        <w:rPr>
          <w:rFonts w:ascii="Times New Roman" w:hAnsi="Times New Roman" w:cs="Times New Roman"/>
          <w:sz w:val="24"/>
          <w:szCs w:val="24"/>
        </w:rPr>
        <w:t>ych</w:t>
      </w:r>
      <w:r w:rsidR="008F1CE8" w:rsidRPr="00052A8C">
        <w:rPr>
          <w:rFonts w:ascii="Times New Roman" w:hAnsi="Times New Roman" w:cs="Times New Roman"/>
          <w:sz w:val="24"/>
          <w:szCs w:val="24"/>
        </w:rPr>
        <w:t xml:space="preserve"> do wykorzystania w produkcji rolnej, oraz pasz i</w:t>
      </w:r>
      <w:r w:rsidR="00AC71A2" w:rsidRPr="00052A8C">
        <w:rPr>
          <w:rFonts w:ascii="Times New Roman" w:hAnsi="Times New Roman" w:cs="Times New Roman"/>
          <w:sz w:val="24"/>
          <w:szCs w:val="24"/>
        </w:rPr>
        <w:t xml:space="preserve"> </w:t>
      </w:r>
      <w:r w:rsidR="008F1CE8" w:rsidRPr="00052A8C">
        <w:rPr>
          <w:rFonts w:ascii="Times New Roman" w:hAnsi="Times New Roman" w:cs="Times New Roman"/>
          <w:sz w:val="24"/>
          <w:szCs w:val="24"/>
        </w:rPr>
        <w:t>karm dla zwierząt gospodarskich i domowych</w:t>
      </w:r>
      <w:r w:rsidRPr="00052A8C">
        <w:rPr>
          <w:rFonts w:ascii="Times New Roman" w:hAnsi="Times New Roman" w:cs="Times New Roman"/>
          <w:sz w:val="24"/>
          <w:szCs w:val="24"/>
        </w:rPr>
        <w:t xml:space="preserve"> </w:t>
      </w:r>
      <w:r w:rsidR="00BB18B9" w:rsidRPr="00052A8C">
        <w:rPr>
          <w:rFonts w:ascii="Times New Roman" w:hAnsi="Times New Roman" w:cs="Times New Roman"/>
          <w:sz w:val="24"/>
          <w:szCs w:val="24"/>
        </w:rPr>
        <w:lastRenderedPageBreak/>
        <w:t xml:space="preserve">jest </w:t>
      </w:r>
      <w:r w:rsidRPr="00052A8C">
        <w:rPr>
          <w:rFonts w:ascii="Times New Roman" w:hAnsi="Times New Roman" w:cs="Times New Roman"/>
          <w:sz w:val="24"/>
          <w:szCs w:val="24"/>
        </w:rPr>
        <w:t>opodatkowan</w:t>
      </w:r>
      <w:r w:rsidR="00BB18B9" w:rsidRPr="00052A8C">
        <w:rPr>
          <w:rFonts w:ascii="Times New Roman" w:hAnsi="Times New Roman" w:cs="Times New Roman"/>
          <w:sz w:val="24"/>
          <w:szCs w:val="24"/>
        </w:rPr>
        <w:t>a</w:t>
      </w:r>
      <w:r w:rsidRPr="00052A8C">
        <w:rPr>
          <w:rFonts w:ascii="Times New Roman" w:hAnsi="Times New Roman" w:cs="Times New Roman"/>
          <w:sz w:val="24"/>
          <w:szCs w:val="24"/>
        </w:rPr>
        <w:t xml:space="preserve"> stawką 8% (poz. 10 z</w:t>
      </w:r>
      <w:r w:rsidR="00B028A9" w:rsidRPr="00052A8C">
        <w:rPr>
          <w:rFonts w:ascii="Times New Roman" w:hAnsi="Times New Roman" w:cs="Times New Roman"/>
          <w:sz w:val="24"/>
          <w:szCs w:val="24"/>
        </w:rPr>
        <w:t>ałą</w:t>
      </w:r>
      <w:r w:rsidRPr="00052A8C">
        <w:rPr>
          <w:rFonts w:ascii="Times New Roman" w:hAnsi="Times New Roman" w:cs="Times New Roman"/>
          <w:sz w:val="24"/>
          <w:szCs w:val="24"/>
        </w:rPr>
        <w:t>cznika nr 3 do ustawy o VAT).</w:t>
      </w:r>
      <w:r w:rsidR="008F1CE8" w:rsidRPr="00052A8C">
        <w:rPr>
          <w:rFonts w:ascii="Times New Roman" w:hAnsi="Times New Roman" w:cs="Times New Roman"/>
          <w:sz w:val="24"/>
          <w:szCs w:val="24"/>
        </w:rPr>
        <w:t xml:space="preserve"> </w:t>
      </w:r>
      <w:r w:rsidRPr="00052A8C">
        <w:rPr>
          <w:rFonts w:ascii="Times New Roman" w:hAnsi="Times New Roman" w:cs="Times New Roman"/>
          <w:sz w:val="24"/>
          <w:szCs w:val="24"/>
        </w:rPr>
        <w:t xml:space="preserve">Przepisy VAT nie precyzują przy tym co należy </w:t>
      </w:r>
      <w:r w:rsidR="00F341C8" w:rsidRPr="00052A8C">
        <w:rPr>
          <w:rFonts w:ascii="Times New Roman" w:hAnsi="Times New Roman" w:cs="Times New Roman"/>
          <w:sz w:val="24"/>
          <w:szCs w:val="24"/>
        </w:rPr>
        <w:t xml:space="preserve">rozumieć pod </w:t>
      </w:r>
      <w:r w:rsidRPr="00052A8C">
        <w:rPr>
          <w:rFonts w:ascii="Times New Roman" w:hAnsi="Times New Roman" w:cs="Times New Roman"/>
          <w:sz w:val="24"/>
          <w:szCs w:val="24"/>
        </w:rPr>
        <w:t>poję</w:t>
      </w:r>
      <w:r w:rsidR="007449C9" w:rsidRPr="00052A8C">
        <w:rPr>
          <w:rFonts w:ascii="Times New Roman" w:hAnsi="Times New Roman" w:cs="Times New Roman"/>
          <w:sz w:val="24"/>
          <w:szCs w:val="24"/>
        </w:rPr>
        <w:t>ciem</w:t>
      </w:r>
      <w:r w:rsidRPr="00052A8C">
        <w:rPr>
          <w:rFonts w:ascii="Times New Roman" w:hAnsi="Times New Roman" w:cs="Times New Roman"/>
          <w:sz w:val="24"/>
          <w:szCs w:val="24"/>
        </w:rPr>
        <w:t xml:space="preserve"> nawozu, środka ochrony roślin oraz paszy</w:t>
      </w:r>
      <w:r w:rsidR="00F341C8" w:rsidRPr="00052A8C">
        <w:rPr>
          <w:rFonts w:ascii="Times New Roman" w:hAnsi="Times New Roman" w:cs="Times New Roman"/>
          <w:sz w:val="24"/>
          <w:szCs w:val="24"/>
        </w:rPr>
        <w:t>, co powoduje wątpliwości interpretacyjne</w:t>
      </w:r>
      <w:r w:rsidR="00E824C9" w:rsidRPr="00052A8C">
        <w:rPr>
          <w:rFonts w:ascii="Times New Roman" w:hAnsi="Times New Roman" w:cs="Times New Roman"/>
          <w:sz w:val="24"/>
          <w:szCs w:val="24"/>
        </w:rPr>
        <w:t xml:space="preserve"> i </w:t>
      </w:r>
      <w:r w:rsidR="00F341C8" w:rsidRPr="00052A8C">
        <w:rPr>
          <w:rFonts w:ascii="Times New Roman" w:hAnsi="Times New Roman" w:cs="Times New Roman"/>
          <w:sz w:val="24"/>
          <w:szCs w:val="24"/>
        </w:rPr>
        <w:t>ma swoje konsekwencje w orzecznictwie krajowym.</w:t>
      </w:r>
    </w:p>
    <w:p w14:paraId="0BEE4BEA" w14:textId="60031D36" w:rsidR="00E824C9" w:rsidRPr="00AC71A2" w:rsidRDefault="00E824C9"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Aby wyeliminować niejednoznaczne rozumienie i interpretowanie przepisów prawa oraz niepewność podatników, jak również zakłócenia konkurencji na rynku zaproponowano </w:t>
      </w:r>
      <w:r w:rsidR="00BB18B9" w:rsidRPr="00AC71A2">
        <w:rPr>
          <w:rFonts w:ascii="Times New Roman" w:hAnsi="Times New Roman" w:cs="Times New Roman"/>
          <w:sz w:val="24"/>
          <w:szCs w:val="24"/>
        </w:rPr>
        <w:t xml:space="preserve">skreślenie </w:t>
      </w:r>
      <w:r w:rsidR="00FC1496" w:rsidRPr="00AC71A2">
        <w:rPr>
          <w:rFonts w:ascii="Times New Roman" w:hAnsi="Times New Roman" w:cs="Times New Roman"/>
          <w:sz w:val="24"/>
          <w:szCs w:val="24"/>
        </w:rPr>
        <w:t>poz. 10 załącznika 3 do</w:t>
      </w:r>
      <w:r w:rsidR="003D3A8E">
        <w:rPr>
          <w:rFonts w:ascii="Times New Roman" w:hAnsi="Times New Roman" w:cs="Times New Roman"/>
          <w:sz w:val="24"/>
          <w:szCs w:val="24"/>
        </w:rPr>
        <w:t xml:space="preserve"> </w:t>
      </w:r>
      <w:r w:rsidR="00FC1496" w:rsidRPr="00AC71A2">
        <w:rPr>
          <w:rFonts w:ascii="Times New Roman" w:hAnsi="Times New Roman" w:cs="Times New Roman"/>
          <w:sz w:val="24"/>
          <w:szCs w:val="24"/>
        </w:rPr>
        <w:t>ustawy o</w:t>
      </w:r>
      <w:r w:rsidR="003D3A8E">
        <w:rPr>
          <w:rFonts w:ascii="Times New Roman" w:hAnsi="Times New Roman" w:cs="Times New Roman"/>
          <w:sz w:val="24"/>
          <w:szCs w:val="24"/>
        </w:rPr>
        <w:t xml:space="preserve"> </w:t>
      </w:r>
      <w:r w:rsidR="00FC1496" w:rsidRPr="00AC71A2">
        <w:rPr>
          <w:rFonts w:ascii="Times New Roman" w:hAnsi="Times New Roman" w:cs="Times New Roman"/>
          <w:sz w:val="24"/>
          <w:szCs w:val="24"/>
        </w:rPr>
        <w:t xml:space="preserve">VAT </w:t>
      </w:r>
      <w:r w:rsidR="00BB18B9" w:rsidRPr="00AC71A2">
        <w:rPr>
          <w:rFonts w:ascii="Times New Roman" w:hAnsi="Times New Roman" w:cs="Times New Roman"/>
          <w:sz w:val="24"/>
          <w:szCs w:val="24"/>
        </w:rPr>
        <w:t>i dodanie poz.</w:t>
      </w:r>
      <w:r w:rsidR="003D3A8E">
        <w:rPr>
          <w:rFonts w:ascii="Times New Roman" w:hAnsi="Times New Roman" w:cs="Times New Roman"/>
          <w:sz w:val="24"/>
          <w:szCs w:val="24"/>
        </w:rPr>
        <w:t xml:space="preserve"> </w:t>
      </w:r>
      <w:r w:rsidR="00BB18B9" w:rsidRPr="00AC71A2">
        <w:rPr>
          <w:rFonts w:ascii="Times New Roman" w:hAnsi="Times New Roman" w:cs="Times New Roman"/>
          <w:sz w:val="24"/>
          <w:szCs w:val="24"/>
        </w:rPr>
        <w:t>10a</w:t>
      </w:r>
      <w:r w:rsidR="003D3A8E">
        <w:rPr>
          <w:rFonts w:ascii="Times New Roman" w:hAnsi="Times New Roman" w:cs="Times New Roman"/>
          <w:sz w:val="24"/>
          <w:szCs w:val="24"/>
        </w:rPr>
        <w:t>–</w:t>
      </w:r>
      <w:r w:rsidR="00BB18B9" w:rsidRPr="00AC71A2">
        <w:rPr>
          <w:rFonts w:ascii="Times New Roman" w:hAnsi="Times New Roman" w:cs="Times New Roman"/>
          <w:sz w:val="24"/>
          <w:szCs w:val="24"/>
        </w:rPr>
        <w:t xml:space="preserve">10c, w których produkty te </w:t>
      </w:r>
      <w:r w:rsidRPr="00AC71A2">
        <w:rPr>
          <w:rFonts w:ascii="Times New Roman" w:hAnsi="Times New Roman" w:cs="Times New Roman"/>
          <w:sz w:val="24"/>
          <w:szCs w:val="24"/>
        </w:rPr>
        <w:t xml:space="preserve">są </w:t>
      </w:r>
      <w:r w:rsidR="005F446D" w:rsidRPr="00AC71A2">
        <w:rPr>
          <w:rFonts w:ascii="Times New Roman" w:hAnsi="Times New Roman" w:cs="Times New Roman"/>
          <w:sz w:val="24"/>
          <w:szCs w:val="24"/>
        </w:rPr>
        <w:t>zdefiniowane</w:t>
      </w:r>
      <w:r w:rsidRPr="00AC71A2">
        <w:rPr>
          <w:rFonts w:ascii="Times New Roman" w:hAnsi="Times New Roman" w:cs="Times New Roman"/>
          <w:sz w:val="24"/>
          <w:szCs w:val="24"/>
        </w:rPr>
        <w:t xml:space="preserve"> przez odwołanie do odpowiednich aktów prawnych (branżowych)</w:t>
      </w:r>
      <w:r w:rsidR="00BB18B9" w:rsidRPr="00AC71A2">
        <w:rPr>
          <w:rFonts w:ascii="Times New Roman" w:hAnsi="Times New Roman" w:cs="Times New Roman"/>
          <w:sz w:val="24"/>
          <w:szCs w:val="24"/>
        </w:rPr>
        <w:t>, tj. do</w:t>
      </w:r>
      <w:r w:rsidRPr="00AC71A2">
        <w:rPr>
          <w:rFonts w:ascii="Times New Roman" w:hAnsi="Times New Roman" w:cs="Times New Roman"/>
          <w:sz w:val="24"/>
          <w:szCs w:val="24"/>
        </w:rPr>
        <w:t xml:space="preserve"> ustawy o</w:t>
      </w:r>
      <w:r w:rsidR="003D3A8E">
        <w:rPr>
          <w:rFonts w:ascii="Times New Roman" w:hAnsi="Times New Roman" w:cs="Times New Roman"/>
          <w:sz w:val="24"/>
          <w:szCs w:val="24"/>
        </w:rPr>
        <w:t xml:space="preserve"> </w:t>
      </w:r>
      <w:r w:rsidRPr="00AC71A2">
        <w:rPr>
          <w:rFonts w:ascii="Times New Roman" w:hAnsi="Times New Roman" w:cs="Times New Roman"/>
          <w:sz w:val="24"/>
          <w:szCs w:val="24"/>
        </w:rPr>
        <w:t>nawozach i</w:t>
      </w:r>
      <w:r w:rsidR="003D3A8E">
        <w:rPr>
          <w:rFonts w:ascii="Times New Roman" w:hAnsi="Times New Roman" w:cs="Times New Roman"/>
          <w:sz w:val="24"/>
          <w:szCs w:val="24"/>
        </w:rPr>
        <w:t xml:space="preserve"> </w:t>
      </w:r>
      <w:r w:rsidRPr="00AC71A2">
        <w:rPr>
          <w:rFonts w:ascii="Times New Roman" w:hAnsi="Times New Roman" w:cs="Times New Roman"/>
          <w:sz w:val="24"/>
          <w:szCs w:val="24"/>
        </w:rPr>
        <w:t>nawożeniu</w:t>
      </w:r>
      <w:r w:rsidRPr="00AC71A2">
        <w:rPr>
          <w:rFonts w:ascii="Times New Roman" w:hAnsi="Times New Roman" w:cs="Times New Roman"/>
          <w:sz w:val="24"/>
          <w:szCs w:val="24"/>
          <w:vertAlign w:val="superscript"/>
        </w:rPr>
        <w:footnoteReference w:id="18"/>
      </w:r>
      <w:r w:rsidR="003D3A8E">
        <w:rPr>
          <w:rFonts w:ascii="Times New Roman" w:hAnsi="Times New Roman" w:cs="Times New Roman"/>
          <w:sz w:val="24"/>
          <w:szCs w:val="24"/>
          <w:vertAlign w:val="superscript"/>
        </w:rPr>
        <w:t>)</w:t>
      </w:r>
      <w:r w:rsidR="00C343A4" w:rsidRPr="00AC71A2">
        <w:rPr>
          <w:rFonts w:ascii="Times New Roman" w:hAnsi="Times New Roman" w:cs="Times New Roman"/>
          <w:sz w:val="24"/>
          <w:szCs w:val="24"/>
        </w:rPr>
        <w:t xml:space="preserve"> oraz</w:t>
      </w:r>
      <w:r w:rsidR="00BB18B9" w:rsidRPr="00AC71A2">
        <w:rPr>
          <w:rFonts w:ascii="Times New Roman" w:hAnsi="Times New Roman" w:cs="Times New Roman"/>
          <w:sz w:val="24"/>
          <w:szCs w:val="24"/>
        </w:rPr>
        <w:t xml:space="preserve"> </w:t>
      </w:r>
      <w:r w:rsidRPr="00AC71A2">
        <w:rPr>
          <w:rFonts w:ascii="Times New Roman" w:hAnsi="Times New Roman" w:cs="Times New Roman"/>
          <w:sz w:val="24"/>
          <w:szCs w:val="24"/>
        </w:rPr>
        <w:t>odpowiedniego rozporządzenia unijnego w</w:t>
      </w:r>
      <w:r w:rsidR="003D3A8E">
        <w:rPr>
          <w:rFonts w:ascii="Times New Roman" w:hAnsi="Times New Roman" w:cs="Times New Roman"/>
          <w:sz w:val="24"/>
          <w:szCs w:val="24"/>
        </w:rPr>
        <w:t xml:space="preserve"> </w:t>
      </w:r>
      <w:r w:rsidRPr="00AC71A2">
        <w:rPr>
          <w:rFonts w:ascii="Times New Roman" w:hAnsi="Times New Roman" w:cs="Times New Roman"/>
          <w:sz w:val="24"/>
          <w:szCs w:val="24"/>
        </w:rPr>
        <w:t>zakresie nawozów</w:t>
      </w:r>
      <w:r w:rsidRPr="00AC71A2">
        <w:rPr>
          <w:rFonts w:ascii="Times New Roman" w:hAnsi="Times New Roman" w:cs="Times New Roman"/>
          <w:sz w:val="24"/>
          <w:szCs w:val="24"/>
          <w:vertAlign w:val="superscript"/>
        </w:rPr>
        <w:footnoteReference w:id="19"/>
      </w:r>
      <w:r w:rsidR="003D3A8E">
        <w:rPr>
          <w:rFonts w:ascii="Times New Roman" w:hAnsi="Times New Roman" w:cs="Times New Roman"/>
          <w:sz w:val="24"/>
          <w:szCs w:val="24"/>
          <w:vertAlign w:val="superscript"/>
        </w:rPr>
        <w:t>)</w:t>
      </w:r>
      <w:r w:rsidRPr="00AC71A2">
        <w:rPr>
          <w:rFonts w:ascii="Times New Roman" w:hAnsi="Times New Roman" w:cs="Times New Roman"/>
          <w:sz w:val="24"/>
          <w:szCs w:val="24"/>
        </w:rPr>
        <w:t>, ustawy o</w:t>
      </w:r>
      <w:r w:rsidR="003D3A8E">
        <w:rPr>
          <w:rFonts w:ascii="Times New Roman" w:hAnsi="Times New Roman" w:cs="Times New Roman"/>
          <w:sz w:val="24"/>
          <w:szCs w:val="24"/>
        </w:rPr>
        <w:t xml:space="preserve"> </w:t>
      </w:r>
      <w:r w:rsidRPr="00AC71A2">
        <w:rPr>
          <w:rFonts w:ascii="Times New Roman" w:hAnsi="Times New Roman" w:cs="Times New Roman"/>
          <w:sz w:val="24"/>
          <w:szCs w:val="24"/>
        </w:rPr>
        <w:t>środkach ochrony roślin</w:t>
      </w:r>
      <w:r w:rsidRPr="00AC71A2">
        <w:rPr>
          <w:rFonts w:ascii="Times New Roman" w:hAnsi="Times New Roman" w:cs="Times New Roman"/>
          <w:sz w:val="24"/>
          <w:szCs w:val="24"/>
          <w:vertAlign w:val="superscript"/>
        </w:rPr>
        <w:footnoteReference w:id="20"/>
      </w:r>
      <w:r w:rsidR="003D3A8E">
        <w:rPr>
          <w:rFonts w:ascii="Times New Roman" w:hAnsi="Times New Roman" w:cs="Times New Roman"/>
          <w:sz w:val="24"/>
          <w:szCs w:val="24"/>
          <w:vertAlign w:val="superscript"/>
        </w:rPr>
        <w:t>)</w:t>
      </w:r>
      <w:r w:rsidRPr="00AC71A2">
        <w:rPr>
          <w:rFonts w:ascii="Times New Roman" w:hAnsi="Times New Roman" w:cs="Times New Roman"/>
          <w:sz w:val="24"/>
          <w:szCs w:val="24"/>
          <w:vertAlign w:val="superscript"/>
        </w:rPr>
        <w:t xml:space="preserve"> </w:t>
      </w:r>
      <w:r w:rsidRPr="00AC71A2">
        <w:rPr>
          <w:rFonts w:ascii="Times New Roman" w:hAnsi="Times New Roman" w:cs="Times New Roman"/>
          <w:sz w:val="24"/>
          <w:szCs w:val="24"/>
        </w:rPr>
        <w:t>oraz ustawy o paszach</w:t>
      </w:r>
      <w:r w:rsidRPr="00AC71A2">
        <w:rPr>
          <w:rFonts w:ascii="Times New Roman" w:hAnsi="Times New Roman" w:cs="Times New Roman"/>
          <w:sz w:val="24"/>
          <w:szCs w:val="24"/>
          <w:vertAlign w:val="superscript"/>
        </w:rPr>
        <w:footnoteReference w:id="21"/>
      </w:r>
      <w:r w:rsidR="003D3A8E">
        <w:rPr>
          <w:rFonts w:ascii="Times New Roman" w:hAnsi="Times New Roman" w:cs="Times New Roman"/>
          <w:sz w:val="24"/>
          <w:szCs w:val="24"/>
          <w:vertAlign w:val="superscript"/>
        </w:rPr>
        <w:t>)</w:t>
      </w:r>
      <w:r w:rsidRPr="00AC71A2">
        <w:rPr>
          <w:rFonts w:ascii="Times New Roman" w:hAnsi="Times New Roman" w:cs="Times New Roman"/>
          <w:sz w:val="24"/>
          <w:szCs w:val="24"/>
        </w:rPr>
        <w:t>.</w:t>
      </w:r>
      <w:r w:rsidR="000C4083" w:rsidRPr="00AC71A2">
        <w:rPr>
          <w:rFonts w:ascii="Times New Roman" w:hAnsi="Times New Roman" w:cs="Times New Roman"/>
          <w:sz w:val="24"/>
          <w:szCs w:val="24"/>
        </w:rPr>
        <w:t xml:space="preserve"> W konsekwencji </w:t>
      </w:r>
      <w:r w:rsidR="00BB18B9" w:rsidRPr="00AC71A2">
        <w:rPr>
          <w:rFonts w:ascii="Times New Roman" w:hAnsi="Times New Roman" w:cs="Times New Roman"/>
          <w:sz w:val="24"/>
          <w:szCs w:val="24"/>
        </w:rPr>
        <w:t>powyższych zmian</w:t>
      </w:r>
      <w:r w:rsidR="00EF003B" w:rsidRPr="00AC71A2">
        <w:rPr>
          <w:rFonts w:ascii="Times New Roman" w:hAnsi="Times New Roman" w:cs="Times New Roman"/>
          <w:sz w:val="24"/>
          <w:szCs w:val="24"/>
        </w:rPr>
        <w:t xml:space="preserve"> zbędne stało się wymienienie w </w:t>
      </w:r>
      <w:r w:rsidR="00BB18B9" w:rsidRPr="00AC71A2">
        <w:rPr>
          <w:rFonts w:ascii="Times New Roman" w:hAnsi="Times New Roman" w:cs="Times New Roman"/>
          <w:sz w:val="24"/>
          <w:szCs w:val="24"/>
        </w:rPr>
        <w:t>poz. 10c</w:t>
      </w:r>
      <w:r w:rsidR="00EF003B" w:rsidRPr="00AC71A2">
        <w:rPr>
          <w:rFonts w:ascii="Times New Roman" w:hAnsi="Times New Roman" w:cs="Times New Roman"/>
          <w:sz w:val="24"/>
          <w:szCs w:val="24"/>
        </w:rPr>
        <w:t xml:space="preserve"> </w:t>
      </w:r>
      <w:r w:rsidR="000C4083" w:rsidRPr="00AC71A2">
        <w:rPr>
          <w:rFonts w:ascii="Times New Roman" w:hAnsi="Times New Roman" w:cs="Times New Roman"/>
          <w:sz w:val="24"/>
          <w:szCs w:val="24"/>
        </w:rPr>
        <w:t>pojęcia karmy</w:t>
      </w:r>
      <w:r w:rsidR="00C343A4" w:rsidRPr="00AC71A2">
        <w:rPr>
          <w:rFonts w:ascii="Times New Roman" w:hAnsi="Times New Roman" w:cs="Times New Roman"/>
          <w:sz w:val="24"/>
          <w:szCs w:val="24"/>
        </w:rPr>
        <w:t>, która w istocie stanowi paszę dla zwierząt</w:t>
      </w:r>
      <w:r w:rsidR="00EF003B" w:rsidRPr="00AC71A2">
        <w:rPr>
          <w:rFonts w:ascii="Times New Roman" w:hAnsi="Times New Roman" w:cs="Times New Roman"/>
          <w:sz w:val="24"/>
          <w:szCs w:val="24"/>
        </w:rPr>
        <w:t>.</w:t>
      </w:r>
    </w:p>
    <w:p w14:paraId="5805C4FB" w14:textId="72848C49" w:rsidR="005F446D" w:rsidRPr="00AC71A2" w:rsidRDefault="005F446D"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Dodatkowo na podstawie rozporządzenia w sprawie stawek</w:t>
      </w:r>
      <w:r w:rsidRPr="00AC71A2">
        <w:rPr>
          <w:rStyle w:val="Odwoanieprzypisudolnego"/>
          <w:rFonts w:ascii="Times New Roman" w:hAnsi="Times New Roman" w:cs="Times New Roman"/>
          <w:sz w:val="24"/>
          <w:szCs w:val="24"/>
        </w:rPr>
        <w:footnoteReference w:id="22"/>
      </w:r>
      <w:r w:rsidR="003D3A8E">
        <w:rPr>
          <w:rFonts w:ascii="Times New Roman" w:hAnsi="Times New Roman" w:cs="Times New Roman"/>
          <w:sz w:val="24"/>
          <w:szCs w:val="24"/>
          <w:vertAlign w:val="superscript"/>
        </w:rPr>
        <w:t>)</w:t>
      </w:r>
      <w:r w:rsidR="00C75295" w:rsidRPr="00AC71A2">
        <w:rPr>
          <w:rFonts w:ascii="Times New Roman" w:hAnsi="Times New Roman" w:cs="Times New Roman"/>
          <w:sz w:val="24"/>
          <w:szCs w:val="24"/>
        </w:rPr>
        <w:t xml:space="preserve"> preferencyjną stawkę w wysokości 8% stosuje się </w:t>
      </w:r>
      <w:r w:rsidR="0058630C" w:rsidRPr="00AC71A2">
        <w:rPr>
          <w:rFonts w:ascii="Times New Roman" w:hAnsi="Times New Roman" w:cs="Times New Roman"/>
          <w:sz w:val="24"/>
          <w:szCs w:val="24"/>
        </w:rPr>
        <w:t>czasowo</w:t>
      </w:r>
      <w:r w:rsidR="009060F0" w:rsidRPr="00AC71A2">
        <w:rPr>
          <w:rFonts w:ascii="Times New Roman" w:hAnsi="Times New Roman" w:cs="Times New Roman"/>
          <w:sz w:val="24"/>
          <w:szCs w:val="24"/>
        </w:rPr>
        <w:t xml:space="preserve"> </w:t>
      </w:r>
      <w:r w:rsidR="00C75295" w:rsidRPr="00AC71A2">
        <w:rPr>
          <w:rFonts w:ascii="Times New Roman" w:hAnsi="Times New Roman" w:cs="Times New Roman"/>
          <w:sz w:val="24"/>
          <w:szCs w:val="24"/>
        </w:rPr>
        <w:t xml:space="preserve">do określonych towarów wykorzystywanych w produkcji rolnej, tj.: </w:t>
      </w:r>
    </w:p>
    <w:p w14:paraId="25CD4FE3" w14:textId="0DD09826" w:rsidR="00C75295" w:rsidRPr="00AC71A2" w:rsidRDefault="00C75295" w:rsidP="00052A8C">
      <w:pPr>
        <w:pStyle w:val="Akapitzlist"/>
        <w:numPr>
          <w:ilvl w:val="0"/>
          <w:numId w:val="14"/>
        </w:numPr>
        <w:spacing w:before="120" w:after="0" w:line="360" w:lineRule="auto"/>
        <w:ind w:left="426"/>
        <w:jc w:val="both"/>
        <w:rPr>
          <w:rFonts w:ascii="Times New Roman" w:hAnsi="Times New Roman" w:cs="Times New Roman"/>
          <w:sz w:val="24"/>
          <w:szCs w:val="24"/>
        </w:rPr>
      </w:pPr>
      <w:r w:rsidRPr="00AC71A2">
        <w:rPr>
          <w:rFonts w:ascii="Times New Roman" w:hAnsi="Times New Roman" w:cs="Times New Roman"/>
          <w:sz w:val="24"/>
          <w:szCs w:val="24"/>
        </w:rPr>
        <w:t>środków poprawiających właściwości gleby, stymulatorów wzrostu oraz podłoży do upraw, o których mowa w ustawie z dnia 10 lipca 2007 r. o</w:t>
      </w:r>
      <w:r w:rsidR="003D3A8E">
        <w:rPr>
          <w:rFonts w:ascii="Times New Roman" w:hAnsi="Times New Roman" w:cs="Times New Roman"/>
          <w:sz w:val="24"/>
          <w:szCs w:val="24"/>
        </w:rPr>
        <w:t xml:space="preserve"> </w:t>
      </w:r>
      <w:r w:rsidRPr="00AC71A2">
        <w:rPr>
          <w:rFonts w:ascii="Times New Roman" w:hAnsi="Times New Roman" w:cs="Times New Roman"/>
          <w:sz w:val="24"/>
          <w:szCs w:val="24"/>
        </w:rPr>
        <w:t>nawozach i nawożeniu, z wyłączeniem podłoży mineralnych</w:t>
      </w:r>
      <w:bookmarkStart w:id="4" w:name="_Hlk178080965"/>
      <w:r w:rsidR="00486A41">
        <w:rPr>
          <w:rFonts w:ascii="Times New Roman" w:hAnsi="Times New Roman" w:cs="Times New Roman"/>
          <w:sz w:val="24"/>
          <w:szCs w:val="24"/>
        </w:rPr>
        <w:t>,</w:t>
      </w:r>
      <w:bookmarkEnd w:id="4"/>
    </w:p>
    <w:p w14:paraId="507E8D68" w14:textId="6B87730D" w:rsidR="00C75295" w:rsidRPr="00AC71A2" w:rsidRDefault="00C75295" w:rsidP="00052A8C">
      <w:pPr>
        <w:pStyle w:val="Akapitzlist"/>
        <w:numPr>
          <w:ilvl w:val="0"/>
          <w:numId w:val="14"/>
        </w:numPr>
        <w:spacing w:before="120" w:after="0" w:line="360" w:lineRule="auto"/>
        <w:ind w:left="426"/>
        <w:jc w:val="both"/>
        <w:rPr>
          <w:rFonts w:ascii="Times New Roman" w:hAnsi="Times New Roman" w:cs="Times New Roman"/>
          <w:sz w:val="24"/>
          <w:szCs w:val="24"/>
        </w:rPr>
      </w:pPr>
      <w:r w:rsidRPr="00AC71A2">
        <w:rPr>
          <w:rFonts w:ascii="Times New Roman" w:hAnsi="Times New Roman" w:cs="Times New Roman"/>
          <w:sz w:val="24"/>
          <w:szCs w:val="24"/>
        </w:rPr>
        <w:t>polepszaczy gleby, środków wapnujących, biostymulatorów, podłoży do upraw, produktów nawozowych mieszanych składających się wyłącznie z</w:t>
      </w:r>
      <w:r w:rsidR="003D3A8E">
        <w:rPr>
          <w:rFonts w:ascii="Times New Roman" w:hAnsi="Times New Roman" w:cs="Times New Roman"/>
          <w:sz w:val="24"/>
          <w:szCs w:val="24"/>
        </w:rPr>
        <w:t xml:space="preserve"> </w:t>
      </w:r>
      <w:r w:rsidRPr="00AC71A2">
        <w:rPr>
          <w:rFonts w:ascii="Times New Roman" w:hAnsi="Times New Roman" w:cs="Times New Roman"/>
          <w:sz w:val="24"/>
          <w:szCs w:val="24"/>
        </w:rPr>
        <w:t>nawozu i środka wapnującego, o których mowa w rozporządzeniu UE 2019/1009</w:t>
      </w:r>
      <w:r w:rsidRPr="00AC71A2">
        <w:rPr>
          <w:rStyle w:val="Odwoanieprzypisudolnego"/>
          <w:rFonts w:ascii="Times New Roman" w:hAnsi="Times New Roman" w:cs="Times New Roman"/>
          <w:sz w:val="24"/>
          <w:szCs w:val="24"/>
        </w:rPr>
        <w:footnoteReference w:id="23"/>
      </w:r>
      <w:r w:rsidR="003D3A8E">
        <w:rPr>
          <w:rFonts w:ascii="Times New Roman" w:hAnsi="Times New Roman" w:cs="Times New Roman"/>
          <w:sz w:val="24"/>
          <w:szCs w:val="24"/>
          <w:vertAlign w:val="superscript"/>
        </w:rPr>
        <w:t>)</w:t>
      </w:r>
      <w:r w:rsidRPr="00AC71A2">
        <w:rPr>
          <w:rFonts w:ascii="Times New Roman" w:hAnsi="Times New Roman" w:cs="Times New Roman"/>
          <w:sz w:val="24"/>
          <w:szCs w:val="24"/>
        </w:rPr>
        <w:t xml:space="preserve">, z wyłączeniem podłoży </w:t>
      </w:r>
      <w:r w:rsidRPr="00E45F86">
        <w:rPr>
          <w:rFonts w:ascii="Times New Roman" w:hAnsi="Times New Roman" w:cs="Times New Roman"/>
          <w:sz w:val="24"/>
          <w:szCs w:val="24"/>
        </w:rPr>
        <w:t>mineralnych i podłoży do upraw grzybów (towary te wraz z nawozami wchodzą w skład produktów nawozowych UE)</w:t>
      </w:r>
      <w:r w:rsidR="00486A41">
        <w:rPr>
          <w:rFonts w:ascii="Times New Roman" w:hAnsi="Times New Roman" w:cs="Times New Roman"/>
          <w:sz w:val="24"/>
          <w:szCs w:val="24"/>
        </w:rPr>
        <w:t>,</w:t>
      </w:r>
    </w:p>
    <w:p w14:paraId="2203B5BC" w14:textId="4655B26F" w:rsidR="00C75295" w:rsidRPr="00AC71A2" w:rsidRDefault="00C75295" w:rsidP="00052A8C">
      <w:pPr>
        <w:pStyle w:val="Akapitzlist"/>
        <w:numPr>
          <w:ilvl w:val="0"/>
          <w:numId w:val="14"/>
        </w:numPr>
        <w:spacing w:before="120" w:after="0" w:line="360" w:lineRule="auto"/>
        <w:ind w:left="426"/>
        <w:jc w:val="both"/>
        <w:rPr>
          <w:rFonts w:ascii="Times New Roman" w:hAnsi="Times New Roman" w:cs="Times New Roman"/>
          <w:sz w:val="24"/>
          <w:szCs w:val="24"/>
        </w:rPr>
      </w:pPr>
      <w:r w:rsidRPr="00AC71A2">
        <w:rPr>
          <w:rFonts w:ascii="Times New Roman" w:hAnsi="Times New Roman" w:cs="Times New Roman"/>
          <w:sz w:val="24"/>
          <w:szCs w:val="24"/>
        </w:rPr>
        <w:lastRenderedPageBreak/>
        <w:t>nawozowych produktów mikrobiologicznych, o których mowa w art. 2 ust. 1 pkt</w:t>
      </w:r>
      <w:r w:rsidR="00E45F86">
        <w:rPr>
          <w:rFonts w:ascii="Times New Roman" w:hAnsi="Times New Roman" w:cs="Times New Roman"/>
          <w:sz w:val="24"/>
          <w:szCs w:val="24"/>
        </w:rPr>
        <w:t> </w:t>
      </w:r>
      <w:r w:rsidRPr="00AC71A2">
        <w:rPr>
          <w:rFonts w:ascii="Times New Roman" w:hAnsi="Times New Roman" w:cs="Times New Roman"/>
          <w:sz w:val="24"/>
          <w:szCs w:val="24"/>
        </w:rPr>
        <w:t>10a ustawy z dnia 10 lipca 2007 r. o nawozach i nawożeniu, wpisanych do wykazu nawozowych produktów mikrobiologicznych, o którym mowa w rozdziale 4a tej ustawy.</w:t>
      </w:r>
    </w:p>
    <w:p w14:paraId="22E34DC3" w14:textId="60AB17C6" w:rsidR="00C75295" w:rsidRPr="00AC71A2" w:rsidRDefault="00C75295"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Uznając za zasadne bezterminowe utrzymanie obniżonej stawki VAT dla tych towarów</w:t>
      </w:r>
      <w:r w:rsidR="00E45F86">
        <w:rPr>
          <w:rFonts w:ascii="Times New Roman" w:hAnsi="Times New Roman" w:cs="Times New Roman"/>
          <w:sz w:val="24"/>
          <w:szCs w:val="24"/>
        </w:rPr>
        <w:t>,</w:t>
      </w:r>
      <w:r w:rsidRPr="00AC71A2">
        <w:rPr>
          <w:rFonts w:ascii="Times New Roman" w:hAnsi="Times New Roman" w:cs="Times New Roman"/>
          <w:sz w:val="24"/>
          <w:szCs w:val="24"/>
        </w:rPr>
        <w:t xml:space="preserve">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projekcie zaproponowano objęcie zakresem poz. 10a załącznika nr 3 do ustawy o VAT następujących towarów z kategorii produktów nawozowych:</w:t>
      </w:r>
    </w:p>
    <w:p w14:paraId="7946B664" w14:textId="1EBC03C3" w:rsidR="0012769F" w:rsidRPr="00AC71A2" w:rsidRDefault="0012769F" w:rsidP="00052A8C">
      <w:pPr>
        <w:pStyle w:val="Akapitzlist"/>
        <w:numPr>
          <w:ilvl w:val="0"/>
          <w:numId w:val="16"/>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nawozów, środków poprawiających właściwości gleby, stymulatorów wzrostu, podłoży do upraw, produktów pofermentacyjn</w:t>
      </w:r>
      <w:r w:rsidR="00E45F86">
        <w:rPr>
          <w:rFonts w:ascii="Times New Roman" w:hAnsi="Times New Roman" w:cs="Times New Roman"/>
          <w:sz w:val="24"/>
          <w:szCs w:val="24"/>
        </w:rPr>
        <w:t>ych</w:t>
      </w:r>
      <w:r w:rsidRPr="00AC71A2">
        <w:rPr>
          <w:rFonts w:ascii="Times New Roman" w:hAnsi="Times New Roman" w:cs="Times New Roman"/>
          <w:sz w:val="24"/>
          <w:szCs w:val="24"/>
        </w:rPr>
        <w:t xml:space="preserve"> oraz nawozowych produktów mikrobiologicznych wpisanych do wykazu nawozowych produktów mikrobiologicznych, o których mowa w ustawie z dnia 10 lipca 2007 r. o nawozach i nawożeniu (Dz. U. z 2024 r. poz. 105), z wyłączeniem podłoży mineralnych, a także </w:t>
      </w:r>
    </w:p>
    <w:p w14:paraId="28D00E18" w14:textId="550248B8" w:rsidR="0012769F" w:rsidRPr="00AC71A2" w:rsidRDefault="0012769F" w:rsidP="00052A8C">
      <w:pPr>
        <w:pStyle w:val="Akapitzlist"/>
        <w:numPr>
          <w:ilvl w:val="0"/>
          <w:numId w:val="16"/>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produktów nawozowych UE, o których mowa w rozporządzeniu UE 2019/1009, z wyłączeniem podłoży mineralnych</w:t>
      </w:r>
      <w:r w:rsidR="0075643E" w:rsidRPr="00AC71A2">
        <w:rPr>
          <w:rFonts w:ascii="Times New Roman" w:hAnsi="Times New Roman" w:cs="Times New Roman"/>
          <w:sz w:val="24"/>
          <w:szCs w:val="24"/>
        </w:rPr>
        <w:t>,</w:t>
      </w:r>
      <w:r w:rsidRPr="00AC71A2">
        <w:rPr>
          <w:rFonts w:ascii="Times New Roman" w:hAnsi="Times New Roman" w:cs="Times New Roman"/>
          <w:sz w:val="24"/>
          <w:szCs w:val="24"/>
        </w:rPr>
        <w:t xml:space="preserve"> podłoży do upraw grzybów</w:t>
      </w:r>
      <w:r w:rsidR="0075643E" w:rsidRPr="00AC71A2">
        <w:rPr>
          <w:rFonts w:ascii="Times New Roman" w:hAnsi="Times New Roman" w:cs="Times New Roman"/>
          <w:sz w:val="24"/>
          <w:szCs w:val="24"/>
        </w:rPr>
        <w:t xml:space="preserve"> i inhibitorów</w:t>
      </w:r>
      <w:r w:rsidRPr="00AC71A2">
        <w:rPr>
          <w:rFonts w:ascii="Times New Roman" w:hAnsi="Times New Roman" w:cs="Times New Roman"/>
          <w:sz w:val="24"/>
          <w:szCs w:val="24"/>
        </w:rPr>
        <w:t>.</w:t>
      </w:r>
    </w:p>
    <w:p w14:paraId="25D33517" w14:textId="2DA02A51" w:rsidR="004443F5" w:rsidRPr="00AC71A2" w:rsidRDefault="004443F5"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Produktami nawozowymi UE objętymi stawką w wysokości 8% będą towary wymienione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rozporządzeniu UE 2019/1009 w załączniku nr 1 Kategorie funkcji produktów (PFC) dla produktów nawozowych UE:</w:t>
      </w:r>
    </w:p>
    <w:p w14:paraId="76A1FFAC" w14:textId="77777777"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PFC 1. Nawóz,</w:t>
      </w:r>
    </w:p>
    <w:p w14:paraId="3FDA687D" w14:textId="77777777"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PFC 2. Środek wapnujący,</w:t>
      </w:r>
    </w:p>
    <w:p w14:paraId="38E758C1" w14:textId="77777777"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PFC 3. Polepszacz gleby,</w:t>
      </w:r>
    </w:p>
    <w:p w14:paraId="1E44B9AF" w14:textId="77777777"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PFC 4. Podłoże do upraw</w:t>
      </w:r>
    </w:p>
    <w:p w14:paraId="496941AF" w14:textId="77777777"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PFC 6. Biostymulator</w:t>
      </w:r>
    </w:p>
    <w:p w14:paraId="6609B5CE" w14:textId="77777777"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PFC 7. Produkt nawozowy mieszany</w:t>
      </w:r>
    </w:p>
    <w:p w14:paraId="5577EAAA" w14:textId="7633D243" w:rsidR="0012769F" w:rsidRPr="00AC71A2" w:rsidRDefault="004443F5"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Proponowane brzmienie poz. 10a w załączniku nr 3 do ustawy o VAT wymienia również </w:t>
      </w:r>
      <w:r w:rsidR="0012769F" w:rsidRPr="00AC71A2">
        <w:rPr>
          <w:rFonts w:ascii="Times New Roman" w:hAnsi="Times New Roman" w:cs="Times New Roman"/>
          <w:sz w:val="24"/>
          <w:szCs w:val="24"/>
        </w:rPr>
        <w:t>now</w:t>
      </w:r>
      <w:r w:rsidRPr="00AC71A2">
        <w:rPr>
          <w:rFonts w:ascii="Times New Roman" w:hAnsi="Times New Roman" w:cs="Times New Roman"/>
          <w:sz w:val="24"/>
          <w:szCs w:val="24"/>
        </w:rPr>
        <w:t>ą</w:t>
      </w:r>
      <w:r w:rsidR="0012769F" w:rsidRPr="00AC71A2">
        <w:rPr>
          <w:rFonts w:ascii="Times New Roman" w:hAnsi="Times New Roman" w:cs="Times New Roman"/>
          <w:sz w:val="24"/>
          <w:szCs w:val="24"/>
        </w:rPr>
        <w:t xml:space="preserve"> kategori</w:t>
      </w:r>
      <w:r w:rsidRPr="00AC71A2">
        <w:rPr>
          <w:rFonts w:ascii="Times New Roman" w:hAnsi="Times New Roman" w:cs="Times New Roman"/>
          <w:sz w:val="24"/>
          <w:szCs w:val="24"/>
        </w:rPr>
        <w:t>ę</w:t>
      </w:r>
      <w:r w:rsidR="0012769F" w:rsidRPr="00AC71A2">
        <w:rPr>
          <w:rFonts w:ascii="Times New Roman" w:hAnsi="Times New Roman" w:cs="Times New Roman"/>
          <w:sz w:val="24"/>
          <w:szCs w:val="24"/>
        </w:rPr>
        <w:t xml:space="preserve"> towarów</w:t>
      </w:r>
      <w:r w:rsidRPr="00AC71A2">
        <w:rPr>
          <w:rFonts w:ascii="Times New Roman" w:hAnsi="Times New Roman" w:cs="Times New Roman"/>
          <w:sz w:val="24"/>
          <w:szCs w:val="24"/>
        </w:rPr>
        <w:t xml:space="preserve"> regulowanych ustawą o nawozach i nawożeniu, tj. </w:t>
      </w:r>
      <w:r w:rsidR="0012769F" w:rsidRPr="00AC71A2">
        <w:rPr>
          <w:rFonts w:ascii="Times New Roman" w:hAnsi="Times New Roman" w:cs="Times New Roman"/>
          <w:sz w:val="24"/>
          <w:szCs w:val="24"/>
        </w:rPr>
        <w:t>produktów pofermentacyjnych</w:t>
      </w:r>
      <w:r w:rsidRPr="00AC71A2">
        <w:rPr>
          <w:rFonts w:ascii="Times New Roman" w:hAnsi="Times New Roman" w:cs="Times New Roman"/>
          <w:sz w:val="24"/>
          <w:szCs w:val="24"/>
        </w:rPr>
        <w:t>.</w:t>
      </w:r>
    </w:p>
    <w:p w14:paraId="74725837" w14:textId="62B7A37D" w:rsidR="0012769F" w:rsidRPr="00AC71A2" w:rsidRDefault="004443F5"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Zgodnie z</w:t>
      </w:r>
      <w:r w:rsidR="0012769F" w:rsidRPr="00AC71A2">
        <w:rPr>
          <w:rFonts w:ascii="Times New Roman" w:hAnsi="Times New Roman" w:cs="Times New Roman"/>
          <w:sz w:val="24"/>
          <w:szCs w:val="24"/>
        </w:rPr>
        <w:t xml:space="preserve"> art. 2 ust. 1 pkt 10b ustawy </w:t>
      </w:r>
      <w:r w:rsidR="00E45F86">
        <w:rPr>
          <w:rFonts w:ascii="Times New Roman" w:hAnsi="Times New Roman" w:cs="Times New Roman"/>
          <w:sz w:val="24"/>
          <w:szCs w:val="24"/>
        </w:rPr>
        <w:t xml:space="preserve">z dnia 10 lipca 2007 r. </w:t>
      </w:r>
      <w:r w:rsidR="0012769F" w:rsidRPr="00AC71A2">
        <w:rPr>
          <w:rFonts w:ascii="Times New Roman" w:hAnsi="Times New Roman" w:cs="Times New Roman"/>
          <w:sz w:val="24"/>
          <w:szCs w:val="24"/>
        </w:rPr>
        <w:t xml:space="preserve">o nawozach i nawożeniu produkty pofermentacyjne to przeznaczone do rolniczego wykorzystania płynne lub stałe substancje organiczne powstające w wyniku procesu produkcji biogazu rolniczego w rozumieniu </w:t>
      </w:r>
      <w:r w:rsidR="00C5425B" w:rsidRPr="00AC71A2">
        <w:rPr>
          <w:rFonts w:ascii="Times New Roman" w:hAnsi="Times New Roman" w:cs="Times New Roman"/>
          <w:sz w:val="24"/>
          <w:szCs w:val="24"/>
        </w:rPr>
        <w:t>art. 2 pkt</w:t>
      </w:r>
      <w:r w:rsidR="00460E92">
        <w:rPr>
          <w:rFonts w:ascii="Times New Roman" w:hAnsi="Times New Roman" w:cs="Times New Roman"/>
          <w:sz w:val="24"/>
          <w:szCs w:val="24"/>
        </w:rPr>
        <w:t> </w:t>
      </w:r>
      <w:r w:rsidR="00C5425B" w:rsidRPr="00AC71A2">
        <w:rPr>
          <w:rFonts w:ascii="Times New Roman" w:hAnsi="Times New Roman" w:cs="Times New Roman"/>
          <w:sz w:val="24"/>
          <w:szCs w:val="24"/>
        </w:rPr>
        <w:t>2</w:t>
      </w:r>
      <w:r w:rsidR="0012769F" w:rsidRPr="00AC71A2">
        <w:rPr>
          <w:rFonts w:ascii="Times New Roman" w:hAnsi="Times New Roman" w:cs="Times New Roman"/>
          <w:sz w:val="24"/>
          <w:szCs w:val="24"/>
        </w:rPr>
        <w:t xml:space="preserve"> ustawy z dnia 20 lutego 2015 r. o</w:t>
      </w:r>
      <w:r w:rsidR="00AC71A2">
        <w:rPr>
          <w:rFonts w:ascii="Times New Roman" w:hAnsi="Times New Roman" w:cs="Times New Roman"/>
          <w:sz w:val="24"/>
          <w:szCs w:val="24"/>
        </w:rPr>
        <w:t xml:space="preserve"> </w:t>
      </w:r>
      <w:r w:rsidR="0012769F" w:rsidRPr="00AC71A2">
        <w:rPr>
          <w:rFonts w:ascii="Times New Roman" w:hAnsi="Times New Roman" w:cs="Times New Roman"/>
          <w:sz w:val="24"/>
          <w:szCs w:val="24"/>
        </w:rPr>
        <w:t>odnawialnych źródłach energii</w:t>
      </w:r>
      <w:r w:rsidR="00416CDB" w:rsidRPr="00AC71A2">
        <w:rPr>
          <w:rStyle w:val="Odwoanieprzypisudolnego"/>
          <w:rFonts w:ascii="Times New Roman" w:hAnsi="Times New Roman" w:cs="Times New Roman"/>
          <w:sz w:val="24"/>
          <w:szCs w:val="24"/>
        </w:rPr>
        <w:footnoteReference w:id="24"/>
      </w:r>
      <w:r w:rsidR="00E45F86">
        <w:rPr>
          <w:rFonts w:ascii="Times New Roman" w:hAnsi="Times New Roman" w:cs="Times New Roman"/>
          <w:sz w:val="24"/>
          <w:szCs w:val="24"/>
          <w:vertAlign w:val="superscript"/>
        </w:rPr>
        <w:t>)</w:t>
      </w:r>
      <w:r w:rsidR="0012769F" w:rsidRPr="00AC71A2">
        <w:rPr>
          <w:rFonts w:ascii="Times New Roman" w:hAnsi="Times New Roman" w:cs="Times New Roman"/>
          <w:sz w:val="24"/>
          <w:szCs w:val="24"/>
        </w:rPr>
        <w:t xml:space="preserve"> wytworzonego z: </w:t>
      </w:r>
    </w:p>
    <w:p w14:paraId="61AF3BBA" w14:textId="70D485C3" w:rsidR="0012769F" w:rsidRPr="00AC71A2" w:rsidRDefault="0012769F" w:rsidP="00052A8C">
      <w:pPr>
        <w:pStyle w:val="Akapitzlist"/>
        <w:numPr>
          <w:ilvl w:val="0"/>
          <w:numId w:val="17"/>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lastRenderedPageBreak/>
        <w:t>biomasy w postaci odchodów zwierzęcych, słomy i innych, niebędących niebezpiecznymi, naturalnych substancji pochodzących z produkcji rolniczej lub leśnej lub</w:t>
      </w:r>
    </w:p>
    <w:p w14:paraId="1A933141" w14:textId="59AEF3D9" w:rsidR="0012769F" w:rsidRPr="00AC71A2" w:rsidRDefault="0012769F" w:rsidP="00052A8C">
      <w:pPr>
        <w:pStyle w:val="Akapitzlist"/>
        <w:numPr>
          <w:ilvl w:val="0"/>
          <w:numId w:val="17"/>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innych substratów służących do produkcji biogazu niezagrażających zdrowiu ludzi, zwierząt lub środowisku określonych w przepisach wydanych na podstawie </w:t>
      </w:r>
      <w:r w:rsidR="00460E92" w:rsidRPr="00AC71A2">
        <w:rPr>
          <w:rFonts w:ascii="Times New Roman" w:hAnsi="Times New Roman" w:cs="Times New Roman"/>
          <w:sz w:val="24"/>
          <w:szCs w:val="24"/>
        </w:rPr>
        <w:t>art. 4 ust.</w:t>
      </w:r>
      <w:r w:rsidR="00460E92">
        <w:rPr>
          <w:rFonts w:ascii="Times New Roman" w:hAnsi="Times New Roman" w:cs="Times New Roman"/>
          <w:sz w:val="24"/>
          <w:szCs w:val="24"/>
        </w:rPr>
        <w:t> </w:t>
      </w:r>
      <w:r w:rsidR="00460E92" w:rsidRPr="00AC71A2">
        <w:rPr>
          <w:rFonts w:ascii="Times New Roman" w:hAnsi="Times New Roman" w:cs="Times New Roman"/>
          <w:sz w:val="24"/>
          <w:szCs w:val="24"/>
        </w:rPr>
        <w:t>3</w:t>
      </w:r>
      <w:r w:rsidRPr="00AC71A2">
        <w:rPr>
          <w:rFonts w:ascii="Times New Roman" w:hAnsi="Times New Roman" w:cs="Times New Roman"/>
          <w:sz w:val="24"/>
          <w:szCs w:val="24"/>
        </w:rPr>
        <w:t xml:space="preserve"> ustawy z dnia 13 lipca 2023 r. o ułatwieniach w przygotowaniu i realizacji inwestycji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zakresie biogazowni rolniczych, a także ich funkcjonowaniu</w:t>
      </w:r>
      <w:r w:rsidR="006A0BF8" w:rsidRPr="00AC71A2">
        <w:rPr>
          <w:rStyle w:val="Odwoanieprzypisudolnego"/>
          <w:rFonts w:ascii="Times New Roman" w:hAnsi="Times New Roman" w:cs="Times New Roman"/>
          <w:sz w:val="24"/>
          <w:szCs w:val="24"/>
        </w:rPr>
        <w:footnoteReference w:id="25"/>
      </w:r>
      <w:r w:rsidR="00E45F86">
        <w:rPr>
          <w:rFonts w:ascii="Times New Roman" w:hAnsi="Times New Roman" w:cs="Times New Roman"/>
          <w:sz w:val="24"/>
          <w:szCs w:val="24"/>
          <w:vertAlign w:val="superscript"/>
        </w:rPr>
        <w:t>)</w:t>
      </w:r>
      <w:r w:rsidRPr="00AC71A2">
        <w:rPr>
          <w:rFonts w:ascii="Times New Roman" w:hAnsi="Times New Roman" w:cs="Times New Roman"/>
          <w:sz w:val="24"/>
          <w:szCs w:val="24"/>
        </w:rPr>
        <w:t>.</w:t>
      </w:r>
    </w:p>
    <w:p w14:paraId="1BD5468F" w14:textId="7484360C"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Zgodnie z informacją </w:t>
      </w:r>
      <w:r w:rsidR="00BB4541" w:rsidRPr="00AC71A2">
        <w:rPr>
          <w:rFonts w:ascii="Times New Roman" w:hAnsi="Times New Roman" w:cs="Times New Roman"/>
          <w:sz w:val="24"/>
          <w:szCs w:val="24"/>
        </w:rPr>
        <w:t>otrzymaną od</w:t>
      </w:r>
      <w:r w:rsidRPr="00AC71A2">
        <w:rPr>
          <w:rFonts w:ascii="Times New Roman" w:hAnsi="Times New Roman" w:cs="Times New Roman"/>
          <w:sz w:val="24"/>
          <w:szCs w:val="24"/>
        </w:rPr>
        <w:t xml:space="preserve"> resortu rolnictwa do 31 grudnia 2023 r. produkty pofermentacyjne wchodziły w zakres definicji „nawozów organicznych” albo „środków poprawiających właściwości gleby” ze względu na przeznaczenie i działanie (na glebę albo rośliny uprawne). W konsekwencji były objęte stawką 8% odpowiednio na podstawie ustawy o VAT albo rozporządzenia w sprawie stawek. Obecnie ustawa </w:t>
      </w:r>
      <w:r w:rsidR="00E45F86">
        <w:rPr>
          <w:rFonts w:ascii="Times New Roman" w:hAnsi="Times New Roman" w:cs="Times New Roman"/>
          <w:sz w:val="24"/>
          <w:szCs w:val="24"/>
        </w:rPr>
        <w:t xml:space="preserve">z dnia 10 lipca 2007 r. </w:t>
      </w:r>
      <w:r w:rsidRPr="00AC71A2">
        <w:rPr>
          <w:rFonts w:ascii="Times New Roman" w:hAnsi="Times New Roman" w:cs="Times New Roman"/>
          <w:sz w:val="24"/>
          <w:szCs w:val="24"/>
        </w:rPr>
        <w:t>o nawozach i nawożeniu formalnie wyodrębnia tę kategorię towarów, stąd też zaistniała potrzeba wskazania tego rodzaju produktów wprost w ustawie o VAT. Rozwiązanie to rozwieje ewentualne wątpliwości interpretacyjne w tym zakresie.</w:t>
      </w:r>
    </w:p>
    <w:p w14:paraId="40D8BCB2" w14:textId="36CEDBA8" w:rsidR="00BB4541" w:rsidRPr="00AC71A2" w:rsidRDefault="00BB4541"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Dodatkowo zakres towarów objętych stawką 8% rozszerzono o produkty nawozowe mieszane – inne niż składające się wyłącznie z nawozu i środka wapnującego (takie są już obecnie </w:t>
      </w:r>
      <w:r w:rsidR="003A6D55" w:rsidRPr="00AC71A2">
        <w:rPr>
          <w:rFonts w:ascii="Times New Roman" w:hAnsi="Times New Roman" w:cs="Times New Roman"/>
          <w:sz w:val="24"/>
          <w:szCs w:val="24"/>
        </w:rPr>
        <w:t>objęte</w:t>
      </w:r>
      <w:r w:rsidRPr="00AC71A2">
        <w:rPr>
          <w:rFonts w:ascii="Times New Roman" w:hAnsi="Times New Roman" w:cs="Times New Roman"/>
          <w:sz w:val="24"/>
          <w:szCs w:val="24"/>
        </w:rPr>
        <w:t xml:space="preserve"> t</w:t>
      </w:r>
      <w:r w:rsidR="00E45F86">
        <w:rPr>
          <w:rFonts w:ascii="Times New Roman" w:hAnsi="Times New Roman" w:cs="Times New Roman"/>
          <w:sz w:val="24"/>
          <w:szCs w:val="24"/>
        </w:rPr>
        <w:t>ą</w:t>
      </w:r>
      <w:r w:rsidRPr="00AC71A2">
        <w:rPr>
          <w:rFonts w:ascii="Times New Roman" w:hAnsi="Times New Roman" w:cs="Times New Roman"/>
          <w:sz w:val="24"/>
          <w:szCs w:val="24"/>
        </w:rPr>
        <w:t xml:space="preserve"> stawką).</w:t>
      </w:r>
    </w:p>
    <w:p w14:paraId="3B24DCBA" w14:textId="30F01152" w:rsidR="0012769F" w:rsidRPr="00AC71A2" w:rsidRDefault="0075643E"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w:t>
      </w:r>
      <w:r w:rsidR="0012769F" w:rsidRPr="00AC71A2">
        <w:rPr>
          <w:rFonts w:ascii="Times New Roman" w:hAnsi="Times New Roman" w:cs="Times New Roman"/>
          <w:sz w:val="24"/>
          <w:szCs w:val="24"/>
        </w:rPr>
        <w:t>godnie z rozporządzeniem UE 2019/1009 produkt nawozowy mieszany to produkt nawozowy UE składający się z co najmniej dwóch produktów nawozowych UE PFC 1–PFC 6, dla których dla każdego składowego produktu nawozowego UE w danej mieszance wykazano zgodność z</w:t>
      </w:r>
      <w:r w:rsidR="00CD4D63" w:rsidRPr="00AC71A2">
        <w:rPr>
          <w:rFonts w:ascii="Times New Roman" w:hAnsi="Times New Roman" w:cs="Times New Roman"/>
          <w:sz w:val="24"/>
          <w:szCs w:val="24"/>
        </w:rPr>
        <w:t> </w:t>
      </w:r>
      <w:r w:rsidR="0012769F" w:rsidRPr="00AC71A2">
        <w:rPr>
          <w:rFonts w:ascii="Times New Roman" w:hAnsi="Times New Roman" w:cs="Times New Roman"/>
          <w:sz w:val="24"/>
          <w:szCs w:val="24"/>
        </w:rPr>
        <w:t>wymogami rozporządzenia UE 2019/1009 zgodnie z procedurą oceny zgodności mającą zastosowanie do tego składowego produktu nawozowego UE.</w:t>
      </w:r>
    </w:p>
    <w:p w14:paraId="103499F3" w14:textId="407D0EE2" w:rsidR="0012769F" w:rsidRPr="00AC71A2" w:rsidRDefault="0012769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Obecnie produkty nawozowe mieszane (z wyjątkiem produktów nawozowych mieszanych składających się z</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 xml:space="preserve">nawozu i środka wapnującego, które </w:t>
      </w:r>
      <w:r w:rsidR="009060F0" w:rsidRPr="00AC71A2">
        <w:rPr>
          <w:rFonts w:ascii="Times New Roman" w:hAnsi="Times New Roman" w:cs="Times New Roman"/>
          <w:sz w:val="24"/>
          <w:szCs w:val="24"/>
        </w:rPr>
        <w:t xml:space="preserve">czasowo </w:t>
      </w:r>
      <w:r w:rsidRPr="00AC71A2">
        <w:rPr>
          <w:rFonts w:ascii="Times New Roman" w:hAnsi="Times New Roman" w:cs="Times New Roman"/>
          <w:sz w:val="24"/>
          <w:szCs w:val="24"/>
        </w:rPr>
        <w:t>są opodatkowane stawką 8% na podstawie rozporządzenia w sprawie stawek) są na gruncie VAT opodatkowane stawką 23%. W celu ujednolicenia traktowania na gruncie VAT ww. towarów z</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pozostałymi produktami nawozowymi UE zaproponowano w projekcie obniżenie stawki VAT na te towary.</w:t>
      </w:r>
    </w:p>
    <w:p w14:paraId="3E30A0C3" w14:textId="77777777" w:rsidR="00193771" w:rsidRPr="00AC71A2" w:rsidRDefault="00193771" w:rsidP="00052A8C">
      <w:pPr>
        <w:spacing w:before="120" w:after="0" w:line="360" w:lineRule="auto"/>
        <w:jc w:val="both"/>
        <w:rPr>
          <w:rFonts w:ascii="Times New Roman" w:hAnsi="Times New Roman" w:cs="Times New Roman"/>
          <w:sz w:val="24"/>
          <w:szCs w:val="24"/>
        </w:rPr>
      </w:pPr>
    </w:p>
    <w:p w14:paraId="7F24E164" w14:textId="58A2B00E" w:rsidR="00F30D39" w:rsidRPr="00AC71A2" w:rsidRDefault="00F30D39" w:rsidP="00052A8C">
      <w:pPr>
        <w:pStyle w:val="Tekstpodstawowy"/>
        <w:numPr>
          <w:ilvl w:val="0"/>
          <w:numId w:val="10"/>
        </w:numPr>
        <w:spacing w:before="120" w:line="360" w:lineRule="auto"/>
        <w:ind w:left="709" w:hanging="425"/>
        <w:rPr>
          <w:b/>
          <w:bCs/>
          <w:sz w:val="24"/>
          <w:szCs w:val="24"/>
        </w:rPr>
      </w:pPr>
      <w:r w:rsidRPr="00AC71A2">
        <w:rPr>
          <w:b/>
          <w:bCs/>
          <w:sz w:val="24"/>
          <w:szCs w:val="24"/>
        </w:rPr>
        <w:lastRenderedPageBreak/>
        <w:t xml:space="preserve">Obniżenie stawki VAT na </w:t>
      </w:r>
      <w:r w:rsidR="005E52F2" w:rsidRPr="00AC71A2">
        <w:rPr>
          <w:b/>
          <w:bCs/>
          <w:sz w:val="24"/>
          <w:szCs w:val="24"/>
        </w:rPr>
        <w:t xml:space="preserve">dostawę </w:t>
      </w:r>
      <w:r w:rsidRPr="00AC71A2">
        <w:rPr>
          <w:b/>
          <w:bCs/>
          <w:sz w:val="24"/>
          <w:szCs w:val="24"/>
        </w:rPr>
        <w:t>kubeczk</w:t>
      </w:r>
      <w:r w:rsidR="005E52F2" w:rsidRPr="00AC71A2">
        <w:rPr>
          <w:b/>
          <w:bCs/>
          <w:sz w:val="24"/>
          <w:szCs w:val="24"/>
        </w:rPr>
        <w:t>ów</w:t>
      </w:r>
      <w:r w:rsidRPr="00AC71A2">
        <w:rPr>
          <w:b/>
          <w:bCs/>
          <w:sz w:val="24"/>
          <w:szCs w:val="24"/>
        </w:rPr>
        <w:t xml:space="preserve"> menstruacyjn</w:t>
      </w:r>
      <w:r w:rsidR="005E52F2" w:rsidRPr="00AC71A2">
        <w:rPr>
          <w:b/>
          <w:bCs/>
          <w:sz w:val="24"/>
          <w:szCs w:val="24"/>
        </w:rPr>
        <w:t>ych</w:t>
      </w:r>
      <w:r w:rsidRPr="00AC71A2">
        <w:rPr>
          <w:b/>
          <w:bCs/>
          <w:sz w:val="24"/>
          <w:szCs w:val="24"/>
        </w:rPr>
        <w:t xml:space="preserve"> z 23% do 5% (art.</w:t>
      </w:r>
      <w:r w:rsidR="00805E13" w:rsidRPr="00AC71A2">
        <w:rPr>
          <w:b/>
          <w:bCs/>
          <w:sz w:val="24"/>
          <w:szCs w:val="24"/>
        </w:rPr>
        <w:t> </w:t>
      </w:r>
      <w:r w:rsidRPr="00AC71A2">
        <w:rPr>
          <w:b/>
          <w:bCs/>
          <w:sz w:val="24"/>
          <w:szCs w:val="24"/>
        </w:rPr>
        <w:t xml:space="preserve">1 pkt </w:t>
      </w:r>
      <w:r w:rsidR="00F87A73" w:rsidRPr="00AC71A2">
        <w:rPr>
          <w:b/>
          <w:bCs/>
          <w:sz w:val="24"/>
          <w:szCs w:val="24"/>
        </w:rPr>
        <w:t xml:space="preserve">5 </w:t>
      </w:r>
      <w:r w:rsidRPr="00AC71A2">
        <w:rPr>
          <w:b/>
          <w:bCs/>
          <w:sz w:val="24"/>
          <w:szCs w:val="24"/>
        </w:rPr>
        <w:t>projektu ustawy)</w:t>
      </w:r>
    </w:p>
    <w:p w14:paraId="084234E0" w14:textId="536EB5FD" w:rsidR="004262B9" w:rsidRPr="00AC71A2" w:rsidRDefault="004262B9" w:rsidP="00052A8C">
      <w:pPr>
        <w:pStyle w:val="Tekstpodstawowy"/>
        <w:tabs>
          <w:tab w:val="left" w:pos="142"/>
        </w:tabs>
        <w:spacing w:before="120" w:line="360" w:lineRule="auto"/>
        <w:rPr>
          <w:sz w:val="24"/>
          <w:szCs w:val="24"/>
        </w:rPr>
      </w:pPr>
      <w:r w:rsidRPr="00AC71A2">
        <w:rPr>
          <w:sz w:val="24"/>
          <w:szCs w:val="24"/>
        </w:rPr>
        <w:t xml:space="preserve">Obecnie dostawa kubeczków menstruacyjnych jest opodatkowana stawką VAT w wysokości 23%, natomiast dostawa pozostałych produktów higienicznych dla kobiet, tj. podpasek higienicznych, tamponów klasyfikowanych w CN 9619 00 </w:t>
      </w:r>
      <w:r w:rsidR="0066040F">
        <w:rPr>
          <w:sz w:val="24"/>
          <w:szCs w:val="24"/>
        </w:rPr>
        <w:t>–</w:t>
      </w:r>
      <w:r w:rsidRPr="00AC71A2">
        <w:rPr>
          <w:sz w:val="24"/>
          <w:szCs w:val="24"/>
        </w:rPr>
        <w:t xml:space="preserve"> stawką 5% na podstawie poz.</w:t>
      </w:r>
      <w:r w:rsidR="00AC71A2">
        <w:rPr>
          <w:sz w:val="24"/>
          <w:szCs w:val="24"/>
        </w:rPr>
        <w:t> </w:t>
      </w:r>
      <w:r w:rsidRPr="00AC71A2">
        <w:rPr>
          <w:sz w:val="24"/>
          <w:szCs w:val="24"/>
        </w:rPr>
        <w:t>21 załącznika nr 10 do ustawy o VAT.</w:t>
      </w:r>
    </w:p>
    <w:p w14:paraId="6EF32F71" w14:textId="60BF067A" w:rsidR="004262B9" w:rsidRPr="00AC71A2" w:rsidRDefault="007449C9" w:rsidP="00052A8C">
      <w:pPr>
        <w:pStyle w:val="Tekstpodstawowy"/>
        <w:tabs>
          <w:tab w:val="left" w:pos="142"/>
        </w:tabs>
        <w:spacing w:before="120" w:line="360" w:lineRule="auto"/>
        <w:rPr>
          <w:sz w:val="24"/>
          <w:szCs w:val="24"/>
        </w:rPr>
      </w:pPr>
      <w:r w:rsidRPr="00AC71A2">
        <w:rPr>
          <w:sz w:val="24"/>
          <w:szCs w:val="24"/>
        </w:rPr>
        <w:t>W związku z postulatami o jednakowe traktowanie na gruncie VAT produktów higienicznych dla kobiet, za z</w:t>
      </w:r>
      <w:r w:rsidR="004262B9" w:rsidRPr="00AC71A2">
        <w:rPr>
          <w:sz w:val="24"/>
          <w:szCs w:val="24"/>
        </w:rPr>
        <w:t xml:space="preserve">asadne </w:t>
      </w:r>
      <w:r w:rsidRPr="00AC71A2">
        <w:rPr>
          <w:sz w:val="24"/>
          <w:szCs w:val="24"/>
        </w:rPr>
        <w:t xml:space="preserve">uznano </w:t>
      </w:r>
      <w:r w:rsidR="004262B9" w:rsidRPr="00AC71A2">
        <w:rPr>
          <w:sz w:val="24"/>
          <w:szCs w:val="24"/>
        </w:rPr>
        <w:t xml:space="preserve">ujednolicenie stawki VAT na </w:t>
      </w:r>
      <w:r w:rsidRPr="00AC71A2">
        <w:rPr>
          <w:sz w:val="24"/>
          <w:szCs w:val="24"/>
        </w:rPr>
        <w:t xml:space="preserve">te </w:t>
      </w:r>
      <w:r w:rsidR="00C343A4" w:rsidRPr="00AC71A2">
        <w:rPr>
          <w:sz w:val="24"/>
          <w:szCs w:val="24"/>
        </w:rPr>
        <w:t xml:space="preserve">towary </w:t>
      </w:r>
      <w:r w:rsidR="004262B9" w:rsidRPr="00AC71A2">
        <w:rPr>
          <w:sz w:val="24"/>
          <w:szCs w:val="24"/>
        </w:rPr>
        <w:t xml:space="preserve">przez obniżenie stawki z 23% do 5% dla </w:t>
      </w:r>
      <w:r w:rsidR="005E52F2" w:rsidRPr="00AC71A2">
        <w:rPr>
          <w:sz w:val="24"/>
          <w:szCs w:val="24"/>
        </w:rPr>
        <w:t xml:space="preserve">dostawy </w:t>
      </w:r>
      <w:r w:rsidR="004262B9" w:rsidRPr="00AC71A2">
        <w:rPr>
          <w:sz w:val="24"/>
          <w:szCs w:val="24"/>
        </w:rPr>
        <w:t>kubeczków menstruacyjnych</w:t>
      </w:r>
      <w:r w:rsidR="00B028A9" w:rsidRPr="00AC71A2">
        <w:rPr>
          <w:sz w:val="24"/>
          <w:szCs w:val="24"/>
        </w:rPr>
        <w:t xml:space="preserve"> (</w:t>
      </w:r>
      <w:r w:rsidR="004262B9" w:rsidRPr="00AC71A2">
        <w:rPr>
          <w:sz w:val="24"/>
          <w:szCs w:val="24"/>
        </w:rPr>
        <w:t>klasyfikowane są w CN ex</w:t>
      </w:r>
      <w:r w:rsidR="005E52F2" w:rsidRPr="00AC71A2">
        <w:rPr>
          <w:sz w:val="24"/>
          <w:szCs w:val="24"/>
        </w:rPr>
        <w:t> </w:t>
      </w:r>
      <w:r w:rsidR="004262B9" w:rsidRPr="00AC71A2">
        <w:rPr>
          <w:sz w:val="24"/>
          <w:szCs w:val="24"/>
        </w:rPr>
        <w:t>3924</w:t>
      </w:r>
      <w:r w:rsidR="0066040F">
        <w:rPr>
          <w:sz w:val="24"/>
          <w:szCs w:val="24"/>
        </w:rPr>
        <w:t> </w:t>
      </w:r>
      <w:r w:rsidR="004262B9" w:rsidRPr="00AC71A2">
        <w:rPr>
          <w:sz w:val="24"/>
          <w:szCs w:val="24"/>
        </w:rPr>
        <w:t>90</w:t>
      </w:r>
      <w:r w:rsidR="0066040F">
        <w:rPr>
          <w:sz w:val="24"/>
          <w:szCs w:val="24"/>
        </w:rPr>
        <w:t> </w:t>
      </w:r>
      <w:r w:rsidR="004262B9" w:rsidRPr="00AC71A2">
        <w:rPr>
          <w:sz w:val="24"/>
          <w:szCs w:val="24"/>
        </w:rPr>
        <w:t>00 i CN ex 4014 90 00</w:t>
      </w:r>
      <w:r w:rsidR="00B028A9" w:rsidRPr="00AC71A2">
        <w:rPr>
          <w:sz w:val="24"/>
          <w:szCs w:val="24"/>
        </w:rPr>
        <w:t>)</w:t>
      </w:r>
      <w:r w:rsidR="004262B9" w:rsidRPr="00AC71A2">
        <w:rPr>
          <w:sz w:val="24"/>
          <w:szCs w:val="24"/>
        </w:rPr>
        <w:t>. Stąd też projekt przewiduje dodanie poz. 18a w załączniku nr 10 do ustawy o VAT.</w:t>
      </w:r>
    </w:p>
    <w:p w14:paraId="2EA4556A" w14:textId="77777777" w:rsidR="00D36975" w:rsidRPr="00AC71A2" w:rsidRDefault="00D36975" w:rsidP="00052A8C">
      <w:pPr>
        <w:pStyle w:val="Tekstpodstawowy"/>
        <w:spacing w:before="120" w:line="360" w:lineRule="auto"/>
        <w:rPr>
          <w:sz w:val="24"/>
          <w:szCs w:val="24"/>
        </w:rPr>
      </w:pPr>
    </w:p>
    <w:bookmarkEnd w:id="1"/>
    <w:p w14:paraId="14EF9D0A" w14:textId="0F0AE650" w:rsidR="005119B1" w:rsidRPr="00AC71A2" w:rsidRDefault="009F3313" w:rsidP="00052A8C">
      <w:pPr>
        <w:pStyle w:val="Tekstpodstawowy"/>
        <w:numPr>
          <w:ilvl w:val="0"/>
          <w:numId w:val="5"/>
        </w:numPr>
        <w:spacing w:before="120" w:line="360" w:lineRule="auto"/>
        <w:ind w:left="567" w:hanging="283"/>
        <w:rPr>
          <w:b/>
          <w:bCs/>
          <w:sz w:val="24"/>
          <w:szCs w:val="24"/>
        </w:rPr>
      </w:pPr>
      <w:r w:rsidRPr="00AC71A2">
        <w:rPr>
          <w:b/>
          <w:bCs/>
          <w:sz w:val="24"/>
          <w:szCs w:val="24"/>
        </w:rPr>
        <w:t>Mechanizm odwrotnego obciążenia</w:t>
      </w:r>
      <w:r w:rsidR="005119B1" w:rsidRPr="00AC71A2">
        <w:rPr>
          <w:b/>
          <w:bCs/>
          <w:sz w:val="24"/>
          <w:szCs w:val="24"/>
        </w:rPr>
        <w:t xml:space="preserve"> (art. 1 pkt 3 projektu ustawy</w:t>
      </w:r>
      <w:r w:rsidR="006E5BD0" w:rsidRPr="00AC71A2">
        <w:rPr>
          <w:b/>
          <w:bCs/>
          <w:sz w:val="24"/>
          <w:szCs w:val="24"/>
        </w:rPr>
        <w:t>, zmiany w</w:t>
      </w:r>
      <w:r w:rsidR="008664B1" w:rsidRPr="00AC71A2">
        <w:rPr>
          <w:b/>
          <w:bCs/>
          <w:sz w:val="24"/>
          <w:szCs w:val="24"/>
        </w:rPr>
        <w:t> </w:t>
      </w:r>
      <w:r w:rsidR="006E5BD0" w:rsidRPr="00AC71A2">
        <w:rPr>
          <w:b/>
          <w:bCs/>
          <w:sz w:val="24"/>
          <w:szCs w:val="24"/>
        </w:rPr>
        <w:t>art.</w:t>
      </w:r>
      <w:r w:rsidR="005E52F2" w:rsidRPr="00AC71A2">
        <w:rPr>
          <w:b/>
          <w:bCs/>
          <w:sz w:val="24"/>
          <w:szCs w:val="24"/>
        </w:rPr>
        <w:t> </w:t>
      </w:r>
      <w:r w:rsidR="006E5BD0" w:rsidRPr="00AC71A2">
        <w:rPr>
          <w:b/>
          <w:bCs/>
          <w:sz w:val="24"/>
          <w:szCs w:val="24"/>
        </w:rPr>
        <w:t>145e ustawy o VAT</w:t>
      </w:r>
      <w:r w:rsidR="005119B1" w:rsidRPr="00AC71A2">
        <w:rPr>
          <w:b/>
          <w:bCs/>
          <w:sz w:val="24"/>
          <w:szCs w:val="24"/>
        </w:rPr>
        <w:t>)</w:t>
      </w:r>
    </w:p>
    <w:p w14:paraId="73D9A7A1" w14:textId="5E134529"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Ustawą z dnia 9 marca 2023 r. o zmianie ustawy o postępowaniu egzekucyjnym w</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administracji oraz niektórych innych ustaw</w:t>
      </w:r>
      <w:r w:rsidRPr="00AC71A2">
        <w:rPr>
          <w:rStyle w:val="Odwoanieprzypisudolnego"/>
          <w:rFonts w:ascii="Times New Roman" w:hAnsi="Times New Roman" w:cs="Times New Roman"/>
          <w:sz w:val="24"/>
          <w:szCs w:val="24"/>
        </w:rPr>
        <w:footnoteReference w:id="26"/>
      </w:r>
      <w:r w:rsidR="0066040F">
        <w:rPr>
          <w:rFonts w:ascii="Times New Roman" w:hAnsi="Times New Roman" w:cs="Times New Roman"/>
          <w:sz w:val="24"/>
          <w:szCs w:val="24"/>
          <w:vertAlign w:val="superscript"/>
        </w:rPr>
        <w:t>)</w:t>
      </w:r>
      <w:r w:rsidRPr="00AC71A2">
        <w:rPr>
          <w:rFonts w:ascii="Times New Roman" w:hAnsi="Times New Roman" w:cs="Times New Roman"/>
          <w:sz w:val="24"/>
          <w:szCs w:val="24"/>
        </w:rPr>
        <w:t xml:space="preserve"> </w:t>
      </w:r>
      <w:r w:rsidR="007C3D48" w:rsidRPr="00AC71A2">
        <w:rPr>
          <w:rFonts w:ascii="Times New Roman" w:hAnsi="Times New Roman" w:cs="Times New Roman"/>
          <w:sz w:val="24"/>
          <w:szCs w:val="24"/>
        </w:rPr>
        <w:t xml:space="preserve">do ustawy o VAT </w:t>
      </w:r>
      <w:r w:rsidRPr="00AC71A2">
        <w:rPr>
          <w:rFonts w:ascii="Times New Roman" w:hAnsi="Times New Roman" w:cs="Times New Roman"/>
          <w:sz w:val="24"/>
          <w:szCs w:val="24"/>
        </w:rPr>
        <w:t xml:space="preserve">wprowadzono </w:t>
      </w:r>
      <w:r w:rsidR="00B028A9" w:rsidRPr="00AC71A2">
        <w:rPr>
          <w:rFonts w:ascii="Times New Roman" w:hAnsi="Times New Roman" w:cs="Times New Roman"/>
          <w:sz w:val="24"/>
          <w:szCs w:val="24"/>
        </w:rPr>
        <w:t xml:space="preserve">czasowo </w:t>
      </w:r>
      <w:r w:rsidRPr="00AC71A2">
        <w:rPr>
          <w:rFonts w:ascii="Times New Roman" w:hAnsi="Times New Roman" w:cs="Times New Roman"/>
          <w:sz w:val="24"/>
          <w:szCs w:val="24"/>
        </w:rPr>
        <w:t>od 1 kwietnia 2023 r. mechanizm odwrotnego obciążenia podatkiem gazu w systemie gazowym, energii elektrycznej w systemie elektroenergetycznym i usług w zakresie przenoszenia uprawnień do emisji gazów cieplarnianych</w:t>
      </w:r>
      <w:r w:rsidR="007449C9" w:rsidRPr="00AC71A2">
        <w:rPr>
          <w:rFonts w:ascii="Times New Roman" w:hAnsi="Times New Roman" w:cs="Times New Roman"/>
          <w:sz w:val="24"/>
          <w:szCs w:val="24"/>
        </w:rPr>
        <w:t xml:space="preserve"> (art. 145e</w:t>
      </w:r>
      <w:r w:rsidR="0066040F">
        <w:rPr>
          <w:rFonts w:ascii="Times New Roman" w:hAnsi="Times New Roman" w:cs="Times New Roman"/>
          <w:sz w:val="24"/>
          <w:szCs w:val="24"/>
        </w:rPr>
        <w:t>–</w:t>
      </w:r>
      <w:r w:rsidR="007449C9" w:rsidRPr="00AC71A2">
        <w:rPr>
          <w:rFonts w:ascii="Times New Roman" w:hAnsi="Times New Roman" w:cs="Times New Roman"/>
          <w:sz w:val="24"/>
          <w:szCs w:val="24"/>
        </w:rPr>
        <w:t>145k ustawy o VAT)</w:t>
      </w:r>
      <w:r w:rsidRPr="00AC71A2">
        <w:rPr>
          <w:rFonts w:ascii="Times New Roman" w:hAnsi="Times New Roman" w:cs="Times New Roman"/>
          <w:sz w:val="24"/>
          <w:szCs w:val="24"/>
        </w:rPr>
        <w:t>.</w:t>
      </w:r>
    </w:p>
    <w:p w14:paraId="0000AF5F" w14:textId="4D240687"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Rozwiązanie oparte jest </w:t>
      </w:r>
      <w:r w:rsidR="0066040F">
        <w:rPr>
          <w:rFonts w:ascii="Times New Roman" w:hAnsi="Times New Roman" w:cs="Times New Roman"/>
          <w:sz w:val="24"/>
          <w:szCs w:val="24"/>
        </w:rPr>
        <w:t>na</w:t>
      </w:r>
      <w:r w:rsidRPr="00AC71A2">
        <w:rPr>
          <w:rFonts w:ascii="Times New Roman" w:hAnsi="Times New Roman" w:cs="Times New Roman"/>
          <w:sz w:val="24"/>
          <w:szCs w:val="24"/>
        </w:rPr>
        <w:t xml:space="preserve"> art. 199a ust. 1 lit.</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a oraz</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 xml:space="preserve">e dyrektywy VAT, który wśród transakcji, dla których </w:t>
      </w:r>
      <w:r w:rsidR="0066040F" w:rsidRPr="00AC71A2">
        <w:rPr>
          <w:rFonts w:ascii="Times New Roman" w:hAnsi="Times New Roman" w:cs="Times New Roman"/>
          <w:sz w:val="24"/>
          <w:szCs w:val="24"/>
        </w:rPr>
        <w:t xml:space="preserve">jest </w:t>
      </w:r>
      <w:r w:rsidRPr="00AC71A2">
        <w:rPr>
          <w:rFonts w:ascii="Times New Roman" w:hAnsi="Times New Roman" w:cs="Times New Roman"/>
          <w:sz w:val="24"/>
          <w:szCs w:val="24"/>
        </w:rPr>
        <w:t>możliwe stosowanie odwrotnego obciążenia (reverse charge), wymienia przeniesienie pozwoleń na emisję gazów cieplarnianych, o których mowa w art. 3 dyrektywy 2003/87/WE</w:t>
      </w:r>
      <w:r w:rsidR="00B028A9" w:rsidRPr="00AC71A2">
        <w:rPr>
          <w:rStyle w:val="Odwoanieprzypisudolnego"/>
          <w:rFonts w:ascii="Times New Roman" w:hAnsi="Times New Roman" w:cs="Times New Roman"/>
          <w:sz w:val="24"/>
          <w:szCs w:val="24"/>
        </w:rPr>
        <w:footnoteReference w:id="27"/>
      </w:r>
      <w:r w:rsidR="0066040F">
        <w:rPr>
          <w:rFonts w:ascii="Times New Roman" w:hAnsi="Times New Roman" w:cs="Times New Roman"/>
          <w:sz w:val="24"/>
          <w:szCs w:val="24"/>
          <w:vertAlign w:val="superscript"/>
        </w:rPr>
        <w:t>)</w:t>
      </w:r>
      <w:r w:rsidRPr="00AC71A2">
        <w:rPr>
          <w:rFonts w:ascii="Times New Roman" w:hAnsi="Times New Roman" w:cs="Times New Roman"/>
          <w:sz w:val="24"/>
          <w:szCs w:val="24"/>
        </w:rPr>
        <w:t>, które podlegają przenoszeniu zgodnie z art. 12 tej</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dyrektywy, oraz dostawy gazu i energii elektrycznej na rzecz podatnika-pośrednika.</w:t>
      </w:r>
    </w:p>
    <w:p w14:paraId="355487EF" w14:textId="10F33EC6"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Obecnie obowiązujące regulacje dyrektywy VAT dają możliwość zastosowania tego rozwiązania do</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31 grudnia 2026</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r. Przedmiotowe rozwiązanie, w t</w:t>
      </w:r>
      <w:r w:rsidR="00201AE4" w:rsidRPr="00AC71A2">
        <w:rPr>
          <w:rFonts w:ascii="Times New Roman" w:hAnsi="Times New Roman" w:cs="Times New Roman"/>
          <w:sz w:val="24"/>
          <w:szCs w:val="24"/>
        </w:rPr>
        <w:t>akim sam</w:t>
      </w:r>
      <w:r w:rsidRPr="00AC71A2">
        <w:rPr>
          <w:rFonts w:ascii="Times New Roman" w:hAnsi="Times New Roman" w:cs="Times New Roman"/>
          <w:sz w:val="24"/>
          <w:szCs w:val="24"/>
        </w:rPr>
        <w:t>ym lub zbliżonym zakresie, stosują w</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UE m.in. Austria, Czechy, Dania, Niemcy, Włochy, Portugalia, Rumunia, Słowenia. Jest to</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zatem instytucja szeroko stosowana w obszarze europejskim.</w:t>
      </w:r>
    </w:p>
    <w:p w14:paraId="06EFAD0D" w14:textId="5EBBE81A"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lastRenderedPageBreak/>
        <w:t xml:space="preserve">Regulacje w przedmiotowym zakresie wprowadzone do ustawy o VAT mają charakter przepisów epizodycznych i obowiązują do 28 lutego 2025 r. </w:t>
      </w:r>
      <w:r w:rsidR="00941E01" w:rsidRPr="00AC71A2">
        <w:rPr>
          <w:rFonts w:ascii="Times New Roman" w:hAnsi="Times New Roman" w:cs="Times New Roman"/>
          <w:sz w:val="24"/>
          <w:szCs w:val="24"/>
        </w:rPr>
        <w:t>B</w:t>
      </w:r>
      <w:r w:rsidRPr="00AC71A2">
        <w:rPr>
          <w:rFonts w:ascii="Times New Roman" w:hAnsi="Times New Roman" w:cs="Times New Roman"/>
          <w:sz w:val="24"/>
          <w:szCs w:val="24"/>
        </w:rPr>
        <w:t>rak przedłużenia funkcjonowania ww. rozwiązań w ustawie o VAT</w:t>
      </w:r>
      <w:r w:rsidR="00941E01" w:rsidRPr="00AC71A2">
        <w:rPr>
          <w:rFonts w:ascii="Times New Roman" w:hAnsi="Times New Roman" w:cs="Times New Roman"/>
          <w:sz w:val="24"/>
          <w:szCs w:val="24"/>
        </w:rPr>
        <w:t xml:space="preserve"> będzie </w:t>
      </w:r>
      <w:r w:rsidRPr="00AC71A2">
        <w:rPr>
          <w:rFonts w:ascii="Times New Roman" w:hAnsi="Times New Roman" w:cs="Times New Roman"/>
          <w:sz w:val="24"/>
          <w:szCs w:val="24"/>
        </w:rPr>
        <w:t>skutkował wygaśnięciem mechanizmu po 28 lutego 2025 r.</w:t>
      </w:r>
    </w:p>
    <w:p w14:paraId="33CE8917" w14:textId="7483F4F6" w:rsidR="00072377" w:rsidRPr="00AC71A2" w:rsidRDefault="005171D3"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Mechanizm</w:t>
      </w:r>
      <w:r w:rsidR="00072377" w:rsidRPr="00AC71A2">
        <w:rPr>
          <w:rFonts w:ascii="Times New Roman" w:hAnsi="Times New Roman" w:cs="Times New Roman"/>
          <w:sz w:val="24"/>
          <w:szCs w:val="24"/>
        </w:rPr>
        <w:t xml:space="preserve"> reverse charge to przeniesienie obowiązku rozliczenia podatku VAT ze</w:t>
      </w:r>
      <w:r w:rsidR="00AC71A2">
        <w:rPr>
          <w:rFonts w:ascii="Times New Roman" w:hAnsi="Times New Roman" w:cs="Times New Roman"/>
          <w:sz w:val="24"/>
          <w:szCs w:val="24"/>
        </w:rPr>
        <w:t xml:space="preserve"> </w:t>
      </w:r>
      <w:r w:rsidR="00072377" w:rsidRPr="00AC71A2">
        <w:rPr>
          <w:rFonts w:ascii="Times New Roman" w:hAnsi="Times New Roman" w:cs="Times New Roman"/>
          <w:sz w:val="24"/>
          <w:szCs w:val="24"/>
        </w:rPr>
        <w:t>sprzedawcy na</w:t>
      </w:r>
      <w:r w:rsidR="00AC71A2">
        <w:rPr>
          <w:rFonts w:ascii="Times New Roman" w:hAnsi="Times New Roman" w:cs="Times New Roman"/>
          <w:sz w:val="24"/>
          <w:szCs w:val="24"/>
        </w:rPr>
        <w:t xml:space="preserve"> </w:t>
      </w:r>
      <w:r w:rsidR="00072377" w:rsidRPr="00AC71A2">
        <w:rPr>
          <w:rFonts w:ascii="Times New Roman" w:hAnsi="Times New Roman" w:cs="Times New Roman"/>
          <w:sz w:val="24"/>
          <w:szCs w:val="24"/>
        </w:rPr>
        <w:t>nabywcę i dotyczy rozliczeń między czynnymi podatnikami VAT, gdy dostawa towarów lub świadczenie usług nie są objęte zwolnieniem z VAT na podstawie art. 113 ust. 1</w:t>
      </w:r>
      <w:r w:rsidR="0066040F">
        <w:rPr>
          <w:rFonts w:ascii="Times New Roman" w:hAnsi="Times New Roman" w:cs="Times New Roman"/>
          <w:sz w:val="24"/>
          <w:szCs w:val="24"/>
        </w:rPr>
        <w:t xml:space="preserve"> </w:t>
      </w:r>
      <w:r w:rsidR="00072377" w:rsidRPr="00AC71A2">
        <w:rPr>
          <w:rFonts w:ascii="Times New Roman" w:hAnsi="Times New Roman" w:cs="Times New Roman"/>
          <w:sz w:val="24"/>
          <w:szCs w:val="24"/>
        </w:rPr>
        <w:t>i</w:t>
      </w:r>
      <w:r w:rsidR="0066040F">
        <w:rPr>
          <w:rFonts w:ascii="Times New Roman" w:hAnsi="Times New Roman" w:cs="Times New Roman"/>
          <w:sz w:val="24"/>
          <w:szCs w:val="24"/>
        </w:rPr>
        <w:t xml:space="preserve"> </w:t>
      </w:r>
      <w:r w:rsidR="00072377" w:rsidRPr="00AC71A2">
        <w:rPr>
          <w:rFonts w:ascii="Times New Roman" w:hAnsi="Times New Roman" w:cs="Times New Roman"/>
          <w:sz w:val="24"/>
          <w:szCs w:val="24"/>
        </w:rPr>
        <w:t>9 ustawy o</w:t>
      </w:r>
      <w:r w:rsidR="00AC71A2">
        <w:rPr>
          <w:rFonts w:ascii="Times New Roman" w:hAnsi="Times New Roman" w:cs="Times New Roman"/>
          <w:sz w:val="24"/>
          <w:szCs w:val="24"/>
        </w:rPr>
        <w:t xml:space="preserve"> </w:t>
      </w:r>
      <w:r w:rsidR="00072377" w:rsidRPr="00AC71A2">
        <w:rPr>
          <w:rFonts w:ascii="Times New Roman" w:hAnsi="Times New Roman" w:cs="Times New Roman"/>
          <w:sz w:val="24"/>
          <w:szCs w:val="24"/>
        </w:rPr>
        <w:t>VAT.</w:t>
      </w:r>
    </w:p>
    <w:p w14:paraId="156E0822" w14:textId="77777777"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Zakres mechanizmu obejmuje dostawy gazu w systemie gazowym, dostawy energii elektrycznej w systemie elektroenergetycznym i świadczenia usług w zakresie przenoszenia uprawnień do emisji gazów cieplarnianych, w sytuacji gdy są one dokonywane bezpośrednio lub za pośrednictwem uprawnionego podmiotu (uprawnionego do dokonywania takich transakcji) na:</w:t>
      </w:r>
    </w:p>
    <w:p w14:paraId="393AAC7C" w14:textId="77777777" w:rsidR="00072377" w:rsidRPr="00AC71A2" w:rsidRDefault="00072377" w:rsidP="00052A8C">
      <w:pPr>
        <w:spacing w:before="120" w:after="0" w:line="360" w:lineRule="auto"/>
        <w:ind w:left="284" w:hanging="284"/>
        <w:jc w:val="both"/>
        <w:rPr>
          <w:rFonts w:ascii="Times New Roman" w:hAnsi="Times New Roman" w:cs="Times New Roman"/>
          <w:sz w:val="24"/>
          <w:szCs w:val="24"/>
        </w:rPr>
      </w:pPr>
      <w:r w:rsidRPr="00AC71A2">
        <w:rPr>
          <w:rFonts w:ascii="Times New Roman" w:hAnsi="Times New Roman" w:cs="Times New Roman"/>
          <w:sz w:val="24"/>
          <w:szCs w:val="24"/>
        </w:rPr>
        <w:t>a)</w:t>
      </w:r>
      <w:r w:rsidRPr="00AC71A2">
        <w:rPr>
          <w:rFonts w:ascii="Times New Roman" w:hAnsi="Times New Roman" w:cs="Times New Roman"/>
          <w:sz w:val="24"/>
          <w:szCs w:val="24"/>
        </w:rPr>
        <w:tab/>
        <w:t>giełdzie towarowej w rozumieniu przepisów o giełdach towarowych,</w:t>
      </w:r>
    </w:p>
    <w:p w14:paraId="1AF7EA5D" w14:textId="77777777" w:rsidR="00072377" w:rsidRPr="00AC71A2" w:rsidRDefault="00072377" w:rsidP="00052A8C">
      <w:pPr>
        <w:spacing w:before="120" w:after="0" w:line="360" w:lineRule="auto"/>
        <w:ind w:left="284" w:hanging="284"/>
        <w:jc w:val="both"/>
        <w:rPr>
          <w:rFonts w:ascii="Times New Roman" w:hAnsi="Times New Roman" w:cs="Times New Roman"/>
          <w:sz w:val="24"/>
          <w:szCs w:val="24"/>
        </w:rPr>
      </w:pPr>
      <w:r w:rsidRPr="00AC71A2">
        <w:rPr>
          <w:rFonts w:ascii="Times New Roman" w:hAnsi="Times New Roman" w:cs="Times New Roman"/>
          <w:sz w:val="24"/>
          <w:szCs w:val="24"/>
        </w:rPr>
        <w:t>b)</w:t>
      </w:r>
      <w:r w:rsidRPr="00AC71A2">
        <w:rPr>
          <w:rFonts w:ascii="Times New Roman" w:hAnsi="Times New Roman" w:cs="Times New Roman"/>
          <w:sz w:val="24"/>
          <w:szCs w:val="24"/>
        </w:rPr>
        <w:tab/>
        <w:t>rynku regulowanym lub zorganizowanej platformie obrotu (OTF) w rozumieniu ustawy z dnia 29 lipca 2005 r. o obrocie instrumentami finansowymi.</w:t>
      </w:r>
    </w:p>
    <w:p w14:paraId="33E6B90B" w14:textId="51FE1B8D"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Regulacje przewidują dodatkowy warunek w przypadku dostaw gazu i energii elektrycznej, jakim jest główna działalność nabywcy, która polega na odsprzedaży tych towarów</w:t>
      </w:r>
      <w:r w:rsidR="007449C9" w:rsidRPr="00AC71A2">
        <w:rPr>
          <w:rFonts w:ascii="Times New Roman" w:hAnsi="Times New Roman" w:cs="Times New Roman"/>
          <w:sz w:val="24"/>
          <w:szCs w:val="24"/>
        </w:rPr>
        <w:t>,</w:t>
      </w:r>
      <w:r w:rsidRPr="00AC71A2">
        <w:rPr>
          <w:rFonts w:ascii="Times New Roman" w:hAnsi="Times New Roman" w:cs="Times New Roman"/>
          <w:sz w:val="24"/>
          <w:szCs w:val="24"/>
        </w:rPr>
        <w:t xml:space="preserve"> i których własne zużycie u nabywcy towarów jest nieznaczne. Jest to warunek wywodzący się z art. 38 ust. 2 ustawy o VAT w związku z art. 199a ust. 1 lit. e dyrektywy VAT, gdzie zdefiniowano w</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ten sposób podatnika-pośrednika. Zwrócić też należy uwagę na znajdujący się w art.</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145e ust. 2 ustawy o VAT przykładowy katalog podmiotów objętych regulacją, który ma na celu eliminację ewentualnych wątpliwości w zakresie stosowania regulacji do podmiotów tam określonych.</w:t>
      </w:r>
    </w:p>
    <w:p w14:paraId="3555AADF" w14:textId="1C73D993"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Przepisy epizodyczne w zakresie odwrotnego obciążenia VAT na gaz, energię elektryczną i uprawnienia do emisji gazów cieplarnianych nie przewidują odrębnych zasad korygowania podstawy opodatkowania. Do wystawianych faktur korygujących podstawę opodatkowania (in minus i in plus) zastosowanie znajdują ogólne zasady korekt zawarte w art. 29a ust. 13–15 oraz</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17 ustawy o VAT.</w:t>
      </w:r>
    </w:p>
    <w:p w14:paraId="3288F89E" w14:textId="65CBA2CD"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Czasowe regulacje wyłączają obowiązek stosowania mechanizmu podzielonej płatności do</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czynności objętych wprowadzonym odwrotnym obciążeniem w zakresie uprawnień do</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emisji gazów cieplarnianych.</w:t>
      </w:r>
    </w:p>
    <w:p w14:paraId="33DD48D0" w14:textId="476623C8"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lastRenderedPageBreak/>
        <w:t>W celu realizacji obowiązków nałożonych w art. 199a ust. 1b dyrektywy VAT (a także realizując uprawnienie z art. 273 dyrektywy VAT) regulacje zawierają również adekwatny obowiązek sprawozdawczy ciążący na obu stronach czynności – zarówno dostawcy (usługodawcy), jak</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i</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nabywcy (usługobiorcy), mający na celu zapewnienie prawidłowego i</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terminowego zewidencjonowania tych transakcji. Wypełnienie tych obowiązków zostało zabezpieczone regulacjami przewidującymi odpowiedzialność karnoskarbową zagrożoną karą grzywny za</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wykroczenie skarbowe.</w:t>
      </w:r>
    </w:p>
    <w:p w14:paraId="4B3F2755" w14:textId="1C0BD4E7"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Uwzględniając okoliczność, że mechanizm ten</w:t>
      </w:r>
      <w:r w:rsidR="00AB76CE" w:rsidRPr="00AC71A2">
        <w:rPr>
          <w:rFonts w:ascii="Times New Roman" w:hAnsi="Times New Roman" w:cs="Times New Roman"/>
          <w:sz w:val="24"/>
          <w:szCs w:val="24"/>
        </w:rPr>
        <w:t>,</w:t>
      </w:r>
      <w:r w:rsidRPr="00AC71A2">
        <w:rPr>
          <w:rFonts w:ascii="Times New Roman" w:hAnsi="Times New Roman" w:cs="Times New Roman"/>
          <w:sz w:val="24"/>
          <w:szCs w:val="24"/>
        </w:rPr>
        <w:t xml:space="preserve"> mający charakter uszczelniający</w:t>
      </w:r>
      <w:r w:rsidR="00AB76CE" w:rsidRPr="00AC71A2">
        <w:rPr>
          <w:rFonts w:ascii="Times New Roman" w:hAnsi="Times New Roman" w:cs="Times New Roman"/>
          <w:sz w:val="24"/>
          <w:szCs w:val="24"/>
        </w:rPr>
        <w:t>,</w:t>
      </w:r>
      <w:r w:rsidRPr="00AC71A2">
        <w:rPr>
          <w:rFonts w:ascii="Times New Roman" w:hAnsi="Times New Roman" w:cs="Times New Roman"/>
          <w:sz w:val="24"/>
          <w:szCs w:val="24"/>
        </w:rPr>
        <w:t xml:space="preserve"> funkcjonuje w</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wielu krajach UE</w:t>
      </w:r>
      <w:r w:rsidR="00AB76CE" w:rsidRPr="00AC71A2">
        <w:rPr>
          <w:rFonts w:ascii="Times New Roman" w:hAnsi="Times New Roman" w:cs="Times New Roman"/>
          <w:sz w:val="24"/>
          <w:szCs w:val="24"/>
        </w:rPr>
        <w:t>,</w:t>
      </w:r>
      <w:r w:rsidRPr="00AC71A2">
        <w:rPr>
          <w:rFonts w:ascii="Times New Roman" w:hAnsi="Times New Roman" w:cs="Times New Roman"/>
          <w:sz w:val="24"/>
          <w:szCs w:val="24"/>
        </w:rPr>
        <w:t xml:space="preserve"> należy liczyć się z ryzykiem przenoszenia się oszustw z państw, które</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wprowadziły przedmiotowy środek, do państw niekorzystających z takiej opcji, co</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stanowi jeden z głównych argumentów za przedłużeniem terminu jego obowiązywania.</w:t>
      </w:r>
    </w:p>
    <w:p w14:paraId="50D4C491" w14:textId="0CF353AC" w:rsidR="00072377" w:rsidRPr="00AC71A2" w:rsidRDefault="0007237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Zmiana w powyższym zakresie jest aprobowana przez podmioty, których regulacja ma</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dotyczyć. W tym kontekście mowa o strategicznych z punktu widzenia bezpieczeństwa państwa spółkach odpowiedzialnych za zapewnienie stabilności dostaw tak ważnych towarów, jakimi są gaz i energia elektryczna. Przewidziana zmiana utrzyma stan zmniejszenia kosztów uczestnictwa w rynku giełdowym ww. podmiotów, co pozytywnie wpływa na ich płynność finansową oraz konkurencyjność giełdy. Stąd należy uznać, że rozwiązanie ma walor pozytywny dla podmiotów, które są objęte mechanizmem</w:t>
      </w:r>
      <w:r w:rsidR="0066040F">
        <w:rPr>
          <w:rFonts w:ascii="Times New Roman" w:hAnsi="Times New Roman" w:cs="Times New Roman"/>
          <w:sz w:val="24"/>
          <w:szCs w:val="24"/>
        </w:rPr>
        <w:t>,</w:t>
      </w:r>
      <w:r w:rsidRPr="00AC71A2">
        <w:rPr>
          <w:rFonts w:ascii="Times New Roman" w:hAnsi="Times New Roman" w:cs="Times New Roman"/>
          <w:sz w:val="24"/>
          <w:szCs w:val="24"/>
        </w:rPr>
        <w:t xml:space="preserve"> i jego przedłużenie jest przez przedmiotowy sektor gospodarczy oczekiwane.</w:t>
      </w:r>
    </w:p>
    <w:p w14:paraId="0D85BC9B" w14:textId="6DF5A6B0" w:rsidR="00072377" w:rsidRPr="00AC71A2" w:rsidRDefault="00072377" w:rsidP="00052A8C">
      <w:pPr>
        <w:spacing w:before="120" w:after="0" w:line="360" w:lineRule="auto"/>
        <w:jc w:val="both"/>
        <w:rPr>
          <w:rFonts w:ascii="Times New Roman" w:hAnsi="Times New Roman" w:cs="Times New Roman"/>
          <w:b/>
          <w:bCs/>
          <w:sz w:val="24"/>
          <w:szCs w:val="24"/>
        </w:rPr>
      </w:pPr>
      <w:r w:rsidRPr="00AC71A2">
        <w:rPr>
          <w:rFonts w:ascii="Times New Roman" w:hAnsi="Times New Roman" w:cs="Times New Roman"/>
          <w:sz w:val="24"/>
          <w:szCs w:val="24"/>
        </w:rPr>
        <w:t>Kontynuacja mechanizmu reverse charge w zakresie dostawy gazu w systemie gazowym, dostawy energii elektrycznej w systemie elektroenergetycznym i świadczenia usług w</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zakresie przenoszenia uprawnień do emisji gazów cieplarnianych dokonywanych w obrocie giełdowym nie powinna mieć wpływu na dochody budżetu państwa z tytułu podatku od</w:t>
      </w:r>
      <w:r w:rsidR="0066040F">
        <w:rPr>
          <w:rFonts w:ascii="Times New Roman" w:hAnsi="Times New Roman" w:cs="Times New Roman"/>
          <w:sz w:val="24"/>
          <w:szCs w:val="24"/>
        </w:rPr>
        <w:t xml:space="preserve"> </w:t>
      </w:r>
      <w:r w:rsidRPr="00AC71A2">
        <w:rPr>
          <w:rFonts w:ascii="Times New Roman" w:hAnsi="Times New Roman" w:cs="Times New Roman"/>
          <w:sz w:val="24"/>
          <w:szCs w:val="24"/>
        </w:rPr>
        <w:t>towarów i usług.</w:t>
      </w:r>
    </w:p>
    <w:p w14:paraId="72C7E5B9" w14:textId="242A4BAA" w:rsidR="00941E01" w:rsidRPr="00AC71A2" w:rsidRDefault="005171D3"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Natomiast </w:t>
      </w:r>
      <w:r w:rsidR="00941E01" w:rsidRPr="00AC71A2">
        <w:rPr>
          <w:rFonts w:ascii="Times New Roman" w:hAnsi="Times New Roman" w:cs="Times New Roman"/>
          <w:sz w:val="24"/>
          <w:szCs w:val="24"/>
        </w:rPr>
        <w:t>wygaśnięcie tego mechanizmu pociągnie za sobą wzrost kosztów uczestnictwa dla podmiotów na rynku giełdowym. Oznaczać to będzie pogorszenie płynności finansowej uczestników rynku oraz zmniejszenie konkurencyjności polskiej giełdy względem innych państwa członkowskich.</w:t>
      </w:r>
    </w:p>
    <w:p w14:paraId="7CB45C6C" w14:textId="77777777" w:rsidR="00941E01" w:rsidRPr="00AC71A2" w:rsidRDefault="00941E01"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 danych uzyskanych z branży objętej tym rozwiązaniem wynika, że narzędzie to:</w:t>
      </w:r>
    </w:p>
    <w:p w14:paraId="2E4AA8C6" w14:textId="04089A10" w:rsidR="00941E01" w:rsidRPr="00AC71A2" w:rsidRDefault="00941E01" w:rsidP="00052A8C">
      <w:pPr>
        <w:pStyle w:val="Akapitzlist"/>
        <w:numPr>
          <w:ilvl w:val="0"/>
          <w:numId w:val="11"/>
        </w:numPr>
        <w:spacing w:before="120" w:after="0" w:line="360" w:lineRule="auto"/>
        <w:contextualSpacing w:val="0"/>
        <w:jc w:val="both"/>
        <w:rPr>
          <w:rFonts w:ascii="Times New Roman" w:hAnsi="Times New Roman" w:cs="Times New Roman"/>
          <w:sz w:val="24"/>
          <w:szCs w:val="24"/>
        </w:rPr>
      </w:pPr>
      <w:r w:rsidRPr="00AC71A2">
        <w:rPr>
          <w:rFonts w:ascii="Times New Roman" w:hAnsi="Times New Roman" w:cs="Times New Roman"/>
          <w:sz w:val="24"/>
          <w:szCs w:val="24"/>
        </w:rPr>
        <w:t xml:space="preserve">zmniejsza koszty uczestnictwa w rynku giełdowym </w:t>
      </w:r>
      <w:r w:rsidR="00AB76CE" w:rsidRPr="00AC71A2">
        <w:rPr>
          <w:rFonts w:ascii="Times New Roman" w:hAnsi="Times New Roman" w:cs="Times New Roman"/>
          <w:sz w:val="24"/>
          <w:szCs w:val="24"/>
        </w:rPr>
        <w:t>–</w:t>
      </w:r>
      <w:r w:rsidRPr="00AC71A2">
        <w:rPr>
          <w:rFonts w:ascii="Times New Roman" w:hAnsi="Times New Roman" w:cs="Times New Roman"/>
          <w:sz w:val="24"/>
          <w:szCs w:val="24"/>
        </w:rPr>
        <w:t xml:space="preserve"> odciążenie finansowe przedsiębiorstw energetycznych przez obniżenie poziomu zabezpieczeń finansowych wnoszonych przez uczestników rynku o 19%;</w:t>
      </w:r>
    </w:p>
    <w:p w14:paraId="0139926B" w14:textId="590B0F7C" w:rsidR="00941E01" w:rsidRPr="00AC71A2" w:rsidRDefault="00941E01" w:rsidP="00052A8C">
      <w:pPr>
        <w:pStyle w:val="Akapitzlist"/>
        <w:numPr>
          <w:ilvl w:val="0"/>
          <w:numId w:val="11"/>
        </w:numPr>
        <w:spacing w:before="120" w:after="0" w:line="360" w:lineRule="auto"/>
        <w:contextualSpacing w:val="0"/>
        <w:jc w:val="both"/>
        <w:rPr>
          <w:rFonts w:ascii="Times New Roman" w:hAnsi="Times New Roman" w:cs="Times New Roman"/>
          <w:sz w:val="24"/>
          <w:szCs w:val="24"/>
        </w:rPr>
      </w:pPr>
      <w:r w:rsidRPr="00AC71A2">
        <w:rPr>
          <w:rFonts w:ascii="Times New Roman" w:hAnsi="Times New Roman" w:cs="Times New Roman"/>
          <w:sz w:val="24"/>
          <w:szCs w:val="24"/>
        </w:rPr>
        <w:lastRenderedPageBreak/>
        <w:t xml:space="preserve">poprawia płynność finansową uczestników rynku </w:t>
      </w:r>
      <w:r w:rsidR="00AB76CE" w:rsidRPr="00AC71A2">
        <w:rPr>
          <w:rFonts w:ascii="Times New Roman" w:hAnsi="Times New Roman" w:cs="Times New Roman"/>
          <w:sz w:val="24"/>
          <w:szCs w:val="24"/>
        </w:rPr>
        <w:t>–</w:t>
      </w:r>
      <w:r w:rsidRPr="00AC71A2">
        <w:rPr>
          <w:rFonts w:ascii="Times New Roman" w:hAnsi="Times New Roman" w:cs="Times New Roman"/>
          <w:sz w:val="24"/>
          <w:szCs w:val="24"/>
        </w:rPr>
        <w:t xml:space="preserve"> zwiększenie płynności przedsiębiorstw energetycznych w codziennym handlu na giełdzie;</w:t>
      </w:r>
    </w:p>
    <w:p w14:paraId="18B2C839" w14:textId="77777777" w:rsidR="00941E01" w:rsidRPr="00AC71A2" w:rsidRDefault="00941E01" w:rsidP="00052A8C">
      <w:pPr>
        <w:pStyle w:val="Akapitzlist"/>
        <w:numPr>
          <w:ilvl w:val="0"/>
          <w:numId w:val="11"/>
        </w:numPr>
        <w:spacing w:before="120" w:after="0" w:line="360" w:lineRule="auto"/>
        <w:contextualSpacing w:val="0"/>
        <w:jc w:val="both"/>
        <w:rPr>
          <w:rFonts w:ascii="Times New Roman" w:hAnsi="Times New Roman" w:cs="Times New Roman"/>
          <w:sz w:val="24"/>
          <w:szCs w:val="24"/>
        </w:rPr>
      </w:pPr>
      <w:r w:rsidRPr="00AC71A2">
        <w:rPr>
          <w:rFonts w:ascii="Times New Roman" w:hAnsi="Times New Roman" w:cs="Times New Roman"/>
          <w:sz w:val="24"/>
          <w:szCs w:val="24"/>
        </w:rPr>
        <w:t>ogranicza koszty przenoszone w cenie towarów na konsumenta;</w:t>
      </w:r>
    </w:p>
    <w:p w14:paraId="1DB7F2C6" w14:textId="185DE051" w:rsidR="00941E01" w:rsidRPr="00AC71A2" w:rsidRDefault="00941E01" w:rsidP="00052A8C">
      <w:pPr>
        <w:pStyle w:val="Akapitzlist"/>
        <w:numPr>
          <w:ilvl w:val="0"/>
          <w:numId w:val="11"/>
        </w:numPr>
        <w:spacing w:before="120" w:after="0" w:line="360" w:lineRule="auto"/>
        <w:contextualSpacing w:val="0"/>
        <w:jc w:val="both"/>
        <w:rPr>
          <w:rFonts w:ascii="Times New Roman" w:hAnsi="Times New Roman" w:cs="Times New Roman"/>
          <w:sz w:val="24"/>
          <w:szCs w:val="24"/>
        </w:rPr>
      </w:pPr>
      <w:r w:rsidRPr="00AC71A2">
        <w:rPr>
          <w:rFonts w:ascii="Times New Roman" w:hAnsi="Times New Roman" w:cs="Times New Roman"/>
          <w:sz w:val="24"/>
          <w:szCs w:val="24"/>
        </w:rPr>
        <w:t>zwiększa konkurencyjność krajowego rynku energii i gazu przez wyrównanie zasad funkcjonowania podmiotów krajowych i zagranicznych na hurtowym rynku energii elektrycznej i gazu, co prowadzi do zwiększenia konkurencyjności oferty polskiej giełdy energii wobec giełd zagranicznych stosujących mechanizm odwrotnego obciążenia.</w:t>
      </w:r>
    </w:p>
    <w:p w14:paraId="34E96086" w14:textId="32E5CF67" w:rsidR="00941E01" w:rsidRPr="00AC71A2" w:rsidRDefault="00941E01"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Wygaśnięcie tego rozwiązania będzie skutkowało </w:t>
      </w:r>
      <w:r w:rsidRPr="00AC71A2">
        <w:rPr>
          <w:rFonts w:ascii="Times New Roman" w:eastAsia="Times New Roman" w:hAnsi="Times New Roman" w:cs="Times New Roman"/>
          <w:sz w:val="24"/>
          <w:szCs w:val="24"/>
          <w:lang w:eastAsia="pl-PL"/>
        </w:rPr>
        <w:t xml:space="preserve">koniecznością wprowadzenia naliczania depozytów dla kontraktów z terminem dostawy </w:t>
      </w:r>
      <w:r w:rsidR="00B028A9" w:rsidRPr="00AC71A2">
        <w:rPr>
          <w:rFonts w:ascii="Times New Roman" w:eastAsia="Times New Roman" w:hAnsi="Times New Roman" w:cs="Times New Roman"/>
          <w:sz w:val="24"/>
          <w:szCs w:val="24"/>
          <w:lang w:eastAsia="pl-PL"/>
        </w:rPr>
        <w:t xml:space="preserve">w </w:t>
      </w:r>
      <w:r w:rsidRPr="00AC71A2">
        <w:rPr>
          <w:rFonts w:ascii="Times New Roman" w:eastAsia="Times New Roman" w:hAnsi="Times New Roman" w:cs="Times New Roman"/>
          <w:sz w:val="24"/>
          <w:szCs w:val="24"/>
          <w:lang w:eastAsia="pl-PL"/>
        </w:rPr>
        <w:t>2025</w:t>
      </w:r>
      <w:r w:rsidR="00B028A9" w:rsidRPr="00AC71A2">
        <w:rPr>
          <w:rFonts w:ascii="Times New Roman" w:eastAsia="Times New Roman" w:hAnsi="Times New Roman" w:cs="Times New Roman"/>
          <w:sz w:val="24"/>
          <w:szCs w:val="24"/>
          <w:lang w:eastAsia="pl-PL"/>
        </w:rPr>
        <w:t xml:space="preserve"> r.</w:t>
      </w:r>
      <w:r w:rsidRPr="00AC71A2">
        <w:rPr>
          <w:rFonts w:ascii="Times New Roman" w:eastAsia="Times New Roman" w:hAnsi="Times New Roman" w:cs="Times New Roman"/>
          <w:sz w:val="24"/>
          <w:szCs w:val="24"/>
          <w:lang w:eastAsia="pl-PL"/>
        </w:rPr>
        <w:t xml:space="preserve"> z pełną wartością podatku VAT. Według danych pozyskanych z branży na początku 2024 r</w:t>
      </w:r>
      <w:r w:rsidR="00B028A9" w:rsidRPr="00AC71A2">
        <w:rPr>
          <w:rFonts w:ascii="Times New Roman" w:eastAsia="Times New Roman" w:hAnsi="Times New Roman" w:cs="Times New Roman"/>
          <w:sz w:val="24"/>
          <w:szCs w:val="24"/>
          <w:lang w:eastAsia="pl-PL"/>
        </w:rPr>
        <w:t>.</w:t>
      </w:r>
      <w:r w:rsidRPr="00AC71A2">
        <w:rPr>
          <w:rFonts w:ascii="Times New Roman" w:eastAsia="Times New Roman" w:hAnsi="Times New Roman" w:cs="Times New Roman"/>
          <w:sz w:val="24"/>
          <w:szCs w:val="24"/>
          <w:lang w:eastAsia="pl-PL"/>
        </w:rPr>
        <w:t xml:space="preserve"> zabezpieczenia na rynku giełdowym wynoszą aż około 6 mld PLN (po uwzględnieniu kompensacji w grupach energetycznych), a</w:t>
      </w:r>
      <w:r w:rsidR="0066040F">
        <w:rPr>
          <w:rFonts w:ascii="Times New Roman" w:eastAsia="Times New Roman" w:hAnsi="Times New Roman" w:cs="Times New Roman"/>
          <w:sz w:val="24"/>
          <w:szCs w:val="24"/>
          <w:lang w:eastAsia="pl-PL"/>
        </w:rPr>
        <w:t xml:space="preserve"> </w:t>
      </w:r>
      <w:r w:rsidRPr="00AC71A2">
        <w:rPr>
          <w:rFonts w:ascii="Times New Roman" w:eastAsia="Times New Roman" w:hAnsi="Times New Roman" w:cs="Times New Roman"/>
          <w:sz w:val="24"/>
          <w:szCs w:val="24"/>
          <w:lang w:eastAsia="pl-PL"/>
        </w:rPr>
        <w:t>brak przedłużenia przepisów spowoduje zwiększenie wartości zabezpieczeń o dodatkowe 1,4</w:t>
      </w:r>
      <w:r w:rsidR="00782D53">
        <w:rPr>
          <w:rFonts w:ascii="Times New Roman" w:eastAsia="Times New Roman" w:hAnsi="Times New Roman" w:cs="Times New Roman"/>
          <w:sz w:val="24"/>
          <w:szCs w:val="24"/>
          <w:lang w:eastAsia="pl-PL"/>
        </w:rPr>
        <w:t> </w:t>
      </w:r>
      <w:r w:rsidRPr="00AC71A2">
        <w:rPr>
          <w:rFonts w:ascii="Times New Roman" w:eastAsia="Times New Roman" w:hAnsi="Times New Roman" w:cs="Times New Roman"/>
          <w:sz w:val="24"/>
          <w:szCs w:val="24"/>
          <w:lang w:eastAsia="pl-PL"/>
        </w:rPr>
        <w:t>mld PLN.</w:t>
      </w:r>
    </w:p>
    <w:p w14:paraId="4C4752D1" w14:textId="5093060F" w:rsidR="006E5BD0" w:rsidRPr="00AC71A2" w:rsidRDefault="00001B00" w:rsidP="00052A8C">
      <w:pPr>
        <w:pStyle w:val="Tekstpodstawowy"/>
        <w:spacing w:before="120" w:line="360" w:lineRule="auto"/>
        <w:rPr>
          <w:sz w:val="24"/>
          <w:szCs w:val="24"/>
        </w:rPr>
      </w:pPr>
      <w:r w:rsidRPr="00AC71A2">
        <w:rPr>
          <w:sz w:val="24"/>
          <w:szCs w:val="24"/>
        </w:rPr>
        <w:t xml:space="preserve">Projekt przewiduje również zmiany o charakterze doprecyzowującym, tak aby </w:t>
      </w:r>
      <w:r w:rsidR="00201AE4" w:rsidRPr="00AC71A2">
        <w:rPr>
          <w:sz w:val="24"/>
          <w:szCs w:val="24"/>
        </w:rPr>
        <w:t xml:space="preserve">z przepisów </w:t>
      </w:r>
      <w:r w:rsidRPr="00AC71A2">
        <w:rPr>
          <w:sz w:val="24"/>
          <w:szCs w:val="24"/>
        </w:rPr>
        <w:t xml:space="preserve">wynikało, że nabywcą może być tylko podatnik VAT czynny </w:t>
      </w:r>
      <w:r w:rsidR="006E5BD0" w:rsidRPr="00AC71A2">
        <w:rPr>
          <w:sz w:val="24"/>
          <w:szCs w:val="24"/>
        </w:rPr>
        <w:t>(zmiana brzmienia art.</w:t>
      </w:r>
      <w:r w:rsidR="00201AE4" w:rsidRPr="00AC71A2">
        <w:rPr>
          <w:sz w:val="24"/>
          <w:szCs w:val="24"/>
        </w:rPr>
        <w:t> </w:t>
      </w:r>
      <w:r w:rsidR="006E5BD0" w:rsidRPr="00AC71A2">
        <w:rPr>
          <w:sz w:val="24"/>
          <w:szCs w:val="24"/>
        </w:rPr>
        <w:t>145e ustawy o VAT)</w:t>
      </w:r>
      <w:r w:rsidR="00201AE4" w:rsidRPr="00AC71A2">
        <w:rPr>
          <w:sz w:val="24"/>
          <w:szCs w:val="24"/>
        </w:rPr>
        <w:t>.</w:t>
      </w:r>
      <w:r w:rsidR="000E1AE3" w:rsidRPr="00AC71A2">
        <w:rPr>
          <w:sz w:val="24"/>
          <w:szCs w:val="24"/>
        </w:rPr>
        <w:t xml:space="preserve"> </w:t>
      </w:r>
      <w:r w:rsidR="00201AE4" w:rsidRPr="00AC71A2">
        <w:rPr>
          <w:sz w:val="24"/>
          <w:szCs w:val="24"/>
        </w:rPr>
        <w:t>Z</w:t>
      </w:r>
      <w:r w:rsidR="000E1AE3" w:rsidRPr="00AC71A2">
        <w:rPr>
          <w:sz w:val="24"/>
          <w:szCs w:val="24"/>
        </w:rPr>
        <w:t>auważyć należy, że już obecnie z uwagi na przedmiot opodatkowania i</w:t>
      </w:r>
      <w:r w:rsidR="00C240F4" w:rsidRPr="00AC71A2">
        <w:rPr>
          <w:sz w:val="24"/>
          <w:szCs w:val="24"/>
        </w:rPr>
        <w:t> </w:t>
      </w:r>
      <w:r w:rsidR="000E1AE3" w:rsidRPr="00AC71A2">
        <w:rPr>
          <w:sz w:val="24"/>
          <w:szCs w:val="24"/>
        </w:rPr>
        <w:t>giełdowy charakter transakcji wiążący się ze skalą obrotu</w:t>
      </w:r>
      <w:r w:rsidR="00201AE4" w:rsidRPr="00AC71A2">
        <w:rPr>
          <w:sz w:val="24"/>
          <w:szCs w:val="24"/>
        </w:rPr>
        <w:t>,</w:t>
      </w:r>
      <w:r w:rsidR="000E1AE3" w:rsidRPr="00AC71A2">
        <w:rPr>
          <w:sz w:val="24"/>
          <w:szCs w:val="24"/>
        </w:rPr>
        <w:t xml:space="preserve"> czynności objęte czasowym odwrotnym obciążeniem </w:t>
      </w:r>
      <w:r w:rsidR="00201AE4" w:rsidRPr="00AC71A2">
        <w:rPr>
          <w:sz w:val="24"/>
          <w:szCs w:val="24"/>
        </w:rPr>
        <w:t>są</w:t>
      </w:r>
      <w:r w:rsidR="007C0B7D" w:rsidRPr="00AC71A2">
        <w:rPr>
          <w:sz w:val="24"/>
          <w:szCs w:val="24"/>
        </w:rPr>
        <w:t xml:space="preserve"> </w:t>
      </w:r>
      <w:r w:rsidR="000E1AE3" w:rsidRPr="00AC71A2">
        <w:rPr>
          <w:sz w:val="24"/>
          <w:szCs w:val="24"/>
        </w:rPr>
        <w:t>dokonywane przez podatników VAT czynnych.</w:t>
      </w:r>
    </w:p>
    <w:p w14:paraId="335C59DF" w14:textId="77777777" w:rsidR="00346E7A" w:rsidRPr="00AC71A2" w:rsidRDefault="00346E7A" w:rsidP="001F70DA">
      <w:pPr>
        <w:pStyle w:val="Tekstpodstawowy"/>
        <w:spacing w:before="120" w:line="276" w:lineRule="auto"/>
        <w:rPr>
          <w:sz w:val="24"/>
          <w:szCs w:val="24"/>
        </w:rPr>
      </w:pPr>
    </w:p>
    <w:p w14:paraId="56A147BC" w14:textId="47BD1007" w:rsidR="00AB4EAF" w:rsidRPr="00AC71A2" w:rsidRDefault="00AB4EAF" w:rsidP="00052A8C">
      <w:pPr>
        <w:pStyle w:val="Tekstpodstawowy"/>
        <w:numPr>
          <w:ilvl w:val="0"/>
          <w:numId w:val="4"/>
        </w:numPr>
        <w:spacing w:before="120" w:line="360" w:lineRule="auto"/>
        <w:ind w:left="142" w:hanging="142"/>
        <w:rPr>
          <w:b/>
          <w:bCs/>
          <w:sz w:val="24"/>
          <w:szCs w:val="24"/>
          <w:u w:val="single"/>
        </w:rPr>
      </w:pPr>
      <w:r w:rsidRPr="00AC71A2">
        <w:rPr>
          <w:b/>
          <w:bCs/>
          <w:sz w:val="24"/>
          <w:szCs w:val="24"/>
          <w:u w:val="single"/>
        </w:rPr>
        <w:t>Podatek akcyzowy</w:t>
      </w:r>
      <w:r w:rsidRPr="00AC71A2">
        <w:rPr>
          <w:rFonts w:eastAsia="Calibri"/>
          <w:b/>
          <w:bCs/>
          <w:sz w:val="24"/>
          <w:szCs w:val="24"/>
          <w:u w:val="single"/>
        </w:rPr>
        <w:t xml:space="preserve"> (art. 2 </w:t>
      </w:r>
      <w:r w:rsidR="000A05F8" w:rsidRPr="00AC71A2">
        <w:rPr>
          <w:rFonts w:eastAsia="Calibri"/>
          <w:b/>
          <w:bCs/>
          <w:sz w:val="24"/>
          <w:szCs w:val="24"/>
          <w:u w:val="single"/>
        </w:rPr>
        <w:t xml:space="preserve">i art. 7 </w:t>
      </w:r>
      <w:r w:rsidRPr="00AC71A2">
        <w:rPr>
          <w:rFonts w:eastAsia="Calibri"/>
          <w:b/>
          <w:bCs/>
          <w:sz w:val="24"/>
          <w:szCs w:val="24"/>
          <w:u w:val="single"/>
        </w:rPr>
        <w:t>projektu ustawy)</w:t>
      </w:r>
      <w:r w:rsidRPr="00AC71A2">
        <w:rPr>
          <w:b/>
          <w:bCs/>
          <w:sz w:val="24"/>
          <w:szCs w:val="24"/>
          <w:u w:val="single"/>
        </w:rPr>
        <w:t>:</w:t>
      </w:r>
    </w:p>
    <w:p w14:paraId="0449D0B1" w14:textId="7AFD565E" w:rsidR="00AB4EAF" w:rsidRPr="00AC71A2" w:rsidRDefault="00AB4EAF" w:rsidP="00052A8C">
      <w:pPr>
        <w:pStyle w:val="Tekstpodstawowy"/>
        <w:spacing w:before="120" w:line="360" w:lineRule="auto"/>
        <w:rPr>
          <w:sz w:val="24"/>
          <w:szCs w:val="24"/>
        </w:rPr>
      </w:pPr>
      <w:r w:rsidRPr="00AC71A2">
        <w:rPr>
          <w:sz w:val="24"/>
          <w:szCs w:val="24"/>
        </w:rPr>
        <w:t xml:space="preserve">Zmiany </w:t>
      </w:r>
      <w:r w:rsidRPr="00AC71A2">
        <w:rPr>
          <w:rFonts w:eastAsiaTheme="minorHAnsi"/>
          <w:sz w:val="24"/>
          <w:szCs w:val="24"/>
        </w:rPr>
        <w:t xml:space="preserve">w ustawie o podatku akcyzowym </w:t>
      </w:r>
      <w:r w:rsidRPr="00AC71A2">
        <w:rPr>
          <w:sz w:val="24"/>
          <w:szCs w:val="24"/>
        </w:rPr>
        <w:t>przewidziane w projekcie polegają na wprowadzeniu następujących rozwiązań:</w:t>
      </w:r>
    </w:p>
    <w:p w14:paraId="1ED7BE2A" w14:textId="358A6346" w:rsidR="00AB4EAF" w:rsidRPr="00AC71A2" w:rsidRDefault="00AB4EAF" w:rsidP="00052A8C">
      <w:pPr>
        <w:spacing w:before="120" w:after="0" w:line="360" w:lineRule="auto"/>
        <w:ind w:left="426" w:hanging="426"/>
        <w:jc w:val="both"/>
        <w:rPr>
          <w:rFonts w:ascii="Times New Roman" w:hAnsi="Times New Roman" w:cs="Times New Roman"/>
          <w:sz w:val="24"/>
          <w:szCs w:val="24"/>
        </w:rPr>
      </w:pPr>
      <w:r w:rsidRPr="00AC71A2">
        <w:rPr>
          <w:rFonts w:ascii="Times New Roman" w:hAnsi="Times New Roman" w:cs="Times New Roman"/>
          <w:b/>
          <w:bCs/>
          <w:sz w:val="24"/>
          <w:szCs w:val="24"/>
        </w:rPr>
        <w:t>1)</w:t>
      </w:r>
      <w:r w:rsidR="00AC71A2">
        <w:rPr>
          <w:rFonts w:ascii="Times New Roman" w:hAnsi="Times New Roman" w:cs="Times New Roman"/>
          <w:sz w:val="24"/>
          <w:szCs w:val="24"/>
        </w:rPr>
        <w:tab/>
      </w:r>
      <w:r w:rsidRPr="00AC71A2">
        <w:rPr>
          <w:rFonts w:ascii="Times New Roman" w:hAnsi="Times New Roman" w:cs="Times New Roman"/>
          <w:b/>
          <w:bCs/>
          <w:sz w:val="24"/>
          <w:szCs w:val="24"/>
        </w:rPr>
        <w:t>zwrot akcyzy od samochodów osobowych czasowo zarejestrowanych w kraju w</w:t>
      </w:r>
      <w:r w:rsidR="00782D53">
        <w:rPr>
          <w:rFonts w:ascii="Times New Roman" w:hAnsi="Times New Roman" w:cs="Times New Roman"/>
          <w:b/>
          <w:bCs/>
          <w:sz w:val="24"/>
          <w:szCs w:val="24"/>
        </w:rPr>
        <w:t xml:space="preserve"> </w:t>
      </w:r>
      <w:r w:rsidRPr="00AC71A2">
        <w:rPr>
          <w:rFonts w:ascii="Times New Roman" w:hAnsi="Times New Roman" w:cs="Times New Roman"/>
          <w:b/>
          <w:bCs/>
          <w:sz w:val="24"/>
          <w:szCs w:val="24"/>
        </w:rPr>
        <w:t>celu ich wywozu za granicę</w:t>
      </w:r>
    </w:p>
    <w:p w14:paraId="55A71D02" w14:textId="190F4B20" w:rsidR="00AB4EAF" w:rsidRPr="00AC71A2" w:rsidRDefault="00AB4EAF" w:rsidP="00052A8C">
      <w:pPr>
        <w:pStyle w:val="Tekstpodstawowy"/>
        <w:spacing w:before="120" w:line="360" w:lineRule="auto"/>
        <w:rPr>
          <w:sz w:val="24"/>
          <w:szCs w:val="24"/>
        </w:rPr>
      </w:pPr>
      <w:r w:rsidRPr="00AC71A2">
        <w:rPr>
          <w:sz w:val="24"/>
          <w:szCs w:val="24"/>
        </w:rPr>
        <w:t xml:space="preserve">Projekt ustawy wprowadza instytucję zwrotu podatku akcyzowego od samochodów osobowych czasowo zarejestrowanych w kraju w celu ich wywozu za granicę na podstawie ustawy </w:t>
      </w:r>
      <w:r w:rsidR="00782D53" w:rsidRPr="00782D53">
        <w:rPr>
          <w:sz w:val="24"/>
          <w:szCs w:val="24"/>
        </w:rPr>
        <w:t xml:space="preserve">z dnia 20 czerwca 1997 r. </w:t>
      </w:r>
      <w:r w:rsidRPr="00AC71A2">
        <w:rPr>
          <w:sz w:val="24"/>
          <w:szCs w:val="24"/>
        </w:rPr>
        <w:t>– Prawo o ruchu drogowym. Przyczyną wprowadzanej regulacji jest zmiana dotychczasowej linii orzeczniczej sądów administracyjnych, która nastąpiła po wydaniu orzeczenia prejudycjalnego przez Trybunał Sprawiedliwości Unii Europejskiej (TSUE) z 17 maja 2023 r. w sprawie C-105/22. Wyrok TSUE, który zapadł po wystąpieniu z</w:t>
      </w:r>
      <w:r w:rsidR="00782D53">
        <w:rPr>
          <w:sz w:val="24"/>
          <w:szCs w:val="24"/>
        </w:rPr>
        <w:t xml:space="preserve"> </w:t>
      </w:r>
      <w:r w:rsidRPr="00AC71A2">
        <w:rPr>
          <w:sz w:val="24"/>
          <w:szCs w:val="24"/>
        </w:rPr>
        <w:t xml:space="preserve">pytaniem </w:t>
      </w:r>
      <w:r w:rsidRPr="00AC71A2">
        <w:rPr>
          <w:sz w:val="24"/>
          <w:szCs w:val="24"/>
        </w:rPr>
        <w:lastRenderedPageBreak/>
        <w:t>prejudycjalnym przez Naczelny Sąd Administracyjny, dotyczył wprawdzie innego zagadnienia (zwrotu akcyzy w wysokości proporcjonalnej do okresu użytkowania samochodu na terytorium kraju, na którego terenie zapłacono akcyzę), ale w uzasadnieniu orzeczenia TSUE odróżnił rejestrację czasową pojazdu z urzędu stanowiącą część zwykłego procesu rejestracji, którego celem jest definitywne dopuszczenie pojazdu do ruchu na terytorium danego kraju, od rejestracji czasowej dokonanej na wniosek właściciela samochodu w celu umożliwienia wywozu pojazdu za granicę. Aktualnie sądy administracyjne wydają wyroki, z których wynika, że czasowa rejestracja samochodu osobowego na wniosek właściciela w celu jego przemieszczenia poza granicę kraju nie stanowi przeszkody do uzyskania zwrotu podatku akcyzowego.</w:t>
      </w:r>
    </w:p>
    <w:p w14:paraId="0710C812" w14:textId="77777777" w:rsidR="00AB4EAF" w:rsidRPr="00AC71A2" w:rsidRDefault="00AB4EAF" w:rsidP="00052A8C">
      <w:pPr>
        <w:pStyle w:val="Tekstpodstawowy"/>
        <w:spacing w:before="120" w:line="360" w:lineRule="auto"/>
        <w:rPr>
          <w:sz w:val="24"/>
          <w:szCs w:val="24"/>
        </w:rPr>
      </w:pPr>
      <w:r w:rsidRPr="00AC71A2">
        <w:rPr>
          <w:sz w:val="24"/>
          <w:szCs w:val="24"/>
          <w:u w:val="single"/>
        </w:rPr>
        <w:t>Projektowany art. 100 ust. 5a</w:t>
      </w:r>
      <w:r w:rsidRPr="00AC71A2">
        <w:rPr>
          <w:sz w:val="24"/>
          <w:szCs w:val="24"/>
        </w:rPr>
        <w:t xml:space="preserve"> – w dodawanym ust. 5a wskazano, że przepisy działu V dotyczące opodatkowania akcyzą samochodów osobowych niezarejestrowanych wcześniej na terytorium kraju zgodnie z przepisami o ruchu drogowym, stosuje się odpowiednio do samochodu osobowego: </w:t>
      </w:r>
    </w:p>
    <w:p w14:paraId="29D8150F" w14:textId="7AC1C42B" w:rsidR="00AB4EAF" w:rsidRPr="00052A8C" w:rsidRDefault="00AB4EAF" w:rsidP="00052A8C">
      <w:pPr>
        <w:pStyle w:val="Tekstpodstawowy"/>
        <w:spacing w:before="120" w:line="360" w:lineRule="auto"/>
        <w:ind w:left="426" w:hanging="426"/>
        <w:rPr>
          <w:rFonts w:eastAsia="Calibri"/>
          <w:sz w:val="24"/>
          <w:szCs w:val="24"/>
        </w:rPr>
      </w:pPr>
      <w:r w:rsidRPr="00AC71A2">
        <w:rPr>
          <w:sz w:val="24"/>
          <w:szCs w:val="24"/>
        </w:rPr>
        <w:t>1)</w:t>
      </w:r>
      <w:r w:rsidR="00AC71A2">
        <w:rPr>
          <w:sz w:val="24"/>
          <w:szCs w:val="24"/>
        </w:rPr>
        <w:tab/>
      </w:r>
      <w:r w:rsidRPr="00AC71A2">
        <w:rPr>
          <w:sz w:val="24"/>
          <w:szCs w:val="24"/>
        </w:rPr>
        <w:t xml:space="preserve">zarejestrowanego czasowo na terytorium kraju w celu umożliwienia jego wywozu za granicę zgodnie z </w:t>
      </w:r>
      <w:r w:rsidRPr="00AC71A2">
        <w:rPr>
          <w:rFonts w:eastAsia="Calibri"/>
          <w:sz w:val="24"/>
          <w:szCs w:val="24"/>
        </w:rPr>
        <w:t xml:space="preserve">art. 74 ust. 2 pkt 2 lit. a ustawy z 20 czerwca 1997 r. </w:t>
      </w:r>
      <w:r w:rsidR="00782D53">
        <w:rPr>
          <w:rFonts w:eastAsia="Calibri"/>
          <w:sz w:val="24"/>
          <w:szCs w:val="24"/>
        </w:rPr>
        <w:t xml:space="preserve">– </w:t>
      </w:r>
      <w:r w:rsidRPr="00AC71A2">
        <w:rPr>
          <w:rFonts w:eastAsia="Calibri"/>
          <w:sz w:val="24"/>
          <w:szCs w:val="24"/>
        </w:rPr>
        <w:t>Prawo o ruchu drogowym</w:t>
      </w:r>
      <w:r w:rsidRPr="00AC71A2">
        <w:rPr>
          <w:sz w:val="24"/>
          <w:szCs w:val="24"/>
        </w:rPr>
        <w:t>, od którego nastąpił zwrot akcyzy na podstawie art. 107 ust. 1a pkt 1;</w:t>
      </w:r>
    </w:p>
    <w:p w14:paraId="61ACB4F7" w14:textId="7CF98281" w:rsidR="00AB4EAF" w:rsidRPr="00AC71A2" w:rsidRDefault="00AB4EAF" w:rsidP="00052A8C">
      <w:pPr>
        <w:pStyle w:val="Tekstpodstawowy"/>
        <w:spacing w:before="120" w:line="360" w:lineRule="auto"/>
        <w:ind w:left="426" w:hanging="426"/>
        <w:rPr>
          <w:sz w:val="24"/>
          <w:szCs w:val="24"/>
        </w:rPr>
      </w:pPr>
      <w:r w:rsidRPr="00AC71A2">
        <w:rPr>
          <w:sz w:val="24"/>
          <w:szCs w:val="24"/>
        </w:rPr>
        <w:t>2)</w:t>
      </w:r>
      <w:r w:rsidR="00AC71A2">
        <w:rPr>
          <w:sz w:val="24"/>
          <w:szCs w:val="24"/>
        </w:rPr>
        <w:tab/>
      </w:r>
      <w:r w:rsidRPr="00AC71A2">
        <w:rPr>
          <w:sz w:val="24"/>
          <w:szCs w:val="24"/>
        </w:rPr>
        <w:t>zarejestrowanego profesjonalnie na terytorium kraju w celu wykonywania jazd testowych zgodnie z przepisami o ruchu drogowym:</w:t>
      </w:r>
    </w:p>
    <w:p w14:paraId="39A763BD" w14:textId="0B10827B" w:rsidR="00AB4EAF" w:rsidRPr="00AC71A2" w:rsidRDefault="00AB4EAF" w:rsidP="00052A8C">
      <w:pPr>
        <w:pStyle w:val="Tekstpodstawowy"/>
        <w:spacing w:before="120" w:line="360" w:lineRule="auto"/>
        <w:ind w:firstLine="426"/>
        <w:rPr>
          <w:sz w:val="24"/>
          <w:szCs w:val="24"/>
        </w:rPr>
      </w:pPr>
      <w:r w:rsidRPr="00AC71A2">
        <w:rPr>
          <w:sz w:val="24"/>
          <w:szCs w:val="24"/>
        </w:rPr>
        <w:t>a)</w:t>
      </w:r>
      <w:r w:rsidR="00AC71A2">
        <w:rPr>
          <w:sz w:val="24"/>
          <w:szCs w:val="24"/>
        </w:rPr>
        <w:tab/>
      </w:r>
      <w:r w:rsidRPr="00AC71A2">
        <w:rPr>
          <w:sz w:val="24"/>
          <w:szCs w:val="24"/>
        </w:rPr>
        <w:t>od którego nastąpił zwrot akcyzy na podstawie art. 107 ust. 1a pkt 2, albo,</w:t>
      </w:r>
    </w:p>
    <w:p w14:paraId="65AA14BD" w14:textId="136A66A7" w:rsidR="00AB4EAF" w:rsidRPr="00AC71A2" w:rsidRDefault="00AB4EAF" w:rsidP="00052A8C">
      <w:pPr>
        <w:pStyle w:val="Tekstpodstawowy"/>
        <w:spacing w:before="120" w:line="360" w:lineRule="auto"/>
        <w:ind w:firstLine="426"/>
        <w:rPr>
          <w:sz w:val="24"/>
          <w:szCs w:val="24"/>
        </w:rPr>
      </w:pPr>
      <w:r w:rsidRPr="00AC71A2">
        <w:rPr>
          <w:sz w:val="24"/>
          <w:szCs w:val="24"/>
        </w:rPr>
        <w:t>b)</w:t>
      </w:r>
      <w:r w:rsidR="00AC71A2">
        <w:rPr>
          <w:sz w:val="24"/>
          <w:szCs w:val="24"/>
        </w:rPr>
        <w:tab/>
      </w:r>
      <w:r w:rsidRPr="00AC71A2">
        <w:rPr>
          <w:sz w:val="24"/>
          <w:szCs w:val="24"/>
        </w:rPr>
        <w:t>który został zwolniony od akcyzy na podstawie art. 110b ust. 1.</w:t>
      </w:r>
    </w:p>
    <w:p w14:paraId="48EA70A6" w14:textId="56D6B2C6" w:rsidR="00AB4EAF" w:rsidRPr="00AC71A2" w:rsidRDefault="00AB4EAF" w:rsidP="00052A8C">
      <w:pPr>
        <w:pStyle w:val="Tekstpodstawowy"/>
        <w:spacing w:before="120" w:line="360" w:lineRule="auto"/>
        <w:ind w:firstLine="567"/>
        <w:rPr>
          <w:sz w:val="24"/>
          <w:szCs w:val="24"/>
        </w:rPr>
      </w:pPr>
      <w:r w:rsidRPr="00F215F5">
        <w:rPr>
          <w:sz w:val="24"/>
          <w:szCs w:val="24"/>
        </w:rPr>
        <w:t>Konieczność dodania ust. 5a w</w:t>
      </w:r>
      <w:r w:rsidR="00782D53" w:rsidRPr="00F215F5">
        <w:rPr>
          <w:sz w:val="24"/>
          <w:szCs w:val="24"/>
        </w:rPr>
        <w:t xml:space="preserve"> </w:t>
      </w:r>
      <w:r w:rsidRPr="00F215F5">
        <w:rPr>
          <w:sz w:val="24"/>
          <w:szCs w:val="24"/>
        </w:rPr>
        <w:t>zaproponowanym brzmieniu jest związana z wprowadzeniem zmiany w art. 107 ust. 1a ustawy o podatku akcyzowym i ma na celu uregulowanie sytuacji, gdy samochód osobowy, który był wcześniej czasowo zarejestrowany na terytorium kraju w</w:t>
      </w:r>
      <w:r w:rsidR="00F215F5">
        <w:rPr>
          <w:sz w:val="24"/>
          <w:szCs w:val="24"/>
        </w:rPr>
        <w:t xml:space="preserve"> </w:t>
      </w:r>
      <w:r w:rsidRPr="00F215F5">
        <w:rPr>
          <w:sz w:val="24"/>
          <w:szCs w:val="24"/>
        </w:rPr>
        <w:t xml:space="preserve">celu umożliwienia jego wywozu za granicę albo zarejestrowany wcześniej profesjonalnie na terytorium kraju w celu wykonywania jazd testowych zgodnie z przepisami o ruchu drogowym, od którego po dokonaniu dostawy wewnątrzwspólnotowej albo eksportu nastąpił zwrot akcyzy, ponownie zostaje sprowadzony </w:t>
      </w:r>
      <w:r w:rsidRPr="00AC71A2">
        <w:rPr>
          <w:sz w:val="24"/>
          <w:szCs w:val="24"/>
        </w:rPr>
        <w:t>do Polski w ramach nabycia wewnątrzwspólnotowego albo importu. Samochody te w przypadku ich powtórnego sprowadzenia do kraju będą podlegały opodatkowaniu akcyzą jako pojazdy wcześniej niezarejestrowane na terytorium kraju. Jeśli</w:t>
      </w:r>
      <w:r w:rsidR="00F215F5">
        <w:rPr>
          <w:sz w:val="24"/>
          <w:szCs w:val="24"/>
        </w:rPr>
        <w:t xml:space="preserve"> </w:t>
      </w:r>
      <w:r w:rsidRPr="00AC71A2">
        <w:rPr>
          <w:sz w:val="24"/>
          <w:szCs w:val="24"/>
        </w:rPr>
        <w:t xml:space="preserve">natomiast samochody zostaną wywiezione z kraju, ale nie nastąpił zwrot akcyzy z tytułu ich wywozu, a następnie ponownie zostaną wprowadzone </w:t>
      </w:r>
      <w:r w:rsidRPr="00AC71A2">
        <w:rPr>
          <w:sz w:val="24"/>
          <w:szCs w:val="24"/>
        </w:rPr>
        <w:lastRenderedPageBreak/>
        <w:t>do kraju, to w takiej sytuacji nie powstanie wobec nich obowiązek podatkowy i konieczność zapłaty akcyzy. Zgodnie bowiem z art. 100 ust. 3 ustawy o podatku akcyzowym</w:t>
      </w:r>
      <w:r w:rsidR="00F215F5">
        <w:rPr>
          <w:sz w:val="24"/>
          <w:szCs w:val="24"/>
        </w:rPr>
        <w:t>,</w:t>
      </w:r>
      <w:r w:rsidRPr="00AC71A2">
        <w:rPr>
          <w:sz w:val="24"/>
          <w:szCs w:val="24"/>
        </w:rPr>
        <w:t xml:space="preserve"> j</w:t>
      </w:r>
      <w:r w:rsidRPr="00AC71A2">
        <w:rPr>
          <w:sz w:val="24"/>
          <w:szCs w:val="24"/>
          <w:shd w:val="clear" w:color="auto" w:fill="FFFFFF"/>
        </w:rPr>
        <w:t>eżeli w stosunku do samochodu osobowego powstał obowiązek podatkowy w związku z wykonaniem jednej z czynności podlegającej opodatkowaniu</w:t>
      </w:r>
      <w:r w:rsidR="00F215F5">
        <w:rPr>
          <w:sz w:val="24"/>
          <w:szCs w:val="24"/>
          <w:shd w:val="clear" w:color="auto" w:fill="FFFFFF"/>
        </w:rPr>
        <w:t>,</w:t>
      </w:r>
      <w:r w:rsidRPr="00AC71A2">
        <w:rPr>
          <w:sz w:val="24"/>
          <w:szCs w:val="24"/>
          <w:shd w:val="clear" w:color="auto" w:fill="FFFFFF"/>
        </w:rPr>
        <w:t xml:space="preserve"> to nie powstaje obowiązek podatkowy na podstawie innej czynności podlegającej opodatkowaniu, jeżeli kwota akcyzy została określona lub zadeklarowana w należnej wysokości.</w:t>
      </w:r>
    </w:p>
    <w:p w14:paraId="56256F53" w14:textId="6B9859D5" w:rsidR="00141A24" w:rsidRPr="00F215F5"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u w:val="single"/>
        </w:rPr>
        <w:t>Projektowany art. 107 ust. 1a</w:t>
      </w:r>
      <w:r w:rsidRPr="00AC71A2">
        <w:rPr>
          <w:rFonts w:ascii="Times New Roman" w:hAnsi="Times New Roman" w:cs="Times New Roman"/>
          <w:sz w:val="24"/>
          <w:szCs w:val="24"/>
        </w:rPr>
        <w:t xml:space="preserve"> – celem proponowanej zmiany jest rozszerzenie prawa do zwrotu akcyzy w ten sposób, aby prawo do zwrotu akcyzy przysługiwało również w przypadku dokonania dostawy wewnątrzwspólnotowej lub eksportu samochodu osobowego wcześniej czasowo zarejestrowanego na terytorium kraju w celu umożliwienia jego wywozu za granicę zgodnie z </w:t>
      </w:r>
      <w:r w:rsidRPr="00AC71A2">
        <w:rPr>
          <w:rFonts w:ascii="Times New Roman" w:eastAsia="Calibri" w:hAnsi="Times New Roman" w:cs="Times New Roman"/>
          <w:sz w:val="24"/>
          <w:szCs w:val="24"/>
        </w:rPr>
        <w:t xml:space="preserve">art. 74 ust. 2 pkt 2 lit. a ustawy z 20 czerwca 1997 r. </w:t>
      </w:r>
      <w:r w:rsidR="00F215F5">
        <w:rPr>
          <w:rFonts w:ascii="Times New Roman" w:eastAsia="Calibri" w:hAnsi="Times New Roman" w:cs="Times New Roman"/>
          <w:sz w:val="24"/>
          <w:szCs w:val="24"/>
        </w:rPr>
        <w:t xml:space="preserve">– </w:t>
      </w:r>
      <w:r w:rsidRPr="00AC71A2">
        <w:rPr>
          <w:rFonts w:ascii="Times New Roman" w:eastAsia="Calibri" w:hAnsi="Times New Roman" w:cs="Times New Roman"/>
          <w:sz w:val="24"/>
          <w:szCs w:val="24"/>
        </w:rPr>
        <w:t>Prawo o ruchu drogowym</w:t>
      </w:r>
      <w:r w:rsidRPr="00AC71A2">
        <w:rPr>
          <w:rFonts w:ascii="Times New Roman" w:hAnsi="Times New Roman" w:cs="Times New Roman"/>
          <w:sz w:val="24"/>
          <w:szCs w:val="24"/>
        </w:rPr>
        <w:t xml:space="preserve"> i od którego akcyza została zapłacona na terytorium kraju. Ponadto celem zmiany jest doprecyzowanie regulacji dotyczących zwrotu akcyzy od samochodu zarejestrowanego wcześniej profesjonalnie na terytorium kraju w celu wykonywania jazd testowych zgodnie z</w:t>
      </w:r>
      <w:r w:rsidR="00BD6A30" w:rsidRPr="00AC71A2">
        <w:rPr>
          <w:rFonts w:ascii="Times New Roman" w:hAnsi="Times New Roman" w:cs="Times New Roman"/>
          <w:sz w:val="24"/>
          <w:szCs w:val="24"/>
        </w:rPr>
        <w:t> </w:t>
      </w:r>
      <w:r w:rsidRPr="00AC71A2">
        <w:rPr>
          <w:rFonts w:ascii="Times New Roman" w:hAnsi="Times New Roman" w:cs="Times New Roman"/>
          <w:sz w:val="24"/>
          <w:szCs w:val="24"/>
        </w:rPr>
        <w:t>przepisami o ruchu drogowym i od którego akcyza została zapłacona na terytorium kraju.</w:t>
      </w:r>
      <w:r w:rsidR="00220F9B" w:rsidRPr="00AC71A2">
        <w:rPr>
          <w:rFonts w:ascii="Times New Roman" w:hAnsi="Times New Roman" w:cs="Times New Roman"/>
          <w:sz w:val="24"/>
          <w:szCs w:val="24"/>
        </w:rPr>
        <w:t xml:space="preserve"> Brzmienie projektowanego przepisu nie będzie miało wpływu na zakres delegacji ustawowej z</w:t>
      </w:r>
      <w:r w:rsidR="00BD6A30" w:rsidRPr="00AC71A2">
        <w:rPr>
          <w:rFonts w:ascii="Times New Roman" w:hAnsi="Times New Roman" w:cs="Times New Roman"/>
          <w:sz w:val="24"/>
          <w:szCs w:val="24"/>
        </w:rPr>
        <w:t> </w:t>
      </w:r>
      <w:r w:rsidR="00220F9B" w:rsidRPr="00AC71A2">
        <w:rPr>
          <w:rFonts w:ascii="Times New Roman" w:hAnsi="Times New Roman" w:cs="Times New Roman"/>
          <w:sz w:val="24"/>
          <w:szCs w:val="24"/>
        </w:rPr>
        <w:t>art. 107 ust. 6 i treść wydanego na jej podstawie rozporządzenia Ministra Finansów z dnia 20 sierpnia 2010 r. w sprawie zwrotu akcyzy od samochodu osobowego (Dz.</w:t>
      </w:r>
      <w:r w:rsidR="00F215F5">
        <w:rPr>
          <w:rFonts w:ascii="Times New Roman" w:hAnsi="Times New Roman" w:cs="Times New Roman"/>
          <w:sz w:val="24"/>
          <w:szCs w:val="24"/>
        </w:rPr>
        <w:t xml:space="preserve"> </w:t>
      </w:r>
      <w:r w:rsidR="00220F9B" w:rsidRPr="00AC71A2">
        <w:rPr>
          <w:rFonts w:ascii="Times New Roman" w:hAnsi="Times New Roman" w:cs="Times New Roman"/>
          <w:sz w:val="24"/>
          <w:szCs w:val="24"/>
        </w:rPr>
        <w:t>U. z 2019</w:t>
      </w:r>
      <w:r w:rsidR="00AC71A2">
        <w:rPr>
          <w:rFonts w:ascii="Times New Roman" w:hAnsi="Times New Roman" w:cs="Times New Roman"/>
          <w:sz w:val="24"/>
          <w:szCs w:val="24"/>
        </w:rPr>
        <w:t> </w:t>
      </w:r>
      <w:r w:rsidR="00220F9B" w:rsidRPr="00AC71A2">
        <w:rPr>
          <w:rFonts w:ascii="Times New Roman" w:hAnsi="Times New Roman" w:cs="Times New Roman"/>
          <w:sz w:val="24"/>
          <w:szCs w:val="24"/>
        </w:rPr>
        <w:t>r. poz.</w:t>
      </w:r>
      <w:r w:rsidR="00AC71A2">
        <w:rPr>
          <w:rFonts w:ascii="Times New Roman" w:hAnsi="Times New Roman" w:cs="Times New Roman"/>
          <w:sz w:val="24"/>
          <w:szCs w:val="24"/>
        </w:rPr>
        <w:t> </w:t>
      </w:r>
      <w:r w:rsidR="00220F9B" w:rsidRPr="00AC71A2">
        <w:rPr>
          <w:rFonts w:ascii="Times New Roman" w:hAnsi="Times New Roman" w:cs="Times New Roman"/>
          <w:sz w:val="24"/>
          <w:szCs w:val="24"/>
        </w:rPr>
        <w:t xml:space="preserve">1891). </w:t>
      </w:r>
      <w:r w:rsidR="00141A24" w:rsidRPr="00AC71A2">
        <w:rPr>
          <w:rFonts w:ascii="Times New Roman" w:hAnsi="Times New Roman" w:cs="Times New Roman"/>
          <w:sz w:val="24"/>
          <w:szCs w:val="24"/>
        </w:rPr>
        <w:t>Szczegółowe warunki i tryb zwrotu, minimalna kwota zwrotu akcyzy, wzór wniosku o</w:t>
      </w:r>
      <w:r w:rsidR="00F215F5">
        <w:rPr>
          <w:rFonts w:ascii="Times New Roman" w:hAnsi="Times New Roman" w:cs="Times New Roman"/>
          <w:sz w:val="24"/>
          <w:szCs w:val="24"/>
        </w:rPr>
        <w:t xml:space="preserve"> </w:t>
      </w:r>
      <w:r w:rsidR="00141A24" w:rsidRPr="00AC71A2">
        <w:rPr>
          <w:rFonts w:ascii="Times New Roman" w:hAnsi="Times New Roman" w:cs="Times New Roman"/>
          <w:sz w:val="24"/>
          <w:szCs w:val="24"/>
        </w:rPr>
        <w:t xml:space="preserve">zwrot akcyzy oraz terminy zwrotu akcyzy </w:t>
      </w:r>
      <w:r w:rsidR="00F215F5">
        <w:rPr>
          <w:rFonts w:ascii="Times New Roman" w:hAnsi="Times New Roman" w:cs="Times New Roman"/>
          <w:sz w:val="24"/>
          <w:szCs w:val="24"/>
        </w:rPr>
        <w:t>–</w:t>
      </w:r>
      <w:r w:rsidR="00141A24" w:rsidRPr="00AC71A2">
        <w:rPr>
          <w:rFonts w:ascii="Times New Roman" w:hAnsi="Times New Roman" w:cs="Times New Roman"/>
          <w:sz w:val="24"/>
          <w:szCs w:val="24"/>
        </w:rPr>
        <w:t xml:space="preserve"> pozostaną takie same dla każdego rodzaju zwrotu akcyzy.</w:t>
      </w:r>
    </w:p>
    <w:p w14:paraId="77023527" w14:textId="4D52F142" w:rsidR="00AB4EAF" w:rsidRPr="00AC71A2" w:rsidRDefault="00AB4EAF" w:rsidP="00052A8C">
      <w:pPr>
        <w:spacing w:before="120" w:after="0" w:line="360" w:lineRule="auto"/>
        <w:jc w:val="both"/>
        <w:rPr>
          <w:rFonts w:ascii="Times New Roman" w:hAnsi="Times New Roman" w:cs="Times New Roman"/>
          <w:bCs/>
          <w:sz w:val="24"/>
          <w:szCs w:val="24"/>
        </w:rPr>
      </w:pPr>
      <w:r w:rsidRPr="00AC71A2">
        <w:rPr>
          <w:rFonts w:ascii="Times New Roman" w:hAnsi="Times New Roman" w:cs="Times New Roman"/>
          <w:bCs/>
          <w:sz w:val="24"/>
          <w:szCs w:val="24"/>
          <w:u w:val="single"/>
        </w:rPr>
        <w:t>Projektowany art. 107 ust. 1b</w:t>
      </w:r>
      <w:r w:rsidRPr="00AC71A2">
        <w:rPr>
          <w:rFonts w:ascii="Times New Roman" w:hAnsi="Times New Roman" w:cs="Times New Roman"/>
          <w:bCs/>
          <w:sz w:val="24"/>
          <w:szCs w:val="24"/>
        </w:rPr>
        <w:t xml:space="preserve"> – przewiduje brak prawa do zwrotu akcyzy</w:t>
      </w:r>
      <w:r w:rsidR="00F215F5">
        <w:rPr>
          <w:rFonts w:ascii="Times New Roman" w:hAnsi="Times New Roman" w:cs="Times New Roman"/>
          <w:bCs/>
          <w:sz w:val="24"/>
          <w:szCs w:val="24"/>
        </w:rPr>
        <w:t>,</w:t>
      </w:r>
      <w:r w:rsidRPr="00AC71A2">
        <w:rPr>
          <w:rFonts w:ascii="Times New Roman" w:hAnsi="Times New Roman" w:cs="Times New Roman"/>
          <w:bCs/>
          <w:sz w:val="24"/>
          <w:szCs w:val="24"/>
        </w:rPr>
        <w:t xml:space="preserve"> w sytuacji gdy samochód zostanie ponownie zarejestrowany na terytorium kraju w ciągu roku od dokonania dostawy wewnątrzwspólnotowej </w:t>
      </w:r>
      <w:r w:rsidR="005F62B2" w:rsidRPr="00AC71A2">
        <w:rPr>
          <w:rFonts w:ascii="Times New Roman" w:hAnsi="Times New Roman" w:cs="Times New Roman"/>
          <w:bCs/>
          <w:sz w:val="24"/>
          <w:szCs w:val="24"/>
        </w:rPr>
        <w:t xml:space="preserve">albo </w:t>
      </w:r>
      <w:r w:rsidRPr="00AC71A2">
        <w:rPr>
          <w:rFonts w:ascii="Times New Roman" w:hAnsi="Times New Roman" w:cs="Times New Roman"/>
          <w:bCs/>
          <w:sz w:val="24"/>
          <w:szCs w:val="24"/>
        </w:rPr>
        <w:t>eksportu. Celem tego przepisu jest zapobieżenie potencjalnym nadużyciom związanym z pozornym wywozem samochodów osobowych, mającym na celu nienależne uzyskanie zwrotu akcyzy. W aktualnym stanie prawnym podmiot ma prawo do ubiegania się o zwrot zapłaconej akcyzy w terminie roku od dnia dokonania dostawy lub eksportu samochodu osobowego. Podatnikowi, który zapłacił akcyzę</w:t>
      </w:r>
      <w:r w:rsidR="00F215F5">
        <w:rPr>
          <w:rFonts w:ascii="Times New Roman" w:hAnsi="Times New Roman" w:cs="Times New Roman"/>
          <w:bCs/>
          <w:sz w:val="24"/>
          <w:szCs w:val="24"/>
        </w:rPr>
        <w:t>,</w:t>
      </w:r>
      <w:r w:rsidRPr="00AC71A2">
        <w:rPr>
          <w:rFonts w:ascii="Times New Roman" w:hAnsi="Times New Roman" w:cs="Times New Roman"/>
          <w:bCs/>
          <w:sz w:val="24"/>
          <w:szCs w:val="24"/>
        </w:rPr>
        <w:t xml:space="preserve"> wydawany jest dokument potwierdzający zapłatę akcyzy. Przedłożenie tego dokumentu odpowiedniemu organowi rejestrującemu pojazdy stanowi warunek konieczny dokonania rejestracji. Również podatnik dokonujący rejestracji czasowej w celu wywozu samochodu będzie dysponował tego rodzaju dokumentem. W związku z powyższym konieczne jest wprowadzenie przepisów, które uniemożliwią ubieganie się o zwrot akcyzy w sytuacji ponownego przywozu samochodu </w:t>
      </w:r>
      <w:r w:rsidRPr="00AC71A2">
        <w:rPr>
          <w:rFonts w:ascii="Times New Roman" w:hAnsi="Times New Roman" w:cs="Times New Roman"/>
          <w:bCs/>
          <w:sz w:val="24"/>
          <w:szCs w:val="24"/>
        </w:rPr>
        <w:lastRenderedPageBreak/>
        <w:t>osobowego na terytorium kraju i zarejestrowanie go zgodnie z przepisami o ruchu drogowym. Roczny termin wskazany w projektowanym przepisie jest zgodny z terminem uprawniającym do ubiegania się o zwrot zapłaconej akcyzy, co uznano – w świetle zasady konsumpcyjności akcyzy – za element weryfikujący rzeczywisty charakter wywozu. Zaproponowane rozwiązanie opiera się na założeniu, że samochód zarejestrowany czasowo w celu wywozu, który został wywieziony, a następnie ponownie przywieziony na terytorium kraju przed upływem roku, ma charakter pozorny.</w:t>
      </w:r>
    </w:p>
    <w:p w14:paraId="2ABE0E82" w14:textId="1457FC4A"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u w:val="single"/>
        </w:rPr>
        <w:t xml:space="preserve">Projektowany przepis przejściowy (art. </w:t>
      </w:r>
      <w:r w:rsidR="002C26A5" w:rsidRPr="00AC71A2">
        <w:rPr>
          <w:rFonts w:ascii="Times New Roman" w:hAnsi="Times New Roman" w:cs="Times New Roman"/>
          <w:sz w:val="24"/>
          <w:szCs w:val="24"/>
          <w:u w:val="single"/>
        </w:rPr>
        <w:t>7</w:t>
      </w:r>
      <w:r w:rsidRPr="00AC71A2">
        <w:rPr>
          <w:rFonts w:ascii="Times New Roman" w:hAnsi="Times New Roman" w:cs="Times New Roman"/>
          <w:sz w:val="24"/>
          <w:szCs w:val="24"/>
          <w:u w:val="single"/>
        </w:rPr>
        <w:t xml:space="preserve"> projektu ustawy</w:t>
      </w:r>
      <w:r w:rsidRPr="00AC71A2">
        <w:rPr>
          <w:rFonts w:ascii="Times New Roman" w:hAnsi="Times New Roman" w:cs="Times New Roman"/>
          <w:sz w:val="24"/>
          <w:szCs w:val="24"/>
        </w:rPr>
        <w:t>) ma na celu uregulowanie kwestii stosowania nowych przepisów akcyzowych w zakresie zwrotu akcyzy do samochodów osobowych zarejestrowanych czasowo w celu ich wywozu, w przypadku których obowiązek podatkowy w akcyzie powstał przed wejściem w życie nowelizacji ustawy o podatku akcyzowym, ale dostawa wewnątrzwspólnotowa lub eksport zostały dokonane już po wejściu w życie nowych przepisów. Zatem dzień powstania obowiązku podatkowego będzie decydował o możliwości zastosowania nowych regulacji i otrzymaniu zwrotu akcyzy</w:t>
      </w:r>
      <w:r w:rsidR="00F215F5">
        <w:rPr>
          <w:rFonts w:ascii="Times New Roman" w:hAnsi="Times New Roman" w:cs="Times New Roman"/>
          <w:sz w:val="24"/>
          <w:szCs w:val="24"/>
        </w:rPr>
        <w:t>,</w:t>
      </w:r>
      <w:r w:rsidRPr="00AC71A2">
        <w:rPr>
          <w:rFonts w:ascii="Times New Roman" w:hAnsi="Times New Roman" w:cs="Times New Roman"/>
          <w:sz w:val="24"/>
          <w:szCs w:val="24"/>
        </w:rPr>
        <w:t xml:space="preserve"> w przypadku gdy pojazd zostanie wywieziony z kraju po wejściu w życie nowych przepisów.</w:t>
      </w:r>
    </w:p>
    <w:p w14:paraId="583F5616" w14:textId="77777777" w:rsidR="00AB4EAF" w:rsidRPr="00AC71A2" w:rsidRDefault="00AB4EAF" w:rsidP="00AB4EAF">
      <w:pPr>
        <w:spacing w:before="120" w:after="0" w:line="276" w:lineRule="auto"/>
        <w:jc w:val="both"/>
        <w:rPr>
          <w:rFonts w:ascii="Times New Roman" w:hAnsi="Times New Roman" w:cs="Times New Roman"/>
          <w:b/>
          <w:bCs/>
          <w:sz w:val="24"/>
          <w:szCs w:val="24"/>
          <w:u w:val="single"/>
        </w:rPr>
      </w:pPr>
    </w:p>
    <w:p w14:paraId="10D66110" w14:textId="6E519F48" w:rsidR="00AB4EAF" w:rsidRPr="00AC71A2" w:rsidRDefault="00AB4EAF" w:rsidP="00052A8C">
      <w:pPr>
        <w:spacing w:before="120" w:after="0" w:line="360" w:lineRule="auto"/>
        <w:ind w:left="426" w:hanging="426"/>
        <w:jc w:val="both"/>
        <w:rPr>
          <w:rFonts w:ascii="Times New Roman" w:hAnsi="Times New Roman" w:cs="Times New Roman"/>
          <w:sz w:val="24"/>
          <w:szCs w:val="24"/>
        </w:rPr>
      </w:pPr>
      <w:r w:rsidRPr="00AC71A2">
        <w:rPr>
          <w:rFonts w:ascii="Times New Roman" w:hAnsi="Times New Roman" w:cs="Times New Roman"/>
          <w:b/>
          <w:bCs/>
          <w:sz w:val="24"/>
          <w:szCs w:val="24"/>
        </w:rPr>
        <w:t>2)</w:t>
      </w:r>
      <w:r w:rsidR="00AC71A2">
        <w:rPr>
          <w:rFonts w:ascii="Times New Roman" w:hAnsi="Times New Roman" w:cs="Times New Roman"/>
          <w:b/>
          <w:bCs/>
          <w:sz w:val="24"/>
          <w:szCs w:val="24"/>
        </w:rPr>
        <w:tab/>
      </w:r>
      <w:r w:rsidRPr="00AC71A2">
        <w:rPr>
          <w:rFonts w:ascii="Times New Roman" w:hAnsi="Times New Roman" w:cs="Times New Roman"/>
          <w:b/>
          <w:bCs/>
          <w:sz w:val="24"/>
          <w:szCs w:val="24"/>
        </w:rPr>
        <w:t>zwolnienie od akcyzy dla samochodów osobowych rejestrowanych profesjonalnie na terytorium kraju w celu wykonywania jazd testowych zgodnie z przepisami o</w:t>
      </w:r>
      <w:r w:rsidR="00AC71A2">
        <w:rPr>
          <w:rFonts w:ascii="Times New Roman" w:hAnsi="Times New Roman" w:cs="Times New Roman"/>
          <w:b/>
          <w:bCs/>
          <w:sz w:val="24"/>
          <w:szCs w:val="24"/>
        </w:rPr>
        <w:t xml:space="preserve"> </w:t>
      </w:r>
      <w:r w:rsidRPr="00AC71A2">
        <w:rPr>
          <w:rFonts w:ascii="Times New Roman" w:hAnsi="Times New Roman" w:cs="Times New Roman"/>
          <w:b/>
          <w:bCs/>
          <w:sz w:val="24"/>
          <w:szCs w:val="24"/>
        </w:rPr>
        <w:t>ruchu drogowym, które będą przedmiotem badań naukowych lub prac rozwojowych w ramach prowadzonej działalności badawczo-rozwojowej</w:t>
      </w:r>
    </w:p>
    <w:p w14:paraId="0B5658D7" w14:textId="77671FC4"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Wychodząc naprzeciw oczekiwaniom podmiotów prowadzących działalność badawczo</w:t>
      </w:r>
      <w:r w:rsidR="00F215F5">
        <w:rPr>
          <w:rFonts w:ascii="Times New Roman" w:hAnsi="Times New Roman" w:cs="Times New Roman"/>
          <w:sz w:val="24"/>
          <w:szCs w:val="24"/>
        </w:rPr>
        <w:noBreakHyphen/>
      </w:r>
      <w:r w:rsidRPr="00AC71A2">
        <w:rPr>
          <w:rFonts w:ascii="Times New Roman" w:hAnsi="Times New Roman" w:cs="Times New Roman"/>
          <w:sz w:val="24"/>
          <w:szCs w:val="24"/>
        </w:rPr>
        <w:t>rozwojową, w związku z sygnalizowanymi potrzebami ułatwień w prowadzeniu działalności gospodarczej, podjęto decyzję o wprowadzeniu zwolnienia od akcyzy dla samochodów osobowych, które będą przedmiotem badań naukowych lub prac rozwojowych. Samochody te zgodnie z przepisami o ruchu drogowym podlegają profesjonalnej rejestracji przy spełnieniu określonych warunków. Rozwiązanie to jest korzystne dla przedsiębiorców, ponieważ wspiera innowacyjność i rozwój technologiczny w</w:t>
      </w:r>
      <w:r w:rsidR="00F215F5">
        <w:rPr>
          <w:rFonts w:ascii="Times New Roman" w:hAnsi="Times New Roman" w:cs="Times New Roman"/>
          <w:sz w:val="24"/>
          <w:szCs w:val="24"/>
        </w:rPr>
        <w:t xml:space="preserve"> </w:t>
      </w:r>
      <w:r w:rsidRPr="00AC71A2">
        <w:rPr>
          <w:rFonts w:ascii="Times New Roman" w:hAnsi="Times New Roman" w:cs="Times New Roman"/>
          <w:sz w:val="24"/>
          <w:szCs w:val="24"/>
        </w:rPr>
        <w:t>branży motoryzacyjnej.</w:t>
      </w:r>
      <w:r w:rsidR="00A76EE1" w:rsidRPr="00AC71A2">
        <w:rPr>
          <w:rFonts w:ascii="Times New Roman" w:hAnsi="Times New Roman" w:cs="Times New Roman"/>
          <w:sz w:val="24"/>
          <w:szCs w:val="24"/>
        </w:rPr>
        <w:t xml:space="preserve"> Wprowadzana preferencja podatkowa nie ma charakteru selektywnego, nie stanowi pomocy publicznej, gdyż będą z niej korzystać wszyscy przedsiębiorcy, którzy w ramach prowadzonych badań naukowych lub prac rozwojowych testują samochody osobowe.</w:t>
      </w:r>
    </w:p>
    <w:p w14:paraId="0A9AE229" w14:textId="432267CF"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u w:val="single"/>
        </w:rPr>
        <w:t>Projektowany</w:t>
      </w:r>
      <w:r w:rsidRPr="00AC71A2">
        <w:rPr>
          <w:rFonts w:ascii="Times New Roman" w:hAnsi="Times New Roman" w:cs="Times New Roman"/>
          <w:b/>
          <w:bCs/>
          <w:sz w:val="24"/>
          <w:szCs w:val="24"/>
          <w:u w:val="single"/>
        </w:rPr>
        <w:t xml:space="preserve"> </w:t>
      </w:r>
      <w:r w:rsidRPr="00AC71A2">
        <w:rPr>
          <w:rFonts w:ascii="Times New Roman" w:hAnsi="Times New Roman" w:cs="Times New Roman"/>
          <w:sz w:val="24"/>
          <w:szCs w:val="24"/>
          <w:u w:val="single"/>
        </w:rPr>
        <w:t>art. 110b</w:t>
      </w:r>
      <w:r w:rsidRPr="00AC71A2">
        <w:rPr>
          <w:rFonts w:ascii="Times New Roman" w:hAnsi="Times New Roman" w:cs="Times New Roman"/>
          <w:sz w:val="24"/>
          <w:szCs w:val="24"/>
        </w:rPr>
        <w:t xml:space="preserve"> – projektowany przepis w ust. 1 wprowadza nowe zwolnienie od akcyzy dla samochodów osobowych zarejestrowanych profesjonalnie na terytorium kraju </w:t>
      </w:r>
      <w:r w:rsidRPr="00AC71A2">
        <w:rPr>
          <w:rFonts w:ascii="Times New Roman" w:hAnsi="Times New Roman" w:cs="Times New Roman"/>
          <w:sz w:val="24"/>
          <w:szCs w:val="24"/>
        </w:rPr>
        <w:lastRenderedPageBreak/>
        <w:t>w celu wykonywania jazd testowych zgodnie z przepisami o ruchu drogowym, które będą przedmiotem badań naukowych lub prac rozwojowych w ramach prowadzonej działalności badawczo-rozwojowej. Zgodnie z przepisami o ruchu drogowym jazda testowa jest jazdą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ruchu drogowym pojazdem niezarejestrowanym wcześniej na terytorium kraju lub za granicą. Jazda ta służy m.in. przeprowadzeniu testu produkowanego lub badanego pojazdu,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 xml:space="preserve">tym przedmiotu jego wyposażenia lub części. Projektowane zwolnienie ma charakter ogólny </w:t>
      </w:r>
      <w:r w:rsidR="00F215F5">
        <w:rPr>
          <w:rFonts w:ascii="Times New Roman" w:hAnsi="Times New Roman" w:cs="Times New Roman"/>
          <w:sz w:val="24"/>
          <w:szCs w:val="24"/>
        </w:rPr>
        <w:t>–</w:t>
      </w:r>
      <w:r w:rsidRPr="00AC71A2">
        <w:rPr>
          <w:rFonts w:ascii="Times New Roman" w:hAnsi="Times New Roman" w:cs="Times New Roman"/>
          <w:sz w:val="24"/>
          <w:szCs w:val="24"/>
        </w:rPr>
        <w:t xml:space="preserve"> będzie z niego mógł skorzystać każdy podatnik akcyzy, po spełnieniu warunków określonych w art. 110b ust. 2.</w:t>
      </w:r>
    </w:p>
    <w:p w14:paraId="72E2FF41" w14:textId="19F548C4"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Zgodnie z ust. 2 warunki zwolnienia będą następujące:</w:t>
      </w:r>
    </w:p>
    <w:p w14:paraId="096761F1" w14:textId="6BDE0895" w:rsidR="00AB4EAF" w:rsidRPr="00AC71A2" w:rsidRDefault="00AB4EAF" w:rsidP="00052A8C">
      <w:pPr>
        <w:pStyle w:val="Akapitzlist"/>
        <w:numPr>
          <w:ilvl w:val="0"/>
          <w:numId w:val="3"/>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 xml:space="preserve">wykonywanie jazd testowych samochodem osobowym z wypełnionym profesjonalnym dowodem rejestracyjnym </w:t>
      </w:r>
      <w:r w:rsidR="008318B9" w:rsidRPr="00AC71A2">
        <w:rPr>
          <w:rFonts w:ascii="Times New Roman" w:hAnsi="Times New Roman" w:cs="Times New Roman"/>
          <w:sz w:val="24"/>
          <w:szCs w:val="24"/>
        </w:rPr>
        <w:t xml:space="preserve">i </w:t>
      </w:r>
      <w:r w:rsidRPr="00AC71A2">
        <w:rPr>
          <w:rFonts w:ascii="Times New Roman" w:hAnsi="Times New Roman" w:cs="Times New Roman"/>
          <w:sz w:val="24"/>
          <w:szCs w:val="24"/>
        </w:rPr>
        <w:t xml:space="preserve">z </w:t>
      </w:r>
      <w:r w:rsidR="00C523C0" w:rsidRPr="00AC71A2">
        <w:rPr>
          <w:rFonts w:ascii="Times New Roman" w:hAnsi="Times New Roman" w:cs="Times New Roman"/>
          <w:sz w:val="24"/>
          <w:szCs w:val="24"/>
        </w:rPr>
        <w:t>wykorzystaniem profesjonalnych tablic rejestracyjnych</w:t>
      </w:r>
      <w:r w:rsidRPr="00AC71A2">
        <w:rPr>
          <w:rFonts w:ascii="Times New Roman" w:hAnsi="Times New Roman" w:cs="Times New Roman"/>
          <w:sz w:val="24"/>
          <w:szCs w:val="24"/>
        </w:rPr>
        <w:t>, zgodnie z decyzją o profesjonalnej rejestracji pojazdów, o</w:t>
      </w:r>
      <w:r w:rsidR="00F215F5">
        <w:rPr>
          <w:rFonts w:ascii="Times New Roman" w:hAnsi="Times New Roman" w:cs="Times New Roman"/>
          <w:sz w:val="24"/>
          <w:szCs w:val="24"/>
        </w:rPr>
        <w:t xml:space="preserve"> </w:t>
      </w:r>
      <w:r w:rsidRPr="00AC71A2">
        <w:rPr>
          <w:rFonts w:ascii="Times New Roman" w:hAnsi="Times New Roman" w:cs="Times New Roman"/>
          <w:sz w:val="24"/>
          <w:szCs w:val="24"/>
        </w:rPr>
        <w:t xml:space="preserve">której mowa w art. 80t </w:t>
      </w:r>
      <w:r w:rsidR="00C523C0" w:rsidRPr="00AC71A2">
        <w:rPr>
          <w:rFonts w:ascii="Times New Roman" w:hAnsi="Times New Roman" w:cs="Times New Roman"/>
          <w:sz w:val="24"/>
          <w:szCs w:val="24"/>
        </w:rPr>
        <w:t>i art.</w:t>
      </w:r>
      <w:r w:rsidR="00AC71A2">
        <w:rPr>
          <w:rFonts w:ascii="Times New Roman" w:hAnsi="Times New Roman" w:cs="Times New Roman"/>
          <w:sz w:val="24"/>
          <w:szCs w:val="24"/>
        </w:rPr>
        <w:t> </w:t>
      </w:r>
      <w:r w:rsidR="00C523C0" w:rsidRPr="00AC71A2">
        <w:rPr>
          <w:rFonts w:ascii="Times New Roman" w:hAnsi="Times New Roman" w:cs="Times New Roman"/>
          <w:sz w:val="24"/>
          <w:szCs w:val="24"/>
        </w:rPr>
        <w:t xml:space="preserve">80v </w:t>
      </w:r>
      <w:r w:rsidRPr="00AC71A2">
        <w:rPr>
          <w:rFonts w:ascii="Times New Roman" w:hAnsi="Times New Roman" w:cs="Times New Roman"/>
          <w:sz w:val="24"/>
          <w:szCs w:val="24"/>
        </w:rPr>
        <w:t>ustawy z dnia 20 czerwca 1997 r. – Prawo o ruchu drogowym,</w:t>
      </w:r>
    </w:p>
    <w:p w14:paraId="5E2521CE" w14:textId="47F179AA" w:rsidR="00AB4EAF" w:rsidRPr="00AC71A2" w:rsidRDefault="00AB4EAF" w:rsidP="00052A8C">
      <w:pPr>
        <w:pStyle w:val="Akapitzlist"/>
        <w:numPr>
          <w:ilvl w:val="0"/>
          <w:numId w:val="3"/>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przeznaczenie samochodu osobowego do badań naukowych lub prac rozwojowych w prowadzonej działalności badawczo-rozwojowej przez okres ważności decyzji o</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profesjonalnej rejestracji pojazdów, o której mowa w art. 80t i art. 80v ustawy z dnia 20 czerwca 1997 r. – Prawo o ruchu drogowym, nie dłużej jednak niż przez okres 12 miesięcy, licząc od dnia powstania obowiązku podatkowego. Projektowany przepis odwołuje się zarówno do art. 80t („decyzja pierwotna”), jak i art. 80v („kolejna decyzja”) ustawy – Prawo o ruchu drogowym. Może się bowiem zdarzyć, że samochód osobowy będzie przedmiotem badań naukowych lub prac rozwojowych przez ostatnie kilka miesięcy obowiązywania decyzji o profesjonalnej rejestracji pojazdów. Stąd też przewidziano możliwość prowadzenia badań nie tylko w okresie obowiązywania decyzji, o której mowa w art. 80t ustawy – Prawo o ruchu drogowym („decyzji pierwotnej”), a także w okresie obowiązywania decyzji, o której mowa w art. 80v ww. ustawy, jednak nie dłużej niż przez okres 12 miesięcy, licząc od dnia powstania obowiązku podatkowego. Warunkiem zwolnienia jest rzeczywiste poddanie pojazdu badaniom lub pracom rozwojowym, a nie jedynie zamiar prowadzenia takich badań lub prac</w:t>
      </w:r>
      <w:r w:rsidR="00EA2140">
        <w:rPr>
          <w:rFonts w:ascii="Times New Roman" w:hAnsi="Times New Roman" w:cs="Times New Roman"/>
          <w:sz w:val="24"/>
          <w:szCs w:val="24"/>
        </w:rPr>
        <w:t>,</w:t>
      </w:r>
    </w:p>
    <w:p w14:paraId="518ED212" w14:textId="32070A7D" w:rsidR="00AB4EAF" w:rsidRPr="00AC71A2" w:rsidRDefault="00AB4EAF" w:rsidP="00052A8C">
      <w:pPr>
        <w:pStyle w:val="Akapitzlist"/>
        <w:numPr>
          <w:ilvl w:val="0"/>
          <w:numId w:val="3"/>
        </w:numPr>
        <w:spacing w:before="120" w:after="0" w:line="360" w:lineRule="auto"/>
        <w:ind w:left="426"/>
        <w:contextualSpacing w:val="0"/>
        <w:jc w:val="both"/>
        <w:rPr>
          <w:rFonts w:ascii="Times New Roman" w:hAnsi="Times New Roman" w:cs="Times New Roman"/>
          <w:sz w:val="24"/>
          <w:szCs w:val="24"/>
        </w:rPr>
      </w:pPr>
      <w:r w:rsidRPr="00AC71A2">
        <w:rPr>
          <w:rFonts w:ascii="Times New Roman" w:hAnsi="Times New Roman" w:cs="Times New Roman"/>
          <w:sz w:val="24"/>
          <w:szCs w:val="24"/>
        </w:rPr>
        <w:t>wpisanie samochodu osobowego do wykazu pojazdów zgodnie z art. 80x ust. 1 ustawy z</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dnia 20 czerwca 1997 r. – Prawo o ruchu drogowym. Zgodnie z przepisami o ruchu drogowym podmiot uprawniony zamieszcza w wykazie pojazdów dane pojazdu</w:t>
      </w:r>
      <w:r w:rsidR="00F215F5">
        <w:rPr>
          <w:rFonts w:ascii="Times New Roman" w:hAnsi="Times New Roman" w:cs="Times New Roman"/>
          <w:sz w:val="24"/>
          <w:szCs w:val="24"/>
        </w:rPr>
        <w:t>,</w:t>
      </w:r>
      <w:r w:rsidRPr="00AC71A2">
        <w:rPr>
          <w:rFonts w:ascii="Times New Roman" w:hAnsi="Times New Roman" w:cs="Times New Roman"/>
          <w:sz w:val="24"/>
          <w:szCs w:val="24"/>
        </w:rPr>
        <w:t xml:space="preserve"> wypełniając blankiet profesjonalnego dowodu rejestracyjnego, przed zawarciem przez ten </w:t>
      </w:r>
      <w:r w:rsidRPr="00AC71A2">
        <w:rPr>
          <w:rFonts w:ascii="Times New Roman" w:hAnsi="Times New Roman" w:cs="Times New Roman"/>
          <w:sz w:val="24"/>
          <w:szCs w:val="24"/>
        </w:rPr>
        <w:lastRenderedPageBreak/>
        <w:t>podmiot umowy ubezpieczenia odpowiedzialności cywilnej posiadaczy pojazdów mechanicznych</w:t>
      </w:r>
      <w:r w:rsidR="003F1315">
        <w:rPr>
          <w:rFonts w:ascii="Times New Roman" w:hAnsi="Times New Roman" w:cs="Times New Roman"/>
          <w:sz w:val="24"/>
          <w:szCs w:val="24"/>
        </w:rPr>
        <w:t>,</w:t>
      </w:r>
    </w:p>
    <w:p w14:paraId="6F1DEE81" w14:textId="532A2ABC" w:rsidR="00AB4EAF" w:rsidRPr="00AC71A2" w:rsidRDefault="00AB4EAF" w:rsidP="00052A8C">
      <w:pPr>
        <w:pStyle w:val="Akapitzlist"/>
        <w:numPr>
          <w:ilvl w:val="0"/>
          <w:numId w:val="3"/>
        </w:numPr>
        <w:spacing w:before="120" w:after="0" w:line="360" w:lineRule="auto"/>
        <w:ind w:left="426"/>
        <w:jc w:val="both"/>
        <w:rPr>
          <w:rFonts w:ascii="Times New Roman" w:hAnsi="Times New Roman" w:cs="Times New Roman"/>
          <w:sz w:val="24"/>
          <w:szCs w:val="24"/>
        </w:rPr>
      </w:pPr>
      <w:r w:rsidRPr="00AC71A2">
        <w:rPr>
          <w:rFonts w:ascii="Times New Roman" w:hAnsi="Times New Roman" w:cs="Times New Roman"/>
          <w:sz w:val="24"/>
          <w:szCs w:val="24"/>
        </w:rPr>
        <w:t>wywóz samochodu osobowego poza terytorium kraju albo wycofanie z eksploatacji samochodu osobowego i uzyskanie zaświadczenia o jego demontażu, o którym mowa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 xml:space="preserve">art. 24 ust. </w:t>
      </w:r>
      <w:r w:rsidR="00C523C0" w:rsidRPr="00AC71A2">
        <w:rPr>
          <w:rFonts w:ascii="Times New Roman" w:hAnsi="Times New Roman" w:cs="Times New Roman"/>
          <w:sz w:val="24"/>
          <w:szCs w:val="24"/>
        </w:rPr>
        <w:t>1</w:t>
      </w:r>
      <w:r w:rsidRPr="00AC71A2">
        <w:rPr>
          <w:rFonts w:ascii="Times New Roman" w:hAnsi="Times New Roman" w:cs="Times New Roman"/>
          <w:sz w:val="24"/>
          <w:szCs w:val="24"/>
        </w:rPr>
        <w:t xml:space="preserve"> </w:t>
      </w:r>
      <w:r w:rsidR="008318B9" w:rsidRPr="00AC71A2">
        <w:rPr>
          <w:rFonts w:ascii="Times New Roman" w:hAnsi="Times New Roman" w:cs="Times New Roman"/>
          <w:sz w:val="24"/>
          <w:szCs w:val="24"/>
        </w:rPr>
        <w:t xml:space="preserve">pkt 2 </w:t>
      </w:r>
      <w:r w:rsidRPr="00AC71A2">
        <w:rPr>
          <w:rFonts w:ascii="Times New Roman" w:hAnsi="Times New Roman" w:cs="Times New Roman"/>
          <w:sz w:val="24"/>
          <w:szCs w:val="24"/>
        </w:rPr>
        <w:t xml:space="preserve">ustawy z dnia 20 stycznia 2005 r. o </w:t>
      </w:r>
      <w:r w:rsidRPr="00AC71A2">
        <w:rPr>
          <w:rFonts w:ascii="Times New Roman" w:eastAsia="Times New Roman" w:hAnsi="Times New Roman" w:cs="Times New Roman"/>
          <w:sz w:val="24"/>
          <w:szCs w:val="24"/>
        </w:rPr>
        <w:t xml:space="preserve">recyklingu pojazdów wycofanych z eksploatacji (Dz. U. z 2020 r. poz. 2056), albo </w:t>
      </w:r>
      <w:r w:rsidR="00C523C0" w:rsidRPr="00AC71A2">
        <w:rPr>
          <w:rFonts w:ascii="Times New Roman" w:eastAsia="Times New Roman" w:hAnsi="Times New Roman" w:cs="Times New Roman"/>
          <w:sz w:val="24"/>
          <w:szCs w:val="24"/>
        </w:rPr>
        <w:t>zwr</w:t>
      </w:r>
      <w:r w:rsidR="008318B9" w:rsidRPr="00AC71A2">
        <w:rPr>
          <w:rFonts w:ascii="Times New Roman" w:eastAsia="Times New Roman" w:hAnsi="Times New Roman" w:cs="Times New Roman"/>
          <w:sz w:val="24"/>
          <w:szCs w:val="24"/>
        </w:rPr>
        <w:t>ot</w:t>
      </w:r>
      <w:r w:rsidR="00C523C0" w:rsidRPr="00AC71A2">
        <w:rPr>
          <w:rFonts w:ascii="Times New Roman" w:eastAsia="Times New Roman" w:hAnsi="Times New Roman" w:cs="Times New Roman"/>
          <w:sz w:val="24"/>
          <w:szCs w:val="24"/>
        </w:rPr>
        <w:t xml:space="preserve"> </w:t>
      </w:r>
      <w:r w:rsidRPr="00AC71A2">
        <w:rPr>
          <w:rFonts w:ascii="Times New Roman" w:eastAsia="Times New Roman" w:hAnsi="Times New Roman" w:cs="Times New Roman"/>
          <w:sz w:val="24"/>
          <w:szCs w:val="24"/>
        </w:rPr>
        <w:t>samochodu osobowego producentowi samochod</w:t>
      </w:r>
      <w:r w:rsidR="008318B9" w:rsidRPr="00AC71A2">
        <w:rPr>
          <w:rFonts w:ascii="Times New Roman" w:eastAsia="Times New Roman" w:hAnsi="Times New Roman" w:cs="Times New Roman"/>
          <w:sz w:val="24"/>
          <w:szCs w:val="24"/>
        </w:rPr>
        <w:t>u</w:t>
      </w:r>
      <w:r w:rsidRPr="00AC71A2">
        <w:rPr>
          <w:rFonts w:ascii="Times New Roman" w:eastAsia="Times New Roman" w:hAnsi="Times New Roman" w:cs="Times New Roman"/>
          <w:sz w:val="24"/>
          <w:szCs w:val="24"/>
        </w:rPr>
        <w:t xml:space="preserve"> osobow</w:t>
      </w:r>
      <w:r w:rsidR="008318B9" w:rsidRPr="00AC71A2">
        <w:rPr>
          <w:rFonts w:ascii="Times New Roman" w:eastAsia="Times New Roman" w:hAnsi="Times New Roman" w:cs="Times New Roman"/>
          <w:sz w:val="24"/>
          <w:szCs w:val="24"/>
        </w:rPr>
        <w:t>ego</w:t>
      </w:r>
      <w:r w:rsidRPr="00AC71A2">
        <w:rPr>
          <w:rFonts w:ascii="Times New Roman" w:eastAsia="Times New Roman" w:hAnsi="Times New Roman" w:cs="Times New Roman"/>
          <w:sz w:val="24"/>
          <w:szCs w:val="24"/>
        </w:rPr>
        <w:t xml:space="preserve"> lub jego upoważnionemu przedstawicielowi, w</w:t>
      </w:r>
      <w:r w:rsidR="00CD4D63" w:rsidRPr="00AC71A2">
        <w:rPr>
          <w:rFonts w:ascii="Times New Roman" w:eastAsia="Times New Roman" w:hAnsi="Times New Roman" w:cs="Times New Roman"/>
          <w:sz w:val="24"/>
          <w:szCs w:val="24"/>
        </w:rPr>
        <w:t> </w:t>
      </w:r>
      <w:r w:rsidRPr="00AC71A2">
        <w:rPr>
          <w:rFonts w:ascii="Times New Roman" w:eastAsia="Times New Roman" w:hAnsi="Times New Roman" w:cs="Times New Roman"/>
          <w:sz w:val="24"/>
          <w:szCs w:val="24"/>
        </w:rPr>
        <w:t>terminie 14 dni po upływie okresu, o którym mowa w pkt 2.</w:t>
      </w:r>
    </w:p>
    <w:p w14:paraId="6A53AF44" w14:textId="13B65986"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W ust. 3 uregulowano co należy rozumieć przez działalność badawczo-rozwojową, o której mowa w ust. 2 pkt 2. Według przepisu jest to działalność </w:t>
      </w:r>
      <w:r w:rsidR="00C523C0" w:rsidRPr="00AC71A2">
        <w:rPr>
          <w:rFonts w:ascii="Times New Roman" w:hAnsi="Times New Roman" w:cs="Times New Roman"/>
          <w:sz w:val="24"/>
          <w:szCs w:val="24"/>
        </w:rPr>
        <w:t xml:space="preserve">badawczo-rozwojowa </w:t>
      </w:r>
      <w:r w:rsidRPr="00AC71A2">
        <w:rPr>
          <w:rFonts w:ascii="Times New Roman" w:hAnsi="Times New Roman" w:cs="Times New Roman"/>
          <w:sz w:val="24"/>
          <w:szCs w:val="24"/>
        </w:rPr>
        <w:t>w rozumieniu art. 4a pkt 26 ustawy z</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dnia 15 lutego 1992 r. o podatku dochodowym od osób prawnych.</w:t>
      </w:r>
    </w:p>
    <w:p w14:paraId="2777ACD4" w14:textId="3719AB54"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W ust. 4 uregulowano co należy rozumieć przez badania naukowe, odwołując się w tym zakresie do art. 4 ust. 2 ustawy z dnia 20 lipca 2018 r. </w:t>
      </w:r>
      <w:r w:rsidR="000F19F6">
        <w:rPr>
          <w:rFonts w:ascii="Times New Roman" w:hAnsi="Times New Roman" w:cs="Times New Roman"/>
          <w:sz w:val="24"/>
          <w:szCs w:val="24"/>
        </w:rPr>
        <w:t>–</w:t>
      </w:r>
      <w:r w:rsidRPr="00AC71A2">
        <w:rPr>
          <w:rFonts w:ascii="Times New Roman" w:hAnsi="Times New Roman" w:cs="Times New Roman"/>
          <w:sz w:val="24"/>
          <w:szCs w:val="24"/>
        </w:rPr>
        <w:t xml:space="preserve"> Prawo o</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szkolnictwie wyższym i nauce (Dz. U. z 202</w:t>
      </w:r>
      <w:r w:rsidR="008921FF" w:rsidRPr="00AC71A2">
        <w:rPr>
          <w:rFonts w:ascii="Times New Roman" w:hAnsi="Times New Roman" w:cs="Times New Roman"/>
          <w:sz w:val="24"/>
          <w:szCs w:val="24"/>
        </w:rPr>
        <w:t>4</w:t>
      </w:r>
      <w:r w:rsidRPr="00AC71A2">
        <w:rPr>
          <w:rFonts w:ascii="Times New Roman" w:hAnsi="Times New Roman" w:cs="Times New Roman"/>
          <w:sz w:val="24"/>
          <w:szCs w:val="24"/>
        </w:rPr>
        <w:t xml:space="preserve"> r. poz. </w:t>
      </w:r>
      <w:r w:rsidR="008921FF" w:rsidRPr="00AC71A2">
        <w:rPr>
          <w:rFonts w:ascii="Times New Roman" w:hAnsi="Times New Roman" w:cs="Times New Roman"/>
          <w:sz w:val="24"/>
          <w:szCs w:val="24"/>
        </w:rPr>
        <w:t>1571</w:t>
      </w:r>
      <w:r w:rsidRPr="00AC71A2">
        <w:rPr>
          <w:rFonts w:ascii="Times New Roman" w:hAnsi="Times New Roman" w:cs="Times New Roman"/>
          <w:sz w:val="24"/>
          <w:szCs w:val="24"/>
        </w:rPr>
        <w:t>).</w:t>
      </w:r>
    </w:p>
    <w:p w14:paraId="352E14C9" w14:textId="018D13B5"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W ust. 5 uregulowano co należy rozumieć przez prace rozwojowe, odwołując się w tym zakresie do art. 4 ust. 3 ustawy z dnia 20 lipca 2018 r. </w:t>
      </w:r>
      <w:r w:rsidR="00AC71A2">
        <w:rPr>
          <w:rFonts w:ascii="Times New Roman" w:hAnsi="Times New Roman" w:cs="Times New Roman"/>
          <w:sz w:val="24"/>
          <w:szCs w:val="24"/>
        </w:rPr>
        <w:t>–</w:t>
      </w:r>
      <w:r w:rsidRPr="00AC71A2">
        <w:rPr>
          <w:rFonts w:ascii="Times New Roman" w:hAnsi="Times New Roman" w:cs="Times New Roman"/>
          <w:sz w:val="24"/>
          <w:szCs w:val="24"/>
        </w:rPr>
        <w:t xml:space="preserve"> Prawo o</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szkolnictwie wyższym i nauce.</w:t>
      </w:r>
    </w:p>
    <w:p w14:paraId="43E03FB5" w14:textId="6273CAD0" w:rsidR="00AB4EAF" w:rsidRPr="00AC71A2" w:rsidRDefault="00AB4EAF" w:rsidP="00052A8C">
      <w:pPr>
        <w:spacing w:before="120" w:after="0" w:line="360" w:lineRule="auto"/>
        <w:jc w:val="both"/>
        <w:rPr>
          <w:rFonts w:ascii="Times New Roman" w:eastAsia="Times New Roman" w:hAnsi="Times New Roman" w:cs="Times New Roman"/>
          <w:sz w:val="24"/>
          <w:szCs w:val="24"/>
        </w:rPr>
      </w:pPr>
      <w:r w:rsidRPr="00AC71A2">
        <w:rPr>
          <w:rFonts w:ascii="Times New Roman" w:hAnsi="Times New Roman" w:cs="Times New Roman"/>
          <w:sz w:val="24"/>
          <w:szCs w:val="24"/>
        </w:rPr>
        <w:t xml:space="preserve">Z kolei ust. 6 wprowadza możliwość wystąpienia przez zainteresowany podmiot do właściwego naczelnika urzędu skarbowego z wnioskiem o wydanie zaświadczenia potwierdzającego zwolnienie od akcyzy samochodu osobowego zarejestrowanego profesjonalnie na terytorium kraju w celu wykonywania jazd testowych zgodnie z przepisami o ruchu drogowym. </w:t>
      </w:r>
      <w:r w:rsidRPr="00AC71A2">
        <w:rPr>
          <w:rFonts w:ascii="Times New Roman" w:eastAsia="Times New Roman" w:hAnsi="Times New Roman" w:cs="Times New Roman"/>
          <w:sz w:val="24"/>
          <w:szCs w:val="24"/>
        </w:rPr>
        <w:t>Organ podatkowy przed wydaniem zaświadczenia będzie mógł przeprowadzić w niezbędnym zakresie postępowanie wyjaśniające. W ramach tego postępowania organ będzie mógł zobowiązać podatnika do podjęcia określonych działań, takich jak przedłożenie odpowiednich dokumentów potwierdzających spełnienie warunków zwolnienia, o których mowa w ust. 2.</w:t>
      </w:r>
      <w:r w:rsidR="00C523C0" w:rsidRPr="00AC71A2">
        <w:rPr>
          <w:rFonts w:ascii="Times New Roman" w:eastAsia="Times New Roman" w:hAnsi="Times New Roman" w:cs="Times New Roman"/>
          <w:sz w:val="24"/>
          <w:szCs w:val="24"/>
        </w:rPr>
        <w:t xml:space="preserve"> </w:t>
      </w:r>
      <w:r w:rsidR="00C523C0" w:rsidRPr="00AC71A2">
        <w:rPr>
          <w:rFonts w:ascii="Times New Roman" w:hAnsi="Times New Roman" w:cs="Times New Roman"/>
          <w:color w:val="000000" w:themeColor="text1"/>
          <w:sz w:val="24"/>
          <w:szCs w:val="24"/>
        </w:rPr>
        <w:t xml:space="preserve">Zaświadczenie będzie wydawane </w:t>
      </w:r>
      <w:r w:rsidR="00BD2265" w:rsidRPr="00AC71A2">
        <w:rPr>
          <w:rFonts w:ascii="Times New Roman" w:hAnsi="Times New Roman" w:cs="Times New Roman"/>
          <w:color w:val="000000" w:themeColor="text1"/>
          <w:sz w:val="24"/>
          <w:szCs w:val="24"/>
        </w:rPr>
        <w:t xml:space="preserve">na podstawie przepisów Ordynacji podatkowej </w:t>
      </w:r>
      <w:r w:rsidR="00C523C0" w:rsidRPr="00AC71A2">
        <w:rPr>
          <w:rFonts w:ascii="Times New Roman" w:hAnsi="Times New Roman" w:cs="Times New Roman"/>
          <w:color w:val="000000" w:themeColor="text1"/>
          <w:sz w:val="24"/>
          <w:szCs w:val="24"/>
        </w:rPr>
        <w:t>w celu ewentualnej kontroli i będzie potwierdzało spełnienie warunków zwolnienia na</w:t>
      </w:r>
      <w:r w:rsidR="000F19F6">
        <w:rPr>
          <w:rFonts w:ascii="Times New Roman" w:hAnsi="Times New Roman" w:cs="Times New Roman"/>
          <w:color w:val="000000" w:themeColor="text1"/>
          <w:sz w:val="24"/>
          <w:szCs w:val="24"/>
        </w:rPr>
        <w:t xml:space="preserve"> </w:t>
      </w:r>
      <w:r w:rsidR="00C523C0" w:rsidRPr="00AC71A2">
        <w:rPr>
          <w:rFonts w:ascii="Times New Roman" w:hAnsi="Times New Roman" w:cs="Times New Roman"/>
          <w:color w:val="000000" w:themeColor="text1"/>
          <w:sz w:val="24"/>
          <w:szCs w:val="24"/>
        </w:rPr>
        <w:t>dzień złożenia wniosku.</w:t>
      </w:r>
    </w:p>
    <w:p w14:paraId="0CF8D0AF" w14:textId="0F3880BB" w:rsidR="00AB4EAF" w:rsidRPr="00052A8C" w:rsidRDefault="00AB4EAF" w:rsidP="00052A8C">
      <w:pPr>
        <w:spacing w:before="120" w:after="0" w:line="360" w:lineRule="auto"/>
        <w:jc w:val="both"/>
        <w:rPr>
          <w:rFonts w:ascii="Times New Roman" w:eastAsia="Times New Roman" w:hAnsi="Times New Roman" w:cs="Times New Roman"/>
          <w:sz w:val="24"/>
          <w:szCs w:val="24"/>
        </w:rPr>
      </w:pPr>
      <w:r w:rsidRPr="00AC71A2">
        <w:rPr>
          <w:rFonts w:ascii="Times New Roman" w:hAnsi="Times New Roman" w:cs="Times New Roman"/>
          <w:sz w:val="24"/>
          <w:szCs w:val="24"/>
        </w:rPr>
        <w:t>W ust. 7 zobowiązano podmiot korzystający ze zwolnienia, o którym mowa w ust. 1</w:t>
      </w:r>
      <w:r w:rsidR="000F19F6">
        <w:rPr>
          <w:rFonts w:ascii="Times New Roman" w:hAnsi="Times New Roman" w:cs="Times New Roman"/>
          <w:sz w:val="24"/>
          <w:szCs w:val="24"/>
        </w:rPr>
        <w:t>,</w:t>
      </w:r>
      <w:r w:rsidRPr="00AC71A2">
        <w:rPr>
          <w:rFonts w:ascii="Times New Roman" w:hAnsi="Times New Roman" w:cs="Times New Roman"/>
          <w:sz w:val="24"/>
          <w:szCs w:val="24"/>
        </w:rPr>
        <w:t xml:space="preserve"> do przedstawienia właściwemu naczelnikowi urzędu skarbowego dokumentów potwierdzających wywóz samochodu </w:t>
      </w:r>
      <w:r w:rsidR="005F62B2" w:rsidRPr="00AC71A2">
        <w:rPr>
          <w:rFonts w:ascii="Times New Roman" w:hAnsi="Times New Roman" w:cs="Times New Roman"/>
          <w:sz w:val="24"/>
          <w:szCs w:val="24"/>
        </w:rPr>
        <w:t>spoza terytorium</w:t>
      </w:r>
      <w:r w:rsidRPr="00AC71A2">
        <w:rPr>
          <w:rFonts w:ascii="Times New Roman" w:hAnsi="Times New Roman" w:cs="Times New Roman"/>
          <w:sz w:val="24"/>
          <w:szCs w:val="24"/>
        </w:rPr>
        <w:t xml:space="preserve"> kraju, zaświadczenia o jego demontażu </w:t>
      </w:r>
      <w:r w:rsidR="005F62B2" w:rsidRPr="00AC71A2">
        <w:rPr>
          <w:rFonts w:ascii="Times New Roman" w:hAnsi="Times New Roman" w:cs="Times New Roman"/>
          <w:sz w:val="24"/>
          <w:szCs w:val="24"/>
        </w:rPr>
        <w:t xml:space="preserve">albo </w:t>
      </w:r>
      <w:r w:rsidRPr="00AC71A2">
        <w:rPr>
          <w:rFonts w:ascii="Times New Roman" w:hAnsi="Times New Roman" w:cs="Times New Roman"/>
          <w:sz w:val="24"/>
          <w:szCs w:val="24"/>
        </w:rPr>
        <w:t xml:space="preserve">dokumentu potwierdzającego </w:t>
      </w:r>
      <w:r w:rsidR="008318B9" w:rsidRPr="00AC71A2">
        <w:rPr>
          <w:rFonts w:ascii="Times New Roman" w:hAnsi="Times New Roman" w:cs="Times New Roman"/>
          <w:sz w:val="24"/>
          <w:szCs w:val="24"/>
        </w:rPr>
        <w:t xml:space="preserve">zwrot </w:t>
      </w:r>
      <w:r w:rsidRPr="00AC71A2">
        <w:rPr>
          <w:rFonts w:ascii="Times New Roman" w:eastAsia="Times New Roman" w:hAnsi="Times New Roman" w:cs="Times New Roman"/>
          <w:sz w:val="24"/>
          <w:szCs w:val="24"/>
        </w:rPr>
        <w:t>samochodu osobowego producentowi samochod</w:t>
      </w:r>
      <w:r w:rsidR="008318B9" w:rsidRPr="00AC71A2">
        <w:rPr>
          <w:rFonts w:ascii="Times New Roman" w:eastAsia="Times New Roman" w:hAnsi="Times New Roman" w:cs="Times New Roman"/>
          <w:sz w:val="24"/>
          <w:szCs w:val="24"/>
        </w:rPr>
        <w:t>u</w:t>
      </w:r>
      <w:r w:rsidRPr="00AC71A2">
        <w:rPr>
          <w:rFonts w:ascii="Times New Roman" w:eastAsia="Times New Roman" w:hAnsi="Times New Roman" w:cs="Times New Roman"/>
          <w:sz w:val="24"/>
          <w:szCs w:val="24"/>
        </w:rPr>
        <w:t xml:space="preserve"> osobow</w:t>
      </w:r>
      <w:r w:rsidR="008318B9" w:rsidRPr="00AC71A2">
        <w:rPr>
          <w:rFonts w:ascii="Times New Roman" w:eastAsia="Times New Roman" w:hAnsi="Times New Roman" w:cs="Times New Roman"/>
          <w:sz w:val="24"/>
          <w:szCs w:val="24"/>
        </w:rPr>
        <w:t>ego</w:t>
      </w:r>
      <w:r w:rsidRPr="00AC71A2">
        <w:rPr>
          <w:rFonts w:ascii="Times New Roman" w:eastAsia="Times New Roman" w:hAnsi="Times New Roman" w:cs="Times New Roman"/>
          <w:sz w:val="24"/>
          <w:szCs w:val="24"/>
        </w:rPr>
        <w:t xml:space="preserve"> lub jego upoważnionemu przedstawicielowi</w:t>
      </w:r>
      <w:r w:rsidR="00C523C0" w:rsidRPr="00AC71A2">
        <w:rPr>
          <w:rFonts w:ascii="Times New Roman" w:eastAsia="Times New Roman" w:hAnsi="Times New Roman" w:cs="Times New Roman"/>
          <w:sz w:val="24"/>
          <w:szCs w:val="24"/>
        </w:rPr>
        <w:t xml:space="preserve"> </w:t>
      </w:r>
      <w:r w:rsidR="000F19F6">
        <w:rPr>
          <w:rFonts w:ascii="Times New Roman" w:eastAsia="Times New Roman" w:hAnsi="Times New Roman" w:cs="Times New Roman"/>
          <w:sz w:val="24"/>
          <w:szCs w:val="24"/>
        </w:rPr>
        <w:t>–</w:t>
      </w:r>
      <w:r w:rsidRPr="00AC71A2">
        <w:rPr>
          <w:rFonts w:ascii="Times New Roman" w:eastAsia="Times New Roman" w:hAnsi="Times New Roman" w:cs="Times New Roman"/>
          <w:sz w:val="24"/>
          <w:szCs w:val="24"/>
        </w:rPr>
        <w:t xml:space="preserve"> </w:t>
      </w:r>
      <w:r w:rsidRPr="00AC71A2">
        <w:rPr>
          <w:rFonts w:ascii="Times New Roman" w:hAnsi="Times New Roman" w:cs="Times New Roman"/>
          <w:sz w:val="24"/>
          <w:szCs w:val="24"/>
        </w:rPr>
        <w:t>w terminie 30 dni po upływie okresu, o którym mowa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ust. 2 pkt 2.</w:t>
      </w:r>
    </w:p>
    <w:p w14:paraId="406A7974" w14:textId="2F4596CA"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lastRenderedPageBreak/>
        <w:t>W ust. 8 wskazano, że w przypadku naruszenia warunków zwolnienia z ust. 2 lub nieprzedstawienia</w:t>
      </w:r>
      <w:r w:rsidR="008318B9" w:rsidRPr="00AC71A2">
        <w:rPr>
          <w:rFonts w:ascii="Times New Roman" w:hAnsi="Times New Roman" w:cs="Times New Roman"/>
          <w:sz w:val="24"/>
          <w:szCs w:val="24"/>
        </w:rPr>
        <w:t xml:space="preserve"> w terminie</w:t>
      </w:r>
      <w:r w:rsidRPr="00AC71A2">
        <w:rPr>
          <w:rFonts w:ascii="Times New Roman" w:hAnsi="Times New Roman" w:cs="Times New Roman"/>
          <w:sz w:val="24"/>
          <w:szCs w:val="24"/>
        </w:rPr>
        <w:t xml:space="preserve"> dokumentów</w:t>
      </w:r>
      <w:r w:rsidR="00C523C0" w:rsidRPr="00AC71A2">
        <w:rPr>
          <w:rFonts w:ascii="Times New Roman" w:hAnsi="Times New Roman" w:cs="Times New Roman"/>
          <w:sz w:val="24"/>
          <w:szCs w:val="24"/>
        </w:rPr>
        <w:t xml:space="preserve"> albo zaświadczenia</w:t>
      </w:r>
      <w:r w:rsidRPr="00AC71A2">
        <w:rPr>
          <w:rFonts w:ascii="Times New Roman" w:hAnsi="Times New Roman" w:cs="Times New Roman"/>
          <w:sz w:val="24"/>
          <w:szCs w:val="24"/>
        </w:rPr>
        <w:t>, o których mowa w ust.</w:t>
      </w:r>
      <w:r w:rsidR="00AC71A2">
        <w:rPr>
          <w:rFonts w:ascii="Times New Roman" w:hAnsi="Times New Roman" w:cs="Times New Roman"/>
          <w:sz w:val="24"/>
          <w:szCs w:val="24"/>
        </w:rPr>
        <w:t> </w:t>
      </w:r>
      <w:r w:rsidRPr="00AC71A2">
        <w:rPr>
          <w:rFonts w:ascii="Times New Roman" w:hAnsi="Times New Roman" w:cs="Times New Roman"/>
          <w:sz w:val="24"/>
          <w:szCs w:val="24"/>
        </w:rPr>
        <w:t>7, podmiot zobowiązany jest do zapłacenia akcyzy, której wysokość określa się według stanu z</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dnia powstania obowiązku podatkowego. Rozwiązanie to ma na celu zmotywowanie podmiotów do przestrzegania warunków zwolnienia oraz terminowego przedkładania dokumentów, o których mowa w ust.</w:t>
      </w:r>
      <w:r w:rsidR="008318B9" w:rsidRPr="00AC71A2">
        <w:rPr>
          <w:rFonts w:ascii="Times New Roman" w:hAnsi="Times New Roman" w:cs="Times New Roman"/>
          <w:sz w:val="24"/>
          <w:szCs w:val="24"/>
        </w:rPr>
        <w:t xml:space="preserve"> </w:t>
      </w:r>
      <w:r w:rsidRPr="00AC71A2">
        <w:rPr>
          <w:rFonts w:ascii="Times New Roman" w:hAnsi="Times New Roman" w:cs="Times New Roman"/>
          <w:sz w:val="24"/>
          <w:szCs w:val="24"/>
        </w:rPr>
        <w:t>7, gdyż naruszenie tych warunków będzie skutkować koniecznością uregulowania należności na zasadach obowiązujących w momencie powstania obowiązku podatkowego. Przepisy o zaległościach podatkowych stosuje się odpowiednio.</w:t>
      </w:r>
    </w:p>
    <w:p w14:paraId="4FC2339A" w14:textId="77777777" w:rsidR="00AB4EAF" w:rsidRPr="00AC71A2" w:rsidRDefault="00AB4EAF"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Przepis z ust. 9 koresponduje z treścią ust. 8, bowiem skutkiem naruszenia warunków zwolnienia jest utrata ważności zaświadczenia stwierdzającego zwolnienie od akcyzy.</w:t>
      </w:r>
    </w:p>
    <w:p w14:paraId="02AA48F3" w14:textId="4C3299E9" w:rsidR="006E5BD0" w:rsidRPr="00AC71A2" w:rsidRDefault="006E5BD0" w:rsidP="001F70DA">
      <w:pPr>
        <w:spacing w:before="120" w:after="0" w:line="276" w:lineRule="auto"/>
        <w:jc w:val="both"/>
        <w:rPr>
          <w:rFonts w:ascii="Times New Roman" w:hAnsi="Times New Roman" w:cs="Times New Roman"/>
          <w:sz w:val="24"/>
          <w:szCs w:val="24"/>
        </w:rPr>
      </w:pPr>
    </w:p>
    <w:p w14:paraId="01CA8650" w14:textId="565EF130" w:rsidR="005171D3" w:rsidRPr="00AC71A2" w:rsidRDefault="005171D3" w:rsidP="0072425B">
      <w:pPr>
        <w:pStyle w:val="Tekstpodstawowy"/>
        <w:numPr>
          <w:ilvl w:val="0"/>
          <w:numId w:val="4"/>
        </w:numPr>
        <w:spacing w:before="120" w:line="276" w:lineRule="auto"/>
        <w:ind w:left="142" w:hanging="142"/>
        <w:rPr>
          <w:b/>
          <w:bCs/>
          <w:sz w:val="24"/>
          <w:szCs w:val="24"/>
          <w:u w:val="single"/>
        </w:rPr>
      </w:pPr>
      <w:r w:rsidRPr="00AC71A2">
        <w:rPr>
          <w:b/>
          <w:bCs/>
          <w:sz w:val="24"/>
          <w:szCs w:val="24"/>
          <w:u w:val="single"/>
        </w:rPr>
        <w:t>Kasy rejestrujące</w:t>
      </w:r>
      <w:r w:rsidR="007037DE" w:rsidRPr="00AC71A2">
        <w:rPr>
          <w:b/>
          <w:bCs/>
          <w:sz w:val="24"/>
          <w:szCs w:val="24"/>
          <w:u w:val="single"/>
        </w:rPr>
        <w:t xml:space="preserve"> (art. </w:t>
      </w:r>
      <w:r w:rsidR="00AB4EAF" w:rsidRPr="00AC71A2">
        <w:rPr>
          <w:b/>
          <w:bCs/>
          <w:sz w:val="24"/>
          <w:szCs w:val="24"/>
          <w:u w:val="single"/>
        </w:rPr>
        <w:t>3</w:t>
      </w:r>
      <w:r w:rsidR="00805E13" w:rsidRPr="00AC71A2">
        <w:rPr>
          <w:b/>
          <w:bCs/>
          <w:sz w:val="24"/>
          <w:szCs w:val="24"/>
          <w:u w:val="single"/>
        </w:rPr>
        <w:t>-</w:t>
      </w:r>
      <w:r w:rsidR="000A05F8" w:rsidRPr="00AC71A2">
        <w:rPr>
          <w:b/>
          <w:bCs/>
          <w:sz w:val="24"/>
          <w:szCs w:val="24"/>
          <w:u w:val="single"/>
        </w:rPr>
        <w:t>6</w:t>
      </w:r>
      <w:r w:rsidR="00121C5F" w:rsidRPr="00AC71A2">
        <w:rPr>
          <w:b/>
          <w:bCs/>
          <w:sz w:val="24"/>
          <w:szCs w:val="24"/>
          <w:u w:val="single"/>
        </w:rPr>
        <w:t xml:space="preserve"> </w:t>
      </w:r>
      <w:r w:rsidR="007037DE" w:rsidRPr="00AC71A2">
        <w:rPr>
          <w:b/>
          <w:bCs/>
          <w:sz w:val="24"/>
          <w:szCs w:val="24"/>
          <w:u w:val="single"/>
        </w:rPr>
        <w:t>projektu ustawy)</w:t>
      </w:r>
    </w:p>
    <w:p w14:paraId="118B3D32" w14:textId="4A418583" w:rsidR="00B67DE7" w:rsidRPr="00AC71A2" w:rsidRDefault="00B67DE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Obowiązek zapewnienia integracji kasy rejestrującej z terminalem płatniczym został wprowadzony ustawą z 29 października 2021 r. Zgodnie z tą ustawą pierwotny termin integracji kas rejestrujących online (w tym kas mających postać oprogramowania) miał obowiązywać od 1 lipca 2022 r.</w:t>
      </w:r>
      <w:r w:rsidR="008D6D73" w:rsidRPr="00AC71A2">
        <w:rPr>
          <w:rFonts w:ascii="Times New Roman" w:hAnsi="Times New Roman" w:cs="Times New Roman"/>
          <w:sz w:val="24"/>
          <w:szCs w:val="24"/>
        </w:rPr>
        <w:t xml:space="preserve"> </w:t>
      </w:r>
      <w:r w:rsidRPr="00AC71A2">
        <w:rPr>
          <w:rFonts w:ascii="Times New Roman" w:eastAsia="Open Sans" w:hAnsi="Times New Roman" w:cs="Times New Roman"/>
          <w:kern w:val="24"/>
          <w:sz w:val="24"/>
          <w:szCs w:val="24"/>
          <w:lang w:eastAsia="pl-PL"/>
        </w:rPr>
        <w:t>Celem tego rozwiązania była poprawa jakości danych do analityki z kas online, ich kontroli, a</w:t>
      </w:r>
      <w:r w:rsidR="00AC71A2">
        <w:rPr>
          <w:rFonts w:ascii="Times New Roman" w:eastAsia="Open Sans" w:hAnsi="Times New Roman" w:cs="Times New Roman"/>
          <w:kern w:val="24"/>
          <w:sz w:val="24"/>
          <w:szCs w:val="24"/>
          <w:lang w:eastAsia="pl-PL"/>
        </w:rPr>
        <w:t xml:space="preserve"> </w:t>
      </w:r>
      <w:r w:rsidRPr="00AC71A2">
        <w:rPr>
          <w:rFonts w:ascii="Times New Roman" w:eastAsia="Open Sans" w:hAnsi="Times New Roman" w:cs="Times New Roman"/>
          <w:kern w:val="24"/>
          <w:sz w:val="24"/>
          <w:szCs w:val="24"/>
          <w:lang w:eastAsia="pl-PL"/>
        </w:rPr>
        <w:t>także wzmocnienie autentyczności pozyskiwanych danych.</w:t>
      </w:r>
    </w:p>
    <w:p w14:paraId="7B2F4496" w14:textId="2E391BDE" w:rsidR="00B67DE7" w:rsidRPr="00AC71A2" w:rsidRDefault="00B67DE7" w:rsidP="00052A8C">
      <w:pPr>
        <w:spacing w:before="120" w:after="0" w:line="360" w:lineRule="auto"/>
        <w:jc w:val="both"/>
        <w:rPr>
          <w:rFonts w:ascii="Times New Roman" w:hAnsi="Times New Roman" w:cs="Times New Roman"/>
          <w:sz w:val="24"/>
          <w:szCs w:val="24"/>
        </w:rPr>
      </w:pPr>
      <w:r w:rsidRPr="00AC71A2">
        <w:rPr>
          <w:rFonts w:ascii="Times New Roman" w:eastAsia="Open Sans" w:hAnsi="Times New Roman" w:cs="Times New Roman"/>
          <w:kern w:val="24"/>
          <w:sz w:val="24"/>
          <w:szCs w:val="24"/>
          <w:lang w:eastAsia="pl-PL"/>
        </w:rPr>
        <w:t>Kasy rejestrujące typu online, w tym tzw. wirtualne, dopuszczone do obrotu na rynku, posiadają funkcjonalność pozwalającą na współpracę tej kasy z każdym terminalem płatniczym. Jednak po stronie producentów terminali płatniczych nałożony został obowiązek odpowiedniego dostosowania terminali płatniczych, tak aby integracja kasy rejestrującej i terminala była możliwa.</w:t>
      </w:r>
    </w:p>
    <w:p w14:paraId="5F671A63" w14:textId="5FEEF2A8" w:rsidR="00B67DE7" w:rsidRPr="00AC71A2" w:rsidRDefault="00B67DE7" w:rsidP="00052A8C">
      <w:pPr>
        <w:spacing w:before="120" w:after="0" w:line="360" w:lineRule="auto"/>
        <w:jc w:val="both"/>
        <w:rPr>
          <w:rFonts w:ascii="Times New Roman" w:eastAsia="+mn-ea" w:hAnsi="Times New Roman" w:cs="Times New Roman"/>
          <w:kern w:val="24"/>
          <w:sz w:val="24"/>
          <w:szCs w:val="24"/>
        </w:rPr>
      </w:pPr>
      <w:r w:rsidRPr="00AC71A2">
        <w:rPr>
          <w:rFonts w:ascii="Times New Roman" w:eastAsia="Open Sans" w:hAnsi="Times New Roman" w:cs="Times New Roman"/>
          <w:kern w:val="24"/>
          <w:sz w:val="24"/>
          <w:szCs w:val="24"/>
          <w:lang w:eastAsia="pl-PL"/>
        </w:rPr>
        <w:t xml:space="preserve">Po cyklu spotkań z organizacjami, m.in. </w:t>
      </w:r>
      <w:r w:rsidRPr="00AC71A2">
        <w:rPr>
          <w:rFonts w:ascii="Times New Roman" w:eastAsia="+mn-ea" w:hAnsi="Times New Roman" w:cs="Times New Roman"/>
          <w:kern w:val="24"/>
          <w:sz w:val="24"/>
          <w:szCs w:val="24"/>
          <w:lang w:eastAsia="pl-PL"/>
        </w:rPr>
        <w:t>Fundacją Polska Bezgotówkowa, Fundacją Rozwoju Obrotu Bezgotówkowego i Komitetem Agentów Rozliczeniowych przy Związku Banków Polskich</w:t>
      </w:r>
      <w:r w:rsidR="000F19F6">
        <w:rPr>
          <w:rFonts w:ascii="Times New Roman" w:eastAsia="+mn-ea" w:hAnsi="Times New Roman" w:cs="Times New Roman"/>
          <w:kern w:val="24"/>
          <w:sz w:val="24"/>
          <w:szCs w:val="24"/>
          <w:lang w:eastAsia="pl-PL"/>
        </w:rPr>
        <w:t>,</w:t>
      </w:r>
      <w:r w:rsidRPr="00AC71A2">
        <w:rPr>
          <w:rFonts w:ascii="Times New Roman" w:eastAsia="+mn-ea" w:hAnsi="Times New Roman" w:cs="Times New Roman"/>
          <w:kern w:val="24"/>
          <w:sz w:val="24"/>
          <w:szCs w:val="24"/>
          <w:lang w:eastAsia="pl-PL"/>
        </w:rPr>
        <w:t xml:space="preserve"> okazało się, że </w:t>
      </w:r>
      <w:r w:rsidRPr="00AC71A2">
        <w:rPr>
          <w:rFonts w:ascii="Times New Roman" w:eastAsiaTheme="minorEastAsia" w:hAnsi="Times New Roman" w:cs="Times New Roman"/>
          <w:kern w:val="24"/>
          <w:sz w:val="24"/>
          <w:szCs w:val="24"/>
        </w:rPr>
        <w:t>różnorodność używanych urządzeń (w tym producentów) na rynku typu: terminal płatniczy, nie pozwala na pełną integrację z używanymi przez podatników kasami rejestrującymi. W związku z tym</w:t>
      </w:r>
      <w:r w:rsidRPr="00AC71A2">
        <w:rPr>
          <w:rFonts w:ascii="Times New Roman" w:eastAsia="+mn-ea" w:hAnsi="Times New Roman" w:cs="Times New Roman"/>
          <w:kern w:val="24"/>
          <w:sz w:val="24"/>
          <w:szCs w:val="24"/>
          <w:lang w:eastAsia="pl-PL"/>
        </w:rPr>
        <w:t xml:space="preserve"> podjęto decyzję o odroczeniu ww. obowiązku. </w:t>
      </w:r>
      <w:r w:rsidRPr="00AC71A2">
        <w:rPr>
          <w:rFonts w:ascii="Times New Roman" w:hAnsi="Times New Roman" w:cs="Times New Roman"/>
          <w:sz w:val="24"/>
          <w:szCs w:val="24"/>
        </w:rPr>
        <w:t>Na</w:t>
      </w:r>
      <w:r w:rsidR="00E04F52" w:rsidRPr="00AC71A2">
        <w:rPr>
          <w:rFonts w:ascii="Times New Roman" w:hAnsi="Times New Roman" w:cs="Times New Roman"/>
          <w:sz w:val="24"/>
          <w:szCs w:val="24"/>
        </w:rPr>
        <w:t> </w:t>
      </w:r>
      <w:r w:rsidRPr="00AC71A2">
        <w:rPr>
          <w:rFonts w:ascii="Times New Roman" w:eastAsia="+mn-ea" w:hAnsi="Times New Roman" w:cs="Times New Roman"/>
          <w:kern w:val="24"/>
          <w:sz w:val="24"/>
          <w:szCs w:val="24"/>
        </w:rPr>
        <w:t>podstawie art. 20 pkt 4 lit. d ustawy z dnia 8 czerwca 2022 r. o zmianie niektórych ustaw w</w:t>
      </w:r>
      <w:r w:rsidR="00C240F4" w:rsidRPr="00AC71A2">
        <w:rPr>
          <w:rFonts w:ascii="Times New Roman" w:eastAsia="+mn-ea" w:hAnsi="Times New Roman" w:cs="Times New Roman"/>
          <w:kern w:val="24"/>
          <w:sz w:val="24"/>
          <w:szCs w:val="24"/>
        </w:rPr>
        <w:t> </w:t>
      </w:r>
      <w:r w:rsidRPr="00AC71A2">
        <w:rPr>
          <w:rFonts w:ascii="Times New Roman" w:eastAsia="+mn-ea" w:hAnsi="Times New Roman" w:cs="Times New Roman"/>
          <w:kern w:val="24"/>
          <w:sz w:val="24"/>
          <w:szCs w:val="24"/>
        </w:rPr>
        <w:t>celu automatyzacji załatwiania niektórych spraw przez Krajową Administrację Skarbową</w:t>
      </w:r>
      <w:r w:rsidR="002B43F3" w:rsidRPr="00AC71A2">
        <w:rPr>
          <w:rStyle w:val="Odwoanieprzypisudolnego"/>
          <w:rFonts w:ascii="Times New Roman" w:eastAsia="+mn-ea" w:hAnsi="Times New Roman" w:cs="Times New Roman"/>
          <w:kern w:val="24"/>
          <w:sz w:val="24"/>
          <w:szCs w:val="24"/>
        </w:rPr>
        <w:footnoteReference w:id="28"/>
      </w:r>
      <w:r w:rsidR="000F19F6">
        <w:rPr>
          <w:rFonts w:ascii="Times New Roman" w:eastAsia="+mn-ea" w:hAnsi="Times New Roman" w:cs="Times New Roman"/>
          <w:kern w:val="24"/>
          <w:sz w:val="24"/>
          <w:szCs w:val="24"/>
          <w:vertAlign w:val="superscript"/>
        </w:rPr>
        <w:t>)</w:t>
      </w:r>
      <w:r w:rsidRPr="00AC71A2">
        <w:rPr>
          <w:rFonts w:ascii="Times New Roman" w:eastAsia="+mn-ea" w:hAnsi="Times New Roman" w:cs="Times New Roman"/>
          <w:kern w:val="24"/>
          <w:sz w:val="24"/>
          <w:szCs w:val="24"/>
        </w:rPr>
        <w:t xml:space="preserve"> odroczono termin integracji do 1 stycznia 2025 r. </w:t>
      </w:r>
      <w:r w:rsidRPr="00AC71A2">
        <w:rPr>
          <w:rFonts w:ascii="Times New Roman" w:eastAsia="Open Sans" w:hAnsi="Times New Roman" w:cs="Times New Roman"/>
          <w:kern w:val="24"/>
          <w:sz w:val="24"/>
          <w:szCs w:val="24"/>
          <w:lang w:eastAsia="pl-PL"/>
        </w:rPr>
        <w:t xml:space="preserve">W miejsce obowiązku integracji kas </w:t>
      </w:r>
      <w:r w:rsidRPr="00AC71A2">
        <w:rPr>
          <w:rFonts w:ascii="Times New Roman" w:eastAsia="Open Sans" w:hAnsi="Times New Roman" w:cs="Times New Roman"/>
          <w:kern w:val="24"/>
          <w:sz w:val="24"/>
          <w:szCs w:val="24"/>
          <w:lang w:eastAsia="pl-PL"/>
        </w:rPr>
        <w:lastRenderedPageBreak/>
        <w:t>z</w:t>
      </w:r>
      <w:r w:rsidR="00CD4D63" w:rsidRPr="00AC71A2">
        <w:rPr>
          <w:rFonts w:ascii="Times New Roman" w:eastAsia="Open Sans" w:hAnsi="Times New Roman" w:cs="Times New Roman"/>
          <w:kern w:val="24"/>
          <w:sz w:val="24"/>
          <w:szCs w:val="24"/>
          <w:lang w:eastAsia="pl-PL"/>
        </w:rPr>
        <w:t> </w:t>
      </w:r>
      <w:r w:rsidRPr="00AC71A2">
        <w:rPr>
          <w:rFonts w:ascii="Times New Roman" w:eastAsia="Open Sans" w:hAnsi="Times New Roman" w:cs="Times New Roman"/>
          <w:kern w:val="24"/>
          <w:sz w:val="24"/>
          <w:szCs w:val="24"/>
          <w:lang w:eastAsia="pl-PL"/>
        </w:rPr>
        <w:t>terminalami płatniczymi wprowadzono wynegocjowany i uzgodniony z</w:t>
      </w:r>
      <w:r w:rsidR="000F19F6">
        <w:rPr>
          <w:rFonts w:ascii="Times New Roman" w:eastAsia="Open Sans" w:hAnsi="Times New Roman" w:cs="Times New Roman"/>
          <w:kern w:val="24"/>
          <w:sz w:val="24"/>
          <w:szCs w:val="24"/>
          <w:lang w:eastAsia="pl-PL"/>
        </w:rPr>
        <w:t xml:space="preserve"> </w:t>
      </w:r>
      <w:r w:rsidRPr="00AC71A2">
        <w:rPr>
          <w:rFonts w:ascii="Times New Roman" w:eastAsia="Open Sans" w:hAnsi="Times New Roman" w:cs="Times New Roman"/>
          <w:kern w:val="24"/>
          <w:sz w:val="24"/>
          <w:szCs w:val="24"/>
          <w:lang w:eastAsia="pl-PL"/>
        </w:rPr>
        <w:t xml:space="preserve">organizacjami obowiązek raportowania tzw. zastępczego do Szefa KAS przez agentów rozliczeniowych. </w:t>
      </w:r>
      <w:r w:rsidRPr="00AC71A2">
        <w:rPr>
          <w:rFonts w:ascii="Times New Roman" w:eastAsia="+mn-ea" w:hAnsi="Times New Roman" w:cs="Times New Roman"/>
          <w:kern w:val="24"/>
          <w:sz w:val="24"/>
          <w:szCs w:val="24"/>
          <w:lang w:eastAsia="pl-PL"/>
        </w:rPr>
        <w:t>Raportowanie zastępcze dotyczyło ok. 3</w:t>
      </w:r>
      <w:r w:rsidR="00971255" w:rsidRPr="00AC71A2">
        <w:rPr>
          <w:rFonts w:ascii="Times New Roman" w:eastAsia="+mn-ea" w:hAnsi="Times New Roman" w:cs="Times New Roman"/>
          <w:kern w:val="24"/>
          <w:sz w:val="24"/>
          <w:szCs w:val="24"/>
          <w:lang w:eastAsia="pl-PL"/>
        </w:rPr>
        <w:t>5</w:t>
      </w:r>
      <w:r w:rsidRPr="00AC71A2">
        <w:rPr>
          <w:rFonts w:ascii="Times New Roman" w:eastAsia="+mn-ea" w:hAnsi="Times New Roman" w:cs="Times New Roman"/>
          <w:kern w:val="24"/>
          <w:sz w:val="24"/>
          <w:szCs w:val="24"/>
          <w:lang w:eastAsia="pl-PL"/>
        </w:rPr>
        <w:t xml:space="preserve"> agentów rozliczeniowych funkcjonujących w Polsce.</w:t>
      </w:r>
    </w:p>
    <w:p w14:paraId="116C3763" w14:textId="77777777" w:rsidR="00B67DE7" w:rsidRPr="00AC71A2" w:rsidRDefault="00B67DE7" w:rsidP="00052A8C">
      <w:p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Niemniej odroczenie integracji nie wyeliminowało problemów technicznych, które były podstawą tego odroczenia. Wśród problemów technicznych, które przyczyniły się do odroczenia oraz rekomendowanego obecnie wycofania się z tego rozwiązania należy wymienić:</w:t>
      </w:r>
    </w:p>
    <w:p w14:paraId="7F958842" w14:textId="1890FC4B" w:rsidR="00B67DE7" w:rsidRPr="00AC71A2" w:rsidRDefault="00B67DE7" w:rsidP="00052A8C">
      <w:pPr>
        <w:pStyle w:val="Akapitzlist"/>
        <w:numPr>
          <w:ilvl w:val="0"/>
          <w:numId w:val="12"/>
        </w:num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niedostateczną liczbę urządzeń płatniczych, które mogły się zintegrować z kasą rejestrującą za pomocą protokołu komunikacyjnego „kasa – terminal” w trybie online;</w:t>
      </w:r>
    </w:p>
    <w:p w14:paraId="26994E21" w14:textId="6CDFFD28" w:rsidR="00B67DE7" w:rsidRPr="00AC71A2" w:rsidRDefault="00B67DE7" w:rsidP="00052A8C">
      <w:pPr>
        <w:pStyle w:val="Akapitzlist"/>
        <w:numPr>
          <w:ilvl w:val="0"/>
          <w:numId w:val="12"/>
        </w:num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fakt, że nie wszystkie terminale płatnicze będące na rynku są w stanie zaimplementować protokół komunikacyjny kasa – terminal. Przedsiębiorcy zmuszeni byliby do wymiany terminali płatniczych. Protokół komunikacyjny jest niejednolity i każdy uczestnik (po</w:t>
      </w:r>
      <w:r w:rsidR="000F19F6">
        <w:rPr>
          <w:rFonts w:ascii="Times New Roman" w:hAnsi="Times New Roman" w:cs="Times New Roman"/>
          <w:sz w:val="24"/>
          <w:szCs w:val="24"/>
        </w:rPr>
        <w:t xml:space="preserve"> </w:t>
      </w:r>
      <w:r w:rsidRPr="00AC71A2">
        <w:rPr>
          <w:rFonts w:ascii="Times New Roman" w:hAnsi="Times New Roman" w:cs="Times New Roman"/>
          <w:sz w:val="24"/>
          <w:szCs w:val="24"/>
        </w:rPr>
        <w:t>stronie kasy rejestrującej i terminala płatniczego) zaimplementował go odrębnie (samodzielnie);</w:t>
      </w:r>
    </w:p>
    <w:p w14:paraId="62570F18" w14:textId="5CFA252E" w:rsidR="00B67DE7" w:rsidRPr="00AC71A2" w:rsidRDefault="00B67DE7" w:rsidP="00052A8C">
      <w:pPr>
        <w:pStyle w:val="Akapitzlist"/>
        <w:numPr>
          <w:ilvl w:val="0"/>
          <w:numId w:val="12"/>
        </w:num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terminale płatnicze i kasy rejestrujące nie posiadają pasujących do siebie interfejsów komunikacyjnych (np. kasa ma tylko port USB, a terminal tylko GPRS), skutkiem czego integracja nie jest możliwa lub do zrealizowania wymaga dodatkowych urządzeń pośredniczących lub przewodów niewspieranych przez producentów. W związku z powyższym finalna integracja jest niestabilna, połączenia są zrywane, transakcje trwają długo, zwiększa się liczba zgłoszeń serwisowych.</w:t>
      </w:r>
    </w:p>
    <w:p w14:paraId="10A037AA" w14:textId="5C3F3484" w:rsidR="00B67DE7" w:rsidRPr="00AC71A2" w:rsidRDefault="00B67DE7" w:rsidP="00052A8C">
      <w:p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Trudno, przy tak oczywistych wadach idei integracji kas z terminalami, w tak krótkim czasie oszacować jakiekolwiek korzyści takiego rozwiązania. Integracja, jeśli w ogóle miałaby uzasadnienie, powinna być rozłożona na wiele lat i przeprowadzana „ewolucyjnie”, tj. przez definiowanie nowych wymagań technicznych do wprowadzanych nowych urządzeń. Koszty integracji zaproponowane w ustawie </w:t>
      </w:r>
      <w:r w:rsidR="00F57912" w:rsidRPr="00AC71A2">
        <w:rPr>
          <w:rFonts w:ascii="Times New Roman" w:hAnsi="Times New Roman" w:cs="Times New Roman"/>
          <w:sz w:val="24"/>
          <w:szCs w:val="24"/>
        </w:rPr>
        <w:t>z 29 października 2021 r.</w:t>
      </w:r>
      <w:r w:rsidRPr="00AC71A2">
        <w:rPr>
          <w:rFonts w:ascii="Times New Roman" w:hAnsi="Times New Roman" w:cs="Times New Roman"/>
          <w:sz w:val="24"/>
          <w:szCs w:val="24"/>
        </w:rPr>
        <w:t xml:space="preserve"> mogłyby być ogromne, obejmują bowiem nie tylko koszty wymiany urządzeń (tam, gdzie nie byłaby możliwa ich modyfikacja), ale też wspomniane ryzyko niestabilności funkcjonowania urządzeń, co mogłoby dezorganizować działalność podatnika. W tym kontekście wprowadzone zastępcze raportowanie przez agentów rozliczeniowych należy postrzegać nie tylko jako zwykłą alternatywę dla idei integracji kas z</w:t>
      </w:r>
      <w:r w:rsidR="00AC71A2">
        <w:rPr>
          <w:rFonts w:ascii="Times New Roman" w:hAnsi="Times New Roman" w:cs="Times New Roman"/>
          <w:sz w:val="24"/>
          <w:szCs w:val="24"/>
        </w:rPr>
        <w:t xml:space="preserve"> </w:t>
      </w:r>
      <w:r w:rsidRPr="00AC71A2">
        <w:rPr>
          <w:rFonts w:ascii="Times New Roman" w:hAnsi="Times New Roman" w:cs="Times New Roman"/>
          <w:sz w:val="24"/>
          <w:szCs w:val="24"/>
        </w:rPr>
        <w:t xml:space="preserve">terminalami, ale również jako wzmocnienie możliwości analitycznych Krajowej Administracji Skarbowej (KAS), dzięki pozyskiwaniu szerszego zakresu danych niż by to miało miejsce przy integracji kas i terminali – raportowanie przez agentów rozliczeniowych pozwala uzyskiwać m.in. dane z drukarek fiskalnych, które nie </w:t>
      </w:r>
      <w:r w:rsidRPr="00AC71A2">
        <w:rPr>
          <w:rFonts w:ascii="Times New Roman" w:hAnsi="Times New Roman" w:cs="Times New Roman"/>
          <w:sz w:val="24"/>
          <w:szCs w:val="24"/>
        </w:rPr>
        <w:lastRenderedPageBreak/>
        <w:t>posiadają funkcjonalności pozwalającej na integrację z terminalem płatniczym, a na tych urządzeniach jest szeroki zakres danych o</w:t>
      </w:r>
      <w:r w:rsidR="007A50E7">
        <w:rPr>
          <w:rFonts w:ascii="Times New Roman" w:hAnsi="Times New Roman" w:cs="Times New Roman"/>
          <w:sz w:val="24"/>
          <w:szCs w:val="24"/>
        </w:rPr>
        <w:t xml:space="preserve"> </w:t>
      </w:r>
      <w:r w:rsidRPr="00AC71A2">
        <w:rPr>
          <w:rFonts w:ascii="Times New Roman" w:hAnsi="Times New Roman" w:cs="Times New Roman"/>
          <w:sz w:val="24"/>
          <w:szCs w:val="24"/>
        </w:rPr>
        <w:t>transakcjach płaconych kartami płatniczymi</w:t>
      </w:r>
      <w:r w:rsidR="006F6E10" w:rsidRPr="00AC71A2">
        <w:rPr>
          <w:rFonts w:ascii="Times New Roman" w:hAnsi="Times New Roman" w:cs="Times New Roman"/>
          <w:sz w:val="24"/>
          <w:szCs w:val="24"/>
        </w:rPr>
        <w:t xml:space="preserve"> </w:t>
      </w:r>
      <w:r w:rsidRPr="00AC71A2">
        <w:rPr>
          <w:rFonts w:ascii="Times New Roman" w:hAnsi="Times New Roman" w:cs="Times New Roman"/>
          <w:sz w:val="24"/>
          <w:szCs w:val="24"/>
        </w:rPr>
        <w:t>(supermarkety, stacje paliw itp.).</w:t>
      </w:r>
    </w:p>
    <w:p w14:paraId="5EE10A36" w14:textId="30FB0DE7" w:rsidR="0058630C" w:rsidRPr="00AC71A2" w:rsidRDefault="002856AA" w:rsidP="00052A8C">
      <w:p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Z powyższych powodów </w:t>
      </w:r>
      <w:r w:rsidR="00C0351A" w:rsidRPr="00AC71A2">
        <w:rPr>
          <w:rFonts w:ascii="Times New Roman" w:hAnsi="Times New Roman" w:cs="Times New Roman"/>
          <w:sz w:val="24"/>
          <w:szCs w:val="24"/>
        </w:rPr>
        <w:t xml:space="preserve">ustawą z dnia </w:t>
      </w:r>
      <w:r w:rsidR="0035000C" w:rsidRPr="00AC71A2">
        <w:rPr>
          <w:rFonts w:ascii="Times New Roman" w:hAnsi="Times New Roman" w:cs="Times New Roman"/>
          <w:sz w:val="24"/>
          <w:szCs w:val="24"/>
        </w:rPr>
        <w:t xml:space="preserve">6 listopada </w:t>
      </w:r>
      <w:r w:rsidR="0058630C" w:rsidRPr="00AC71A2">
        <w:rPr>
          <w:rFonts w:ascii="Times New Roman" w:hAnsi="Times New Roman" w:cs="Times New Roman"/>
          <w:sz w:val="24"/>
          <w:szCs w:val="24"/>
        </w:rPr>
        <w:t xml:space="preserve">2024 r. </w:t>
      </w:r>
      <w:r w:rsidR="0035000C" w:rsidRPr="00AC71A2">
        <w:rPr>
          <w:rFonts w:ascii="Times New Roman" w:hAnsi="Times New Roman" w:cs="Times New Roman"/>
          <w:sz w:val="24"/>
          <w:szCs w:val="24"/>
        </w:rPr>
        <w:t>o opodatkowaniu wyrównawczym jednostek składowych grup międzynarodowych i krajowych</w:t>
      </w:r>
      <w:r w:rsidR="00C0351A" w:rsidRPr="00AC71A2">
        <w:rPr>
          <w:rStyle w:val="Odwoanieprzypisudolnego"/>
          <w:rFonts w:ascii="Times New Roman" w:hAnsi="Times New Roman" w:cs="Times New Roman"/>
          <w:sz w:val="24"/>
          <w:szCs w:val="24"/>
        </w:rPr>
        <w:footnoteReference w:id="29"/>
      </w:r>
      <w:r w:rsidR="002A1961">
        <w:rPr>
          <w:rFonts w:ascii="Times New Roman" w:hAnsi="Times New Roman" w:cs="Times New Roman"/>
          <w:sz w:val="24"/>
          <w:szCs w:val="24"/>
          <w:vertAlign w:val="superscript"/>
        </w:rPr>
        <w:t>)</w:t>
      </w:r>
      <w:r w:rsidR="0035000C" w:rsidRPr="00AC71A2">
        <w:rPr>
          <w:rFonts w:ascii="Times New Roman" w:hAnsi="Times New Roman" w:cs="Times New Roman"/>
          <w:sz w:val="24"/>
          <w:szCs w:val="24"/>
        </w:rPr>
        <w:t xml:space="preserve"> ponown</w:t>
      </w:r>
      <w:r w:rsidR="00C0351A" w:rsidRPr="00AC71A2">
        <w:rPr>
          <w:rFonts w:ascii="Times New Roman" w:hAnsi="Times New Roman" w:cs="Times New Roman"/>
          <w:sz w:val="24"/>
          <w:szCs w:val="24"/>
        </w:rPr>
        <w:t>i</w:t>
      </w:r>
      <w:r w:rsidR="0035000C" w:rsidRPr="00AC71A2">
        <w:rPr>
          <w:rFonts w:ascii="Times New Roman" w:hAnsi="Times New Roman" w:cs="Times New Roman"/>
          <w:sz w:val="24"/>
          <w:szCs w:val="24"/>
        </w:rPr>
        <w:t>e</w:t>
      </w:r>
      <w:r w:rsidRPr="00AC71A2">
        <w:rPr>
          <w:rFonts w:ascii="Times New Roman" w:hAnsi="Times New Roman" w:cs="Times New Roman"/>
          <w:sz w:val="24"/>
          <w:szCs w:val="24"/>
        </w:rPr>
        <w:t xml:space="preserve"> odrocz</w:t>
      </w:r>
      <w:r w:rsidR="00C0351A" w:rsidRPr="00AC71A2">
        <w:rPr>
          <w:rFonts w:ascii="Times New Roman" w:hAnsi="Times New Roman" w:cs="Times New Roman"/>
          <w:sz w:val="24"/>
          <w:szCs w:val="24"/>
        </w:rPr>
        <w:t>o</w:t>
      </w:r>
      <w:r w:rsidRPr="00AC71A2">
        <w:rPr>
          <w:rFonts w:ascii="Times New Roman" w:hAnsi="Times New Roman" w:cs="Times New Roman"/>
          <w:sz w:val="24"/>
          <w:szCs w:val="24"/>
        </w:rPr>
        <w:t>n</w:t>
      </w:r>
      <w:r w:rsidR="00C0351A" w:rsidRPr="00AC71A2">
        <w:rPr>
          <w:rFonts w:ascii="Times New Roman" w:hAnsi="Times New Roman" w:cs="Times New Roman"/>
          <w:sz w:val="24"/>
          <w:szCs w:val="24"/>
        </w:rPr>
        <w:t xml:space="preserve">o </w:t>
      </w:r>
      <w:r w:rsidRPr="00AC71A2">
        <w:rPr>
          <w:rFonts w:ascii="Times New Roman" w:hAnsi="Times New Roman" w:cs="Times New Roman"/>
          <w:sz w:val="24"/>
          <w:szCs w:val="24"/>
        </w:rPr>
        <w:t xml:space="preserve">termin </w:t>
      </w:r>
      <w:r w:rsidR="00691EBE" w:rsidRPr="00AC71A2">
        <w:rPr>
          <w:rFonts w:ascii="Times New Roman" w:hAnsi="Times New Roman" w:cs="Times New Roman"/>
          <w:sz w:val="24"/>
          <w:szCs w:val="24"/>
        </w:rPr>
        <w:t xml:space="preserve">tej </w:t>
      </w:r>
      <w:r w:rsidRPr="00AC71A2">
        <w:rPr>
          <w:rFonts w:ascii="Times New Roman" w:hAnsi="Times New Roman" w:cs="Times New Roman"/>
          <w:sz w:val="24"/>
          <w:szCs w:val="24"/>
        </w:rPr>
        <w:t xml:space="preserve">integracji </w:t>
      </w:r>
      <w:r w:rsidR="002A1961">
        <w:rPr>
          <w:rFonts w:ascii="Times New Roman" w:hAnsi="Times New Roman" w:cs="Times New Roman"/>
          <w:sz w:val="24"/>
          <w:szCs w:val="24"/>
        </w:rPr>
        <w:t>–</w:t>
      </w:r>
      <w:r w:rsidRPr="00AC71A2">
        <w:rPr>
          <w:rFonts w:ascii="Times New Roman" w:hAnsi="Times New Roman" w:cs="Times New Roman"/>
          <w:sz w:val="24"/>
          <w:szCs w:val="24"/>
        </w:rPr>
        <w:t xml:space="preserve"> do </w:t>
      </w:r>
      <w:r w:rsidR="0035000C" w:rsidRPr="00AC71A2">
        <w:rPr>
          <w:rFonts w:ascii="Times New Roman" w:hAnsi="Times New Roman" w:cs="Times New Roman"/>
          <w:sz w:val="24"/>
          <w:szCs w:val="24"/>
        </w:rPr>
        <w:t xml:space="preserve">dnia </w:t>
      </w:r>
      <w:r w:rsidRPr="00AC71A2">
        <w:rPr>
          <w:rFonts w:ascii="Times New Roman" w:hAnsi="Times New Roman" w:cs="Times New Roman"/>
          <w:sz w:val="24"/>
          <w:szCs w:val="24"/>
        </w:rPr>
        <w:t xml:space="preserve">1 kwietnia 2025 r. </w:t>
      </w:r>
      <w:r w:rsidR="0058630C" w:rsidRPr="00AC71A2">
        <w:rPr>
          <w:rFonts w:ascii="Times New Roman" w:hAnsi="Times New Roman" w:cs="Times New Roman"/>
          <w:sz w:val="24"/>
          <w:szCs w:val="24"/>
        </w:rPr>
        <w:t xml:space="preserve">Z tym wiąże się wydłużenie stosowania – w okresie tego odroczenia – obowiązku przesyłania przez agentów rozliczeniowych do Szefa Krajowej Administracji Skarbowej danych o płatnościach realizowanych zasadniczo za pośrednictwem tych terminali. </w:t>
      </w:r>
      <w:r w:rsidR="00C0351A" w:rsidRPr="00AC71A2">
        <w:rPr>
          <w:rFonts w:ascii="Times New Roman" w:hAnsi="Times New Roman" w:cs="Times New Roman"/>
          <w:sz w:val="24"/>
          <w:szCs w:val="24"/>
        </w:rPr>
        <w:t>R</w:t>
      </w:r>
      <w:r w:rsidR="0058630C" w:rsidRPr="00AC71A2">
        <w:rPr>
          <w:rFonts w:ascii="Times New Roman" w:hAnsi="Times New Roman" w:cs="Times New Roman"/>
          <w:sz w:val="24"/>
          <w:szCs w:val="24"/>
        </w:rPr>
        <w:t>ównież o kwartał</w:t>
      </w:r>
      <w:r w:rsidR="00C0351A" w:rsidRPr="00AC71A2">
        <w:rPr>
          <w:rFonts w:ascii="Times New Roman" w:hAnsi="Times New Roman" w:cs="Times New Roman"/>
          <w:sz w:val="24"/>
          <w:szCs w:val="24"/>
        </w:rPr>
        <w:t xml:space="preserve"> wydłużony został</w:t>
      </w:r>
      <w:r w:rsidR="0058630C" w:rsidRPr="00AC71A2">
        <w:rPr>
          <w:rFonts w:ascii="Times New Roman" w:hAnsi="Times New Roman" w:cs="Times New Roman"/>
          <w:sz w:val="24"/>
          <w:szCs w:val="24"/>
        </w:rPr>
        <w:t xml:space="preserve"> obowiązek banku do udzielania informacji dotyczącej wskazanych płatności, z uwagi na to, że stanowią one tajemnicę </w:t>
      </w:r>
      <w:r w:rsidR="00C075FC" w:rsidRPr="00AC71A2">
        <w:rPr>
          <w:rFonts w:ascii="Times New Roman" w:hAnsi="Times New Roman" w:cs="Times New Roman"/>
          <w:sz w:val="24"/>
          <w:szCs w:val="24"/>
        </w:rPr>
        <w:t>bankową</w:t>
      </w:r>
      <w:r w:rsidR="0058630C" w:rsidRPr="00AC71A2">
        <w:rPr>
          <w:rFonts w:ascii="Times New Roman" w:hAnsi="Times New Roman" w:cs="Times New Roman"/>
          <w:sz w:val="24"/>
          <w:szCs w:val="24"/>
        </w:rPr>
        <w:t>.</w:t>
      </w:r>
    </w:p>
    <w:p w14:paraId="56121526" w14:textId="2A511FFA" w:rsidR="00D42793" w:rsidRPr="00AC71A2" w:rsidRDefault="00D42793" w:rsidP="00052A8C">
      <w:pPr>
        <w:autoSpaceDE w:val="0"/>
        <w:autoSpaceDN w:val="0"/>
        <w:adjustRightInd w:val="0"/>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Mając na uwadze powyższe, proponuje się wyłączenie formalnoprawnego obowiązku dokonania przez podatnika integracji kas rejestrujących z terminalami płatniczymi i wprowadzenie obowiązku raportowania danych przez agentów rozliczeniowych – bezterminowo. Jest to rozwiązanie korzystne dla przedsiębiorców</w:t>
      </w:r>
      <w:r w:rsidR="002A1961">
        <w:rPr>
          <w:rFonts w:ascii="Times New Roman" w:hAnsi="Times New Roman" w:cs="Times New Roman"/>
          <w:sz w:val="24"/>
          <w:szCs w:val="24"/>
        </w:rPr>
        <w:t>.</w:t>
      </w:r>
    </w:p>
    <w:p w14:paraId="03189FBD" w14:textId="77777777" w:rsidR="00B67DE7" w:rsidRPr="00AC71A2" w:rsidRDefault="00B67DE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Proponowane zmiany obejmują:</w:t>
      </w:r>
    </w:p>
    <w:p w14:paraId="62B4CF34" w14:textId="2DB467B0" w:rsidR="00B67DE7" w:rsidRPr="00AC71A2" w:rsidRDefault="00B67DE7" w:rsidP="00052A8C">
      <w:pPr>
        <w:numPr>
          <w:ilvl w:val="0"/>
          <w:numId w:val="2"/>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rezygnację z obowiązku zapewnienia integracji kasy rejestrującej z terminalem płatniczym przez uchylenie art. 19a ust. 3 w ustawie z dnia 6 marca 2018 r. – Prawo przedsiębiorców</w:t>
      </w:r>
      <w:r w:rsidR="00F57912" w:rsidRPr="00AC71A2">
        <w:rPr>
          <w:rStyle w:val="Odwoanieprzypisudolnego"/>
          <w:rFonts w:ascii="Times New Roman" w:hAnsi="Times New Roman" w:cs="Times New Roman"/>
          <w:sz w:val="24"/>
          <w:szCs w:val="24"/>
        </w:rPr>
        <w:footnoteReference w:id="30"/>
      </w:r>
      <w:r w:rsidR="002A1961">
        <w:rPr>
          <w:rFonts w:ascii="Times New Roman" w:hAnsi="Times New Roman" w:cs="Times New Roman"/>
          <w:sz w:val="24"/>
          <w:szCs w:val="24"/>
          <w:vertAlign w:val="superscript"/>
        </w:rPr>
        <w:t>)</w:t>
      </w:r>
      <w:r w:rsidR="00073820" w:rsidRPr="00AC71A2">
        <w:rPr>
          <w:rFonts w:ascii="Times New Roman" w:hAnsi="Times New Roman" w:cs="Times New Roman"/>
          <w:sz w:val="24"/>
          <w:szCs w:val="24"/>
        </w:rPr>
        <w:t xml:space="preserve"> </w:t>
      </w:r>
      <w:r w:rsidR="00073820" w:rsidRPr="00AC71A2">
        <w:rPr>
          <w:rFonts w:ascii="Times New Roman" w:eastAsia="Times New Roman" w:hAnsi="Times New Roman" w:cs="Times New Roman"/>
          <w:sz w:val="24"/>
          <w:szCs w:val="24"/>
        </w:rPr>
        <w:t xml:space="preserve">(art. </w:t>
      </w:r>
      <w:r w:rsidR="00121C5F" w:rsidRPr="00AC71A2">
        <w:rPr>
          <w:rFonts w:ascii="Times New Roman" w:eastAsia="Times New Roman" w:hAnsi="Times New Roman" w:cs="Times New Roman"/>
          <w:sz w:val="24"/>
          <w:szCs w:val="24"/>
        </w:rPr>
        <w:t xml:space="preserve">6 </w:t>
      </w:r>
      <w:r w:rsidR="00073820" w:rsidRPr="00AC71A2">
        <w:rPr>
          <w:rFonts w:ascii="Times New Roman" w:eastAsia="Times New Roman" w:hAnsi="Times New Roman" w:cs="Times New Roman"/>
          <w:sz w:val="24"/>
          <w:szCs w:val="24"/>
        </w:rPr>
        <w:t xml:space="preserve">pkt </w:t>
      </w:r>
      <w:r w:rsidR="00971255" w:rsidRPr="00AC71A2">
        <w:rPr>
          <w:rFonts w:ascii="Times New Roman" w:eastAsia="Times New Roman" w:hAnsi="Times New Roman" w:cs="Times New Roman"/>
          <w:sz w:val="24"/>
          <w:szCs w:val="24"/>
        </w:rPr>
        <w:t xml:space="preserve">2 </w:t>
      </w:r>
      <w:r w:rsidR="00073820" w:rsidRPr="00AC71A2">
        <w:rPr>
          <w:rFonts w:ascii="Times New Roman" w:eastAsia="Times New Roman" w:hAnsi="Times New Roman" w:cs="Times New Roman"/>
          <w:sz w:val="24"/>
          <w:szCs w:val="24"/>
        </w:rPr>
        <w:t>projektu)</w:t>
      </w:r>
      <w:r w:rsidRPr="00AC71A2">
        <w:rPr>
          <w:rFonts w:ascii="Times New Roman" w:hAnsi="Times New Roman" w:cs="Times New Roman"/>
          <w:sz w:val="24"/>
          <w:szCs w:val="24"/>
        </w:rPr>
        <w:t>,</w:t>
      </w:r>
    </w:p>
    <w:p w14:paraId="4D7DEAEA" w14:textId="33BEB86D" w:rsidR="00B67DE7" w:rsidRPr="00AC71A2" w:rsidRDefault="00B67DE7" w:rsidP="00052A8C">
      <w:pPr>
        <w:numPr>
          <w:ilvl w:val="0"/>
          <w:numId w:val="2"/>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uchylenie art. 111 ust. 6kb ustawy o VAT nakładającego na podatnika karę pieniężną za brak zapewnia integracji kasy rejestrującej z terminalem płatniczym w wysokości 5 tys. </w:t>
      </w:r>
      <w:r w:rsidR="00073820" w:rsidRPr="00AC71A2">
        <w:rPr>
          <w:rFonts w:ascii="Times New Roman" w:hAnsi="Times New Roman" w:cs="Times New Roman"/>
          <w:sz w:val="24"/>
          <w:szCs w:val="24"/>
        </w:rPr>
        <w:t>z</w:t>
      </w:r>
      <w:r w:rsidRPr="00AC71A2">
        <w:rPr>
          <w:rFonts w:ascii="Times New Roman" w:hAnsi="Times New Roman" w:cs="Times New Roman"/>
          <w:sz w:val="24"/>
          <w:szCs w:val="24"/>
        </w:rPr>
        <w:t>ł</w:t>
      </w:r>
      <w:r w:rsidR="00073820" w:rsidRPr="00AC71A2">
        <w:rPr>
          <w:rFonts w:ascii="Times New Roman" w:hAnsi="Times New Roman" w:cs="Times New Roman"/>
          <w:sz w:val="24"/>
          <w:szCs w:val="24"/>
        </w:rPr>
        <w:t xml:space="preserve"> </w:t>
      </w:r>
      <w:r w:rsidR="00073820" w:rsidRPr="00AC71A2">
        <w:rPr>
          <w:rFonts w:ascii="Times New Roman" w:eastAsia="Times New Roman" w:hAnsi="Times New Roman" w:cs="Times New Roman"/>
          <w:sz w:val="24"/>
          <w:szCs w:val="24"/>
        </w:rPr>
        <w:t xml:space="preserve">(art. </w:t>
      </w:r>
      <w:r w:rsidR="00121C5F" w:rsidRPr="00AC71A2">
        <w:rPr>
          <w:rFonts w:ascii="Times New Roman" w:eastAsia="Times New Roman" w:hAnsi="Times New Roman" w:cs="Times New Roman"/>
          <w:sz w:val="24"/>
          <w:szCs w:val="24"/>
        </w:rPr>
        <w:t xml:space="preserve">6 </w:t>
      </w:r>
      <w:r w:rsidR="00073820" w:rsidRPr="00AC71A2">
        <w:rPr>
          <w:rFonts w:ascii="Times New Roman" w:eastAsia="Times New Roman" w:hAnsi="Times New Roman" w:cs="Times New Roman"/>
          <w:sz w:val="24"/>
          <w:szCs w:val="24"/>
        </w:rPr>
        <w:t>pkt</w:t>
      </w:r>
      <w:r w:rsidR="002A1961">
        <w:rPr>
          <w:rFonts w:ascii="Times New Roman" w:eastAsia="Times New Roman" w:hAnsi="Times New Roman" w:cs="Times New Roman"/>
          <w:sz w:val="24"/>
          <w:szCs w:val="24"/>
        </w:rPr>
        <w:t xml:space="preserve"> </w:t>
      </w:r>
      <w:r w:rsidR="00971255" w:rsidRPr="00AC71A2">
        <w:rPr>
          <w:rFonts w:ascii="Times New Roman" w:eastAsia="Times New Roman" w:hAnsi="Times New Roman" w:cs="Times New Roman"/>
          <w:sz w:val="24"/>
          <w:szCs w:val="24"/>
        </w:rPr>
        <w:t xml:space="preserve">1 </w:t>
      </w:r>
      <w:r w:rsidR="00073820" w:rsidRPr="00AC71A2">
        <w:rPr>
          <w:rFonts w:ascii="Times New Roman" w:eastAsia="Times New Roman" w:hAnsi="Times New Roman" w:cs="Times New Roman"/>
          <w:sz w:val="24"/>
          <w:szCs w:val="24"/>
        </w:rPr>
        <w:t>projektu)</w:t>
      </w:r>
      <w:r w:rsidRPr="00AC71A2">
        <w:rPr>
          <w:rFonts w:ascii="Times New Roman" w:hAnsi="Times New Roman" w:cs="Times New Roman"/>
          <w:sz w:val="24"/>
          <w:szCs w:val="24"/>
        </w:rPr>
        <w:t>,</w:t>
      </w:r>
    </w:p>
    <w:p w14:paraId="5D72B175" w14:textId="76A20F4D" w:rsidR="008C5682" w:rsidRPr="00AC71A2" w:rsidRDefault="008C5682" w:rsidP="00052A8C">
      <w:pPr>
        <w:numPr>
          <w:ilvl w:val="0"/>
          <w:numId w:val="2"/>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uchylenie art. 89 pkt 6a</w:t>
      </w:r>
      <w:r w:rsidR="009C68E7" w:rsidRPr="00AC71A2">
        <w:rPr>
          <w:rStyle w:val="Odwoanieprzypisudolnego"/>
          <w:rFonts w:ascii="Times New Roman" w:hAnsi="Times New Roman" w:cs="Times New Roman"/>
          <w:sz w:val="24"/>
          <w:szCs w:val="24"/>
        </w:rPr>
        <w:footnoteReference w:id="31"/>
      </w:r>
      <w:r w:rsidR="002A1961">
        <w:rPr>
          <w:rFonts w:ascii="Times New Roman" w:hAnsi="Times New Roman" w:cs="Times New Roman"/>
          <w:sz w:val="24"/>
          <w:szCs w:val="24"/>
          <w:vertAlign w:val="superscript"/>
        </w:rPr>
        <w:t>)</w:t>
      </w:r>
      <w:r w:rsidRPr="00AC71A2">
        <w:rPr>
          <w:rFonts w:ascii="Times New Roman" w:hAnsi="Times New Roman" w:cs="Times New Roman"/>
          <w:sz w:val="24"/>
          <w:szCs w:val="24"/>
        </w:rPr>
        <w:t xml:space="preserve"> </w:t>
      </w:r>
      <w:r w:rsidR="00F56DC0" w:rsidRPr="00AC71A2">
        <w:rPr>
          <w:rFonts w:ascii="Times New Roman" w:hAnsi="Times New Roman" w:cs="Times New Roman"/>
          <w:sz w:val="24"/>
          <w:szCs w:val="24"/>
        </w:rPr>
        <w:t xml:space="preserve">ustawy </w:t>
      </w:r>
      <w:bookmarkStart w:id="5" w:name="_Hlk161904309"/>
      <w:r w:rsidR="00F56DC0" w:rsidRPr="00AC71A2">
        <w:rPr>
          <w:rFonts w:ascii="Times New Roman" w:hAnsi="Times New Roman" w:cs="Times New Roman"/>
          <w:sz w:val="24"/>
          <w:szCs w:val="24"/>
        </w:rPr>
        <w:t xml:space="preserve">z 29 października 2021 r. </w:t>
      </w:r>
      <w:bookmarkEnd w:id="5"/>
      <w:r w:rsidR="00F56DC0" w:rsidRPr="00AC71A2">
        <w:rPr>
          <w:rFonts w:ascii="Times New Roman" w:hAnsi="Times New Roman" w:cs="Times New Roman"/>
          <w:sz w:val="24"/>
          <w:szCs w:val="24"/>
        </w:rPr>
        <w:t>(art. 6 pkt 3 projektu) dotyczącego wejścia w</w:t>
      </w:r>
      <w:r w:rsidR="00FF17C3" w:rsidRPr="00AC71A2">
        <w:rPr>
          <w:rFonts w:ascii="Times New Roman" w:hAnsi="Times New Roman" w:cs="Times New Roman"/>
          <w:sz w:val="24"/>
          <w:szCs w:val="24"/>
        </w:rPr>
        <w:t> </w:t>
      </w:r>
      <w:r w:rsidR="00F56DC0" w:rsidRPr="00AC71A2">
        <w:rPr>
          <w:rFonts w:ascii="Times New Roman" w:hAnsi="Times New Roman" w:cs="Times New Roman"/>
          <w:sz w:val="24"/>
          <w:szCs w:val="24"/>
        </w:rPr>
        <w:t xml:space="preserve">życie </w:t>
      </w:r>
      <w:r w:rsidR="00094621" w:rsidRPr="00AC71A2">
        <w:rPr>
          <w:rFonts w:ascii="Times New Roman" w:hAnsi="Times New Roman" w:cs="Times New Roman"/>
          <w:sz w:val="24"/>
          <w:szCs w:val="24"/>
        </w:rPr>
        <w:t xml:space="preserve">ww. zmian w ustawie </w:t>
      </w:r>
      <w:r w:rsidR="00AC71A2">
        <w:rPr>
          <w:rFonts w:ascii="Times New Roman" w:hAnsi="Times New Roman" w:cs="Times New Roman"/>
          <w:sz w:val="24"/>
          <w:szCs w:val="24"/>
        </w:rPr>
        <w:t>–</w:t>
      </w:r>
      <w:r w:rsidR="00094621" w:rsidRPr="00AC71A2">
        <w:rPr>
          <w:rFonts w:ascii="Times New Roman" w:hAnsi="Times New Roman" w:cs="Times New Roman"/>
          <w:sz w:val="24"/>
          <w:szCs w:val="24"/>
        </w:rPr>
        <w:t xml:space="preserve"> Prawo przedsiębiorców oraz w ustawie o VAT</w:t>
      </w:r>
      <w:r w:rsidR="007730AF" w:rsidRPr="00AC71A2">
        <w:rPr>
          <w:rFonts w:ascii="Times New Roman" w:hAnsi="Times New Roman" w:cs="Times New Roman"/>
          <w:sz w:val="24"/>
          <w:szCs w:val="24"/>
        </w:rPr>
        <w:t>, jako konsekwencj</w:t>
      </w:r>
      <w:r w:rsidR="003D26F7" w:rsidRPr="00AC71A2">
        <w:rPr>
          <w:rFonts w:ascii="Times New Roman" w:hAnsi="Times New Roman" w:cs="Times New Roman"/>
          <w:sz w:val="24"/>
          <w:szCs w:val="24"/>
        </w:rPr>
        <w:t>ę</w:t>
      </w:r>
      <w:r w:rsidR="007730AF" w:rsidRPr="00AC71A2">
        <w:rPr>
          <w:rFonts w:ascii="Times New Roman" w:hAnsi="Times New Roman" w:cs="Times New Roman"/>
          <w:sz w:val="24"/>
          <w:szCs w:val="24"/>
        </w:rPr>
        <w:t xml:space="preserve"> tych zmian,</w:t>
      </w:r>
    </w:p>
    <w:p w14:paraId="72A9E880" w14:textId="10F02E83" w:rsidR="00B67DE7" w:rsidRPr="00AC71A2" w:rsidRDefault="00B67DE7" w:rsidP="00052A8C">
      <w:pPr>
        <w:numPr>
          <w:ilvl w:val="0"/>
          <w:numId w:val="2"/>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utrzymanie raportowania przez agentów rozliczeniowych przez zmianę ustawy o</w:t>
      </w:r>
      <w:r w:rsidR="00ED0916" w:rsidRPr="00AC71A2">
        <w:rPr>
          <w:rFonts w:ascii="Times New Roman" w:hAnsi="Times New Roman" w:cs="Times New Roman"/>
          <w:sz w:val="24"/>
          <w:szCs w:val="24"/>
        </w:rPr>
        <w:t> </w:t>
      </w:r>
      <w:r w:rsidRPr="00AC71A2">
        <w:rPr>
          <w:rFonts w:ascii="Times New Roman" w:hAnsi="Times New Roman" w:cs="Times New Roman"/>
          <w:sz w:val="24"/>
          <w:szCs w:val="24"/>
        </w:rPr>
        <w:t xml:space="preserve">Krajowej Administracji Skarbowej </w:t>
      </w:r>
      <w:r w:rsidR="00073820" w:rsidRPr="00AC71A2">
        <w:rPr>
          <w:rFonts w:ascii="Times New Roman" w:eastAsia="Times New Roman" w:hAnsi="Times New Roman" w:cs="Times New Roman"/>
          <w:sz w:val="24"/>
          <w:szCs w:val="24"/>
        </w:rPr>
        <w:t xml:space="preserve">(art. </w:t>
      </w:r>
      <w:r w:rsidR="00121C5F" w:rsidRPr="00AC71A2">
        <w:rPr>
          <w:rFonts w:ascii="Times New Roman" w:eastAsia="Times New Roman" w:hAnsi="Times New Roman" w:cs="Times New Roman"/>
          <w:sz w:val="24"/>
          <w:szCs w:val="24"/>
        </w:rPr>
        <w:t xml:space="preserve">5 </w:t>
      </w:r>
      <w:r w:rsidR="00073820" w:rsidRPr="00AC71A2">
        <w:rPr>
          <w:rFonts w:ascii="Times New Roman" w:eastAsia="Times New Roman" w:hAnsi="Times New Roman" w:cs="Times New Roman"/>
          <w:sz w:val="24"/>
          <w:szCs w:val="24"/>
        </w:rPr>
        <w:t>projektu)</w:t>
      </w:r>
      <w:r w:rsidR="003620C5" w:rsidRPr="00AC71A2">
        <w:rPr>
          <w:rFonts w:ascii="Times New Roman" w:eastAsia="Times New Roman" w:hAnsi="Times New Roman" w:cs="Times New Roman"/>
          <w:sz w:val="24"/>
          <w:szCs w:val="24"/>
        </w:rPr>
        <w:t>,</w:t>
      </w:r>
    </w:p>
    <w:p w14:paraId="614B22C9" w14:textId="7D0EEBF4" w:rsidR="003E3F10" w:rsidRPr="002A1961" w:rsidRDefault="003E3F10" w:rsidP="00052A8C">
      <w:pPr>
        <w:numPr>
          <w:ilvl w:val="0"/>
          <w:numId w:val="2"/>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 xml:space="preserve">rozszerzenie katalogu określonego w art. 105 ust. 1 ustawy </w:t>
      </w:r>
      <w:r w:rsidR="002A1961">
        <w:rPr>
          <w:rFonts w:ascii="Times New Roman" w:hAnsi="Times New Roman" w:cs="Times New Roman"/>
          <w:sz w:val="24"/>
          <w:szCs w:val="24"/>
        </w:rPr>
        <w:t xml:space="preserve">– </w:t>
      </w:r>
      <w:r w:rsidRPr="002A1961">
        <w:rPr>
          <w:rFonts w:ascii="Times New Roman" w:hAnsi="Times New Roman" w:cs="Times New Roman"/>
          <w:sz w:val="24"/>
          <w:szCs w:val="24"/>
        </w:rPr>
        <w:t>Prawo bankowe o</w:t>
      </w:r>
      <w:r w:rsidR="00CD4D63" w:rsidRPr="002A1961">
        <w:rPr>
          <w:rFonts w:ascii="Times New Roman" w:hAnsi="Times New Roman" w:cs="Times New Roman"/>
          <w:sz w:val="24"/>
          <w:szCs w:val="24"/>
        </w:rPr>
        <w:t> </w:t>
      </w:r>
      <w:r w:rsidRPr="002A1961">
        <w:rPr>
          <w:rFonts w:ascii="Times New Roman" w:hAnsi="Times New Roman" w:cs="Times New Roman"/>
          <w:sz w:val="24"/>
          <w:szCs w:val="24"/>
        </w:rPr>
        <w:t xml:space="preserve">informacje stanowiące tajemnicę bankową, które będą przekazywane co miesiąc przez </w:t>
      </w:r>
      <w:r w:rsidRPr="002A1961">
        <w:rPr>
          <w:rFonts w:ascii="Times New Roman" w:hAnsi="Times New Roman" w:cs="Times New Roman"/>
          <w:sz w:val="24"/>
          <w:szCs w:val="24"/>
        </w:rPr>
        <w:lastRenderedPageBreak/>
        <w:t>banki będące agentami rozliczeniowymi Szefowi KAS w związku z wykonywaniem zadań określonych w projektowanym art. 49aaa ustawy o</w:t>
      </w:r>
      <w:r w:rsidR="00CD4D63" w:rsidRPr="002A1961">
        <w:rPr>
          <w:rFonts w:ascii="Times New Roman" w:hAnsi="Times New Roman" w:cs="Times New Roman"/>
          <w:sz w:val="24"/>
          <w:szCs w:val="24"/>
        </w:rPr>
        <w:t> </w:t>
      </w:r>
      <w:r w:rsidRPr="002A1961">
        <w:rPr>
          <w:rFonts w:ascii="Times New Roman" w:hAnsi="Times New Roman" w:cs="Times New Roman"/>
          <w:sz w:val="24"/>
          <w:szCs w:val="24"/>
        </w:rPr>
        <w:t>Krajowej Administracji Skarbowej (art. 3 projektu) oraz</w:t>
      </w:r>
    </w:p>
    <w:p w14:paraId="29D65597" w14:textId="6136FE0A" w:rsidR="003620C5" w:rsidRPr="00920EC1" w:rsidRDefault="007346A7" w:rsidP="00052A8C">
      <w:pPr>
        <w:numPr>
          <w:ilvl w:val="0"/>
          <w:numId w:val="2"/>
        </w:num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nowelizacj</w:t>
      </w:r>
      <w:r w:rsidR="00650D08" w:rsidRPr="00AC71A2">
        <w:rPr>
          <w:rFonts w:ascii="Times New Roman" w:hAnsi="Times New Roman" w:cs="Times New Roman"/>
          <w:sz w:val="24"/>
          <w:szCs w:val="24"/>
        </w:rPr>
        <w:t>ę</w:t>
      </w:r>
      <w:r w:rsidR="00B67DE7" w:rsidRPr="00AC71A2">
        <w:rPr>
          <w:rFonts w:ascii="Times New Roman" w:hAnsi="Times New Roman" w:cs="Times New Roman"/>
          <w:sz w:val="24"/>
          <w:szCs w:val="24"/>
        </w:rPr>
        <w:t xml:space="preserve"> w </w:t>
      </w:r>
      <w:r w:rsidR="00B67DE7" w:rsidRPr="00920EC1">
        <w:rPr>
          <w:rFonts w:ascii="Times New Roman" w:hAnsi="Times New Roman" w:cs="Times New Roman"/>
          <w:sz w:val="24"/>
          <w:szCs w:val="24"/>
        </w:rPr>
        <w:t>Kodeks</w:t>
      </w:r>
      <w:r w:rsidR="0095628C">
        <w:rPr>
          <w:rFonts w:ascii="Times New Roman" w:hAnsi="Times New Roman" w:cs="Times New Roman"/>
          <w:sz w:val="24"/>
          <w:szCs w:val="24"/>
        </w:rPr>
        <w:t>ie</w:t>
      </w:r>
      <w:r w:rsidR="00B67DE7" w:rsidRPr="00920EC1">
        <w:rPr>
          <w:rFonts w:ascii="Times New Roman" w:hAnsi="Times New Roman" w:cs="Times New Roman"/>
          <w:sz w:val="24"/>
          <w:szCs w:val="24"/>
        </w:rPr>
        <w:t xml:space="preserve"> karny</w:t>
      </w:r>
      <w:r w:rsidR="0095628C">
        <w:rPr>
          <w:rFonts w:ascii="Times New Roman" w:hAnsi="Times New Roman" w:cs="Times New Roman"/>
          <w:sz w:val="24"/>
          <w:szCs w:val="24"/>
        </w:rPr>
        <w:t>m</w:t>
      </w:r>
      <w:r w:rsidR="00B67DE7" w:rsidRPr="00920EC1">
        <w:rPr>
          <w:rFonts w:ascii="Times New Roman" w:hAnsi="Times New Roman" w:cs="Times New Roman"/>
          <w:sz w:val="24"/>
          <w:szCs w:val="24"/>
        </w:rPr>
        <w:t xml:space="preserve"> skarbowy</w:t>
      </w:r>
      <w:r w:rsidR="006A2401">
        <w:rPr>
          <w:rFonts w:ascii="Times New Roman" w:hAnsi="Times New Roman" w:cs="Times New Roman"/>
          <w:sz w:val="24"/>
          <w:szCs w:val="24"/>
        </w:rPr>
        <w:t>m</w:t>
      </w:r>
      <w:r w:rsidR="00B67DE7" w:rsidRPr="00920EC1">
        <w:rPr>
          <w:rFonts w:ascii="Times New Roman" w:hAnsi="Times New Roman" w:cs="Times New Roman"/>
          <w:sz w:val="24"/>
          <w:szCs w:val="24"/>
        </w:rPr>
        <w:t xml:space="preserve"> art. 83</w:t>
      </w:r>
      <w:r w:rsidR="00FC6B7B" w:rsidRPr="00920EC1">
        <w:rPr>
          <w:rFonts w:ascii="Times New Roman" w:hAnsi="Times New Roman" w:cs="Times New Roman"/>
          <w:sz w:val="24"/>
          <w:szCs w:val="24"/>
        </w:rPr>
        <w:t xml:space="preserve"> § 1</w:t>
      </w:r>
      <w:r w:rsidR="00073820" w:rsidRPr="00920EC1">
        <w:rPr>
          <w:rFonts w:ascii="Times New Roman" w:hAnsi="Times New Roman" w:cs="Times New Roman"/>
          <w:sz w:val="24"/>
          <w:szCs w:val="24"/>
        </w:rPr>
        <w:t xml:space="preserve"> (art. </w:t>
      </w:r>
      <w:r w:rsidR="003E3F10" w:rsidRPr="00920EC1">
        <w:rPr>
          <w:rFonts w:ascii="Times New Roman" w:hAnsi="Times New Roman" w:cs="Times New Roman"/>
          <w:sz w:val="24"/>
          <w:szCs w:val="24"/>
        </w:rPr>
        <w:t xml:space="preserve">4 </w:t>
      </w:r>
      <w:r w:rsidR="00073820" w:rsidRPr="00920EC1">
        <w:rPr>
          <w:rFonts w:ascii="Times New Roman" w:hAnsi="Times New Roman" w:cs="Times New Roman"/>
          <w:sz w:val="24"/>
          <w:szCs w:val="24"/>
        </w:rPr>
        <w:t>projektu)</w:t>
      </w:r>
      <w:r w:rsidR="00920EC1">
        <w:rPr>
          <w:rFonts w:ascii="Times New Roman" w:hAnsi="Times New Roman" w:cs="Times New Roman"/>
          <w:sz w:val="24"/>
          <w:szCs w:val="24"/>
        </w:rPr>
        <w:t>,</w:t>
      </w:r>
      <w:r w:rsidR="00073820" w:rsidRPr="00920EC1">
        <w:rPr>
          <w:rFonts w:ascii="Times New Roman" w:hAnsi="Times New Roman" w:cs="Times New Roman"/>
          <w:sz w:val="24"/>
          <w:szCs w:val="24"/>
        </w:rPr>
        <w:t xml:space="preserve"> </w:t>
      </w:r>
      <w:r w:rsidRPr="00920EC1">
        <w:rPr>
          <w:rFonts w:ascii="Times New Roman" w:hAnsi="Times New Roman" w:cs="Times New Roman"/>
          <w:sz w:val="24"/>
          <w:szCs w:val="24"/>
        </w:rPr>
        <w:t>tak aby zakres tego przepisu obejmował również</w:t>
      </w:r>
      <w:r w:rsidR="00B67DE7" w:rsidRPr="00920EC1">
        <w:rPr>
          <w:rFonts w:ascii="Times New Roman" w:hAnsi="Times New Roman" w:cs="Times New Roman"/>
          <w:sz w:val="24"/>
          <w:szCs w:val="24"/>
        </w:rPr>
        <w:t xml:space="preserve"> kar</w:t>
      </w:r>
      <w:r w:rsidRPr="00920EC1">
        <w:rPr>
          <w:rFonts w:ascii="Times New Roman" w:hAnsi="Times New Roman" w:cs="Times New Roman"/>
          <w:sz w:val="24"/>
          <w:szCs w:val="24"/>
        </w:rPr>
        <w:t>ę</w:t>
      </w:r>
      <w:r w:rsidR="00B67DE7" w:rsidRPr="00920EC1">
        <w:rPr>
          <w:rFonts w:ascii="Times New Roman" w:hAnsi="Times New Roman" w:cs="Times New Roman"/>
          <w:sz w:val="24"/>
          <w:szCs w:val="24"/>
        </w:rPr>
        <w:t xml:space="preserve"> grzywny za udaremnianie lub utrudnianie czynności kontrolnych w zakresie danych o transakcjach płatniczych akceptanta wykonywanych przy użyciu terminala płatniczego, oprogramowania lub systemu teleinformatycznego</w:t>
      </w:r>
      <w:r w:rsidR="003E3F10" w:rsidRPr="00920EC1">
        <w:rPr>
          <w:rFonts w:ascii="Times New Roman" w:hAnsi="Times New Roman" w:cs="Times New Roman"/>
          <w:sz w:val="24"/>
          <w:szCs w:val="24"/>
        </w:rPr>
        <w:t>.</w:t>
      </w:r>
    </w:p>
    <w:p w14:paraId="480EBA98" w14:textId="05439CD3" w:rsidR="00B67DE7" w:rsidRPr="00AC71A2" w:rsidRDefault="00B67DE7"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Przedmiotowe regulacje wynikają z napływających sygnałów z rynku o braku dostępności terminali płatniczych pozwalających na integrację z kasami rejestrującymi oraz fakt, że</w:t>
      </w:r>
      <w:r w:rsidR="00920EC1">
        <w:rPr>
          <w:rFonts w:ascii="Times New Roman" w:hAnsi="Times New Roman" w:cs="Times New Roman"/>
          <w:sz w:val="24"/>
          <w:szCs w:val="24"/>
        </w:rPr>
        <w:t xml:space="preserve"> </w:t>
      </w:r>
      <w:r w:rsidRPr="00AC71A2">
        <w:rPr>
          <w:rFonts w:ascii="Times New Roman" w:hAnsi="Times New Roman" w:cs="Times New Roman"/>
          <w:sz w:val="24"/>
          <w:szCs w:val="24"/>
        </w:rPr>
        <w:t xml:space="preserve">wprowadzony w okresie przejściowym obowiązek raportowania danych przez agentów rozliczeniowych spełnia założony cel uszczelniający. </w:t>
      </w:r>
      <w:bookmarkStart w:id="6" w:name="_Hlk175168511"/>
      <w:r w:rsidRPr="00AC71A2">
        <w:rPr>
          <w:rFonts w:ascii="Times New Roman" w:hAnsi="Times New Roman" w:cs="Times New Roman"/>
          <w:sz w:val="24"/>
          <w:szCs w:val="24"/>
        </w:rPr>
        <w:t xml:space="preserve">Podjęto zatem decyzję o zaniechaniu tej integracji od 1 </w:t>
      </w:r>
      <w:r w:rsidR="002856AA" w:rsidRPr="00AC71A2">
        <w:rPr>
          <w:rFonts w:ascii="Times New Roman" w:hAnsi="Times New Roman" w:cs="Times New Roman"/>
          <w:sz w:val="24"/>
          <w:szCs w:val="24"/>
        </w:rPr>
        <w:t xml:space="preserve">kwietnia </w:t>
      </w:r>
      <w:r w:rsidRPr="00AC71A2">
        <w:rPr>
          <w:rFonts w:ascii="Times New Roman" w:hAnsi="Times New Roman" w:cs="Times New Roman"/>
          <w:sz w:val="24"/>
          <w:szCs w:val="24"/>
        </w:rPr>
        <w:t xml:space="preserve">2025 r. na </w:t>
      </w:r>
      <w:bookmarkEnd w:id="6"/>
      <w:r w:rsidRPr="00AC71A2">
        <w:rPr>
          <w:rFonts w:ascii="Times New Roman" w:hAnsi="Times New Roman" w:cs="Times New Roman"/>
          <w:sz w:val="24"/>
          <w:szCs w:val="24"/>
        </w:rPr>
        <w:t xml:space="preserve">rzecz comiesięcznego obowiązkowego raportowania danych przez agentów rozliczeniowych. Projektowane rozwiązanie w istocie polega na bezterminowym utrzymaniu obecnego stanu prawnego, zaprojektowanego uprzednio jako stan przejściowy. Jako rozwiązanie epizodyczne obowiązujące do 31 </w:t>
      </w:r>
      <w:r w:rsidR="002856AA" w:rsidRPr="00AC71A2">
        <w:rPr>
          <w:rFonts w:ascii="Times New Roman" w:hAnsi="Times New Roman" w:cs="Times New Roman"/>
          <w:sz w:val="24"/>
          <w:szCs w:val="24"/>
        </w:rPr>
        <w:t xml:space="preserve">marca </w:t>
      </w:r>
      <w:r w:rsidRPr="00AC71A2">
        <w:rPr>
          <w:rFonts w:ascii="Times New Roman" w:hAnsi="Times New Roman" w:cs="Times New Roman"/>
          <w:sz w:val="24"/>
          <w:szCs w:val="24"/>
        </w:rPr>
        <w:t>202</w:t>
      </w:r>
      <w:r w:rsidR="002856AA" w:rsidRPr="00AC71A2">
        <w:rPr>
          <w:rFonts w:ascii="Times New Roman" w:hAnsi="Times New Roman" w:cs="Times New Roman"/>
          <w:sz w:val="24"/>
          <w:szCs w:val="24"/>
        </w:rPr>
        <w:t>5</w:t>
      </w:r>
      <w:r w:rsidRPr="00AC71A2">
        <w:rPr>
          <w:rFonts w:ascii="Times New Roman" w:hAnsi="Times New Roman" w:cs="Times New Roman"/>
          <w:sz w:val="24"/>
          <w:szCs w:val="24"/>
        </w:rPr>
        <w:t xml:space="preserve"> r. wprowadzono wymóg przesyłania przez agentów rozliczeniowych do Szefa KAS, w formie ustrukturyzowanej, danych dotyczących transakcji płatniczych (ustawa o Krajowej Administracji Skarbowej). Ponieważ obecnie przepisy w zakresie przesyłania danych przez agentów rozliczeniowych mają charakter czasowy i zostały wprowadzone w przepisach epizodycznych, w ustawie o Krajowej Administracji Skarbowej proponuje się dodanie</w:t>
      </w:r>
      <w:r w:rsidR="003620C5" w:rsidRPr="00AC71A2">
        <w:rPr>
          <w:rFonts w:ascii="Times New Roman" w:hAnsi="Times New Roman" w:cs="Times New Roman"/>
          <w:sz w:val="24"/>
          <w:szCs w:val="24"/>
        </w:rPr>
        <w:t xml:space="preserve"> art.</w:t>
      </w:r>
      <w:r w:rsidR="00F82D11" w:rsidRPr="00AC71A2">
        <w:rPr>
          <w:rFonts w:ascii="Times New Roman" w:hAnsi="Times New Roman" w:cs="Times New Roman"/>
          <w:sz w:val="24"/>
          <w:szCs w:val="24"/>
        </w:rPr>
        <w:t> </w:t>
      </w:r>
      <w:r w:rsidR="003620C5" w:rsidRPr="00AC71A2">
        <w:rPr>
          <w:rFonts w:ascii="Times New Roman" w:hAnsi="Times New Roman" w:cs="Times New Roman"/>
          <w:sz w:val="24"/>
          <w:szCs w:val="24"/>
        </w:rPr>
        <w:t>49</w:t>
      </w:r>
      <w:r w:rsidR="00E33F88" w:rsidRPr="00AC71A2">
        <w:rPr>
          <w:rFonts w:ascii="Times New Roman" w:hAnsi="Times New Roman" w:cs="Times New Roman"/>
          <w:sz w:val="24"/>
          <w:szCs w:val="24"/>
        </w:rPr>
        <w:t>aaa</w:t>
      </w:r>
      <w:r w:rsidR="000150E9" w:rsidRPr="00AC71A2">
        <w:rPr>
          <w:rFonts w:ascii="Times New Roman" w:hAnsi="Times New Roman" w:cs="Times New Roman"/>
          <w:sz w:val="24"/>
          <w:szCs w:val="24"/>
        </w:rPr>
        <w:t xml:space="preserve"> i art. 49c</w:t>
      </w:r>
      <w:r w:rsidRPr="00AC71A2">
        <w:rPr>
          <w:rFonts w:ascii="Times New Roman" w:hAnsi="Times New Roman" w:cs="Times New Roman"/>
          <w:sz w:val="24"/>
          <w:szCs w:val="24"/>
        </w:rPr>
        <w:t>.</w:t>
      </w:r>
    </w:p>
    <w:p w14:paraId="32F225B8" w14:textId="620B5DBD" w:rsidR="00770CD5" w:rsidRPr="00AC71A2" w:rsidRDefault="00B67DE7" w:rsidP="00052A8C">
      <w:pPr>
        <w:autoSpaceDE w:val="0"/>
        <w:autoSpaceDN w:val="0"/>
        <w:adjustRightInd w:val="0"/>
        <w:spacing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Ponadto projekt zakłada, że w informacji przekazywanej na żądanie naczelnika urzędu skarbowego lub naczelnika urzędu celno-skarbowego przez agenta rozliczeniowego w celu prawidłowej identyfikacji akceptanta należy podać NIP akceptanta (art. 49aa ust. 2 pkt</w:t>
      </w:r>
      <w:r w:rsidR="00AC71A2">
        <w:rPr>
          <w:rFonts w:ascii="Times New Roman" w:hAnsi="Times New Roman" w:cs="Times New Roman"/>
          <w:sz w:val="24"/>
          <w:szCs w:val="24"/>
        </w:rPr>
        <w:t> </w:t>
      </w:r>
      <w:r w:rsidRPr="00AC71A2">
        <w:rPr>
          <w:rFonts w:ascii="Times New Roman" w:hAnsi="Times New Roman" w:cs="Times New Roman"/>
          <w:sz w:val="24"/>
          <w:szCs w:val="24"/>
        </w:rPr>
        <w:t>3a</w:t>
      </w:r>
      <w:r w:rsidR="008B157A" w:rsidRPr="00AC71A2">
        <w:rPr>
          <w:rFonts w:ascii="Times New Roman" w:hAnsi="Times New Roman" w:cs="Times New Roman"/>
          <w:sz w:val="24"/>
          <w:szCs w:val="24"/>
        </w:rPr>
        <w:t xml:space="preserve"> ustawy o Krajowej Administracji Skarbowej</w:t>
      </w:r>
      <w:r w:rsidRPr="00AC71A2">
        <w:rPr>
          <w:rFonts w:ascii="Times New Roman" w:hAnsi="Times New Roman" w:cs="Times New Roman"/>
          <w:sz w:val="24"/>
          <w:szCs w:val="24"/>
        </w:rPr>
        <w:t>).</w:t>
      </w:r>
      <w:r w:rsidR="004E13D4" w:rsidRPr="00AC71A2">
        <w:rPr>
          <w:rFonts w:ascii="Times New Roman" w:hAnsi="Times New Roman" w:cs="Times New Roman"/>
          <w:sz w:val="24"/>
          <w:szCs w:val="24"/>
        </w:rPr>
        <w:t xml:space="preserve"> </w:t>
      </w:r>
      <w:r w:rsidR="00A51948" w:rsidRPr="00AC71A2">
        <w:rPr>
          <w:rFonts w:ascii="Times New Roman" w:hAnsi="Times New Roman" w:cs="Times New Roman"/>
          <w:sz w:val="24"/>
          <w:szCs w:val="24"/>
        </w:rPr>
        <w:t xml:space="preserve">Na podstawie art. 49aa ustawy o KAS organy KAS występują z pisemnym żądaniem przekazania informacji dotyczących konkretnego podmiotu o podanym nr NIP za ściśle określony okres. Przedmiotowe żądanie nie ma charakteru ogólnego, ale charakter indywidualny. Celem nowelizacji jest objęcie obowiązkiem przekazania przez agenta rozliczeniowego numeru NIP w informacji zwrotnej, związanej z realizacją żądania organu KAS. W odróżnienia od żądania organów KAS, informacja zwrotna </w:t>
      </w:r>
      <w:r w:rsidR="00786859" w:rsidRPr="00AC71A2">
        <w:rPr>
          <w:rFonts w:ascii="Times New Roman" w:hAnsi="Times New Roman" w:cs="Times New Roman"/>
          <w:sz w:val="24"/>
          <w:szCs w:val="24"/>
        </w:rPr>
        <w:t xml:space="preserve">jest </w:t>
      </w:r>
      <w:r w:rsidR="00A51948" w:rsidRPr="00AC71A2">
        <w:rPr>
          <w:rFonts w:ascii="Times New Roman" w:hAnsi="Times New Roman" w:cs="Times New Roman"/>
          <w:sz w:val="24"/>
          <w:szCs w:val="24"/>
        </w:rPr>
        <w:t>przekazywana przez agenta rozliczeniowego w formie elektronicznej bezpośrednio do systemów teleinformatycznych Szefa KAS. Obj</w:t>
      </w:r>
      <w:r w:rsidR="002F2F17" w:rsidRPr="00AC71A2">
        <w:rPr>
          <w:rFonts w:ascii="Times New Roman" w:hAnsi="Times New Roman" w:cs="Times New Roman"/>
          <w:sz w:val="24"/>
          <w:szCs w:val="24"/>
        </w:rPr>
        <w:t>ę</w:t>
      </w:r>
      <w:r w:rsidR="00A51948" w:rsidRPr="00AC71A2">
        <w:rPr>
          <w:rFonts w:ascii="Times New Roman" w:hAnsi="Times New Roman" w:cs="Times New Roman"/>
          <w:sz w:val="24"/>
          <w:szCs w:val="24"/>
        </w:rPr>
        <w:t xml:space="preserve">cie obowiązkiem ujęcia nr NIP w informacji </w:t>
      </w:r>
      <w:r w:rsidR="00A51948" w:rsidRPr="00AC71A2">
        <w:rPr>
          <w:rFonts w:ascii="Times New Roman" w:hAnsi="Times New Roman" w:cs="Times New Roman"/>
          <w:sz w:val="24"/>
          <w:szCs w:val="24"/>
        </w:rPr>
        <w:lastRenderedPageBreak/>
        <w:t xml:space="preserve">zwrotnej ma na celu dokładniejsze/szybsze powiązanie przesłanej informacji zwrotnej z żądaniem organu KAS. Agenci rozliczeniowi będą zobowiązani do przekazania informacji zwrotnej obejmującej nr NIP wyłącznie za okresy po dniu 1 </w:t>
      </w:r>
      <w:r w:rsidR="002856AA" w:rsidRPr="00AC71A2">
        <w:rPr>
          <w:rFonts w:ascii="Times New Roman" w:hAnsi="Times New Roman" w:cs="Times New Roman"/>
          <w:sz w:val="24"/>
          <w:szCs w:val="24"/>
        </w:rPr>
        <w:t xml:space="preserve">kwietnia </w:t>
      </w:r>
      <w:r w:rsidR="00A51948" w:rsidRPr="00AC71A2">
        <w:rPr>
          <w:rFonts w:ascii="Times New Roman" w:hAnsi="Times New Roman" w:cs="Times New Roman"/>
          <w:sz w:val="24"/>
          <w:szCs w:val="24"/>
        </w:rPr>
        <w:t>2025 r.</w:t>
      </w:r>
    </w:p>
    <w:p w14:paraId="085FC089" w14:textId="59E6C201" w:rsidR="00B67DE7" w:rsidRPr="00AC71A2" w:rsidRDefault="002F2F17" w:rsidP="00052A8C">
      <w:pPr>
        <w:autoSpaceDE w:val="0"/>
        <w:autoSpaceDN w:val="0"/>
        <w:adjustRightInd w:val="0"/>
        <w:spacing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Zatem żądania organów KAS obejmujące numer NIP nie będą mogły odnosić się do okresów sprzed dnia wejścia w życie ustawy.</w:t>
      </w:r>
      <w:r w:rsidR="00A51948" w:rsidRPr="00AC71A2">
        <w:rPr>
          <w:rFonts w:ascii="Times New Roman" w:hAnsi="Times New Roman" w:cs="Times New Roman"/>
          <w:sz w:val="24"/>
          <w:szCs w:val="24"/>
        </w:rPr>
        <w:t xml:space="preserve"> </w:t>
      </w:r>
      <w:r w:rsidR="004E13D4" w:rsidRPr="00AC71A2">
        <w:rPr>
          <w:rFonts w:ascii="Times New Roman" w:hAnsi="Times New Roman" w:cs="Times New Roman"/>
          <w:sz w:val="24"/>
          <w:szCs w:val="24"/>
        </w:rPr>
        <w:t>Należy podkreślić, że dane przekazywane przez agentów rozliczeniowych będą wykorzystywane do realizacji ustawowych zadań Szefa KAS w celu identyfikacji podmiotów gospodarczych nieprawidłowo wywiązujących się z obowiązków wynikających z przepisów prawa podatkowego. Zakres pozyskania danych spełnia przesłanki wynikające z art. 5 ust. 1 lit b i c RODO</w:t>
      </w:r>
      <w:r w:rsidR="0034221B" w:rsidRPr="00AC71A2">
        <w:rPr>
          <w:rStyle w:val="Odwoanieprzypisudolnego"/>
          <w:rFonts w:ascii="Times New Roman" w:hAnsi="Times New Roman" w:cs="Times New Roman"/>
          <w:sz w:val="24"/>
          <w:szCs w:val="24"/>
        </w:rPr>
        <w:footnoteReference w:id="32"/>
      </w:r>
      <w:r w:rsidR="00786859">
        <w:rPr>
          <w:rFonts w:ascii="Times New Roman" w:hAnsi="Times New Roman" w:cs="Times New Roman"/>
          <w:sz w:val="24"/>
          <w:szCs w:val="24"/>
          <w:vertAlign w:val="superscript"/>
        </w:rPr>
        <w:t>)</w:t>
      </w:r>
      <w:r w:rsidR="004E13D4" w:rsidRPr="00AC71A2">
        <w:rPr>
          <w:rFonts w:ascii="Times New Roman" w:hAnsi="Times New Roman" w:cs="Times New Roman"/>
          <w:sz w:val="24"/>
          <w:szCs w:val="24"/>
        </w:rPr>
        <w:t xml:space="preserve">, tj. dane </w:t>
      </w:r>
      <w:r w:rsidR="00786859" w:rsidRPr="00AC71A2">
        <w:rPr>
          <w:rFonts w:ascii="Times New Roman" w:hAnsi="Times New Roman" w:cs="Times New Roman"/>
          <w:sz w:val="24"/>
          <w:szCs w:val="24"/>
        </w:rPr>
        <w:t xml:space="preserve">są </w:t>
      </w:r>
      <w:r w:rsidR="004E13D4" w:rsidRPr="00AC71A2">
        <w:rPr>
          <w:rFonts w:ascii="Times New Roman" w:hAnsi="Times New Roman" w:cs="Times New Roman"/>
          <w:sz w:val="24"/>
          <w:szCs w:val="24"/>
        </w:rPr>
        <w:t>zbierane w konkretnych, wyraźnych i</w:t>
      </w:r>
      <w:r w:rsidR="00CD4D63" w:rsidRPr="00AC71A2">
        <w:rPr>
          <w:rFonts w:ascii="Times New Roman" w:hAnsi="Times New Roman" w:cs="Times New Roman"/>
          <w:sz w:val="24"/>
          <w:szCs w:val="24"/>
        </w:rPr>
        <w:t> </w:t>
      </w:r>
      <w:r w:rsidR="004E13D4" w:rsidRPr="00AC71A2">
        <w:rPr>
          <w:rFonts w:ascii="Times New Roman" w:hAnsi="Times New Roman" w:cs="Times New Roman"/>
          <w:sz w:val="24"/>
          <w:szCs w:val="24"/>
        </w:rPr>
        <w:t>prawnie uzasadnionych celach oraz są adekwatne, stosowne oraz ograniczone do tego, co niezbędne do celów, w których są przetwarzane (minimalizacja danych).</w:t>
      </w:r>
    </w:p>
    <w:p w14:paraId="2BAB3F44" w14:textId="17679C51" w:rsidR="00564FF0" w:rsidRPr="00AC71A2" w:rsidRDefault="00C4227B" w:rsidP="00052A8C">
      <w:pPr>
        <w:pStyle w:val="Tekstpodstawowy"/>
        <w:spacing w:before="120" w:line="360" w:lineRule="auto"/>
        <w:rPr>
          <w:sz w:val="24"/>
          <w:szCs w:val="24"/>
        </w:rPr>
      </w:pPr>
      <w:r w:rsidRPr="00413E3D">
        <w:rPr>
          <w:sz w:val="24"/>
          <w:szCs w:val="24"/>
        </w:rPr>
        <w:t xml:space="preserve">W celu umożliwienia wypełnienia obowiązku przekazywania informacji przez agenta rozliczeniowego będącego bankiem (danych objętych w tym przypadku tajemnicą skarbową) wprowadza się stosowne wyłączenie w ustawie </w:t>
      </w:r>
      <w:r w:rsidR="00413E3D">
        <w:rPr>
          <w:sz w:val="24"/>
          <w:szCs w:val="24"/>
        </w:rPr>
        <w:t xml:space="preserve">– </w:t>
      </w:r>
      <w:r w:rsidRPr="00413E3D">
        <w:rPr>
          <w:sz w:val="24"/>
          <w:szCs w:val="24"/>
        </w:rPr>
        <w:t xml:space="preserve">Prawo bankowe (art. </w:t>
      </w:r>
      <w:r w:rsidR="000150E9" w:rsidRPr="00413E3D">
        <w:rPr>
          <w:sz w:val="24"/>
          <w:szCs w:val="24"/>
        </w:rPr>
        <w:t>3</w:t>
      </w:r>
      <w:r w:rsidRPr="00413E3D">
        <w:rPr>
          <w:sz w:val="24"/>
          <w:szCs w:val="24"/>
        </w:rPr>
        <w:t xml:space="preserve"> projektu). Obecne rozwiązanie tymczasowe, które funkcjonuje na podstawie </w:t>
      </w:r>
      <w:r w:rsidR="00A005FE">
        <w:rPr>
          <w:sz w:val="24"/>
          <w:szCs w:val="24"/>
        </w:rPr>
        <w:t>d</w:t>
      </w:r>
      <w:r w:rsidRPr="00413E3D">
        <w:rPr>
          <w:sz w:val="24"/>
          <w:szCs w:val="24"/>
        </w:rPr>
        <w:t>ziału VII ustawy o Krajowej Administracji Skarbowej i które obejmuje raportowanie danych przez agentów rozliczeniowych</w:t>
      </w:r>
      <w:r w:rsidR="00413E3D">
        <w:rPr>
          <w:sz w:val="24"/>
          <w:szCs w:val="24"/>
        </w:rPr>
        <w:t>,</w:t>
      </w:r>
      <w:r w:rsidRPr="00413E3D">
        <w:rPr>
          <w:sz w:val="24"/>
          <w:szCs w:val="24"/>
        </w:rPr>
        <w:t xml:space="preserve"> także dotyczy danych objętych tajemnicą bankową i z tego powodu w prawie bankowym wprowadzono art. 192a, zgodnie z którym, w okresie od dnia 1 stycznia 2023 r. do dnia 15 </w:t>
      </w:r>
      <w:r w:rsidR="002856AA" w:rsidRPr="00413E3D">
        <w:rPr>
          <w:sz w:val="24"/>
          <w:szCs w:val="24"/>
        </w:rPr>
        <w:t xml:space="preserve">kwietnia </w:t>
      </w:r>
      <w:r w:rsidRPr="00413E3D">
        <w:rPr>
          <w:sz w:val="24"/>
          <w:szCs w:val="24"/>
        </w:rPr>
        <w:t xml:space="preserve">2025 r. bank ma obowiązek udzielenia informacji stanowiących tajemnicę bankową Szefowi KAS w zakresie określonym w art. 278b ustawy o Krajowej Administracji Skarbowej. </w:t>
      </w:r>
      <w:r w:rsidR="001C332E" w:rsidRPr="00413E3D">
        <w:rPr>
          <w:sz w:val="24"/>
          <w:szCs w:val="24"/>
        </w:rPr>
        <w:t>Przepis a</w:t>
      </w:r>
      <w:r w:rsidRPr="00413E3D">
        <w:rPr>
          <w:sz w:val="24"/>
          <w:szCs w:val="24"/>
        </w:rPr>
        <w:t xml:space="preserve">rt. 192a </w:t>
      </w:r>
      <w:r w:rsidR="00A64DBC" w:rsidRPr="00413E3D">
        <w:rPr>
          <w:sz w:val="24"/>
          <w:szCs w:val="24"/>
        </w:rPr>
        <w:t xml:space="preserve">ustawy </w:t>
      </w:r>
      <w:r w:rsidR="00413E3D">
        <w:rPr>
          <w:sz w:val="24"/>
          <w:szCs w:val="24"/>
        </w:rPr>
        <w:t xml:space="preserve">– </w:t>
      </w:r>
      <w:r w:rsidR="00A64DBC" w:rsidRPr="00413E3D">
        <w:rPr>
          <w:sz w:val="24"/>
          <w:szCs w:val="24"/>
        </w:rPr>
        <w:t>P</w:t>
      </w:r>
      <w:r w:rsidRPr="00413E3D">
        <w:rPr>
          <w:sz w:val="24"/>
          <w:szCs w:val="24"/>
        </w:rPr>
        <w:t>raw</w:t>
      </w:r>
      <w:r w:rsidR="00A64DBC" w:rsidRPr="00413E3D">
        <w:rPr>
          <w:sz w:val="24"/>
          <w:szCs w:val="24"/>
        </w:rPr>
        <w:t>o</w:t>
      </w:r>
      <w:r w:rsidRPr="00413E3D">
        <w:rPr>
          <w:sz w:val="24"/>
          <w:szCs w:val="24"/>
        </w:rPr>
        <w:t xml:space="preserve"> bankowe</w:t>
      </w:r>
      <w:r w:rsidR="001C332E" w:rsidRPr="00413E3D">
        <w:rPr>
          <w:sz w:val="24"/>
          <w:szCs w:val="24"/>
        </w:rPr>
        <w:t xml:space="preserve"> </w:t>
      </w:r>
      <w:r w:rsidRPr="00413E3D">
        <w:rPr>
          <w:sz w:val="24"/>
          <w:szCs w:val="24"/>
        </w:rPr>
        <w:t xml:space="preserve">dotyczy jedynie okresu do 15 </w:t>
      </w:r>
      <w:r w:rsidR="002856AA" w:rsidRPr="00413E3D">
        <w:rPr>
          <w:sz w:val="24"/>
          <w:szCs w:val="24"/>
        </w:rPr>
        <w:t xml:space="preserve">kwietnia </w:t>
      </w:r>
      <w:r w:rsidRPr="00413E3D">
        <w:rPr>
          <w:sz w:val="24"/>
          <w:szCs w:val="24"/>
        </w:rPr>
        <w:t>2025 r.</w:t>
      </w:r>
      <w:r w:rsidR="00691EBE" w:rsidRPr="00413E3D">
        <w:rPr>
          <w:rStyle w:val="Odwoanieprzypisudolnego"/>
          <w:sz w:val="24"/>
          <w:szCs w:val="24"/>
        </w:rPr>
        <w:footnoteReference w:id="33"/>
      </w:r>
      <w:r w:rsidR="00413E3D">
        <w:rPr>
          <w:sz w:val="24"/>
          <w:szCs w:val="24"/>
          <w:vertAlign w:val="superscript"/>
        </w:rPr>
        <w:t>)</w:t>
      </w:r>
      <w:r w:rsidRPr="00413E3D">
        <w:rPr>
          <w:sz w:val="24"/>
          <w:szCs w:val="24"/>
        </w:rPr>
        <w:t xml:space="preserve">, </w:t>
      </w:r>
      <w:r w:rsidR="001C332E" w:rsidRPr="00413E3D">
        <w:rPr>
          <w:sz w:val="24"/>
          <w:szCs w:val="24"/>
        </w:rPr>
        <w:t xml:space="preserve">co wiąże się z faktem, że ostatnia informacja o transakcjach płatniczych akceptanta składana przez agentów rozliczeniowych na podstawie przepisu art. 278b ustawy o Krajowej Administracji Skarbowej dotyczyć ma okresu za </w:t>
      </w:r>
      <w:r w:rsidR="00B073A8" w:rsidRPr="00413E3D">
        <w:rPr>
          <w:sz w:val="24"/>
          <w:szCs w:val="24"/>
        </w:rPr>
        <w:t>marzec</w:t>
      </w:r>
      <w:r w:rsidR="001C332E" w:rsidRPr="00413E3D">
        <w:rPr>
          <w:sz w:val="24"/>
          <w:szCs w:val="24"/>
        </w:rPr>
        <w:t xml:space="preserve"> 202</w:t>
      </w:r>
      <w:r w:rsidR="00B073A8" w:rsidRPr="00413E3D">
        <w:rPr>
          <w:sz w:val="24"/>
          <w:szCs w:val="24"/>
        </w:rPr>
        <w:t>5</w:t>
      </w:r>
      <w:r w:rsidR="001C332E" w:rsidRPr="00413E3D">
        <w:rPr>
          <w:sz w:val="24"/>
          <w:szCs w:val="24"/>
        </w:rPr>
        <w:t xml:space="preserve"> r., a termin do jej złożenia </w:t>
      </w:r>
      <w:r w:rsidR="00413E3D" w:rsidRPr="00413E3D">
        <w:rPr>
          <w:sz w:val="24"/>
          <w:szCs w:val="24"/>
        </w:rPr>
        <w:t xml:space="preserve">będzie </w:t>
      </w:r>
      <w:r w:rsidR="001C332E" w:rsidRPr="00413E3D">
        <w:rPr>
          <w:sz w:val="24"/>
          <w:szCs w:val="24"/>
        </w:rPr>
        <w:t>upływa</w:t>
      </w:r>
      <w:r w:rsidR="00691EBE" w:rsidRPr="00413E3D">
        <w:rPr>
          <w:sz w:val="24"/>
          <w:szCs w:val="24"/>
        </w:rPr>
        <w:t xml:space="preserve">ć </w:t>
      </w:r>
      <w:r w:rsidR="001C332E" w:rsidRPr="00413E3D">
        <w:rPr>
          <w:sz w:val="24"/>
          <w:szCs w:val="24"/>
        </w:rPr>
        <w:t xml:space="preserve">właśnie w dniu 15 </w:t>
      </w:r>
      <w:r w:rsidR="002856AA" w:rsidRPr="00413E3D">
        <w:rPr>
          <w:sz w:val="24"/>
          <w:szCs w:val="24"/>
        </w:rPr>
        <w:t xml:space="preserve">kwietnia </w:t>
      </w:r>
      <w:r w:rsidR="001C332E" w:rsidRPr="00413E3D">
        <w:rPr>
          <w:sz w:val="24"/>
          <w:szCs w:val="24"/>
        </w:rPr>
        <w:t>2025 r. (zgodnie z art. 278b ust. 3a ustawy o Krajowej Administracji Skarbowej</w:t>
      </w:r>
      <w:r w:rsidR="00CF3A2A" w:rsidRPr="00413E3D">
        <w:rPr>
          <w:sz w:val="24"/>
          <w:szCs w:val="24"/>
          <w:shd w:val="clear" w:color="auto" w:fill="FFFFFF"/>
        </w:rPr>
        <w:t xml:space="preserve"> informacja jest przekazywana za okresy miesięczne w </w:t>
      </w:r>
      <w:r w:rsidR="00CF3A2A" w:rsidRPr="00AC71A2">
        <w:rPr>
          <w:sz w:val="24"/>
          <w:szCs w:val="24"/>
          <w:shd w:val="clear" w:color="auto" w:fill="FFFFFF"/>
        </w:rPr>
        <w:t>terminie do 15. dnia miesiąca następującego po miesiącu, za który jest przekazywana.</w:t>
      </w:r>
      <w:r w:rsidR="001C332E" w:rsidRPr="00AC71A2">
        <w:rPr>
          <w:sz w:val="24"/>
          <w:szCs w:val="24"/>
        </w:rPr>
        <w:t xml:space="preserve">). Praktyka funkcjonowania przepisów </w:t>
      </w:r>
      <w:r w:rsidR="00A005FE">
        <w:rPr>
          <w:sz w:val="24"/>
          <w:szCs w:val="24"/>
        </w:rPr>
        <w:t>d</w:t>
      </w:r>
      <w:r w:rsidR="00CF3A2A" w:rsidRPr="00AC71A2">
        <w:rPr>
          <w:sz w:val="24"/>
          <w:szCs w:val="24"/>
        </w:rPr>
        <w:t xml:space="preserve">ziału VII ustawy o Krajowej Administracji Skarbowej </w:t>
      </w:r>
      <w:r w:rsidR="001C332E" w:rsidRPr="00AC71A2">
        <w:rPr>
          <w:sz w:val="24"/>
          <w:szCs w:val="24"/>
        </w:rPr>
        <w:t>wykazała jednak, że nie można wykluczyć sytuacji, gdy informacje o</w:t>
      </w:r>
      <w:r w:rsidR="00413E3D">
        <w:rPr>
          <w:sz w:val="24"/>
          <w:szCs w:val="24"/>
        </w:rPr>
        <w:t xml:space="preserve"> </w:t>
      </w:r>
      <w:r w:rsidR="001C332E" w:rsidRPr="00AC71A2">
        <w:rPr>
          <w:sz w:val="24"/>
          <w:szCs w:val="24"/>
        </w:rPr>
        <w:t xml:space="preserve">transakcjach płatniczych akceptanta </w:t>
      </w:r>
      <w:r w:rsidR="00413E3D" w:rsidRPr="00AC71A2">
        <w:rPr>
          <w:sz w:val="24"/>
          <w:szCs w:val="24"/>
        </w:rPr>
        <w:lastRenderedPageBreak/>
        <w:t xml:space="preserve">będą </w:t>
      </w:r>
      <w:r w:rsidR="001C332E" w:rsidRPr="00AC71A2">
        <w:rPr>
          <w:sz w:val="24"/>
          <w:szCs w:val="24"/>
        </w:rPr>
        <w:t xml:space="preserve">składane </w:t>
      </w:r>
      <w:r w:rsidR="00564FF0" w:rsidRPr="00AC71A2">
        <w:rPr>
          <w:sz w:val="24"/>
          <w:szCs w:val="24"/>
        </w:rPr>
        <w:t xml:space="preserve">przez agentów rozliczeniowych </w:t>
      </w:r>
      <w:r w:rsidR="001C332E" w:rsidRPr="00AC71A2">
        <w:rPr>
          <w:sz w:val="24"/>
          <w:szCs w:val="24"/>
        </w:rPr>
        <w:t xml:space="preserve">po </w:t>
      </w:r>
      <w:r w:rsidR="00CF3A2A" w:rsidRPr="00AC71A2">
        <w:rPr>
          <w:sz w:val="24"/>
          <w:szCs w:val="24"/>
        </w:rPr>
        <w:t xml:space="preserve">terminie, jak również, że </w:t>
      </w:r>
      <w:r w:rsidR="00413E3D" w:rsidRPr="00AC71A2">
        <w:rPr>
          <w:sz w:val="24"/>
          <w:szCs w:val="24"/>
        </w:rPr>
        <w:t xml:space="preserve">będą </w:t>
      </w:r>
      <w:r w:rsidR="00CF3A2A" w:rsidRPr="00AC71A2">
        <w:rPr>
          <w:sz w:val="24"/>
          <w:szCs w:val="24"/>
        </w:rPr>
        <w:t xml:space="preserve">składane </w:t>
      </w:r>
      <w:r w:rsidR="00E94188" w:rsidRPr="00AC71A2">
        <w:rPr>
          <w:sz w:val="24"/>
          <w:szCs w:val="24"/>
        </w:rPr>
        <w:t>uzupełnienia</w:t>
      </w:r>
      <w:r w:rsidR="00CF3A2A" w:rsidRPr="00AC71A2">
        <w:rPr>
          <w:sz w:val="24"/>
          <w:szCs w:val="24"/>
        </w:rPr>
        <w:t xml:space="preserve"> tych informacji.</w:t>
      </w:r>
    </w:p>
    <w:p w14:paraId="07FCBBE7" w14:textId="65480C0C" w:rsidR="00870E6C" w:rsidRPr="00AC71A2" w:rsidRDefault="00564FF0" w:rsidP="00052A8C">
      <w:pPr>
        <w:pStyle w:val="Tekstpodstawowy"/>
        <w:spacing w:before="120" w:line="360" w:lineRule="auto"/>
        <w:rPr>
          <w:sz w:val="24"/>
          <w:szCs w:val="24"/>
          <w:shd w:val="clear" w:color="auto" w:fill="FFFFFF"/>
        </w:rPr>
      </w:pPr>
      <w:r w:rsidRPr="00AC71A2">
        <w:rPr>
          <w:sz w:val="24"/>
          <w:szCs w:val="24"/>
        </w:rPr>
        <w:t>Należy mieć przy tym</w:t>
      </w:r>
      <w:r w:rsidR="00725F7F" w:rsidRPr="00AC71A2">
        <w:rPr>
          <w:sz w:val="24"/>
          <w:szCs w:val="24"/>
        </w:rPr>
        <w:t xml:space="preserve"> </w:t>
      </w:r>
      <w:r w:rsidR="009B0963" w:rsidRPr="00AC71A2">
        <w:rPr>
          <w:sz w:val="24"/>
          <w:szCs w:val="24"/>
        </w:rPr>
        <w:t xml:space="preserve">na względzie </w:t>
      </w:r>
      <w:r w:rsidR="008367E6" w:rsidRPr="00AC71A2">
        <w:rPr>
          <w:sz w:val="24"/>
          <w:szCs w:val="24"/>
        </w:rPr>
        <w:t xml:space="preserve">możliwość nałożenia </w:t>
      </w:r>
      <w:r w:rsidR="009B0963" w:rsidRPr="00AC71A2">
        <w:rPr>
          <w:sz w:val="24"/>
          <w:szCs w:val="24"/>
        </w:rPr>
        <w:t>kar</w:t>
      </w:r>
      <w:r w:rsidR="008367E6" w:rsidRPr="00AC71A2">
        <w:rPr>
          <w:sz w:val="24"/>
          <w:szCs w:val="24"/>
        </w:rPr>
        <w:t>y</w:t>
      </w:r>
      <w:r w:rsidR="001668F0" w:rsidRPr="00AC71A2">
        <w:rPr>
          <w:sz w:val="24"/>
          <w:szCs w:val="24"/>
        </w:rPr>
        <w:t xml:space="preserve"> pieniężn</w:t>
      </w:r>
      <w:r w:rsidR="008367E6" w:rsidRPr="00AC71A2">
        <w:rPr>
          <w:sz w:val="24"/>
          <w:szCs w:val="24"/>
        </w:rPr>
        <w:t>ej</w:t>
      </w:r>
      <w:r w:rsidR="008367E6" w:rsidRPr="00AC71A2">
        <w:rPr>
          <w:sz w:val="24"/>
          <w:szCs w:val="24"/>
          <w:shd w:val="clear" w:color="auto" w:fill="FFFFFF"/>
        </w:rPr>
        <w:t xml:space="preserve"> przez Szefa Krajowej Administracji Skarbowej</w:t>
      </w:r>
      <w:r w:rsidR="001668F0" w:rsidRPr="00AC71A2">
        <w:rPr>
          <w:sz w:val="24"/>
          <w:szCs w:val="24"/>
        </w:rPr>
        <w:t xml:space="preserve"> </w:t>
      </w:r>
      <w:r w:rsidR="002C2933" w:rsidRPr="00AC71A2">
        <w:rPr>
          <w:sz w:val="24"/>
          <w:szCs w:val="24"/>
        </w:rPr>
        <w:t xml:space="preserve">na agenta </w:t>
      </w:r>
      <w:r w:rsidR="008F3347" w:rsidRPr="00AC71A2">
        <w:rPr>
          <w:sz w:val="24"/>
          <w:szCs w:val="24"/>
        </w:rPr>
        <w:t xml:space="preserve">za niedopełnienie </w:t>
      </w:r>
      <w:r w:rsidR="008F3347" w:rsidRPr="00AC71A2">
        <w:rPr>
          <w:sz w:val="24"/>
          <w:szCs w:val="24"/>
          <w:shd w:val="clear" w:color="auto" w:fill="FFFFFF"/>
        </w:rPr>
        <w:t xml:space="preserve">obowiązku przekazania Szefowi Krajowej Administracji Skarbowej </w:t>
      </w:r>
      <w:r w:rsidR="008367E6" w:rsidRPr="00AC71A2">
        <w:rPr>
          <w:sz w:val="24"/>
          <w:szCs w:val="24"/>
          <w:shd w:val="clear" w:color="auto" w:fill="FFFFFF"/>
        </w:rPr>
        <w:t xml:space="preserve">informacji o transakcjach płatniczych akceptanta </w:t>
      </w:r>
      <w:r w:rsidR="008F3347" w:rsidRPr="00AC71A2">
        <w:rPr>
          <w:sz w:val="24"/>
          <w:szCs w:val="24"/>
          <w:shd w:val="clear" w:color="auto" w:fill="FFFFFF"/>
        </w:rPr>
        <w:t>w terminie</w:t>
      </w:r>
      <w:r w:rsidR="00725F7F" w:rsidRPr="00AC71A2">
        <w:rPr>
          <w:sz w:val="24"/>
          <w:szCs w:val="24"/>
          <w:shd w:val="clear" w:color="auto" w:fill="FFFFFF"/>
        </w:rPr>
        <w:t xml:space="preserve"> </w:t>
      </w:r>
      <w:r w:rsidR="002C2933" w:rsidRPr="00AC71A2">
        <w:rPr>
          <w:sz w:val="24"/>
          <w:szCs w:val="24"/>
          <w:shd w:val="clear" w:color="auto" w:fill="FFFFFF"/>
        </w:rPr>
        <w:t>oraz</w:t>
      </w:r>
      <w:r w:rsidR="00725F7F" w:rsidRPr="00AC71A2">
        <w:rPr>
          <w:sz w:val="24"/>
          <w:szCs w:val="24"/>
          <w:shd w:val="clear" w:color="auto" w:fill="FFFFFF"/>
        </w:rPr>
        <w:t xml:space="preserve"> za przekazanie informacj</w:t>
      </w:r>
      <w:r w:rsidR="008367E6" w:rsidRPr="00AC71A2">
        <w:rPr>
          <w:sz w:val="24"/>
          <w:szCs w:val="24"/>
          <w:shd w:val="clear" w:color="auto" w:fill="FFFFFF"/>
        </w:rPr>
        <w:t>i</w:t>
      </w:r>
      <w:r w:rsidR="00725F7F" w:rsidRPr="00AC71A2">
        <w:rPr>
          <w:sz w:val="24"/>
          <w:szCs w:val="24"/>
          <w:shd w:val="clear" w:color="auto" w:fill="FFFFFF"/>
        </w:rPr>
        <w:t xml:space="preserve"> w niepełnym zakresie lub niezgodnej z posiadanymi informacjami lub danymi</w:t>
      </w:r>
      <w:r w:rsidR="00B5746D">
        <w:rPr>
          <w:sz w:val="24"/>
          <w:szCs w:val="24"/>
          <w:shd w:val="clear" w:color="auto" w:fill="FFFFFF"/>
        </w:rPr>
        <w:t>,</w:t>
      </w:r>
      <w:r w:rsidR="00725F7F" w:rsidRPr="00AC71A2">
        <w:rPr>
          <w:sz w:val="24"/>
          <w:szCs w:val="24"/>
          <w:shd w:val="clear" w:color="auto" w:fill="FFFFFF"/>
        </w:rPr>
        <w:t xml:space="preserve"> lub niezgodnie z wymaganiami (art.</w:t>
      </w:r>
      <w:r w:rsidR="00D169A3">
        <w:rPr>
          <w:sz w:val="24"/>
          <w:szCs w:val="24"/>
          <w:shd w:val="clear" w:color="auto" w:fill="FFFFFF"/>
        </w:rPr>
        <w:t xml:space="preserve"> </w:t>
      </w:r>
      <w:r w:rsidR="00725F7F" w:rsidRPr="00AC71A2">
        <w:rPr>
          <w:sz w:val="24"/>
          <w:szCs w:val="24"/>
          <w:shd w:val="clear" w:color="auto" w:fill="FFFFFF"/>
        </w:rPr>
        <w:t>278e ustawy o Krajowej Administracji Skarbowej)</w:t>
      </w:r>
      <w:r w:rsidRPr="00AC71A2">
        <w:rPr>
          <w:sz w:val="24"/>
          <w:szCs w:val="24"/>
          <w:shd w:val="clear" w:color="auto" w:fill="FFFFFF"/>
        </w:rPr>
        <w:t>, a także możliwość miarkowania tej kary przez Szefa Krajowej Administracji Skarbowej (można się spodziewać, że inna byłaby wysokość kary nałożonej za przekazanie informacji po terminie, a inna za nieprzekazanie informacji w ogóle</w:t>
      </w:r>
      <w:r w:rsidR="00DD10C8" w:rsidRPr="00AC71A2">
        <w:rPr>
          <w:sz w:val="24"/>
          <w:szCs w:val="24"/>
          <w:shd w:val="clear" w:color="auto" w:fill="FFFFFF"/>
        </w:rPr>
        <w:t>).</w:t>
      </w:r>
    </w:p>
    <w:p w14:paraId="3C979BAB" w14:textId="0CC9D549" w:rsidR="004B5D2A" w:rsidRPr="00AC71A2" w:rsidRDefault="00564FF0" w:rsidP="00052A8C">
      <w:pPr>
        <w:pStyle w:val="Tekstpodstawowy"/>
        <w:spacing w:before="120" w:line="360" w:lineRule="auto"/>
        <w:rPr>
          <w:sz w:val="24"/>
          <w:szCs w:val="24"/>
        </w:rPr>
      </w:pPr>
      <w:r w:rsidRPr="00AC71A2">
        <w:rPr>
          <w:sz w:val="24"/>
          <w:szCs w:val="24"/>
        </w:rPr>
        <w:t xml:space="preserve">Z tych względów, mimo że </w:t>
      </w:r>
      <w:r w:rsidR="00D66438" w:rsidRPr="00AC71A2">
        <w:rPr>
          <w:sz w:val="24"/>
          <w:szCs w:val="24"/>
        </w:rPr>
        <w:t xml:space="preserve">termin składania przez agentów rozliczeniowych </w:t>
      </w:r>
      <w:r w:rsidRPr="00AC71A2">
        <w:rPr>
          <w:sz w:val="24"/>
          <w:szCs w:val="24"/>
        </w:rPr>
        <w:t>informacj</w:t>
      </w:r>
      <w:r w:rsidR="00D66438" w:rsidRPr="00AC71A2">
        <w:rPr>
          <w:sz w:val="24"/>
          <w:szCs w:val="24"/>
        </w:rPr>
        <w:t>i</w:t>
      </w:r>
      <w:r w:rsidRPr="00AC71A2">
        <w:rPr>
          <w:sz w:val="24"/>
          <w:szCs w:val="24"/>
        </w:rPr>
        <w:t xml:space="preserve"> </w:t>
      </w:r>
      <w:r w:rsidR="00D66438" w:rsidRPr="00AC71A2">
        <w:rPr>
          <w:sz w:val="24"/>
          <w:szCs w:val="24"/>
        </w:rPr>
        <w:t>o</w:t>
      </w:r>
      <w:r w:rsidR="00CD4D63" w:rsidRPr="00AC71A2">
        <w:rPr>
          <w:sz w:val="24"/>
          <w:szCs w:val="24"/>
        </w:rPr>
        <w:t> </w:t>
      </w:r>
      <w:r w:rsidR="00D66438" w:rsidRPr="00AC71A2">
        <w:rPr>
          <w:sz w:val="24"/>
          <w:szCs w:val="24"/>
        </w:rPr>
        <w:t xml:space="preserve">transakcjach płatniczych akceptanta </w:t>
      </w:r>
      <w:r w:rsidRPr="00AC71A2">
        <w:rPr>
          <w:sz w:val="24"/>
          <w:szCs w:val="24"/>
        </w:rPr>
        <w:t>na podstawie art. 278b</w:t>
      </w:r>
      <w:r w:rsidR="00D66438" w:rsidRPr="00AC71A2">
        <w:rPr>
          <w:sz w:val="24"/>
          <w:szCs w:val="24"/>
          <w:shd w:val="clear" w:color="auto" w:fill="FFFFFF"/>
        </w:rPr>
        <w:t xml:space="preserve"> ustawy o Krajowej Administracji Skarbowej</w:t>
      </w:r>
      <w:r w:rsidRPr="00AC71A2">
        <w:rPr>
          <w:sz w:val="24"/>
          <w:szCs w:val="24"/>
        </w:rPr>
        <w:t xml:space="preserve"> </w:t>
      </w:r>
      <w:r w:rsidR="00B5746D" w:rsidRPr="00AC71A2">
        <w:rPr>
          <w:sz w:val="24"/>
          <w:szCs w:val="24"/>
        </w:rPr>
        <w:t xml:space="preserve">będzie </w:t>
      </w:r>
      <w:r w:rsidRPr="00AC71A2">
        <w:rPr>
          <w:sz w:val="24"/>
          <w:szCs w:val="24"/>
        </w:rPr>
        <w:t>upływa</w:t>
      </w:r>
      <w:r w:rsidR="00AB7297" w:rsidRPr="00AC71A2">
        <w:rPr>
          <w:sz w:val="24"/>
          <w:szCs w:val="24"/>
        </w:rPr>
        <w:t xml:space="preserve">ć </w:t>
      </w:r>
      <w:r w:rsidRPr="00AC71A2">
        <w:rPr>
          <w:sz w:val="24"/>
          <w:szCs w:val="24"/>
        </w:rPr>
        <w:t xml:space="preserve">w dniu 31 </w:t>
      </w:r>
      <w:r w:rsidR="00C57E19" w:rsidRPr="00AC71A2">
        <w:rPr>
          <w:sz w:val="24"/>
          <w:szCs w:val="24"/>
        </w:rPr>
        <w:t xml:space="preserve">marca </w:t>
      </w:r>
      <w:r w:rsidRPr="00AC71A2">
        <w:rPr>
          <w:sz w:val="24"/>
          <w:szCs w:val="24"/>
        </w:rPr>
        <w:t>202</w:t>
      </w:r>
      <w:r w:rsidR="00C57E19" w:rsidRPr="00AC71A2">
        <w:rPr>
          <w:sz w:val="24"/>
          <w:szCs w:val="24"/>
        </w:rPr>
        <w:t>5</w:t>
      </w:r>
      <w:r w:rsidRPr="00AC71A2">
        <w:rPr>
          <w:sz w:val="24"/>
          <w:szCs w:val="24"/>
        </w:rPr>
        <w:t xml:space="preserve"> r., to jednak </w:t>
      </w:r>
      <w:r w:rsidR="00B5746D" w:rsidRPr="00AC71A2">
        <w:rPr>
          <w:sz w:val="24"/>
          <w:szCs w:val="24"/>
        </w:rPr>
        <w:t xml:space="preserve">jest </w:t>
      </w:r>
      <w:r w:rsidR="004B5D2A" w:rsidRPr="00AC71A2">
        <w:rPr>
          <w:sz w:val="24"/>
          <w:szCs w:val="24"/>
        </w:rPr>
        <w:t>uzasadniona zmiana brzmienia art.</w:t>
      </w:r>
      <w:r w:rsidR="00B5746D">
        <w:rPr>
          <w:sz w:val="24"/>
          <w:szCs w:val="24"/>
        </w:rPr>
        <w:t xml:space="preserve"> </w:t>
      </w:r>
      <w:r w:rsidR="004B5D2A" w:rsidRPr="00AC71A2">
        <w:rPr>
          <w:sz w:val="24"/>
          <w:szCs w:val="24"/>
        </w:rPr>
        <w:t xml:space="preserve">192a </w:t>
      </w:r>
      <w:r w:rsidR="00B5746D">
        <w:rPr>
          <w:sz w:val="24"/>
          <w:szCs w:val="24"/>
        </w:rPr>
        <w:t xml:space="preserve">ustawy – </w:t>
      </w:r>
      <w:r w:rsidR="004B5D2A" w:rsidRPr="00AC71A2">
        <w:rPr>
          <w:sz w:val="24"/>
          <w:szCs w:val="24"/>
        </w:rPr>
        <w:t>Praw</w:t>
      </w:r>
      <w:r w:rsidR="00B5746D">
        <w:rPr>
          <w:sz w:val="24"/>
          <w:szCs w:val="24"/>
        </w:rPr>
        <w:t>o</w:t>
      </w:r>
      <w:r w:rsidR="004B5D2A" w:rsidRPr="00AC71A2">
        <w:rPr>
          <w:sz w:val="24"/>
          <w:szCs w:val="24"/>
        </w:rPr>
        <w:t xml:space="preserve"> bankowe. Celem zmiany jest wyłączenie obowiązku zachowania tajemnicy bankowej przez bank w zakresie niezbędnym do wykonywania obowiązku, o którym mowa w</w:t>
      </w:r>
      <w:r w:rsidR="00B5746D">
        <w:rPr>
          <w:sz w:val="24"/>
          <w:szCs w:val="24"/>
        </w:rPr>
        <w:t xml:space="preserve"> </w:t>
      </w:r>
      <w:r w:rsidR="00C5425B" w:rsidRPr="00AC71A2">
        <w:rPr>
          <w:sz w:val="24"/>
          <w:szCs w:val="24"/>
        </w:rPr>
        <w:t>art. 278b</w:t>
      </w:r>
      <w:r w:rsidR="004B5D2A" w:rsidRPr="00AC71A2">
        <w:rPr>
          <w:sz w:val="24"/>
          <w:szCs w:val="24"/>
        </w:rPr>
        <w:t xml:space="preserve"> </w:t>
      </w:r>
      <w:r w:rsidR="00870E6C" w:rsidRPr="00AC71A2">
        <w:rPr>
          <w:sz w:val="24"/>
          <w:szCs w:val="24"/>
        </w:rPr>
        <w:t>(a więc nie tylko jak obecnie w przepisie „w zakresie, o którym mowa w art.</w:t>
      </w:r>
      <w:r w:rsidR="00B5746D">
        <w:rPr>
          <w:sz w:val="24"/>
          <w:szCs w:val="24"/>
        </w:rPr>
        <w:t xml:space="preserve"> </w:t>
      </w:r>
      <w:r w:rsidR="00870E6C" w:rsidRPr="00AC71A2">
        <w:rPr>
          <w:sz w:val="24"/>
          <w:szCs w:val="24"/>
        </w:rPr>
        <w:t>278b”)</w:t>
      </w:r>
      <w:r w:rsidR="00D77859">
        <w:rPr>
          <w:sz w:val="24"/>
          <w:szCs w:val="24"/>
        </w:rPr>
        <w:t>,</w:t>
      </w:r>
      <w:r w:rsidR="00870E6C" w:rsidRPr="00AC71A2">
        <w:rPr>
          <w:sz w:val="24"/>
          <w:szCs w:val="24"/>
        </w:rPr>
        <w:t xml:space="preserve"> również </w:t>
      </w:r>
      <w:r w:rsidR="004B5D2A" w:rsidRPr="00AC71A2">
        <w:rPr>
          <w:sz w:val="24"/>
          <w:szCs w:val="24"/>
        </w:rPr>
        <w:t xml:space="preserve">po dniu 15 </w:t>
      </w:r>
      <w:r w:rsidR="00C57E19" w:rsidRPr="00AC71A2">
        <w:rPr>
          <w:sz w:val="24"/>
          <w:szCs w:val="24"/>
        </w:rPr>
        <w:t>kwietnia</w:t>
      </w:r>
      <w:r w:rsidR="00870E6C" w:rsidRPr="00AC71A2">
        <w:rPr>
          <w:sz w:val="24"/>
          <w:szCs w:val="24"/>
        </w:rPr>
        <w:t>.</w:t>
      </w:r>
    </w:p>
    <w:p w14:paraId="7A8C0F53" w14:textId="7635C1D5" w:rsidR="00B67DE7" w:rsidRPr="00AC71A2" w:rsidRDefault="00B67DE7" w:rsidP="00052A8C">
      <w:pPr>
        <w:pStyle w:val="Tekstpodstawowy"/>
        <w:spacing w:before="120" w:line="360" w:lineRule="auto"/>
        <w:rPr>
          <w:sz w:val="24"/>
          <w:szCs w:val="24"/>
        </w:rPr>
      </w:pPr>
      <w:r w:rsidRPr="00AC71A2">
        <w:rPr>
          <w:sz w:val="24"/>
          <w:szCs w:val="24"/>
        </w:rPr>
        <w:t>Dodatkowo projekt przewiduje likwidację kary pieniężnej w wysokości 5 tys. zł. za brak zapewnienia współpracy kasy rejestrującej z terminalem płatniczym (uchylenie art.</w:t>
      </w:r>
      <w:r w:rsidR="00AC71A2">
        <w:rPr>
          <w:sz w:val="24"/>
          <w:szCs w:val="24"/>
        </w:rPr>
        <w:t> </w:t>
      </w:r>
      <w:r w:rsidRPr="00AC71A2">
        <w:rPr>
          <w:sz w:val="24"/>
          <w:szCs w:val="24"/>
        </w:rPr>
        <w:t>111 ust.</w:t>
      </w:r>
      <w:r w:rsidR="00121C5F" w:rsidRPr="00AC71A2">
        <w:rPr>
          <w:sz w:val="24"/>
          <w:szCs w:val="24"/>
        </w:rPr>
        <w:t> </w:t>
      </w:r>
      <w:r w:rsidRPr="00AC71A2">
        <w:rPr>
          <w:sz w:val="24"/>
          <w:szCs w:val="24"/>
        </w:rPr>
        <w:t xml:space="preserve">6kb ustawy o VAT) oraz </w:t>
      </w:r>
      <w:r w:rsidR="007346A7" w:rsidRPr="00AC71A2">
        <w:rPr>
          <w:sz w:val="24"/>
          <w:szCs w:val="24"/>
        </w:rPr>
        <w:t xml:space="preserve">znowelizowanie </w:t>
      </w:r>
      <w:r w:rsidRPr="00AC71A2">
        <w:rPr>
          <w:sz w:val="24"/>
          <w:szCs w:val="24"/>
        </w:rPr>
        <w:t>w Kodeks</w:t>
      </w:r>
      <w:r w:rsidR="0095628C">
        <w:rPr>
          <w:sz w:val="24"/>
          <w:szCs w:val="24"/>
        </w:rPr>
        <w:t>ie</w:t>
      </w:r>
      <w:r w:rsidRPr="00AC71A2">
        <w:rPr>
          <w:sz w:val="24"/>
          <w:szCs w:val="24"/>
        </w:rPr>
        <w:t xml:space="preserve"> karny</w:t>
      </w:r>
      <w:r w:rsidR="0095628C">
        <w:rPr>
          <w:sz w:val="24"/>
          <w:szCs w:val="24"/>
        </w:rPr>
        <w:t>m</w:t>
      </w:r>
      <w:r w:rsidRPr="00AC71A2">
        <w:rPr>
          <w:sz w:val="24"/>
          <w:szCs w:val="24"/>
        </w:rPr>
        <w:t xml:space="preserve"> skarbowy</w:t>
      </w:r>
      <w:r w:rsidR="0095628C">
        <w:rPr>
          <w:sz w:val="24"/>
          <w:szCs w:val="24"/>
        </w:rPr>
        <w:t>m</w:t>
      </w:r>
      <w:r w:rsidRPr="00AC71A2">
        <w:rPr>
          <w:sz w:val="24"/>
          <w:szCs w:val="24"/>
        </w:rPr>
        <w:t xml:space="preserve"> art. 83</w:t>
      </w:r>
      <w:r w:rsidR="007346A7" w:rsidRPr="00AC71A2">
        <w:rPr>
          <w:sz w:val="24"/>
          <w:szCs w:val="24"/>
        </w:rPr>
        <w:t xml:space="preserve">, tak aby jego zakres obejmował kontrolę, o której mowa w art. </w:t>
      </w:r>
      <w:r w:rsidR="004E13D4" w:rsidRPr="00AC71A2">
        <w:rPr>
          <w:sz w:val="24"/>
          <w:szCs w:val="24"/>
        </w:rPr>
        <w:t>49</w:t>
      </w:r>
      <w:r w:rsidR="000150E9" w:rsidRPr="00AC71A2">
        <w:rPr>
          <w:sz w:val="24"/>
          <w:szCs w:val="24"/>
        </w:rPr>
        <w:t>aaa ust. 7</w:t>
      </w:r>
      <w:r w:rsidR="007346A7" w:rsidRPr="00AC71A2">
        <w:rPr>
          <w:sz w:val="24"/>
          <w:szCs w:val="24"/>
        </w:rPr>
        <w:t xml:space="preserve"> ustawy o Krajowej Administracji Skarbowej</w:t>
      </w:r>
      <w:r w:rsidRPr="00AC71A2">
        <w:rPr>
          <w:sz w:val="24"/>
          <w:szCs w:val="24"/>
        </w:rPr>
        <w:t>.</w:t>
      </w:r>
    </w:p>
    <w:p w14:paraId="2FF354DC" w14:textId="0A53B565" w:rsidR="00B45570" w:rsidRPr="00AC71A2" w:rsidRDefault="004E13D4"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Do nakładania kary pieniężnej, o której mowa w art. 49c ust. 1, nie będą miały zastosowania przepisy art. 21a ustawy z dnia 6 marca 2018 r. – Prawo przedsiębiorców</w:t>
      </w:r>
      <w:r w:rsidR="00B45570" w:rsidRPr="00AC71A2">
        <w:rPr>
          <w:rFonts w:ascii="Times New Roman" w:hAnsi="Times New Roman" w:cs="Times New Roman"/>
          <w:sz w:val="24"/>
          <w:szCs w:val="24"/>
        </w:rPr>
        <w:t xml:space="preserve"> dotyczące tzw. „prawa przedsiębiorcy do popełniania błędu”</w:t>
      </w:r>
      <w:r w:rsidRPr="00AC71A2">
        <w:rPr>
          <w:rFonts w:ascii="Times New Roman" w:hAnsi="Times New Roman" w:cs="Times New Roman"/>
          <w:sz w:val="24"/>
          <w:szCs w:val="24"/>
        </w:rPr>
        <w:t>. Wyklucza się stosowanie tego przepisu do regulacji w</w:t>
      </w:r>
      <w:r w:rsidR="00CD4D63" w:rsidRPr="00AC71A2">
        <w:rPr>
          <w:rFonts w:ascii="Times New Roman" w:hAnsi="Times New Roman" w:cs="Times New Roman"/>
          <w:sz w:val="24"/>
          <w:szCs w:val="24"/>
        </w:rPr>
        <w:t> </w:t>
      </w:r>
      <w:r w:rsidRPr="00AC71A2">
        <w:rPr>
          <w:rFonts w:ascii="Times New Roman" w:hAnsi="Times New Roman" w:cs="Times New Roman"/>
          <w:sz w:val="24"/>
          <w:szCs w:val="24"/>
        </w:rPr>
        <w:t xml:space="preserve">zakresie niedopełnienia </w:t>
      </w:r>
      <w:r w:rsidR="00B45570" w:rsidRPr="00AC71A2">
        <w:rPr>
          <w:rFonts w:ascii="Times New Roman" w:hAnsi="Times New Roman" w:cs="Times New Roman"/>
          <w:sz w:val="24"/>
          <w:szCs w:val="24"/>
        </w:rPr>
        <w:t xml:space="preserve">przez agenta rozliczeniowego </w:t>
      </w:r>
      <w:r w:rsidRPr="00AC71A2">
        <w:rPr>
          <w:rFonts w:ascii="Times New Roman" w:hAnsi="Times New Roman" w:cs="Times New Roman"/>
          <w:sz w:val="24"/>
          <w:szCs w:val="24"/>
        </w:rPr>
        <w:t>obowiązku przekazania Szefowi Krajowej Administracji Skarbowej w określonym terminie informacji, o której mowa w art.</w:t>
      </w:r>
      <w:r w:rsidR="00AC71A2">
        <w:rPr>
          <w:rFonts w:ascii="Times New Roman" w:hAnsi="Times New Roman" w:cs="Times New Roman"/>
          <w:sz w:val="24"/>
          <w:szCs w:val="24"/>
        </w:rPr>
        <w:t> </w:t>
      </w:r>
      <w:r w:rsidRPr="00AC71A2">
        <w:rPr>
          <w:rFonts w:ascii="Times New Roman" w:hAnsi="Times New Roman" w:cs="Times New Roman"/>
          <w:sz w:val="24"/>
          <w:szCs w:val="24"/>
        </w:rPr>
        <w:t>49</w:t>
      </w:r>
      <w:r w:rsidR="000150E9" w:rsidRPr="00AC71A2">
        <w:rPr>
          <w:rFonts w:ascii="Times New Roman" w:hAnsi="Times New Roman" w:cs="Times New Roman"/>
          <w:sz w:val="24"/>
          <w:szCs w:val="24"/>
        </w:rPr>
        <w:t>aaa</w:t>
      </w:r>
      <w:r w:rsidRPr="00AC71A2">
        <w:rPr>
          <w:rFonts w:ascii="Times New Roman" w:hAnsi="Times New Roman" w:cs="Times New Roman"/>
          <w:sz w:val="24"/>
          <w:szCs w:val="24"/>
        </w:rPr>
        <w:t xml:space="preserve"> ust. </w:t>
      </w:r>
      <w:r w:rsidR="00A64DBC" w:rsidRPr="00AC71A2">
        <w:rPr>
          <w:rFonts w:ascii="Times New Roman" w:hAnsi="Times New Roman" w:cs="Times New Roman"/>
          <w:sz w:val="24"/>
          <w:szCs w:val="24"/>
        </w:rPr>
        <w:t>1</w:t>
      </w:r>
      <w:r w:rsidRPr="00AC71A2">
        <w:rPr>
          <w:rFonts w:ascii="Times New Roman" w:hAnsi="Times New Roman" w:cs="Times New Roman"/>
          <w:sz w:val="24"/>
          <w:szCs w:val="24"/>
        </w:rPr>
        <w:t>, przekazania tej informacji w niepełnym zakresie lub niezgodnej z posiadanymi informacjami lub danymi</w:t>
      </w:r>
      <w:r w:rsidR="00F2358D">
        <w:rPr>
          <w:rFonts w:ascii="Times New Roman" w:hAnsi="Times New Roman" w:cs="Times New Roman"/>
          <w:sz w:val="24"/>
          <w:szCs w:val="24"/>
        </w:rPr>
        <w:t>,</w:t>
      </w:r>
      <w:r w:rsidRPr="00AC71A2">
        <w:rPr>
          <w:rFonts w:ascii="Times New Roman" w:hAnsi="Times New Roman" w:cs="Times New Roman"/>
          <w:sz w:val="24"/>
          <w:szCs w:val="24"/>
        </w:rPr>
        <w:t xml:space="preserve"> lub niezgodnie z wymaganiami określonymi w art. 49aa ust.</w:t>
      </w:r>
      <w:r w:rsidR="00AC71A2">
        <w:rPr>
          <w:rFonts w:ascii="Times New Roman" w:hAnsi="Times New Roman" w:cs="Times New Roman"/>
          <w:sz w:val="24"/>
          <w:szCs w:val="24"/>
        </w:rPr>
        <w:t> </w:t>
      </w:r>
      <w:r w:rsidR="000150E9" w:rsidRPr="00AC71A2">
        <w:rPr>
          <w:rFonts w:ascii="Times New Roman" w:hAnsi="Times New Roman" w:cs="Times New Roman"/>
          <w:sz w:val="24"/>
          <w:szCs w:val="24"/>
        </w:rPr>
        <w:t>4</w:t>
      </w:r>
      <w:r w:rsidRPr="00AC71A2">
        <w:rPr>
          <w:rFonts w:ascii="Times New Roman" w:hAnsi="Times New Roman" w:cs="Times New Roman"/>
          <w:sz w:val="24"/>
          <w:szCs w:val="24"/>
        </w:rPr>
        <w:t xml:space="preserve">. </w:t>
      </w:r>
      <w:r w:rsidR="00B45570" w:rsidRPr="00AC71A2">
        <w:rPr>
          <w:rFonts w:ascii="Times New Roman" w:hAnsi="Times New Roman" w:cs="Times New Roman"/>
          <w:sz w:val="24"/>
          <w:szCs w:val="24"/>
        </w:rPr>
        <w:t>Ustawodawca, wprowadzając do ustawy z dnia 6 marca 2018 r. – Prawo przedsiębiorców</w:t>
      </w:r>
      <w:r w:rsidR="00B45570" w:rsidRPr="00AC71A2">
        <w:rPr>
          <w:rStyle w:val="Odwoanieprzypisudolnego"/>
          <w:rFonts w:ascii="Times New Roman" w:hAnsi="Times New Roman" w:cs="Times New Roman"/>
          <w:sz w:val="24"/>
          <w:szCs w:val="24"/>
        </w:rPr>
        <w:footnoteReference w:id="34"/>
      </w:r>
      <w:r w:rsidR="00F2358D">
        <w:rPr>
          <w:rFonts w:ascii="Times New Roman" w:hAnsi="Times New Roman" w:cs="Times New Roman"/>
          <w:sz w:val="24"/>
          <w:szCs w:val="24"/>
          <w:vertAlign w:val="superscript"/>
        </w:rPr>
        <w:t>)</w:t>
      </w:r>
      <w:r w:rsidR="00B45570" w:rsidRPr="00AC71A2">
        <w:rPr>
          <w:rFonts w:ascii="Times New Roman" w:hAnsi="Times New Roman" w:cs="Times New Roman"/>
          <w:sz w:val="24"/>
          <w:szCs w:val="24"/>
        </w:rPr>
        <w:t xml:space="preserve"> </w:t>
      </w:r>
      <w:r w:rsidR="00B45570" w:rsidRPr="00AC71A2">
        <w:rPr>
          <w:rFonts w:ascii="Times New Roman" w:hAnsi="Times New Roman" w:cs="Times New Roman"/>
          <w:sz w:val="24"/>
          <w:szCs w:val="24"/>
        </w:rPr>
        <w:lastRenderedPageBreak/>
        <w:t xml:space="preserve">instytucję „prawa do popełnienia błędu” (art. 21a tej ustawy), opierał się na założeniu, że większość naruszeń, które popełniają </w:t>
      </w:r>
      <w:r w:rsidR="00B45570" w:rsidRPr="00AC71A2">
        <w:rPr>
          <w:rFonts w:ascii="Times New Roman" w:hAnsi="Times New Roman" w:cs="Times New Roman"/>
          <w:sz w:val="24"/>
          <w:szCs w:val="24"/>
          <w:u w:val="single"/>
        </w:rPr>
        <w:t>początkujący polscy przedsiębiorcy</w:t>
      </w:r>
      <w:r w:rsidR="00B45570" w:rsidRPr="00AC71A2">
        <w:rPr>
          <w:rFonts w:ascii="Times New Roman" w:hAnsi="Times New Roman" w:cs="Times New Roman"/>
          <w:sz w:val="24"/>
          <w:szCs w:val="24"/>
        </w:rPr>
        <w:t xml:space="preserve">, wynika nie z ich złej woli, lecz ma raczej charakter nieintencjonalnych omyłek. Tym samym przyjęto, że </w:t>
      </w:r>
      <w:r w:rsidR="00B45570" w:rsidRPr="00AC71A2">
        <w:rPr>
          <w:rFonts w:ascii="Times New Roman" w:hAnsi="Times New Roman" w:cs="Times New Roman"/>
          <w:sz w:val="24"/>
          <w:szCs w:val="24"/>
          <w:u w:val="single"/>
        </w:rPr>
        <w:t>początkujący przedsiębiorcy</w:t>
      </w:r>
      <w:r w:rsidR="00B45570" w:rsidRPr="00AC71A2">
        <w:rPr>
          <w:rFonts w:ascii="Times New Roman" w:hAnsi="Times New Roman" w:cs="Times New Roman"/>
          <w:sz w:val="24"/>
          <w:szCs w:val="24"/>
        </w:rPr>
        <w:t>, w określonych przypadkach, nie powinni ponosić negatywnych konsekwencji popełnionych naruszeń w okresie 12 miesięcy od dnia podjęcia działalności gospodarczej po raz pierwszy. Oznacza to, że do katalogu początkujących przedsiębiorców nie można zaliczyć agentów rozliczeniowych będących profesjonalnymi dostawcami prowadzącymi działalność w zakresie świadczenia usługi płatniczej, o której mowa w art.</w:t>
      </w:r>
      <w:r w:rsidR="003926B4">
        <w:rPr>
          <w:rFonts w:ascii="Times New Roman" w:hAnsi="Times New Roman" w:cs="Times New Roman"/>
          <w:sz w:val="24"/>
          <w:szCs w:val="24"/>
        </w:rPr>
        <w:t> </w:t>
      </w:r>
      <w:r w:rsidR="00B45570" w:rsidRPr="00AC71A2">
        <w:rPr>
          <w:rFonts w:ascii="Times New Roman" w:hAnsi="Times New Roman" w:cs="Times New Roman"/>
          <w:sz w:val="24"/>
          <w:szCs w:val="24"/>
        </w:rPr>
        <w:t>3 ust.</w:t>
      </w:r>
      <w:r w:rsidR="003926B4">
        <w:rPr>
          <w:rFonts w:ascii="Times New Roman" w:hAnsi="Times New Roman" w:cs="Times New Roman"/>
          <w:sz w:val="24"/>
          <w:szCs w:val="24"/>
        </w:rPr>
        <w:t> </w:t>
      </w:r>
      <w:r w:rsidR="00B45570" w:rsidRPr="00AC71A2">
        <w:rPr>
          <w:rFonts w:ascii="Times New Roman" w:hAnsi="Times New Roman" w:cs="Times New Roman"/>
          <w:sz w:val="24"/>
          <w:szCs w:val="24"/>
        </w:rPr>
        <w:t>1 pkt 5, w tym agentów rozliczeniowych w rozumieniu art. 2 pkt 1 rozporządzenia Parlamentu Europejskiego i Rady (UE) 2015/751 z dnia 29 kwietnia 2015 r. w sprawie opłat interchange w</w:t>
      </w:r>
      <w:r w:rsidR="003926B4">
        <w:rPr>
          <w:rFonts w:ascii="Times New Roman" w:hAnsi="Times New Roman" w:cs="Times New Roman"/>
          <w:sz w:val="24"/>
          <w:szCs w:val="24"/>
        </w:rPr>
        <w:t xml:space="preserve"> </w:t>
      </w:r>
      <w:r w:rsidR="00B45570" w:rsidRPr="00AC71A2">
        <w:rPr>
          <w:rFonts w:ascii="Times New Roman" w:hAnsi="Times New Roman" w:cs="Times New Roman"/>
          <w:sz w:val="24"/>
          <w:szCs w:val="24"/>
        </w:rPr>
        <w:t>odniesieniu do transakcji płatniczych realizowanych w oparciu o kartę (Dz.</w:t>
      </w:r>
      <w:r w:rsidR="00F2358D">
        <w:rPr>
          <w:rFonts w:ascii="Times New Roman" w:hAnsi="Times New Roman" w:cs="Times New Roman"/>
          <w:sz w:val="24"/>
          <w:szCs w:val="24"/>
        </w:rPr>
        <w:t> </w:t>
      </w:r>
      <w:r w:rsidR="00B45570" w:rsidRPr="00AC71A2">
        <w:rPr>
          <w:rFonts w:ascii="Times New Roman" w:hAnsi="Times New Roman" w:cs="Times New Roman"/>
          <w:sz w:val="24"/>
          <w:szCs w:val="24"/>
        </w:rPr>
        <w:t>Urz. UE L 123 z</w:t>
      </w:r>
      <w:r w:rsidR="003926B4">
        <w:rPr>
          <w:rFonts w:ascii="Times New Roman" w:hAnsi="Times New Roman" w:cs="Times New Roman"/>
          <w:sz w:val="24"/>
          <w:szCs w:val="24"/>
        </w:rPr>
        <w:t xml:space="preserve"> </w:t>
      </w:r>
      <w:r w:rsidR="00B45570" w:rsidRPr="00AC71A2">
        <w:rPr>
          <w:rFonts w:ascii="Times New Roman" w:hAnsi="Times New Roman" w:cs="Times New Roman"/>
          <w:sz w:val="24"/>
          <w:szCs w:val="24"/>
        </w:rPr>
        <w:t>19.05.2015, str. 1), a w konsekwencji nie powinien mieć do nich zastosowanie art.</w:t>
      </w:r>
      <w:r w:rsidR="003926B4">
        <w:rPr>
          <w:rFonts w:ascii="Times New Roman" w:hAnsi="Times New Roman" w:cs="Times New Roman"/>
          <w:sz w:val="24"/>
          <w:szCs w:val="24"/>
        </w:rPr>
        <w:t> </w:t>
      </w:r>
      <w:r w:rsidR="00B45570" w:rsidRPr="00AC71A2">
        <w:rPr>
          <w:rFonts w:ascii="Times New Roman" w:hAnsi="Times New Roman" w:cs="Times New Roman"/>
          <w:sz w:val="24"/>
          <w:szCs w:val="24"/>
        </w:rPr>
        <w:t>21a ustawy z dnia 6 marca 2018 r. – Prawo przedsiębiorców, czyli tzw. „prawo do popełnienia błędu”.</w:t>
      </w:r>
    </w:p>
    <w:p w14:paraId="793D6321" w14:textId="41C887DC" w:rsidR="004E13D4" w:rsidRPr="00AC71A2" w:rsidRDefault="00B45570" w:rsidP="00052A8C">
      <w:pPr>
        <w:pStyle w:val="Tekstpodstawowy"/>
        <w:spacing w:before="120" w:line="360" w:lineRule="auto"/>
        <w:rPr>
          <w:sz w:val="24"/>
          <w:szCs w:val="24"/>
        </w:rPr>
      </w:pPr>
      <w:r w:rsidRPr="00AC71A2">
        <w:rPr>
          <w:sz w:val="24"/>
          <w:szCs w:val="24"/>
        </w:rPr>
        <w:t>Charak</w:t>
      </w:r>
      <w:r w:rsidR="00D56C82" w:rsidRPr="00AC71A2">
        <w:rPr>
          <w:sz w:val="24"/>
          <w:szCs w:val="24"/>
        </w:rPr>
        <w:t>te</w:t>
      </w:r>
      <w:r w:rsidRPr="00AC71A2">
        <w:rPr>
          <w:sz w:val="24"/>
          <w:szCs w:val="24"/>
        </w:rPr>
        <w:t>r k</w:t>
      </w:r>
      <w:r w:rsidR="004E13D4" w:rsidRPr="00AC71A2">
        <w:rPr>
          <w:sz w:val="24"/>
          <w:szCs w:val="24"/>
        </w:rPr>
        <w:t>ary powin</w:t>
      </w:r>
      <w:r w:rsidRPr="00AC71A2">
        <w:rPr>
          <w:sz w:val="24"/>
          <w:szCs w:val="24"/>
        </w:rPr>
        <w:t>ien być</w:t>
      </w:r>
      <w:r w:rsidR="004E13D4" w:rsidRPr="00AC71A2">
        <w:rPr>
          <w:sz w:val="24"/>
          <w:szCs w:val="24"/>
        </w:rPr>
        <w:t xml:space="preserve"> prewencyjny. </w:t>
      </w:r>
      <w:r w:rsidRPr="00AC71A2">
        <w:rPr>
          <w:sz w:val="24"/>
          <w:szCs w:val="24"/>
        </w:rPr>
        <w:t>W sytuacji gdy</w:t>
      </w:r>
      <w:r w:rsidR="004E13D4" w:rsidRPr="00AC71A2">
        <w:rPr>
          <w:sz w:val="24"/>
          <w:szCs w:val="24"/>
        </w:rPr>
        <w:t xml:space="preserve"> agent rozliczeniowy będzie uchylał się od realizacji nałożonego na niego obowiązku</w:t>
      </w:r>
      <w:r w:rsidRPr="00AC71A2">
        <w:rPr>
          <w:sz w:val="24"/>
          <w:szCs w:val="24"/>
        </w:rPr>
        <w:t>,</w:t>
      </w:r>
      <w:r w:rsidR="004E13D4" w:rsidRPr="00AC71A2">
        <w:rPr>
          <w:sz w:val="24"/>
          <w:szCs w:val="24"/>
        </w:rPr>
        <w:t xml:space="preserve"> Szef K</w:t>
      </w:r>
      <w:r w:rsidR="00F2358D">
        <w:rPr>
          <w:sz w:val="24"/>
          <w:szCs w:val="24"/>
        </w:rPr>
        <w:t xml:space="preserve">rajowej </w:t>
      </w:r>
      <w:r w:rsidR="004E13D4" w:rsidRPr="00AC71A2">
        <w:rPr>
          <w:sz w:val="24"/>
          <w:szCs w:val="24"/>
        </w:rPr>
        <w:t>A</w:t>
      </w:r>
      <w:r w:rsidR="00F2358D">
        <w:rPr>
          <w:sz w:val="24"/>
          <w:szCs w:val="24"/>
        </w:rPr>
        <w:t xml:space="preserve">dministracji </w:t>
      </w:r>
      <w:r w:rsidR="004E13D4" w:rsidRPr="00AC71A2">
        <w:rPr>
          <w:sz w:val="24"/>
          <w:szCs w:val="24"/>
        </w:rPr>
        <w:t>S</w:t>
      </w:r>
      <w:r w:rsidR="00F2358D">
        <w:rPr>
          <w:sz w:val="24"/>
          <w:szCs w:val="24"/>
        </w:rPr>
        <w:t>karbowej</w:t>
      </w:r>
      <w:r w:rsidR="003E3F10" w:rsidRPr="00AC71A2">
        <w:rPr>
          <w:sz w:val="24"/>
          <w:szCs w:val="24"/>
        </w:rPr>
        <w:t xml:space="preserve"> </w:t>
      </w:r>
      <w:r w:rsidR="004E13D4" w:rsidRPr="00AC71A2">
        <w:rPr>
          <w:sz w:val="24"/>
          <w:szCs w:val="24"/>
        </w:rPr>
        <w:t>powinien mieć możliwość szybkiego i skutecznego podjęcia działań w celu ukarania tego agenta.</w:t>
      </w:r>
    </w:p>
    <w:p w14:paraId="6A34D75D" w14:textId="0C3C5C8B" w:rsidR="00B67DE7" w:rsidRPr="00AC71A2" w:rsidRDefault="00B67DE7" w:rsidP="00052A8C">
      <w:pPr>
        <w:pStyle w:val="Tekstpodstawowy"/>
        <w:spacing w:before="120" w:line="360" w:lineRule="auto"/>
        <w:rPr>
          <w:sz w:val="24"/>
          <w:szCs w:val="24"/>
        </w:rPr>
      </w:pPr>
      <w:r w:rsidRPr="00AC71A2">
        <w:rPr>
          <w:sz w:val="24"/>
          <w:szCs w:val="24"/>
        </w:rPr>
        <w:t>Rozwiązanie to podlegało prekonsultacjom z rynkiem w okresie 3</w:t>
      </w:r>
      <w:r w:rsidR="00F2358D">
        <w:rPr>
          <w:sz w:val="24"/>
          <w:szCs w:val="24"/>
        </w:rPr>
        <w:t>–</w:t>
      </w:r>
      <w:r w:rsidRPr="00AC71A2">
        <w:rPr>
          <w:sz w:val="24"/>
          <w:szCs w:val="24"/>
        </w:rPr>
        <w:t>19 kwietnia 2024</w:t>
      </w:r>
      <w:r w:rsidR="003926B4">
        <w:rPr>
          <w:sz w:val="24"/>
          <w:szCs w:val="24"/>
        </w:rPr>
        <w:t> </w:t>
      </w:r>
      <w:r w:rsidRPr="00AC71A2">
        <w:rPr>
          <w:sz w:val="24"/>
          <w:szCs w:val="24"/>
        </w:rPr>
        <w:t xml:space="preserve">r. w ramach przeprowadzonych </w:t>
      </w:r>
      <w:r w:rsidRPr="00AC71A2">
        <w:rPr>
          <w:sz w:val="24"/>
          <w:szCs w:val="24"/>
          <w:shd w:val="clear" w:color="auto" w:fill="FFFFFF"/>
        </w:rPr>
        <w:t>konsultacji projektu rozwiązań prawnych obejmujących zmiany w zakresie obowiązkowego e-fakturowania w KSeF.</w:t>
      </w:r>
      <w:r w:rsidRPr="00AC71A2">
        <w:rPr>
          <w:sz w:val="24"/>
          <w:szCs w:val="24"/>
        </w:rPr>
        <w:t xml:space="preserve"> W ich toku nie zgłoszono uwag do propozycji utrzymania dotychczasowego stanu prawnego. Rozwiązanie to jest korzystne dla przedsiębiorców.</w:t>
      </w:r>
    </w:p>
    <w:p w14:paraId="08370080" w14:textId="1443EB2D" w:rsidR="00B67DE7" w:rsidRPr="00AC71A2" w:rsidRDefault="00B67DE7" w:rsidP="00052A8C">
      <w:pPr>
        <w:pStyle w:val="Tekstpodstawowy"/>
        <w:spacing w:before="120" w:line="360" w:lineRule="auto"/>
        <w:rPr>
          <w:sz w:val="24"/>
          <w:szCs w:val="24"/>
        </w:rPr>
      </w:pPr>
      <w:r w:rsidRPr="00AC71A2">
        <w:rPr>
          <w:sz w:val="24"/>
          <w:szCs w:val="24"/>
        </w:rPr>
        <w:t>Brak ww. formalnoprawnego obowiązku nie wyeliminuje procesu integracji kas rejestrujących z terminalami. Będzie on postępował w sposób ewolucyjny wraz z rozwojem oferowanych urządzeń i rozwiązań technologicznych. Jednocześnie przedsiębiorcy za posiadanie urządzeń technicznie niezintegrowanych nie będą ponosili odpowiedzialności finansowej (kary pieniężnej).</w:t>
      </w:r>
    </w:p>
    <w:p w14:paraId="1C254EE1" w14:textId="77777777" w:rsidR="00E04F52" w:rsidRPr="00AC71A2" w:rsidRDefault="00E04F52" w:rsidP="00052A8C">
      <w:pPr>
        <w:spacing w:before="120" w:after="0" w:line="360" w:lineRule="auto"/>
        <w:jc w:val="both"/>
        <w:rPr>
          <w:rFonts w:ascii="Times New Roman" w:hAnsi="Times New Roman" w:cs="Times New Roman"/>
          <w:sz w:val="24"/>
          <w:szCs w:val="24"/>
        </w:rPr>
      </w:pPr>
    </w:p>
    <w:p w14:paraId="7821CF13" w14:textId="02B6F21A" w:rsidR="00A47858" w:rsidRPr="00AC71A2" w:rsidRDefault="0022280D" w:rsidP="00052A8C">
      <w:pPr>
        <w:pStyle w:val="Tekstpodstawowy"/>
        <w:numPr>
          <w:ilvl w:val="0"/>
          <w:numId w:val="4"/>
        </w:numPr>
        <w:spacing w:before="120" w:line="360" w:lineRule="auto"/>
        <w:ind w:left="142" w:hanging="142"/>
        <w:rPr>
          <w:b/>
          <w:bCs/>
          <w:sz w:val="24"/>
          <w:szCs w:val="24"/>
          <w:u w:val="single"/>
        </w:rPr>
      </w:pPr>
      <w:r w:rsidRPr="00AC71A2">
        <w:rPr>
          <w:b/>
          <w:bCs/>
          <w:sz w:val="24"/>
          <w:szCs w:val="24"/>
          <w:u w:val="single"/>
        </w:rPr>
        <w:t>Termin wejścia w życie ustawy</w:t>
      </w:r>
      <w:r w:rsidR="0056320C" w:rsidRPr="00AC71A2">
        <w:rPr>
          <w:b/>
          <w:bCs/>
          <w:sz w:val="24"/>
          <w:szCs w:val="24"/>
          <w:u w:val="single"/>
        </w:rPr>
        <w:t xml:space="preserve"> (art. </w:t>
      </w:r>
      <w:r w:rsidR="00A64DBC" w:rsidRPr="00AC71A2">
        <w:rPr>
          <w:b/>
          <w:bCs/>
          <w:sz w:val="24"/>
          <w:szCs w:val="24"/>
          <w:u w:val="single"/>
        </w:rPr>
        <w:t>8</w:t>
      </w:r>
      <w:r w:rsidR="00153AAF" w:rsidRPr="00AC71A2">
        <w:rPr>
          <w:b/>
          <w:bCs/>
          <w:sz w:val="24"/>
          <w:szCs w:val="24"/>
          <w:u w:val="single"/>
        </w:rPr>
        <w:t xml:space="preserve"> </w:t>
      </w:r>
      <w:r w:rsidR="0056320C" w:rsidRPr="00AC71A2">
        <w:rPr>
          <w:b/>
          <w:bCs/>
          <w:sz w:val="24"/>
          <w:szCs w:val="24"/>
          <w:u w:val="single"/>
        </w:rPr>
        <w:t>projektu ustawy)</w:t>
      </w:r>
    </w:p>
    <w:p w14:paraId="7090CB80" w14:textId="287F991E" w:rsidR="00B75D65" w:rsidRPr="00AC71A2" w:rsidRDefault="0022280D"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W a</w:t>
      </w:r>
      <w:r w:rsidR="00996CC9" w:rsidRPr="00AC71A2">
        <w:rPr>
          <w:rFonts w:ascii="Times New Roman" w:hAnsi="Times New Roman" w:cs="Times New Roman"/>
          <w:sz w:val="24"/>
          <w:szCs w:val="24"/>
        </w:rPr>
        <w:t>rt.</w:t>
      </w:r>
      <w:r w:rsidR="001D324D" w:rsidRPr="00AC71A2">
        <w:rPr>
          <w:rFonts w:ascii="Times New Roman" w:hAnsi="Times New Roman" w:cs="Times New Roman"/>
          <w:sz w:val="24"/>
          <w:szCs w:val="24"/>
        </w:rPr>
        <w:t xml:space="preserve"> </w:t>
      </w:r>
      <w:r w:rsidR="00A64DBC" w:rsidRPr="00AC71A2">
        <w:rPr>
          <w:rFonts w:ascii="Times New Roman" w:hAnsi="Times New Roman" w:cs="Times New Roman"/>
          <w:sz w:val="24"/>
          <w:szCs w:val="24"/>
        </w:rPr>
        <w:t>8</w:t>
      </w:r>
      <w:r w:rsidR="00E524E1" w:rsidRPr="00AC71A2">
        <w:rPr>
          <w:rFonts w:ascii="Times New Roman" w:hAnsi="Times New Roman" w:cs="Times New Roman"/>
          <w:sz w:val="24"/>
          <w:szCs w:val="24"/>
        </w:rPr>
        <w:t xml:space="preserve"> </w:t>
      </w:r>
      <w:r w:rsidRPr="00AC71A2">
        <w:rPr>
          <w:rFonts w:ascii="Times New Roman" w:hAnsi="Times New Roman" w:cs="Times New Roman"/>
          <w:sz w:val="24"/>
          <w:szCs w:val="24"/>
        </w:rPr>
        <w:t xml:space="preserve">projektu określono </w:t>
      </w:r>
      <w:r w:rsidR="00996CC9" w:rsidRPr="00AC71A2">
        <w:rPr>
          <w:rFonts w:ascii="Times New Roman" w:hAnsi="Times New Roman" w:cs="Times New Roman"/>
          <w:sz w:val="24"/>
          <w:szCs w:val="24"/>
        </w:rPr>
        <w:t xml:space="preserve">termin wejścia w życie przepisów ustawy. Zgodnie z nim </w:t>
      </w:r>
      <w:r w:rsidRPr="00AC71A2">
        <w:rPr>
          <w:rFonts w:ascii="Times New Roman" w:hAnsi="Times New Roman" w:cs="Times New Roman"/>
          <w:sz w:val="24"/>
          <w:szCs w:val="24"/>
        </w:rPr>
        <w:t xml:space="preserve">ustawa wchodzi w życie z dniem 1 </w:t>
      </w:r>
      <w:r w:rsidR="00C57E19" w:rsidRPr="00AC71A2">
        <w:rPr>
          <w:rFonts w:ascii="Times New Roman" w:hAnsi="Times New Roman" w:cs="Times New Roman"/>
          <w:sz w:val="24"/>
          <w:szCs w:val="24"/>
        </w:rPr>
        <w:t xml:space="preserve">kwietnia </w:t>
      </w:r>
      <w:r w:rsidRPr="00AC71A2">
        <w:rPr>
          <w:rFonts w:ascii="Times New Roman" w:hAnsi="Times New Roman" w:cs="Times New Roman"/>
          <w:sz w:val="24"/>
          <w:szCs w:val="24"/>
        </w:rPr>
        <w:t>2025 r.</w:t>
      </w:r>
      <w:r w:rsidR="00C57E19" w:rsidRPr="00AC71A2">
        <w:rPr>
          <w:rFonts w:ascii="Times New Roman" w:hAnsi="Times New Roman" w:cs="Times New Roman"/>
          <w:sz w:val="24"/>
          <w:szCs w:val="24"/>
        </w:rPr>
        <w:t xml:space="preserve"> – z wyjątkiem art. 1 pkt 3 ustawy (dotyczącego </w:t>
      </w:r>
      <w:r w:rsidR="00C57E19" w:rsidRPr="00AC71A2">
        <w:rPr>
          <w:rFonts w:ascii="Times New Roman" w:hAnsi="Times New Roman" w:cs="Times New Roman"/>
          <w:sz w:val="24"/>
          <w:szCs w:val="24"/>
        </w:rPr>
        <w:lastRenderedPageBreak/>
        <w:t>przedłużenia obowiązywania mechanizmu odwrotnego obciążenia podatkiem gazu w systemie gazowym, energii elektrycznej w systemie elektroenergetycznym i usług w</w:t>
      </w:r>
      <w:r w:rsidR="003926B4">
        <w:rPr>
          <w:rFonts w:ascii="Times New Roman" w:hAnsi="Times New Roman" w:cs="Times New Roman"/>
          <w:sz w:val="24"/>
          <w:szCs w:val="24"/>
        </w:rPr>
        <w:t xml:space="preserve"> </w:t>
      </w:r>
      <w:r w:rsidR="00C57E19" w:rsidRPr="00AC71A2">
        <w:rPr>
          <w:rFonts w:ascii="Times New Roman" w:hAnsi="Times New Roman" w:cs="Times New Roman"/>
          <w:sz w:val="24"/>
          <w:szCs w:val="24"/>
        </w:rPr>
        <w:t>zakresie przenoszenia uprawnień do emisji gazów cieplarnianych), który wchodzi w życie z</w:t>
      </w:r>
      <w:r w:rsidR="003926B4">
        <w:rPr>
          <w:rFonts w:ascii="Times New Roman" w:hAnsi="Times New Roman" w:cs="Times New Roman"/>
          <w:sz w:val="24"/>
          <w:szCs w:val="24"/>
        </w:rPr>
        <w:t xml:space="preserve"> </w:t>
      </w:r>
      <w:r w:rsidR="00C57E19" w:rsidRPr="00AC71A2">
        <w:rPr>
          <w:rFonts w:ascii="Times New Roman" w:hAnsi="Times New Roman" w:cs="Times New Roman"/>
          <w:sz w:val="24"/>
          <w:szCs w:val="24"/>
        </w:rPr>
        <w:t>dniem 28 lutego 2025 r.</w:t>
      </w:r>
    </w:p>
    <w:p w14:paraId="67D64002" w14:textId="77777777" w:rsidR="006F6E10" w:rsidRPr="00AC71A2" w:rsidRDefault="006F6E10" w:rsidP="00052A8C">
      <w:pPr>
        <w:spacing w:before="120" w:after="0" w:line="360" w:lineRule="auto"/>
        <w:jc w:val="both"/>
        <w:rPr>
          <w:rFonts w:ascii="Times New Roman" w:eastAsia="Times New Roman" w:hAnsi="Times New Roman" w:cs="Times New Roman"/>
          <w:b/>
          <w:bCs/>
          <w:sz w:val="24"/>
          <w:szCs w:val="24"/>
          <w:u w:val="single"/>
          <w:lang w:eastAsia="pl-PL"/>
        </w:rPr>
      </w:pPr>
    </w:p>
    <w:p w14:paraId="7AB29E43" w14:textId="05A6B765" w:rsidR="006F6E10" w:rsidRPr="00AC71A2" w:rsidRDefault="006F6E10" w:rsidP="00052A8C">
      <w:pPr>
        <w:spacing w:before="120" w:after="0" w:line="360" w:lineRule="auto"/>
        <w:jc w:val="both"/>
        <w:rPr>
          <w:rFonts w:ascii="Times New Roman" w:eastAsia="Times New Roman" w:hAnsi="Times New Roman" w:cs="Times New Roman"/>
          <w:b/>
          <w:bCs/>
          <w:sz w:val="24"/>
          <w:szCs w:val="24"/>
          <w:u w:val="single"/>
          <w:lang w:eastAsia="pl-PL"/>
        </w:rPr>
      </w:pPr>
      <w:r w:rsidRPr="00AC71A2">
        <w:rPr>
          <w:rFonts w:ascii="Times New Roman" w:eastAsia="Times New Roman" w:hAnsi="Times New Roman" w:cs="Times New Roman"/>
          <w:b/>
          <w:bCs/>
          <w:sz w:val="24"/>
          <w:szCs w:val="24"/>
          <w:u w:val="single"/>
          <w:lang w:eastAsia="pl-PL"/>
        </w:rPr>
        <w:t>Ocena przewidywanego wpływu projektowanej regulacji na działalność mikroprzedsiębiorców oraz małych i średnich przedsiębiorców</w:t>
      </w:r>
    </w:p>
    <w:p w14:paraId="316E6993" w14:textId="7499224B" w:rsidR="006F6E10" w:rsidRPr="00AC71A2" w:rsidRDefault="006F6E10"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Przyjęte rozwiązania łącznie przyczynią się do poprawy warunków prowadzenia działalności gospodarczej i popraw</w:t>
      </w:r>
      <w:r w:rsidR="00ED1CD5" w:rsidRPr="00AC71A2">
        <w:rPr>
          <w:rFonts w:ascii="Times New Roman" w:hAnsi="Times New Roman" w:cs="Times New Roman"/>
          <w:sz w:val="24"/>
          <w:szCs w:val="24"/>
        </w:rPr>
        <w:t>y</w:t>
      </w:r>
      <w:r w:rsidRPr="00AC71A2">
        <w:rPr>
          <w:rFonts w:ascii="Times New Roman" w:hAnsi="Times New Roman" w:cs="Times New Roman"/>
          <w:sz w:val="24"/>
          <w:szCs w:val="24"/>
        </w:rPr>
        <w:t xml:space="preserve"> pozycji konkurencyjnej uczciwych przedsiębiorstw. Ujednolicenie sposobu opodatkowania wyrobów podobnych zapewni równe traktowanie przedsiębiorców dokonujących obrotu krajowego takimi wyrobami oraz wyeliminuje niejednoznaczne rozumienie i interpretowanie przepisów prawa oraz niepewność podatników, jak również zakłócenia konkurencji na rynku (przez wzmocnienie działań związanych z</w:t>
      </w:r>
      <w:r w:rsidR="00C933E2">
        <w:rPr>
          <w:rFonts w:ascii="Times New Roman" w:hAnsi="Times New Roman" w:cs="Times New Roman"/>
          <w:sz w:val="24"/>
          <w:szCs w:val="24"/>
        </w:rPr>
        <w:t xml:space="preserve"> </w:t>
      </w:r>
      <w:r w:rsidRPr="00AC71A2">
        <w:rPr>
          <w:rFonts w:ascii="Times New Roman" w:hAnsi="Times New Roman" w:cs="Times New Roman"/>
          <w:sz w:val="24"/>
          <w:szCs w:val="24"/>
        </w:rPr>
        <w:t>identyfikowaniem i zwalczaniem szarej strefy).</w:t>
      </w:r>
    </w:p>
    <w:p w14:paraId="73D50258" w14:textId="31C595F3" w:rsidR="006F6E10" w:rsidRPr="00AC71A2" w:rsidRDefault="006F6E10"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W zakresie</w:t>
      </w:r>
      <w:r w:rsidR="00C933E2">
        <w:rPr>
          <w:rFonts w:ascii="Times New Roman" w:hAnsi="Times New Roman" w:cs="Times New Roman"/>
          <w:sz w:val="24"/>
          <w:szCs w:val="24"/>
        </w:rPr>
        <w:t>,</w:t>
      </w:r>
      <w:r w:rsidRPr="00AC71A2">
        <w:rPr>
          <w:rFonts w:ascii="Times New Roman" w:hAnsi="Times New Roman" w:cs="Times New Roman"/>
          <w:sz w:val="24"/>
          <w:szCs w:val="24"/>
        </w:rPr>
        <w:t xml:space="preserve"> w jakim projekt utrzymuje na stałe dotychczasowe rozwiązania (projektowane początkowo jako tymczasowe), rozwiązanie t</w:t>
      </w:r>
      <w:r w:rsidR="00C933E2">
        <w:rPr>
          <w:rFonts w:ascii="Times New Roman" w:hAnsi="Times New Roman" w:cs="Times New Roman"/>
          <w:sz w:val="24"/>
          <w:szCs w:val="24"/>
        </w:rPr>
        <w:t>o</w:t>
      </w:r>
      <w:r w:rsidRPr="00AC71A2">
        <w:rPr>
          <w:rFonts w:ascii="Times New Roman" w:hAnsi="Times New Roman" w:cs="Times New Roman"/>
          <w:sz w:val="24"/>
          <w:szCs w:val="24"/>
        </w:rPr>
        <w:t xml:space="preserve"> jest korzystne dla przedsiębiorców, oznaczając dla nich oszczędności.</w:t>
      </w:r>
    </w:p>
    <w:p w14:paraId="4DC7D0EB" w14:textId="11742EAF" w:rsidR="006F6E10" w:rsidRPr="00AC71A2" w:rsidRDefault="006F6E10"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Generalnie zatem przewiduje się pozytywny wpływ projektu na konkurencyjność gospodarki i przedsiębiorczość, w tym na funkcjonowanie przedsiębiorców (w tym przede wszystkim na</w:t>
      </w:r>
      <w:r w:rsidR="00C933E2">
        <w:rPr>
          <w:rFonts w:ascii="Times New Roman" w:hAnsi="Times New Roman" w:cs="Times New Roman"/>
          <w:sz w:val="24"/>
          <w:szCs w:val="24"/>
        </w:rPr>
        <w:t xml:space="preserve"> </w:t>
      </w:r>
      <w:r w:rsidRPr="00AC71A2">
        <w:rPr>
          <w:rFonts w:ascii="Times New Roman" w:hAnsi="Times New Roman" w:cs="Times New Roman"/>
          <w:sz w:val="24"/>
          <w:szCs w:val="24"/>
        </w:rPr>
        <w:t>mikroprzedsiębiorców oraz małych i średnich przedsiębiorców) prowadzących działalność w sektorach związanych z obszarami objętymi zmianami w stawkach VAT.</w:t>
      </w:r>
    </w:p>
    <w:p w14:paraId="14BBB6B9" w14:textId="77777777" w:rsidR="00DD2FF0" w:rsidRPr="00AC71A2" w:rsidRDefault="00DD2FF0" w:rsidP="00052A8C">
      <w:pPr>
        <w:spacing w:before="120" w:after="0" w:line="360" w:lineRule="auto"/>
        <w:jc w:val="both"/>
        <w:rPr>
          <w:rFonts w:ascii="Times New Roman" w:hAnsi="Times New Roman" w:cs="Times New Roman"/>
          <w:sz w:val="24"/>
          <w:szCs w:val="24"/>
        </w:rPr>
      </w:pPr>
    </w:p>
    <w:p w14:paraId="068693F4" w14:textId="14537EC5" w:rsidR="00494EDE" w:rsidRPr="00AC71A2" w:rsidRDefault="00494EDE"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Stosownie do postanowień art. 5 ustawy z dnia 7 lipca 2005 r. o działalności lobbingowej w</w:t>
      </w:r>
      <w:r w:rsidR="00A47858" w:rsidRPr="00AC71A2">
        <w:rPr>
          <w:rFonts w:ascii="Times New Roman" w:hAnsi="Times New Roman" w:cs="Times New Roman"/>
          <w:sz w:val="24"/>
          <w:szCs w:val="24"/>
        </w:rPr>
        <w:t> </w:t>
      </w:r>
      <w:r w:rsidRPr="00AC71A2">
        <w:rPr>
          <w:rFonts w:ascii="Times New Roman" w:hAnsi="Times New Roman" w:cs="Times New Roman"/>
          <w:sz w:val="24"/>
          <w:szCs w:val="24"/>
        </w:rPr>
        <w:t>procesie stanowienia prawa (Dz. U. z 2017 r. poz. 248</w:t>
      </w:r>
      <w:r w:rsidR="00C933E2">
        <w:rPr>
          <w:rFonts w:ascii="Times New Roman" w:hAnsi="Times New Roman" w:cs="Times New Roman"/>
          <w:sz w:val="24"/>
          <w:szCs w:val="24"/>
        </w:rPr>
        <w:t>, z późn. zm.</w:t>
      </w:r>
      <w:r w:rsidRPr="00AC71A2">
        <w:rPr>
          <w:rFonts w:ascii="Times New Roman" w:hAnsi="Times New Roman" w:cs="Times New Roman"/>
          <w:sz w:val="24"/>
          <w:szCs w:val="24"/>
        </w:rPr>
        <w:t>) oraz § 52 uchwały nr</w:t>
      </w:r>
      <w:r w:rsidR="00C933E2">
        <w:rPr>
          <w:rFonts w:ascii="Times New Roman" w:hAnsi="Times New Roman" w:cs="Times New Roman"/>
          <w:sz w:val="24"/>
          <w:szCs w:val="24"/>
        </w:rPr>
        <w:t> </w:t>
      </w:r>
      <w:r w:rsidRPr="00AC71A2">
        <w:rPr>
          <w:rFonts w:ascii="Times New Roman" w:hAnsi="Times New Roman" w:cs="Times New Roman"/>
          <w:sz w:val="24"/>
          <w:szCs w:val="24"/>
        </w:rPr>
        <w:t>190 Rady Ministrów z dnia 29 października 2013 r. – Regulamin pracy Rady Ministrów (M.P. z 202</w:t>
      </w:r>
      <w:r w:rsidR="00C933E2">
        <w:rPr>
          <w:rFonts w:ascii="Times New Roman" w:hAnsi="Times New Roman" w:cs="Times New Roman"/>
          <w:sz w:val="24"/>
          <w:szCs w:val="24"/>
        </w:rPr>
        <w:t>4</w:t>
      </w:r>
      <w:r w:rsidR="00A47858" w:rsidRPr="00AC71A2">
        <w:rPr>
          <w:rFonts w:ascii="Times New Roman" w:hAnsi="Times New Roman" w:cs="Times New Roman"/>
          <w:sz w:val="24"/>
          <w:szCs w:val="24"/>
        </w:rPr>
        <w:t> </w:t>
      </w:r>
      <w:r w:rsidRPr="00AC71A2">
        <w:rPr>
          <w:rFonts w:ascii="Times New Roman" w:hAnsi="Times New Roman" w:cs="Times New Roman"/>
          <w:sz w:val="24"/>
          <w:szCs w:val="24"/>
        </w:rPr>
        <w:t xml:space="preserve">r. </w:t>
      </w:r>
      <w:r w:rsidR="00F12DE0" w:rsidRPr="00AC71A2">
        <w:rPr>
          <w:rFonts w:ascii="Times New Roman" w:hAnsi="Times New Roman" w:cs="Times New Roman"/>
          <w:sz w:val="24"/>
          <w:szCs w:val="24"/>
        </w:rPr>
        <w:t xml:space="preserve">poz. </w:t>
      </w:r>
      <w:r w:rsidR="00C933E2">
        <w:rPr>
          <w:rFonts w:ascii="Times New Roman" w:hAnsi="Times New Roman" w:cs="Times New Roman"/>
          <w:sz w:val="24"/>
          <w:szCs w:val="24"/>
        </w:rPr>
        <w:t>806</w:t>
      </w:r>
      <w:r w:rsidRPr="00AC71A2">
        <w:rPr>
          <w:rFonts w:ascii="Times New Roman" w:hAnsi="Times New Roman" w:cs="Times New Roman"/>
          <w:sz w:val="24"/>
          <w:szCs w:val="24"/>
        </w:rPr>
        <w:t>) z chwilą przekazania do uzgodnień członkom Rady Ministrów, projekt ustawy zosta</w:t>
      </w:r>
      <w:r w:rsidR="001A7490" w:rsidRPr="00AC71A2">
        <w:rPr>
          <w:rFonts w:ascii="Times New Roman" w:hAnsi="Times New Roman" w:cs="Times New Roman"/>
          <w:sz w:val="24"/>
          <w:szCs w:val="24"/>
        </w:rPr>
        <w:t>ł</w:t>
      </w:r>
      <w:r w:rsidRPr="00AC71A2">
        <w:rPr>
          <w:rFonts w:ascii="Times New Roman" w:hAnsi="Times New Roman" w:cs="Times New Roman"/>
          <w:sz w:val="24"/>
          <w:szCs w:val="24"/>
        </w:rPr>
        <w:t xml:space="preserve"> udostępniony w Biuletynie Informacji Publicznej Rządowego Centrum Legislacji na</w:t>
      </w:r>
      <w:r w:rsidR="00A47858" w:rsidRPr="00AC71A2">
        <w:rPr>
          <w:rFonts w:ascii="Times New Roman" w:hAnsi="Times New Roman" w:cs="Times New Roman"/>
          <w:sz w:val="24"/>
          <w:szCs w:val="24"/>
        </w:rPr>
        <w:t> </w:t>
      </w:r>
      <w:r w:rsidRPr="00AC71A2">
        <w:rPr>
          <w:rFonts w:ascii="Times New Roman" w:hAnsi="Times New Roman" w:cs="Times New Roman"/>
          <w:sz w:val="24"/>
          <w:szCs w:val="24"/>
        </w:rPr>
        <w:t>stronie internetowej Rządowego Centrum Legislacji, w serwisie Rządowy Proces Legislacyjny.</w:t>
      </w:r>
    </w:p>
    <w:p w14:paraId="2F6E668E" w14:textId="6232FE71" w:rsidR="00F12DE0" w:rsidRPr="00AC71A2" w:rsidRDefault="00494EDE" w:rsidP="00052A8C">
      <w:pPr>
        <w:pStyle w:val="Tekstpodstawowy"/>
        <w:spacing w:before="120" w:line="360" w:lineRule="auto"/>
        <w:rPr>
          <w:sz w:val="24"/>
          <w:szCs w:val="24"/>
        </w:rPr>
      </w:pPr>
      <w:r w:rsidRPr="00AC71A2">
        <w:rPr>
          <w:sz w:val="24"/>
          <w:szCs w:val="24"/>
        </w:rPr>
        <w:t xml:space="preserve">Projektowana ustawa </w:t>
      </w:r>
      <w:r w:rsidR="007B0676" w:rsidRPr="00AC71A2">
        <w:rPr>
          <w:sz w:val="24"/>
          <w:szCs w:val="24"/>
        </w:rPr>
        <w:t>dostosowuje</w:t>
      </w:r>
      <w:r w:rsidR="00F12DE0" w:rsidRPr="00AC71A2">
        <w:rPr>
          <w:sz w:val="24"/>
          <w:szCs w:val="24"/>
        </w:rPr>
        <w:t xml:space="preserve"> praw</w:t>
      </w:r>
      <w:r w:rsidR="007B0676" w:rsidRPr="00AC71A2">
        <w:rPr>
          <w:sz w:val="24"/>
          <w:szCs w:val="24"/>
        </w:rPr>
        <w:t>o</w:t>
      </w:r>
      <w:r w:rsidR="00F12DE0" w:rsidRPr="00AC71A2">
        <w:rPr>
          <w:sz w:val="24"/>
          <w:szCs w:val="24"/>
        </w:rPr>
        <w:t xml:space="preserve"> krajowe do tez wynikających z</w:t>
      </w:r>
      <w:r w:rsidR="003926B4">
        <w:rPr>
          <w:sz w:val="24"/>
          <w:szCs w:val="24"/>
        </w:rPr>
        <w:t xml:space="preserve"> </w:t>
      </w:r>
      <w:r w:rsidR="00F12DE0" w:rsidRPr="00AC71A2">
        <w:rPr>
          <w:sz w:val="24"/>
          <w:szCs w:val="24"/>
        </w:rPr>
        <w:t>wyroku TSUE w sprawie C-105/22 (podatek akcyzowy).</w:t>
      </w:r>
    </w:p>
    <w:p w14:paraId="2B93C0BD" w14:textId="7D993684" w:rsidR="009E61D0" w:rsidRPr="00AC71A2" w:rsidRDefault="009E61D0"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lastRenderedPageBreak/>
        <w:t>Projekt ustawy jest zgodny z prawem Unii Europejskiej.</w:t>
      </w:r>
    </w:p>
    <w:p w14:paraId="0D215076" w14:textId="5E55EDFF" w:rsidR="00494EDE" w:rsidRPr="00AC71A2" w:rsidRDefault="00494EDE"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Projekt ustawy nie wymaga przedstawienia właściwym instytucjom i organom Unii Europejskiej, w tym Europejskiemu Bankowi Centralnemu, w celu uzyskania opinii, dokonania konsultacji albo uzgodnienia.</w:t>
      </w:r>
    </w:p>
    <w:p w14:paraId="324D279C" w14:textId="59581BB4" w:rsidR="0099042D" w:rsidRPr="00AC71A2" w:rsidRDefault="0099042D"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Jednocześnie stosownie do art. 199a ust. 2 dyrektywy VAT Polska wraz z przedłużeniem mechanizmu odwrotnego obciążenia VAT będzie zobowiązana powiadomić o tym Komitet ds. VAT.</w:t>
      </w:r>
    </w:p>
    <w:p w14:paraId="1408A95B" w14:textId="0A6D38BB" w:rsidR="00F42F58" w:rsidRPr="00AC71A2" w:rsidRDefault="00494EDE" w:rsidP="00052A8C">
      <w:pPr>
        <w:spacing w:before="120" w:after="0" w:line="360" w:lineRule="auto"/>
        <w:jc w:val="both"/>
        <w:rPr>
          <w:rFonts w:ascii="Times New Roman" w:hAnsi="Times New Roman" w:cs="Times New Roman"/>
          <w:sz w:val="24"/>
          <w:szCs w:val="24"/>
        </w:rPr>
      </w:pPr>
      <w:r w:rsidRPr="00AC71A2">
        <w:rPr>
          <w:rFonts w:ascii="Times New Roman" w:hAnsi="Times New Roman" w:cs="Times New Roman"/>
          <w:sz w:val="24"/>
          <w:szCs w:val="24"/>
        </w:rPr>
        <w:t>Projektowana ustawa nie podlega notyfikacji zgodnie z trybem określonym w przepisach rozporządzenia Rady Ministrów z dnia 23 grudnia 2002 r. w sprawie sposobu funkcjonowania krajowego systemu notyfikacji norm i aktów prawnych (Dz. U. poz. 2039, z późn. zm.).</w:t>
      </w:r>
    </w:p>
    <w:sectPr w:rsidR="00F42F58" w:rsidRPr="00AC71A2" w:rsidSect="00337F8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A1B4" w14:textId="77777777" w:rsidR="00643FAF" w:rsidRDefault="00643FAF" w:rsidP="00090DD1">
      <w:pPr>
        <w:spacing w:after="0" w:line="240" w:lineRule="auto"/>
      </w:pPr>
      <w:r>
        <w:separator/>
      </w:r>
    </w:p>
  </w:endnote>
  <w:endnote w:type="continuationSeparator" w:id="0">
    <w:p w14:paraId="3177F03E" w14:textId="77777777" w:rsidR="00643FAF" w:rsidRDefault="00643FAF" w:rsidP="0009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Segoe UI"/>
    <w:panose1 w:val="020F0502020204030203"/>
    <w:charset w:val="EE"/>
    <w:family w:val="swiss"/>
    <w:pitch w:val="variable"/>
    <w:sig w:usb0="800000AF" w:usb1="4000604A" w:usb2="00000000" w:usb3="00000000" w:csb0="00000093"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49392"/>
      <w:docPartObj>
        <w:docPartGallery w:val="Page Numbers (Bottom of Page)"/>
        <w:docPartUnique/>
      </w:docPartObj>
    </w:sdtPr>
    <w:sdtEndPr>
      <w:rPr>
        <w:rFonts w:ascii="Times New Roman" w:hAnsi="Times New Roman" w:cs="Times New Roman"/>
        <w:sz w:val="24"/>
        <w:szCs w:val="24"/>
      </w:rPr>
    </w:sdtEndPr>
    <w:sdtContent>
      <w:p w14:paraId="33CA7CCB" w14:textId="12C30C1B" w:rsidR="00B67DE7" w:rsidRPr="00592B10" w:rsidRDefault="00B67DE7">
        <w:pPr>
          <w:pStyle w:val="Stopka"/>
          <w:jc w:val="center"/>
          <w:rPr>
            <w:rFonts w:ascii="Times New Roman" w:hAnsi="Times New Roman" w:cs="Times New Roman"/>
            <w:sz w:val="24"/>
            <w:szCs w:val="24"/>
          </w:rPr>
        </w:pPr>
        <w:r w:rsidRPr="00592B10">
          <w:rPr>
            <w:rFonts w:ascii="Times New Roman" w:hAnsi="Times New Roman" w:cs="Times New Roman"/>
            <w:sz w:val="24"/>
            <w:szCs w:val="24"/>
          </w:rPr>
          <w:fldChar w:fldCharType="begin"/>
        </w:r>
        <w:r w:rsidRPr="00592B10">
          <w:rPr>
            <w:rFonts w:ascii="Times New Roman" w:hAnsi="Times New Roman" w:cs="Times New Roman"/>
            <w:sz w:val="24"/>
            <w:szCs w:val="24"/>
          </w:rPr>
          <w:instrText>PAGE   \* MERGEFORMAT</w:instrText>
        </w:r>
        <w:r w:rsidRPr="00592B10">
          <w:rPr>
            <w:rFonts w:ascii="Times New Roman" w:hAnsi="Times New Roman" w:cs="Times New Roman"/>
            <w:sz w:val="24"/>
            <w:szCs w:val="24"/>
          </w:rPr>
          <w:fldChar w:fldCharType="separate"/>
        </w:r>
        <w:r w:rsidRPr="00592B10">
          <w:rPr>
            <w:rFonts w:ascii="Times New Roman" w:hAnsi="Times New Roman" w:cs="Times New Roman"/>
            <w:sz w:val="24"/>
            <w:szCs w:val="24"/>
          </w:rPr>
          <w:t>2</w:t>
        </w:r>
        <w:r w:rsidRPr="00592B10">
          <w:rPr>
            <w:rFonts w:ascii="Times New Roman" w:hAnsi="Times New Roman" w:cs="Times New Roman"/>
            <w:sz w:val="24"/>
            <w:szCs w:val="24"/>
          </w:rPr>
          <w:fldChar w:fldCharType="end"/>
        </w:r>
      </w:p>
    </w:sdtContent>
  </w:sdt>
  <w:p w14:paraId="5AB8A135" w14:textId="77777777" w:rsidR="00B67DE7" w:rsidRDefault="00B67D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58E77" w14:textId="77777777" w:rsidR="00643FAF" w:rsidRDefault="00643FAF" w:rsidP="00090DD1">
      <w:pPr>
        <w:spacing w:after="0" w:line="240" w:lineRule="auto"/>
      </w:pPr>
      <w:r>
        <w:separator/>
      </w:r>
    </w:p>
  </w:footnote>
  <w:footnote w:type="continuationSeparator" w:id="0">
    <w:p w14:paraId="21939748" w14:textId="77777777" w:rsidR="00643FAF" w:rsidRDefault="00643FAF" w:rsidP="00090DD1">
      <w:pPr>
        <w:spacing w:after="0" w:line="240" w:lineRule="auto"/>
      </w:pPr>
      <w:r>
        <w:continuationSeparator/>
      </w:r>
    </w:p>
  </w:footnote>
  <w:footnote w:id="1">
    <w:p w14:paraId="07C724D1" w14:textId="1B260EF0" w:rsidR="001E75B5" w:rsidRPr="00450610" w:rsidRDefault="001E75B5" w:rsidP="00052A8C">
      <w:pPr>
        <w:pStyle w:val="Tekstprzypisudolnego"/>
        <w:ind w:left="284" w:hanging="284"/>
        <w:jc w:val="both"/>
        <w:rPr>
          <w:rFonts w:ascii="Times New Roman" w:hAnsi="Times New Roman" w:cs="Times New Roman"/>
        </w:rPr>
      </w:pPr>
      <w:r w:rsidRPr="00450610">
        <w:rPr>
          <w:rFonts w:ascii="Times New Roman" w:hAnsi="Times New Roman" w:cs="Times New Roman"/>
          <w:vertAlign w:val="superscript"/>
        </w:rPr>
        <w:footnoteRef/>
      </w:r>
      <w:r w:rsidR="00F07DB1">
        <w:rPr>
          <w:rFonts w:ascii="Times New Roman" w:hAnsi="Times New Roman" w:cs="Times New Roman"/>
          <w:vertAlign w:val="superscript"/>
        </w:rPr>
        <w:t>)</w:t>
      </w:r>
      <w:r w:rsidR="00F07DB1">
        <w:rPr>
          <w:rFonts w:ascii="Times New Roman" w:hAnsi="Times New Roman" w:cs="Times New Roman"/>
        </w:rPr>
        <w:tab/>
      </w:r>
      <w:r w:rsidRPr="00450610">
        <w:rPr>
          <w:rFonts w:ascii="Times New Roman" w:hAnsi="Times New Roman" w:cs="Times New Roman"/>
        </w:rPr>
        <w:t>Dz. U. z 2024 r. poz. 361</w:t>
      </w:r>
      <w:r w:rsidR="00452BAC">
        <w:rPr>
          <w:rFonts w:ascii="Times New Roman" w:hAnsi="Times New Roman" w:cs="Times New Roman"/>
        </w:rPr>
        <w:t>, z późn. zm.</w:t>
      </w:r>
      <w:r w:rsidR="00C64570" w:rsidRPr="00450610">
        <w:rPr>
          <w:rFonts w:ascii="Times New Roman" w:hAnsi="Times New Roman" w:cs="Times New Roman"/>
        </w:rPr>
        <w:t xml:space="preserve"> – dalej: „ustawa o VAT”</w:t>
      </w:r>
      <w:r w:rsidRPr="00450610">
        <w:rPr>
          <w:rFonts w:ascii="Times New Roman" w:hAnsi="Times New Roman" w:cs="Times New Roman"/>
        </w:rPr>
        <w:t>.</w:t>
      </w:r>
    </w:p>
  </w:footnote>
  <w:footnote w:id="2">
    <w:p w14:paraId="32011D45" w14:textId="1E17DF16" w:rsidR="00D46CE6" w:rsidRPr="00450610" w:rsidRDefault="00D46CE6" w:rsidP="00052A8C">
      <w:pPr>
        <w:pStyle w:val="Tekstprzypisudolnego"/>
        <w:ind w:left="284" w:hanging="284"/>
        <w:jc w:val="both"/>
        <w:rPr>
          <w:rFonts w:ascii="Times New Roman" w:hAnsi="Times New Roman" w:cs="Times New Roman"/>
        </w:rPr>
      </w:pPr>
      <w:r w:rsidRPr="00450610">
        <w:rPr>
          <w:rStyle w:val="Odwoanieprzypisudolnego"/>
          <w:rFonts w:ascii="Times New Roman" w:hAnsi="Times New Roman" w:cs="Times New Roman"/>
        </w:rPr>
        <w:footnoteRef/>
      </w:r>
      <w:r w:rsidR="00F07DB1">
        <w:rPr>
          <w:rFonts w:ascii="Times New Roman" w:hAnsi="Times New Roman" w:cs="Times New Roman"/>
          <w:vertAlign w:val="superscript"/>
        </w:rPr>
        <w:t>)</w:t>
      </w:r>
      <w:r w:rsidR="00F07DB1">
        <w:rPr>
          <w:rFonts w:ascii="Times New Roman" w:hAnsi="Times New Roman" w:cs="Times New Roman"/>
        </w:rPr>
        <w:tab/>
      </w:r>
      <w:r w:rsidRPr="00450610">
        <w:rPr>
          <w:rFonts w:ascii="Times New Roman" w:hAnsi="Times New Roman" w:cs="Times New Roman"/>
        </w:rPr>
        <w:t>Dz. U. z 2023 r. poz. 1542, z późn. zm. – dalej: „ustawa o podatku akcyzowym”.</w:t>
      </w:r>
    </w:p>
  </w:footnote>
  <w:footnote w:id="3">
    <w:p w14:paraId="7BD3F33D" w14:textId="743A43F5" w:rsidR="004872B9" w:rsidRPr="00450610" w:rsidRDefault="004872B9" w:rsidP="00052A8C">
      <w:pPr>
        <w:pStyle w:val="Tekstprzypisudolnego"/>
        <w:ind w:left="284" w:hanging="284"/>
        <w:jc w:val="both"/>
        <w:rPr>
          <w:rFonts w:ascii="Times New Roman" w:hAnsi="Times New Roman" w:cs="Times New Roman"/>
        </w:rPr>
      </w:pPr>
      <w:r w:rsidRPr="00450610">
        <w:rPr>
          <w:rStyle w:val="Odwoanieprzypisudolnego"/>
          <w:rFonts w:ascii="Times New Roman" w:hAnsi="Times New Roman" w:cs="Times New Roman"/>
        </w:rPr>
        <w:footnoteRef/>
      </w:r>
      <w:r w:rsidR="00F07DB1">
        <w:rPr>
          <w:rFonts w:ascii="Times New Roman" w:hAnsi="Times New Roman" w:cs="Times New Roman"/>
          <w:vertAlign w:val="superscript"/>
        </w:rPr>
        <w:t>)</w:t>
      </w:r>
      <w:r w:rsidR="00F07DB1">
        <w:rPr>
          <w:rFonts w:ascii="Times New Roman" w:hAnsi="Times New Roman" w:cs="Times New Roman"/>
        </w:rPr>
        <w:tab/>
      </w:r>
      <w:r w:rsidRPr="00450610">
        <w:rPr>
          <w:rFonts w:ascii="Times New Roman" w:hAnsi="Times New Roman" w:cs="Times New Roman"/>
        </w:rPr>
        <w:t>Dz. U. z 202</w:t>
      </w:r>
      <w:r w:rsidR="0074500C">
        <w:rPr>
          <w:rFonts w:ascii="Times New Roman" w:hAnsi="Times New Roman" w:cs="Times New Roman"/>
        </w:rPr>
        <w:t>4</w:t>
      </w:r>
      <w:r w:rsidRPr="00450610">
        <w:rPr>
          <w:rFonts w:ascii="Times New Roman" w:hAnsi="Times New Roman" w:cs="Times New Roman"/>
        </w:rPr>
        <w:t xml:space="preserve"> r. poz. </w:t>
      </w:r>
      <w:r w:rsidR="0074500C">
        <w:rPr>
          <w:rFonts w:ascii="Times New Roman" w:hAnsi="Times New Roman" w:cs="Times New Roman"/>
        </w:rPr>
        <w:t>1646</w:t>
      </w:r>
      <w:r w:rsidR="00452BAC">
        <w:rPr>
          <w:rFonts w:ascii="Times New Roman" w:hAnsi="Times New Roman" w:cs="Times New Roman"/>
        </w:rPr>
        <w:t>, z późn. zm.</w:t>
      </w:r>
      <w:r w:rsidRPr="00450610">
        <w:rPr>
          <w:rFonts w:ascii="Times New Roman" w:hAnsi="Times New Roman" w:cs="Times New Roman"/>
        </w:rPr>
        <w:t xml:space="preserve"> – dalej: „ustawa </w:t>
      </w:r>
      <w:r w:rsidR="006F03C4">
        <w:rPr>
          <w:rFonts w:ascii="Times New Roman" w:hAnsi="Times New Roman" w:cs="Times New Roman"/>
        </w:rPr>
        <w:t xml:space="preserve">– </w:t>
      </w:r>
      <w:r w:rsidRPr="00450610">
        <w:rPr>
          <w:rFonts w:ascii="Times New Roman" w:hAnsi="Times New Roman" w:cs="Times New Roman"/>
        </w:rPr>
        <w:t>Prawo bankowe”.</w:t>
      </w:r>
    </w:p>
  </w:footnote>
  <w:footnote w:id="4">
    <w:p w14:paraId="51CCEDAA" w14:textId="1D928F74" w:rsidR="00127405" w:rsidRPr="00450610" w:rsidRDefault="00127405" w:rsidP="00052A8C">
      <w:pPr>
        <w:pStyle w:val="Tekstprzypisudolnego"/>
        <w:ind w:left="284" w:hanging="284"/>
        <w:jc w:val="both"/>
        <w:rPr>
          <w:rFonts w:ascii="Times New Roman" w:hAnsi="Times New Roman" w:cs="Times New Roman"/>
        </w:rPr>
      </w:pPr>
      <w:r w:rsidRPr="00450610">
        <w:rPr>
          <w:rStyle w:val="Odwoanieprzypisudolnego"/>
          <w:rFonts w:ascii="Times New Roman" w:hAnsi="Times New Roman" w:cs="Times New Roman"/>
        </w:rPr>
        <w:footnoteRef/>
      </w:r>
      <w:r w:rsidR="00F07DB1">
        <w:rPr>
          <w:rFonts w:ascii="Times New Roman" w:hAnsi="Times New Roman" w:cs="Times New Roman"/>
          <w:vertAlign w:val="superscript"/>
        </w:rPr>
        <w:t>)</w:t>
      </w:r>
      <w:r w:rsidR="00F07DB1">
        <w:rPr>
          <w:rFonts w:ascii="Times New Roman" w:hAnsi="Times New Roman" w:cs="Times New Roman"/>
        </w:rPr>
        <w:tab/>
      </w:r>
      <w:r w:rsidRPr="00450610">
        <w:rPr>
          <w:rFonts w:ascii="Times New Roman" w:hAnsi="Times New Roman" w:cs="Times New Roman"/>
        </w:rPr>
        <w:t xml:space="preserve">Dz. U. </w:t>
      </w:r>
      <w:r w:rsidR="00BD6A30">
        <w:rPr>
          <w:rFonts w:ascii="Times New Roman" w:hAnsi="Times New Roman" w:cs="Times New Roman"/>
        </w:rPr>
        <w:t xml:space="preserve">z </w:t>
      </w:r>
      <w:r w:rsidRPr="00450610">
        <w:rPr>
          <w:rFonts w:ascii="Times New Roman" w:hAnsi="Times New Roman" w:cs="Times New Roman"/>
        </w:rPr>
        <w:t>2024 r. poz. 628,</w:t>
      </w:r>
      <w:r w:rsidR="007970A9">
        <w:rPr>
          <w:rFonts w:ascii="Times New Roman" w:hAnsi="Times New Roman" w:cs="Times New Roman"/>
        </w:rPr>
        <w:t xml:space="preserve"> </w:t>
      </w:r>
      <w:r w:rsidR="00452BAC">
        <w:rPr>
          <w:rFonts w:ascii="Times New Roman" w:hAnsi="Times New Roman" w:cs="Times New Roman"/>
        </w:rPr>
        <w:t>z późn. zm.</w:t>
      </w:r>
      <w:r w:rsidR="008B157A" w:rsidRPr="00450610">
        <w:rPr>
          <w:rFonts w:ascii="Times New Roman" w:hAnsi="Times New Roman" w:cs="Times New Roman"/>
        </w:rPr>
        <w:t xml:space="preserve"> – dalej: „Kodeks karny skarbowy”.</w:t>
      </w:r>
    </w:p>
  </w:footnote>
  <w:footnote w:id="5">
    <w:p w14:paraId="399DD9FD" w14:textId="1A960639" w:rsidR="00C3584E" w:rsidRPr="00450610" w:rsidRDefault="00C3584E" w:rsidP="00052A8C">
      <w:pPr>
        <w:pStyle w:val="Tekstprzypisudolnego"/>
        <w:ind w:left="284" w:hanging="284"/>
        <w:jc w:val="both"/>
        <w:rPr>
          <w:rFonts w:ascii="Times New Roman" w:hAnsi="Times New Roman" w:cs="Times New Roman"/>
        </w:rPr>
      </w:pPr>
      <w:r w:rsidRPr="00450610">
        <w:rPr>
          <w:rStyle w:val="Odwoanieprzypisudolnego"/>
          <w:rFonts w:ascii="Times New Roman" w:hAnsi="Times New Roman" w:cs="Times New Roman"/>
        </w:rPr>
        <w:footnoteRef/>
      </w:r>
      <w:r w:rsidR="00F07DB1">
        <w:rPr>
          <w:rFonts w:ascii="Times New Roman" w:hAnsi="Times New Roman" w:cs="Times New Roman"/>
          <w:vertAlign w:val="superscript"/>
        </w:rPr>
        <w:t>)</w:t>
      </w:r>
      <w:r w:rsidR="00F07DB1">
        <w:rPr>
          <w:rFonts w:ascii="Times New Roman" w:hAnsi="Times New Roman" w:cs="Times New Roman"/>
        </w:rPr>
        <w:tab/>
      </w:r>
      <w:r w:rsidRPr="00450610">
        <w:rPr>
          <w:rFonts w:ascii="Times New Roman" w:hAnsi="Times New Roman" w:cs="Times New Roman"/>
        </w:rPr>
        <w:t>Dz. U. z 2023 r. poz. 615, z późn. zm.</w:t>
      </w:r>
      <w:r w:rsidR="008B157A" w:rsidRPr="00450610">
        <w:rPr>
          <w:rFonts w:ascii="Times New Roman" w:hAnsi="Times New Roman" w:cs="Times New Roman"/>
        </w:rPr>
        <w:t xml:space="preserve"> – dalej: „ustawa o Krajowej Administracji Skarbowej”.</w:t>
      </w:r>
    </w:p>
  </w:footnote>
  <w:footnote w:id="6">
    <w:p w14:paraId="67164649" w14:textId="08796B36" w:rsidR="00C3584E" w:rsidRPr="00450610" w:rsidRDefault="00C3584E" w:rsidP="00052A8C">
      <w:pPr>
        <w:pStyle w:val="Tekstprzypisudolnego"/>
        <w:ind w:left="284" w:hanging="284"/>
        <w:jc w:val="both"/>
        <w:rPr>
          <w:rFonts w:ascii="Times New Roman" w:hAnsi="Times New Roman" w:cs="Times New Roman"/>
        </w:rPr>
      </w:pPr>
      <w:r w:rsidRPr="00450610">
        <w:rPr>
          <w:rStyle w:val="Odwoanieprzypisudolnego"/>
          <w:rFonts w:ascii="Times New Roman" w:hAnsi="Times New Roman" w:cs="Times New Roman"/>
        </w:rPr>
        <w:footnoteRef/>
      </w:r>
      <w:r w:rsidR="00F07DB1">
        <w:rPr>
          <w:rFonts w:ascii="Times New Roman" w:hAnsi="Times New Roman" w:cs="Times New Roman"/>
          <w:vertAlign w:val="superscript"/>
        </w:rPr>
        <w:t>)</w:t>
      </w:r>
      <w:r w:rsidR="00F07DB1">
        <w:rPr>
          <w:rFonts w:ascii="Times New Roman" w:hAnsi="Times New Roman" w:cs="Times New Roman"/>
        </w:rPr>
        <w:tab/>
      </w:r>
      <w:r w:rsidRPr="00450610">
        <w:rPr>
          <w:rFonts w:ascii="Times New Roman" w:hAnsi="Times New Roman" w:cs="Times New Roman"/>
        </w:rPr>
        <w:t>Dz. U. poz. 2105, z późn. zm.</w:t>
      </w:r>
      <w:r w:rsidR="008B157A" w:rsidRPr="00450610">
        <w:rPr>
          <w:rFonts w:ascii="Times New Roman" w:hAnsi="Times New Roman" w:cs="Times New Roman"/>
        </w:rPr>
        <w:t xml:space="preserve"> – dalej: „ustawa z 29 października 2021 r.”.</w:t>
      </w:r>
    </w:p>
  </w:footnote>
  <w:footnote w:id="7">
    <w:p w14:paraId="54FE637B" w14:textId="3512BA6E" w:rsidR="00317E13" w:rsidRPr="0080467E" w:rsidRDefault="00317E13" w:rsidP="00052A8C">
      <w:pPr>
        <w:pStyle w:val="Tekstprzypisudolnego"/>
        <w:ind w:left="284" w:hanging="284"/>
        <w:rPr>
          <w:rFonts w:ascii="Times New Roman" w:hAnsi="Times New Roman" w:cs="Times New Roman"/>
        </w:rPr>
      </w:pPr>
      <w:r w:rsidRPr="0080467E">
        <w:rPr>
          <w:rStyle w:val="Odwoanieprzypisudolnego"/>
          <w:rFonts w:ascii="Times New Roman" w:hAnsi="Times New Roman" w:cs="Times New Roman"/>
        </w:rPr>
        <w:footnoteRef/>
      </w:r>
      <w:r w:rsidR="006F03C4">
        <w:rPr>
          <w:rFonts w:ascii="Times New Roman" w:hAnsi="Times New Roman" w:cs="Times New Roman"/>
          <w:vertAlign w:val="superscript"/>
        </w:rPr>
        <w:t>)</w:t>
      </w:r>
      <w:r w:rsidR="00413E3D">
        <w:rPr>
          <w:rFonts w:ascii="Times New Roman" w:hAnsi="Times New Roman" w:cs="Times New Roman"/>
        </w:rPr>
        <w:tab/>
      </w:r>
      <w:r w:rsidRPr="0080467E">
        <w:rPr>
          <w:rFonts w:ascii="Times New Roman" w:hAnsi="Times New Roman" w:cs="Times New Roman"/>
        </w:rPr>
        <w:t>Dz. U. z 2019 r. poz. 1751, z późn. zm.</w:t>
      </w:r>
    </w:p>
  </w:footnote>
  <w:footnote w:id="8">
    <w:p w14:paraId="6864A29B" w14:textId="2A86D033" w:rsidR="00BA1FAD" w:rsidRPr="004E6D60" w:rsidRDefault="00BA1FAD" w:rsidP="00052A8C">
      <w:pPr>
        <w:pStyle w:val="Tekstprzypisudolnego"/>
        <w:ind w:left="426" w:hanging="426"/>
        <w:rPr>
          <w:rFonts w:ascii="Times New Roman" w:hAnsi="Times New Roman" w:cs="Times New Roman"/>
        </w:rPr>
      </w:pPr>
      <w:r w:rsidRPr="004E6D60">
        <w:rPr>
          <w:rStyle w:val="Odwoanieprzypisudolnego"/>
          <w:rFonts w:ascii="Times New Roman" w:hAnsi="Times New Roman" w:cs="Times New Roman"/>
        </w:rPr>
        <w:footnoteRef/>
      </w:r>
      <w:r w:rsidR="00852B9F">
        <w:rPr>
          <w:rFonts w:ascii="Times New Roman" w:hAnsi="Times New Roman" w:cs="Times New Roman"/>
          <w:vertAlign w:val="superscript"/>
        </w:rPr>
        <w:t>)</w:t>
      </w:r>
      <w:r w:rsidR="00852B9F">
        <w:rPr>
          <w:rFonts w:ascii="Times New Roman" w:hAnsi="Times New Roman" w:cs="Times New Roman"/>
        </w:rPr>
        <w:tab/>
      </w:r>
      <w:r w:rsidRPr="004E6D60">
        <w:rPr>
          <w:rFonts w:ascii="Times New Roman" w:hAnsi="Times New Roman" w:cs="Times New Roman"/>
          <w:shd w:val="clear" w:color="auto" w:fill="FFFFFF"/>
        </w:rPr>
        <w:t>Dz.</w:t>
      </w:r>
      <w:r w:rsidR="00852B9F">
        <w:rPr>
          <w:rFonts w:ascii="Times New Roman" w:hAnsi="Times New Roman" w:cs="Times New Roman"/>
          <w:shd w:val="clear" w:color="auto" w:fill="FFFFFF"/>
        </w:rPr>
        <w:t xml:space="preserve"> </w:t>
      </w:r>
      <w:r w:rsidRPr="004E6D60">
        <w:rPr>
          <w:rFonts w:ascii="Times New Roman" w:hAnsi="Times New Roman" w:cs="Times New Roman"/>
          <w:shd w:val="clear" w:color="auto" w:fill="FFFFFF"/>
        </w:rPr>
        <w:t>U. z 2021 r. poz. 1565</w:t>
      </w:r>
      <w:r w:rsidR="00BD6A30">
        <w:rPr>
          <w:rFonts w:ascii="Times New Roman" w:hAnsi="Times New Roman" w:cs="Times New Roman"/>
          <w:shd w:val="clear" w:color="auto" w:fill="FFFFFF"/>
        </w:rPr>
        <w:t>.</w:t>
      </w:r>
    </w:p>
  </w:footnote>
  <w:footnote w:id="9">
    <w:p w14:paraId="77BEF616" w14:textId="15319A46" w:rsidR="00BA1FAD" w:rsidRPr="004E6D60" w:rsidRDefault="00BA1FAD" w:rsidP="00052A8C">
      <w:pPr>
        <w:pStyle w:val="Tekstprzypisudolnego1"/>
        <w:spacing w:before="40"/>
        <w:ind w:left="426" w:hanging="426"/>
        <w:rPr>
          <w:rFonts w:ascii="Times New Roman" w:eastAsia="Lato" w:hAnsi="Times New Roman" w:cs="Times New Roman"/>
          <w:shd w:val="clear" w:color="auto" w:fill="FFFFFF"/>
          <w:lang w:eastAsia="pl-PL"/>
        </w:rPr>
      </w:pPr>
      <w:r w:rsidRPr="004E6D60">
        <w:rPr>
          <w:rStyle w:val="Odwoanieprzypisudolnego"/>
          <w:rFonts w:ascii="Times New Roman" w:hAnsi="Times New Roman" w:cs="Times New Roman"/>
        </w:rPr>
        <w:footnoteRef/>
      </w:r>
      <w:r w:rsidR="00852B9F">
        <w:rPr>
          <w:rFonts w:ascii="Times New Roman" w:hAnsi="Times New Roman" w:cs="Times New Roman"/>
          <w:vertAlign w:val="superscript"/>
        </w:rPr>
        <w:t>)</w:t>
      </w:r>
      <w:r w:rsidR="00852B9F">
        <w:rPr>
          <w:rFonts w:ascii="Times New Roman" w:hAnsi="Times New Roman" w:cs="Times New Roman"/>
        </w:rPr>
        <w:tab/>
      </w:r>
      <w:r w:rsidRPr="004E6D60">
        <w:rPr>
          <w:rFonts w:ascii="Times New Roman" w:eastAsia="Lato" w:hAnsi="Times New Roman" w:cs="Times New Roman"/>
          <w:shd w:val="clear" w:color="auto" w:fill="FFFFFF"/>
          <w:lang w:eastAsia="pl-PL"/>
        </w:rPr>
        <w:t>Dz. U. poz.</w:t>
      </w:r>
      <w:r w:rsidR="00852B9F">
        <w:rPr>
          <w:rFonts w:ascii="Times New Roman" w:eastAsia="Lato" w:hAnsi="Times New Roman" w:cs="Times New Roman"/>
          <w:shd w:val="clear" w:color="auto" w:fill="FFFFFF"/>
          <w:lang w:eastAsia="pl-PL"/>
        </w:rPr>
        <w:t xml:space="preserve"> </w:t>
      </w:r>
      <w:r w:rsidRPr="004E6D60">
        <w:rPr>
          <w:rFonts w:ascii="Times New Roman" w:eastAsia="Lato" w:hAnsi="Times New Roman" w:cs="Times New Roman"/>
          <w:shd w:val="clear" w:color="auto" w:fill="FFFFFF"/>
          <w:lang w:eastAsia="pl-PL"/>
        </w:rPr>
        <w:t>974, z późn. zm.</w:t>
      </w:r>
    </w:p>
  </w:footnote>
  <w:footnote w:id="10">
    <w:p w14:paraId="60C88A15" w14:textId="464ECA9C" w:rsidR="008B3E98" w:rsidRPr="004E6D60" w:rsidRDefault="008B3E98" w:rsidP="00052A8C">
      <w:pPr>
        <w:pStyle w:val="Tekstprzypisudolnego"/>
        <w:ind w:left="426" w:hanging="426"/>
        <w:jc w:val="both"/>
        <w:rPr>
          <w:rFonts w:ascii="Times New Roman" w:hAnsi="Times New Roman" w:cs="Times New Roman"/>
        </w:rPr>
      </w:pPr>
      <w:r w:rsidRPr="004E6D60">
        <w:rPr>
          <w:rStyle w:val="Odwoanieprzypisudolnego"/>
          <w:rFonts w:ascii="Times New Roman" w:hAnsi="Times New Roman" w:cs="Times New Roman"/>
        </w:rPr>
        <w:footnoteRef/>
      </w:r>
      <w:r w:rsidR="00852B9F">
        <w:rPr>
          <w:rFonts w:ascii="Times New Roman" w:hAnsi="Times New Roman" w:cs="Times New Roman"/>
          <w:vertAlign w:val="superscript"/>
        </w:rPr>
        <w:t>)</w:t>
      </w:r>
      <w:r w:rsidR="00852B9F">
        <w:rPr>
          <w:rFonts w:ascii="Times New Roman" w:hAnsi="Times New Roman" w:cs="Times New Roman"/>
        </w:rPr>
        <w:tab/>
      </w:r>
      <w:r w:rsidRPr="004E6D60">
        <w:rPr>
          <w:rFonts w:ascii="Times New Roman" w:hAnsi="Times New Roman" w:cs="Times New Roman"/>
        </w:rPr>
        <w:t>Rozporządzenie Parlamentu Europejskiego i Rady (UE) 2017/745 z dnia 5 kwietnia 2017 r. w sprawie wyrobów medycznych, zmiany dyrektywy 2001/83/WE, rozporządzenia (WE) nr 178/2002 i rozporządzenia (WE) nr</w:t>
      </w:r>
      <w:r w:rsidR="00AC71A2">
        <w:rPr>
          <w:rFonts w:ascii="Times New Roman" w:hAnsi="Times New Roman" w:cs="Times New Roman"/>
        </w:rPr>
        <w:t> </w:t>
      </w:r>
      <w:r w:rsidRPr="004E6D60">
        <w:rPr>
          <w:rFonts w:ascii="Times New Roman" w:hAnsi="Times New Roman" w:cs="Times New Roman"/>
        </w:rPr>
        <w:t>1223/2009 oraz uchylenia dyrektyw Rady 90/385/EWG i 93/42/EWG (Dz. Urz. UE L 117 z 05.05.2017, str.</w:t>
      </w:r>
      <w:r w:rsidR="00AC71A2">
        <w:rPr>
          <w:rFonts w:ascii="Times New Roman" w:hAnsi="Times New Roman" w:cs="Times New Roman"/>
        </w:rPr>
        <w:t> </w:t>
      </w:r>
      <w:r w:rsidRPr="004E6D60">
        <w:rPr>
          <w:rFonts w:ascii="Times New Roman" w:hAnsi="Times New Roman" w:cs="Times New Roman"/>
        </w:rPr>
        <w:t>1, z</w:t>
      </w:r>
      <w:r w:rsidR="00852B9F">
        <w:rPr>
          <w:rFonts w:ascii="Times New Roman" w:hAnsi="Times New Roman" w:cs="Times New Roman"/>
        </w:rPr>
        <w:t xml:space="preserve"> </w:t>
      </w:r>
      <w:r w:rsidRPr="004E6D60">
        <w:rPr>
          <w:rFonts w:ascii="Times New Roman" w:hAnsi="Times New Roman" w:cs="Times New Roman"/>
        </w:rPr>
        <w:t>późn. zm.)</w:t>
      </w:r>
      <w:r w:rsidR="00BD6A30">
        <w:rPr>
          <w:rFonts w:ascii="Times New Roman" w:hAnsi="Times New Roman" w:cs="Times New Roman"/>
        </w:rPr>
        <w:t>.</w:t>
      </w:r>
    </w:p>
  </w:footnote>
  <w:footnote w:id="11">
    <w:p w14:paraId="08664164" w14:textId="6F6DC208" w:rsidR="008B3E98" w:rsidRPr="0080467E" w:rsidRDefault="008B3E98" w:rsidP="00052A8C">
      <w:pPr>
        <w:pStyle w:val="Tekstprzypisudolnego"/>
        <w:ind w:left="426" w:hanging="426"/>
        <w:jc w:val="both"/>
        <w:rPr>
          <w:rFonts w:ascii="Times New Roman" w:hAnsi="Times New Roman" w:cs="Times New Roman"/>
        </w:rPr>
      </w:pPr>
      <w:r w:rsidRPr="0080467E">
        <w:rPr>
          <w:rStyle w:val="Odwoanieprzypisudolnego"/>
          <w:rFonts w:ascii="Times New Roman" w:hAnsi="Times New Roman" w:cs="Times New Roman"/>
        </w:rPr>
        <w:footnoteRef/>
      </w:r>
      <w:r w:rsidR="00852B9F">
        <w:rPr>
          <w:rFonts w:ascii="Times New Roman" w:hAnsi="Times New Roman" w:cs="Times New Roman"/>
          <w:vertAlign w:val="superscript"/>
        </w:rPr>
        <w:t>)</w:t>
      </w:r>
      <w:r w:rsidR="00852B9F">
        <w:rPr>
          <w:rFonts w:ascii="Times New Roman" w:hAnsi="Times New Roman" w:cs="Times New Roman"/>
        </w:rPr>
        <w:tab/>
      </w:r>
      <w:r w:rsidRPr="0080467E">
        <w:rPr>
          <w:rFonts w:ascii="Times New Roman" w:hAnsi="Times New Roman" w:cs="Times New Roman"/>
        </w:rPr>
        <w:t xml:space="preserve">Rozporządzenie Parlamentu Europejskiego i Rady (UE) 2017/746 z dnia 5 kwietnia 2017 r. w sprawie wyrobów medycznych do diagnostyki </w:t>
      </w:r>
      <w:r w:rsidRPr="00052A8C">
        <w:rPr>
          <w:rFonts w:ascii="Times New Roman" w:hAnsi="Times New Roman" w:cs="Times New Roman"/>
          <w:i/>
          <w:iCs/>
        </w:rPr>
        <w:t>in vitro</w:t>
      </w:r>
      <w:r w:rsidRPr="0080467E">
        <w:rPr>
          <w:rFonts w:ascii="Times New Roman" w:hAnsi="Times New Roman" w:cs="Times New Roman"/>
        </w:rPr>
        <w:t xml:space="preserve"> oraz uchylenia dyrektywy 98/79/WE i decyzji Komisji 2010/227/UE (Dz.</w:t>
      </w:r>
      <w:r w:rsidR="00852B9F">
        <w:rPr>
          <w:rFonts w:ascii="Times New Roman" w:hAnsi="Times New Roman" w:cs="Times New Roman"/>
        </w:rPr>
        <w:t xml:space="preserve"> </w:t>
      </w:r>
      <w:r w:rsidRPr="0080467E">
        <w:rPr>
          <w:rFonts w:ascii="Times New Roman" w:hAnsi="Times New Roman" w:cs="Times New Roman"/>
        </w:rPr>
        <w:t>Urz. UE L 117 z 05.05.2017, str. 176, z późn. zm.)</w:t>
      </w:r>
      <w:r w:rsidR="00BD6A30">
        <w:rPr>
          <w:rFonts w:ascii="Times New Roman" w:hAnsi="Times New Roman" w:cs="Times New Roman"/>
        </w:rPr>
        <w:t>.</w:t>
      </w:r>
    </w:p>
  </w:footnote>
  <w:footnote w:id="12">
    <w:p w14:paraId="094C97B7" w14:textId="34EBF125" w:rsidR="00C665F9" w:rsidRPr="0080467E" w:rsidRDefault="00C665F9" w:rsidP="00052A8C">
      <w:pPr>
        <w:autoSpaceDE w:val="0"/>
        <w:autoSpaceDN w:val="0"/>
        <w:adjustRightInd w:val="0"/>
        <w:spacing w:after="0" w:line="240" w:lineRule="auto"/>
        <w:ind w:left="426" w:hanging="426"/>
        <w:jc w:val="both"/>
        <w:rPr>
          <w:rFonts w:ascii="Times New Roman" w:hAnsi="Times New Roman" w:cs="Times New Roman"/>
          <w:sz w:val="20"/>
          <w:szCs w:val="20"/>
        </w:rPr>
      </w:pPr>
      <w:r w:rsidRPr="0080467E">
        <w:rPr>
          <w:rStyle w:val="Odwoanieprzypisudolnego"/>
          <w:rFonts w:ascii="Times New Roman" w:hAnsi="Times New Roman" w:cs="Times New Roman"/>
          <w:sz w:val="20"/>
          <w:szCs w:val="20"/>
        </w:rPr>
        <w:footnoteRef/>
      </w:r>
      <w:r w:rsidR="00852B9F">
        <w:rPr>
          <w:rFonts w:ascii="Times New Roman" w:hAnsi="Times New Roman" w:cs="Times New Roman"/>
          <w:sz w:val="20"/>
          <w:szCs w:val="20"/>
          <w:vertAlign w:val="superscript"/>
        </w:rPr>
        <w:t>)</w:t>
      </w:r>
      <w:r w:rsidR="00852B9F">
        <w:rPr>
          <w:rFonts w:ascii="Times New Roman" w:hAnsi="Times New Roman" w:cs="Times New Roman"/>
          <w:sz w:val="20"/>
          <w:szCs w:val="20"/>
        </w:rPr>
        <w:tab/>
      </w:r>
      <w:r w:rsidRPr="0080467E">
        <w:rPr>
          <w:rFonts w:ascii="Times New Roman" w:hAnsi="Times New Roman" w:cs="Times New Roman"/>
          <w:sz w:val="20"/>
          <w:szCs w:val="20"/>
        </w:rPr>
        <w:t xml:space="preserve">Rozporządzenie Parlamentu Europejskiego i Rady (UE) 2023/607 z dnia 15 marca 2023 r. w sprawie zmiany rozporządzeń (UE) 2017/745 i (UE) 2017/746 w odniesieniu do przepisów przejściowych dotyczących niektórych wyrobów medycznych i wyrobów medycznych do diagnostyki </w:t>
      </w:r>
      <w:r w:rsidRPr="00052A8C">
        <w:rPr>
          <w:rFonts w:ascii="Times New Roman" w:hAnsi="Times New Roman" w:cs="Times New Roman"/>
          <w:i/>
          <w:iCs/>
          <w:sz w:val="20"/>
          <w:szCs w:val="20"/>
        </w:rPr>
        <w:t>in vitro</w:t>
      </w:r>
      <w:r w:rsidRPr="0080467E">
        <w:rPr>
          <w:rFonts w:ascii="Times New Roman" w:hAnsi="Times New Roman" w:cs="Times New Roman"/>
          <w:sz w:val="20"/>
          <w:szCs w:val="20"/>
        </w:rPr>
        <w:t xml:space="preserve"> (Dz. Urz. UE L </w:t>
      </w:r>
      <w:r w:rsidR="00622504">
        <w:rPr>
          <w:rFonts w:ascii="Times New Roman" w:hAnsi="Times New Roman" w:cs="Times New Roman"/>
          <w:sz w:val="20"/>
          <w:szCs w:val="20"/>
        </w:rPr>
        <w:t>80</w:t>
      </w:r>
      <w:r w:rsidRPr="0080467E">
        <w:rPr>
          <w:rFonts w:ascii="Times New Roman" w:hAnsi="Times New Roman" w:cs="Times New Roman"/>
          <w:sz w:val="20"/>
          <w:szCs w:val="20"/>
        </w:rPr>
        <w:t xml:space="preserve"> </w:t>
      </w:r>
      <w:r w:rsidR="00852B9F">
        <w:rPr>
          <w:rFonts w:ascii="Times New Roman" w:hAnsi="Times New Roman" w:cs="Times New Roman"/>
          <w:sz w:val="20"/>
          <w:szCs w:val="20"/>
        </w:rPr>
        <w:t>z 20.03.2023</w:t>
      </w:r>
      <w:r w:rsidRPr="0080467E">
        <w:rPr>
          <w:rFonts w:ascii="Times New Roman" w:hAnsi="Times New Roman" w:cs="Times New Roman"/>
          <w:sz w:val="20"/>
          <w:szCs w:val="20"/>
        </w:rPr>
        <w:t>, str. 24)</w:t>
      </w:r>
      <w:r w:rsidR="00BD6A30">
        <w:rPr>
          <w:rFonts w:ascii="Times New Roman" w:hAnsi="Times New Roman" w:cs="Times New Roman"/>
          <w:sz w:val="20"/>
          <w:szCs w:val="20"/>
        </w:rPr>
        <w:t>.</w:t>
      </w:r>
    </w:p>
  </w:footnote>
  <w:footnote w:id="13">
    <w:p w14:paraId="1DC198EB" w14:textId="359BCC3D" w:rsidR="00D82F65" w:rsidRPr="0080467E" w:rsidRDefault="00D82F65" w:rsidP="00052A8C">
      <w:pPr>
        <w:autoSpaceDE w:val="0"/>
        <w:autoSpaceDN w:val="0"/>
        <w:adjustRightInd w:val="0"/>
        <w:spacing w:after="0" w:line="240" w:lineRule="auto"/>
        <w:ind w:left="426" w:hanging="426"/>
        <w:jc w:val="both"/>
        <w:rPr>
          <w:rFonts w:ascii="Times New Roman" w:hAnsi="Times New Roman" w:cs="Times New Roman"/>
          <w:sz w:val="20"/>
          <w:szCs w:val="20"/>
        </w:rPr>
      </w:pPr>
      <w:r w:rsidRPr="0080467E">
        <w:rPr>
          <w:rStyle w:val="Odwoanieprzypisudolnego"/>
          <w:rFonts w:ascii="Times New Roman" w:hAnsi="Times New Roman" w:cs="Times New Roman"/>
          <w:sz w:val="20"/>
          <w:szCs w:val="20"/>
        </w:rPr>
        <w:footnoteRef/>
      </w:r>
      <w:r w:rsidR="00852B9F">
        <w:rPr>
          <w:rFonts w:ascii="Times New Roman" w:hAnsi="Times New Roman" w:cs="Times New Roman"/>
          <w:sz w:val="20"/>
          <w:szCs w:val="20"/>
          <w:vertAlign w:val="superscript"/>
        </w:rPr>
        <w:t>)</w:t>
      </w:r>
      <w:r w:rsidR="00852B9F">
        <w:rPr>
          <w:rFonts w:ascii="Times New Roman" w:hAnsi="Times New Roman" w:cs="Times New Roman"/>
          <w:sz w:val="20"/>
          <w:szCs w:val="20"/>
        </w:rPr>
        <w:tab/>
      </w:r>
      <w:r w:rsidRPr="0080467E">
        <w:rPr>
          <w:rFonts w:ascii="Times New Roman" w:hAnsi="Times New Roman" w:cs="Times New Roman"/>
          <w:sz w:val="20"/>
          <w:szCs w:val="20"/>
        </w:rPr>
        <w:t xml:space="preserve">Zgodnie z motywem 10 tego rozporządzenia – Aby zapobiec niepotrzebnemu usuwaniu bezpiecznych wyrobów medycznych i wyrobów medycznych do diagnostyki </w:t>
      </w:r>
      <w:r w:rsidRPr="00052A8C">
        <w:rPr>
          <w:rFonts w:ascii="Times New Roman" w:hAnsi="Times New Roman" w:cs="Times New Roman"/>
          <w:i/>
          <w:iCs/>
          <w:sz w:val="20"/>
          <w:szCs w:val="20"/>
        </w:rPr>
        <w:t>in vitro</w:t>
      </w:r>
      <w:r w:rsidRPr="0080467E">
        <w:rPr>
          <w:rFonts w:ascii="Times New Roman" w:hAnsi="Times New Roman" w:cs="Times New Roman"/>
          <w:sz w:val="20"/>
          <w:szCs w:val="20"/>
        </w:rPr>
        <w:t>, które nadal znajdują się w</w:t>
      </w:r>
      <w:r w:rsidR="00622504">
        <w:rPr>
          <w:rFonts w:ascii="Times New Roman" w:hAnsi="Times New Roman" w:cs="Times New Roman"/>
          <w:sz w:val="20"/>
          <w:szCs w:val="20"/>
        </w:rPr>
        <w:t xml:space="preserve"> </w:t>
      </w:r>
      <w:r w:rsidRPr="0080467E">
        <w:rPr>
          <w:rFonts w:ascii="Times New Roman" w:hAnsi="Times New Roman" w:cs="Times New Roman"/>
          <w:sz w:val="20"/>
          <w:szCs w:val="20"/>
        </w:rPr>
        <w:t>łańcuchu dostaw, a tym samym zwiększaniu bezpośredniego ryzyka wystąpienia niedoboru takich wyrobów, takie dalsze udostępnianie na rynku lub wprowadzanie do używania takich wyrobów powinno być nieograniczone w czasie.</w:t>
      </w:r>
    </w:p>
  </w:footnote>
  <w:footnote w:id="14">
    <w:p w14:paraId="492FF034" w14:textId="0889EC50" w:rsidR="00C66B6F" w:rsidRDefault="00980AC4" w:rsidP="00052A8C">
      <w:pPr>
        <w:pStyle w:val="Tekstprzypisudolnego"/>
        <w:ind w:left="284" w:hanging="284"/>
        <w:jc w:val="both"/>
      </w:pPr>
      <w:r w:rsidRPr="00052A8C">
        <w:rPr>
          <w:rFonts w:ascii="Times New Roman" w:hAnsi="Times New Roman" w:cs="Times New Roman"/>
          <w:vertAlign w:val="superscript"/>
        </w:rPr>
        <w:t>14</w:t>
      </w:r>
      <w:r w:rsidR="00622504">
        <w:rPr>
          <w:vertAlign w:val="superscript"/>
        </w:rPr>
        <w:t>)</w:t>
      </w:r>
      <w:r w:rsidR="00622504">
        <w:tab/>
      </w:r>
      <w:bookmarkStart w:id="2" w:name="_Hlk184119654"/>
      <w:r w:rsidR="00C66B6F" w:rsidRPr="009E4D5B">
        <w:rPr>
          <w:rFonts w:ascii="Times New Roman" w:hAnsi="Times New Roman" w:cs="Times New Roman"/>
        </w:rPr>
        <w:t xml:space="preserve">Dyrektywa Rady z dnia 20 czerwca 1990 r. w sprawie zbliżenia ustawodawstw Państw Członkowskich odnoszących się do wyrobów medycznych aktywnego osadzania </w:t>
      </w:r>
      <w:bookmarkEnd w:id="2"/>
      <w:r w:rsidR="00C5425B" w:rsidRPr="009E4D5B">
        <w:rPr>
          <w:rFonts w:ascii="Times New Roman" w:hAnsi="Times New Roman" w:cs="Times New Roman"/>
        </w:rPr>
        <w:t>(90/385/EWG)</w:t>
      </w:r>
      <w:r w:rsidR="00C66B6F" w:rsidRPr="009E4D5B">
        <w:rPr>
          <w:rFonts w:ascii="Times New Roman" w:hAnsi="Times New Roman" w:cs="Times New Roman"/>
        </w:rPr>
        <w:t xml:space="preserve"> (</w:t>
      </w:r>
      <w:r w:rsidR="00A30DDE" w:rsidRPr="00A30DDE">
        <w:rPr>
          <w:rFonts w:ascii="Times New Roman" w:hAnsi="Times New Roman" w:cs="Times New Roman"/>
        </w:rPr>
        <w:t>Dz.</w:t>
      </w:r>
      <w:r w:rsidR="00A30DDE">
        <w:rPr>
          <w:rFonts w:ascii="Times New Roman" w:hAnsi="Times New Roman" w:cs="Times New Roman"/>
        </w:rPr>
        <w:t xml:space="preserve"> </w:t>
      </w:r>
      <w:r w:rsidR="00A30DDE" w:rsidRPr="00A30DDE">
        <w:rPr>
          <w:rFonts w:ascii="Times New Roman" w:hAnsi="Times New Roman" w:cs="Times New Roman"/>
        </w:rPr>
        <w:t>Urz. WE L 189 z 20.07.1990, str. 17</w:t>
      </w:r>
      <w:r w:rsidR="00CE1529">
        <w:rPr>
          <w:rFonts w:ascii="Times New Roman" w:hAnsi="Times New Roman" w:cs="Times New Roman"/>
        </w:rPr>
        <w:t>, z późn. zm.</w:t>
      </w:r>
      <w:r w:rsidR="00C07A1A">
        <w:rPr>
          <w:rFonts w:ascii="Times New Roman" w:hAnsi="Times New Roman" w:cs="Times New Roman"/>
        </w:rPr>
        <w:t xml:space="preserve"> –</w:t>
      </w:r>
      <w:r w:rsidR="00A30DDE" w:rsidRPr="00A30DDE">
        <w:rPr>
          <w:rFonts w:ascii="Times New Roman" w:hAnsi="Times New Roman" w:cs="Times New Roman"/>
        </w:rPr>
        <w:t xml:space="preserve"> Dz.</w:t>
      </w:r>
      <w:r w:rsidR="00A30DDE">
        <w:rPr>
          <w:rFonts w:ascii="Times New Roman" w:hAnsi="Times New Roman" w:cs="Times New Roman"/>
        </w:rPr>
        <w:t xml:space="preserve"> </w:t>
      </w:r>
      <w:r w:rsidR="00A30DDE" w:rsidRPr="00A30DDE">
        <w:rPr>
          <w:rFonts w:ascii="Times New Roman" w:hAnsi="Times New Roman" w:cs="Times New Roman"/>
        </w:rPr>
        <w:t>Urz. UE Polskie wydanie specjalne, rozdz. 13, t. 10, str. 154</w:t>
      </w:r>
      <w:r w:rsidR="00C66B6F" w:rsidRPr="009E4D5B">
        <w:rPr>
          <w:rFonts w:ascii="Times New Roman" w:hAnsi="Times New Roman" w:cs="Times New Roman"/>
        </w:rPr>
        <w:t>)</w:t>
      </w:r>
      <w:r w:rsidR="00BD6A30">
        <w:rPr>
          <w:rFonts w:ascii="Times New Roman" w:hAnsi="Times New Roman" w:cs="Times New Roman"/>
        </w:rPr>
        <w:t>.</w:t>
      </w:r>
    </w:p>
  </w:footnote>
  <w:footnote w:id="15">
    <w:p w14:paraId="438CD96D" w14:textId="6CA49507" w:rsidR="00C66B6F" w:rsidRPr="00C66B6F" w:rsidRDefault="00C66B6F" w:rsidP="00052A8C">
      <w:pPr>
        <w:autoSpaceDE w:val="0"/>
        <w:autoSpaceDN w:val="0"/>
        <w:adjustRightInd w:val="0"/>
        <w:spacing w:after="0" w:line="240" w:lineRule="auto"/>
        <w:ind w:left="284" w:hanging="284"/>
        <w:jc w:val="both"/>
        <w:rPr>
          <w:rFonts w:ascii="Times New Roman" w:hAnsi="Times New Roman" w:cs="Times New Roman"/>
          <w:sz w:val="20"/>
          <w:szCs w:val="20"/>
        </w:rPr>
      </w:pPr>
      <w:r w:rsidRPr="00052A8C">
        <w:rPr>
          <w:rStyle w:val="Odwoanieprzypisudolnego"/>
          <w:rFonts w:ascii="Times New Roman" w:hAnsi="Times New Roman" w:cs="Times New Roman"/>
        </w:rPr>
        <w:footnoteRef/>
      </w:r>
      <w:r w:rsidR="00622504">
        <w:rPr>
          <w:vertAlign w:val="superscript"/>
        </w:rPr>
        <w:t>)</w:t>
      </w:r>
      <w:r w:rsidR="00622504">
        <w:tab/>
      </w:r>
      <w:r w:rsidRPr="009E4D5B">
        <w:rPr>
          <w:rFonts w:ascii="Times New Roman" w:hAnsi="Times New Roman" w:cs="Times New Roman"/>
          <w:sz w:val="20"/>
          <w:szCs w:val="20"/>
        </w:rPr>
        <w:t xml:space="preserve">Dyrektywa Rady 93/42/EWG z dnia 14 czerwca 1993 r. </w:t>
      </w:r>
      <w:r w:rsidR="00C5425B" w:rsidRPr="009E4D5B">
        <w:rPr>
          <w:rFonts w:ascii="Times New Roman" w:hAnsi="Times New Roman" w:cs="Times New Roman"/>
          <w:sz w:val="20"/>
          <w:szCs w:val="20"/>
        </w:rPr>
        <w:t>dotycząca wyrobów medycznych</w:t>
      </w:r>
      <w:r w:rsidRPr="009E4D5B">
        <w:rPr>
          <w:rFonts w:ascii="Times New Roman" w:hAnsi="Times New Roman" w:cs="Times New Roman"/>
          <w:sz w:val="20"/>
          <w:szCs w:val="20"/>
        </w:rPr>
        <w:t xml:space="preserve"> (</w:t>
      </w:r>
      <w:r w:rsidR="00A30DDE" w:rsidRPr="00A30DDE">
        <w:rPr>
          <w:rFonts w:ascii="Times New Roman" w:hAnsi="Times New Roman" w:cs="Times New Roman"/>
          <w:sz w:val="20"/>
          <w:szCs w:val="20"/>
        </w:rPr>
        <w:t>Dz.</w:t>
      </w:r>
      <w:r w:rsidR="00A30DDE">
        <w:rPr>
          <w:rFonts w:ascii="Times New Roman" w:hAnsi="Times New Roman" w:cs="Times New Roman"/>
          <w:sz w:val="20"/>
          <w:szCs w:val="20"/>
        </w:rPr>
        <w:t xml:space="preserve"> </w:t>
      </w:r>
      <w:r w:rsidR="00A30DDE" w:rsidRPr="00A30DDE">
        <w:rPr>
          <w:rFonts w:ascii="Times New Roman" w:hAnsi="Times New Roman" w:cs="Times New Roman"/>
          <w:sz w:val="20"/>
          <w:szCs w:val="20"/>
        </w:rPr>
        <w:t>Urz. WE L 169 z 12.07.1993, str. 1</w:t>
      </w:r>
      <w:r w:rsidR="00CE1529">
        <w:rPr>
          <w:rFonts w:ascii="Times New Roman" w:hAnsi="Times New Roman" w:cs="Times New Roman"/>
          <w:sz w:val="20"/>
          <w:szCs w:val="20"/>
        </w:rPr>
        <w:t>, z późn. zm.</w:t>
      </w:r>
      <w:r w:rsidR="00C07A1A">
        <w:rPr>
          <w:rFonts w:ascii="Times New Roman" w:hAnsi="Times New Roman" w:cs="Times New Roman"/>
          <w:sz w:val="20"/>
          <w:szCs w:val="20"/>
        </w:rPr>
        <w:t xml:space="preserve"> </w:t>
      </w:r>
      <w:r w:rsidR="00C07A1A">
        <w:rPr>
          <w:rFonts w:ascii="Times New Roman" w:hAnsi="Times New Roman" w:cs="Times New Roman"/>
        </w:rPr>
        <w:t>–</w:t>
      </w:r>
      <w:r w:rsidR="00C07A1A" w:rsidRPr="00A30DDE">
        <w:rPr>
          <w:rFonts w:ascii="Times New Roman" w:hAnsi="Times New Roman" w:cs="Times New Roman"/>
        </w:rPr>
        <w:t xml:space="preserve"> </w:t>
      </w:r>
      <w:r w:rsidR="00A30DDE" w:rsidRPr="00A30DDE">
        <w:rPr>
          <w:rFonts w:ascii="Times New Roman" w:hAnsi="Times New Roman" w:cs="Times New Roman"/>
          <w:sz w:val="20"/>
          <w:szCs w:val="20"/>
        </w:rPr>
        <w:t xml:space="preserve"> Dz.</w:t>
      </w:r>
      <w:r w:rsidR="00A30DDE">
        <w:rPr>
          <w:rFonts w:ascii="Times New Roman" w:hAnsi="Times New Roman" w:cs="Times New Roman"/>
          <w:sz w:val="20"/>
          <w:szCs w:val="20"/>
        </w:rPr>
        <w:t xml:space="preserve"> </w:t>
      </w:r>
      <w:r w:rsidR="00A30DDE" w:rsidRPr="00A30DDE">
        <w:rPr>
          <w:rFonts w:ascii="Times New Roman" w:hAnsi="Times New Roman" w:cs="Times New Roman"/>
          <w:sz w:val="20"/>
          <w:szCs w:val="20"/>
        </w:rPr>
        <w:t>Urz. UE Polskie wydanie specjalne, rozdz. 13, t. 12, str. 82</w:t>
      </w:r>
      <w:r w:rsidRPr="009E4D5B">
        <w:rPr>
          <w:rFonts w:ascii="Times New Roman" w:hAnsi="Times New Roman" w:cs="Times New Roman"/>
          <w:sz w:val="20"/>
          <w:szCs w:val="20"/>
        </w:rPr>
        <w:t>)</w:t>
      </w:r>
      <w:r w:rsidR="00BD6A30">
        <w:rPr>
          <w:rFonts w:ascii="Times New Roman" w:hAnsi="Times New Roman" w:cs="Times New Roman"/>
          <w:sz w:val="20"/>
          <w:szCs w:val="20"/>
        </w:rPr>
        <w:t>.</w:t>
      </w:r>
    </w:p>
  </w:footnote>
  <w:footnote w:id="16">
    <w:p w14:paraId="2CEB2D5F" w14:textId="0484C99E" w:rsidR="00C66B6F" w:rsidRDefault="00C66B6F" w:rsidP="00052A8C">
      <w:pPr>
        <w:pStyle w:val="Tekstprzypisudolnego"/>
        <w:ind w:left="284" w:hanging="284"/>
        <w:jc w:val="both"/>
      </w:pPr>
      <w:r w:rsidRPr="00052A8C">
        <w:rPr>
          <w:rStyle w:val="Odwoanieprzypisudolnego"/>
          <w:rFonts w:ascii="Times New Roman" w:hAnsi="Times New Roman" w:cs="Times New Roman"/>
        </w:rPr>
        <w:footnoteRef/>
      </w:r>
      <w:r w:rsidR="00622504">
        <w:rPr>
          <w:vertAlign w:val="superscript"/>
        </w:rPr>
        <w:t>)</w:t>
      </w:r>
      <w:r w:rsidR="00622504">
        <w:tab/>
      </w:r>
      <w:r w:rsidRPr="009E4D5B">
        <w:rPr>
          <w:rFonts w:ascii="Times New Roman" w:hAnsi="Times New Roman" w:cs="Times New Roman"/>
        </w:rPr>
        <w:t xml:space="preserve">Dyrektywa 98/79/WE </w:t>
      </w:r>
      <w:r w:rsidR="00E052B1">
        <w:rPr>
          <w:rFonts w:ascii="Times New Roman" w:hAnsi="Times New Roman" w:cs="Times New Roman"/>
        </w:rPr>
        <w:t>P</w:t>
      </w:r>
      <w:r w:rsidRPr="009E4D5B">
        <w:rPr>
          <w:rFonts w:ascii="Times New Roman" w:hAnsi="Times New Roman" w:cs="Times New Roman"/>
        </w:rPr>
        <w:t xml:space="preserve">arlamentu Europejskiego i Rady z dnia 27 października 1998 r. </w:t>
      </w:r>
      <w:r w:rsidR="00C5425B" w:rsidRPr="009E4D5B">
        <w:rPr>
          <w:rFonts w:ascii="Times New Roman" w:hAnsi="Times New Roman" w:cs="Times New Roman"/>
        </w:rPr>
        <w:t xml:space="preserve">w sprawie wyrobów medycznych używanych do diagnozy </w:t>
      </w:r>
      <w:r w:rsidR="00C5425B" w:rsidRPr="00052A8C">
        <w:rPr>
          <w:rFonts w:ascii="Times New Roman" w:hAnsi="Times New Roman" w:cs="Times New Roman"/>
          <w:i/>
          <w:iCs/>
        </w:rPr>
        <w:t>in vitro</w:t>
      </w:r>
      <w:r w:rsidRPr="009E4D5B">
        <w:rPr>
          <w:rFonts w:ascii="Times New Roman" w:hAnsi="Times New Roman" w:cs="Times New Roman"/>
        </w:rPr>
        <w:t xml:space="preserve"> (</w:t>
      </w:r>
      <w:r w:rsidR="00E052B1" w:rsidRPr="00E052B1">
        <w:rPr>
          <w:rFonts w:ascii="Times New Roman" w:hAnsi="Times New Roman" w:cs="Times New Roman"/>
        </w:rPr>
        <w:t>Dz.</w:t>
      </w:r>
      <w:r w:rsidR="00E052B1">
        <w:rPr>
          <w:rFonts w:ascii="Times New Roman" w:hAnsi="Times New Roman" w:cs="Times New Roman"/>
        </w:rPr>
        <w:t xml:space="preserve"> </w:t>
      </w:r>
      <w:r w:rsidR="00E052B1" w:rsidRPr="00E052B1">
        <w:rPr>
          <w:rFonts w:ascii="Times New Roman" w:hAnsi="Times New Roman" w:cs="Times New Roman"/>
        </w:rPr>
        <w:t>Urz. WE L 331 z 07.12.1998, str. 1</w:t>
      </w:r>
      <w:r w:rsidR="00CE1529">
        <w:rPr>
          <w:rFonts w:ascii="Times New Roman" w:hAnsi="Times New Roman" w:cs="Times New Roman"/>
        </w:rPr>
        <w:t>, z późn. zm.</w:t>
      </w:r>
      <w:r w:rsidR="00C07A1A">
        <w:rPr>
          <w:rFonts w:ascii="Times New Roman" w:hAnsi="Times New Roman" w:cs="Times New Roman"/>
        </w:rPr>
        <w:t xml:space="preserve"> –</w:t>
      </w:r>
      <w:r w:rsidR="00C07A1A" w:rsidRPr="00A30DDE">
        <w:rPr>
          <w:rFonts w:ascii="Times New Roman" w:hAnsi="Times New Roman" w:cs="Times New Roman"/>
        </w:rPr>
        <w:t xml:space="preserve"> </w:t>
      </w:r>
      <w:r w:rsidR="00E052B1" w:rsidRPr="00E052B1">
        <w:rPr>
          <w:rFonts w:ascii="Times New Roman" w:hAnsi="Times New Roman" w:cs="Times New Roman"/>
        </w:rPr>
        <w:t>Dz.</w:t>
      </w:r>
      <w:r w:rsidR="00E052B1">
        <w:rPr>
          <w:rFonts w:ascii="Times New Roman" w:hAnsi="Times New Roman" w:cs="Times New Roman"/>
        </w:rPr>
        <w:t xml:space="preserve"> </w:t>
      </w:r>
      <w:r w:rsidR="00E052B1" w:rsidRPr="00E052B1">
        <w:rPr>
          <w:rFonts w:ascii="Times New Roman" w:hAnsi="Times New Roman" w:cs="Times New Roman"/>
        </w:rPr>
        <w:t>Urz. UE Polskie wydanie specjalne, rozdz. 13, t. 21, str. 319</w:t>
      </w:r>
      <w:r w:rsidRPr="009E4D5B">
        <w:rPr>
          <w:rFonts w:ascii="Times New Roman" w:hAnsi="Times New Roman" w:cs="Times New Roman"/>
        </w:rPr>
        <w:t>)</w:t>
      </w:r>
      <w:r w:rsidR="00BD6A30">
        <w:rPr>
          <w:rFonts w:ascii="Times New Roman" w:hAnsi="Times New Roman" w:cs="Times New Roman"/>
        </w:rPr>
        <w:t>.</w:t>
      </w:r>
    </w:p>
  </w:footnote>
  <w:footnote w:id="17">
    <w:p w14:paraId="2262E61F" w14:textId="3B8260A3" w:rsidR="00C75295" w:rsidRPr="00F865BE" w:rsidRDefault="00C75295" w:rsidP="00980AC4">
      <w:pPr>
        <w:pStyle w:val="Tekstprzypisudolnego"/>
        <w:ind w:left="284" w:hanging="284"/>
        <w:jc w:val="both"/>
        <w:rPr>
          <w:rFonts w:ascii="Times New Roman" w:hAnsi="Times New Roman" w:cs="Times New Roman"/>
        </w:rPr>
      </w:pPr>
      <w:r w:rsidRPr="00F865BE">
        <w:rPr>
          <w:rStyle w:val="Odwoanieprzypisudolnego"/>
          <w:rFonts w:ascii="Times New Roman" w:hAnsi="Times New Roman" w:cs="Times New Roman"/>
        </w:rPr>
        <w:footnoteRef/>
      </w:r>
      <w:r w:rsidR="003D3A8E">
        <w:rPr>
          <w:rFonts w:ascii="Times New Roman" w:hAnsi="Times New Roman" w:cs="Times New Roman"/>
          <w:vertAlign w:val="superscript"/>
        </w:rPr>
        <w:t>)</w:t>
      </w:r>
      <w:r w:rsidR="003D3A8E">
        <w:rPr>
          <w:rFonts w:ascii="Times New Roman" w:hAnsi="Times New Roman" w:cs="Times New Roman"/>
        </w:rPr>
        <w:tab/>
      </w:r>
      <w:r w:rsidR="00FF6AB4" w:rsidRPr="00FF6AB4">
        <w:rPr>
          <w:rFonts w:ascii="Times New Roman" w:hAnsi="Times New Roman" w:cs="Times New Roman"/>
        </w:rPr>
        <w:t>Pkt 4 załącznika III do dyrektywy VAT wskazuje: sprzęt medyczny, medyczne urządzenia wspomagające, wyroby medyczne, przedmioty medyczne i sprzęt pomocniczy oraz sprzęt ochronny (w tym maski ochronne), przeznaczone zwykle do użytku w opiece zdrowotnej lub do użytku osób z niepełnosprawnościami, towary niezbędne do kompensowania i przezwyciężania niepełnosprawności, jak również dostosowanie, naprawa, wynajem i dzierżawa takich towarów.</w:t>
      </w:r>
    </w:p>
  </w:footnote>
  <w:footnote w:id="18">
    <w:p w14:paraId="52D5C00C" w14:textId="753761FA" w:rsidR="00E824C9" w:rsidRPr="004E6D60" w:rsidRDefault="00E824C9" w:rsidP="00052A8C">
      <w:pPr>
        <w:pStyle w:val="Tekstprzypisudolnego"/>
        <w:ind w:left="426" w:hanging="426"/>
        <w:rPr>
          <w:rFonts w:ascii="Times New Roman" w:hAnsi="Times New Roman" w:cs="Times New Roman"/>
        </w:rPr>
      </w:pPr>
      <w:r w:rsidRPr="004E6D60">
        <w:rPr>
          <w:rStyle w:val="Odwoanieprzypisudolnego"/>
          <w:rFonts w:ascii="Times New Roman" w:hAnsi="Times New Roman" w:cs="Times New Roman"/>
        </w:rPr>
        <w:footnoteRef/>
      </w:r>
      <w:r w:rsidR="003D3A8E">
        <w:rPr>
          <w:rFonts w:ascii="Times New Roman" w:hAnsi="Times New Roman" w:cs="Times New Roman"/>
          <w:vertAlign w:val="superscript"/>
        </w:rPr>
        <w:t>)</w:t>
      </w:r>
      <w:r w:rsidR="003D3A8E">
        <w:rPr>
          <w:rFonts w:ascii="Times New Roman" w:hAnsi="Times New Roman" w:cs="Times New Roman"/>
        </w:rPr>
        <w:tab/>
      </w:r>
      <w:r w:rsidRPr="004E6D60">
        <w:rPr>
          <w:rFonts w:ascii="Times New Roman" w:hAnsi="Times New Roman" w:cs="Times New Roman"/>
        </w:rPr>
        <w:t>Ustawa z dnia 10 lipca 2007 r. o nawozach i nawożeniu (Dz. U. z 2024 r. poz. 105).</w:t>
      </w:r>
    </w:p>
  </w:footnote>
  <w:footnote w:id="19">
    <w:p w14:paraId="6D356333" w14:textId="1B6CA1D4" w:rsidR="00E824C9" w:rsidRPr="004E6D60" w:rsidRDefault="00E824C9" w:rsidP="00052A8C">
      <w:pPr>
        <w:pStyle w:val="Tekstprzypisudolnego"/>
        <w:ind w:left="426" w:hanging="426"/>
        <w:jc w:val="both"/>
        <w:rPr>
          <w:rFonts w:ascii="Times New Roman" w:hAnsi="Times New Roman" w:cs="Times New Roman"/>
        </w:rPr>
      </w:pPr>
      <w:r w:rsidRPr="004E6D60">
        <w:rPr>
          <w:rStyle w:val="Odwoanieprzypisudolnego"/>
          <w:rFonts w:ascii="Times New Roman" w:hAnsi="Times New Roman" w:cs="Times New Roman"/>
        </w:rPr>
        <w:footnoteRef/>
      </w:r>
      <w:r w:rsidR="003D3A8E">
        <w:rPr>
          <w:rFonts w:ascii="Times New Roman" w:hAnsi="Times New Roman" w:cs="Times New Roman"/>
          <w:vertAlign w:val="superscript"/>
        </w:rPr>
        <w:t>)</w:t>
      </w:r>
      <w:r w:rsidR="003D3A8E">
        <w:rPr>
          <w:rFonts w:ascii="Times New Roman" w:hAnsi="Times New Roman" w:cs="Times New Roman"/>
        </w:rPr>
        <w:tab/>
      </w:r>
      <w:r w:rsidRPr="004E6D60">
        <w:rPr>
          <w:rFonts w:ascii="Times New Roman" w:hAnsi="Times New Roman" w:cs="Times New Roman"/>
        </w:rPr>
        <w:t xml:space="preserve">Rozporządzenie </w:t>
      </w:r>
      <w:bookmarkStart w:id="3" w:name="_Hlk170918836"/>
      <w:r w:rsidRPr="004E6D60">
        <w:rPr>
          <w:rFonts w:ascii="Times New Roman" w:hAnsi="Times New Roman" w:cs="Times New Roman"/>
        </w:rPr>
        <w:t xml:space="preserve">Parlamentu Europejskiego i Rady (UE) 2019/1009 z dnia 5 czerwca 2019 r. ustanawiające przepisy dotyczące udostępniania na rynku produktów nawozowych </w:t>
      </w:r>
      <w:bookmarkEnd w:id="3"/>
      <w:r w:rsidRPr="004E6D60">
        <w:rPr>
          <w:rFonts w:ascii="Times New Roman" w:hAnsi="Times New Roman" w:cs="Times New Roman"/>
        </w:rPr>
        <w:t>UE, zmieniające rozporządzenia (WE) nr 1069/2009 i (WE) nr 1107/2009 oraz uchylające rozporządzenie (WE) nr 2003/2003 (Dz.</w:t>
      </w:r>
      <w:r w:rsidR="00E41797">
        <w:rPr>
          <w:rFonts w:ascii="Times New Roman" w:hAnsi="Times New Roman" w:cs="Times New Roman"/>
        </w:rPr>
        <w:t> </w:t>
      </w:r>
      <w:r w:rsidRPr="004E6D60">
        <w:rPr>
          <w:rFonts w:ascii="Times New Roman" w:hAnsi="Times New Roman" w:cs="Times New Roman"/>
        </w:rPr>
        <w:t>Urz. UE L</w:t>
      </w:r>
      <w:r w:rsidR="00AC71A2">
        <w:rPr>
          <w:rFonts w:ascii="Times New Roman" w:hAnsi="Times New Roman" w:cs="Times New Roman"/>
        </w:rPr>
        <w:t> </w:t>
      </w:r>
      <w:r w:rsidRPr="004E6D60">
        <w:rPr>
          <w:rFonts w:ascii="Times New Roman" w:hAnsi="Times New Roman" w:cs="Times New Roman"/>
        </w:rPr>
        <w:t>170 z 25.06.2019, str. 1, z późn. zm.).</w:t>
      </w:r>
    </w:p>
  </w:footnote>
  <w:footnote w:id="20">
    <w:p w14:paraId="342B8960" w14:textId="31890E98" w:rsidR="00E824C9" w:rsidRPr="004E6D60" w:rsidRDefault="00E824C9" w:rsidP="00052A8C">
      <w:pPr>
        <w:pStyle w:val="Tekstprzypisudolnego"/>
        <w:ind w:left="426" w:hanging="426"/>
        <w:jc w:val="both"/>
        <w:rPr>
          <w:rFonts w:ascii="Times New Roman" w:hAnsi="Times New Roman" w:cs="Times New Roman"/>
        </w:rPr>
      </w:pPr>
      <w:r w:rsidRPr="004E6D60">
        <w:rPr>
          <w:rStyle w:val="Odwoanieprzypisudolnego"/>
          <w:rFonts w:ascii="Times New Roman" w:hAnsi="Times New Roman" w:cs="Times New Roman"/>
        </w:rPr>
        <w:footnoteRef/>
      </w:r>
      <w:r w:rsidR="003D3A8E">
        <w:rPr>
          <w:rFonts w:ascii="Times New Roman" w:hAnsi="Times New Roman" w:cs="Times New Roman"/>
          <w:vertAlign w:val="superscript"/>
        </w:rPr>
        <w:t>)</w:t>
      </w:r>
      <w:r w:rsidR="003D3A8E">
        <w:rPr>
          <w:rFonts w:ascii="Times New Roman" w:hAnsi="Times New Roman" w:cs="Times New Roman"/>
        </w:rPr>
        <w:tab/>
      </w:r>
      <w:r w:rsidRPr="004E6D60">
        <w:rPr>
          <w:rFonts w:ascii="Times New Roman" w:hAnsi="Times New Roman" w:cs="Times New Roman"/>
        </w:rPr>
        <w:t>Ustawa z dnia 8 marca 2013 r. o środkach ochrony roślin (Dz. U. 2024 r. poz. 630).</w:t>
      </w:r>
    </w:p>
  </w:footnote>
  <w:footnote w:id="21">
    <w:p w14:paraId="0541E672" w14:textId="7201B49F" w:rsidR="00E824C9" w:rsidRPr="004E6D60" w:rsidRDefault="00E824C9" w:rsidP="00052A8C">
      <w:pPr>
        <w:pStyle w:val="Tekstprzypisudolnego"/>
        <w:ind w:left="426" w:hanging="426"/>
        <w:jc w:val="both"/>
        <w:rPr>
          <w:rFonts w:ascii="Times New Roman" w:hAnsi="Times New Roman" w:cs="Times New Roman"/>
        </w:rPr>
      </w:pPr>
      <w:r w:rsidRPr="004E6D60">
        <w:rPr>
          <w:rStyle w:val="Odwoanieprzypisudolnego"/>
          <w:rFonts w:ascii="Times New Roman" w:hAnsi="Times New Roman" w:cs="Times New Roman"/>
        </w:rPr>
        <w:footnoteRef/>
      </w:r>
      <w:r w:rsidR="003D3A8E">
        <w:rPr>
          <w:rFonts w:ascii="Times New Roman" w:hAnsi="Times New Roman" w:cs="Times New Roman"/>
          <w:vertAlign w:val="superscript"/>
        </w:rPr>
        <w:t>)</w:t>
      </w:r>
      <w:r w:rsidR="003D3A8E">
        <w:rPr>
          <w:rFonts w:ascii="Times New Roman" w:hAnsi="Times New Roman" w:cs="Times New Roman"/>
        </w:rPr>
        <w:tab/>
      </w:r>
      <w:r w:rsidRPr="004E6D60">
        <w:rPr>
          <w:rFonts w:ascii="Times New Roman" w:hAnsi="Times New Roman" w:cs="Times New Roman"/>
        </w:rPr>
        <w:t xml:space="preserve">Ustawa z dnia 22 lipca 2006 r. o paszach </w:t>
      </w:r>
      <w:r w:rsidR="00C21278">
        <w:rPr>
          <w:rFonts w:ascii="Times New Roman" w:hAnsi="Times New Roman" w:cs="Times New Roman"/>
        </w:rPr>
        <w:t>(</w:t>
      </w:r>
      <w:r w:rsidRPr="004E6D60">
        <w:rPr>
          <w:rFonts w:ascii="Times New Roman" w:hAnsi="Times New Roman" w:cs="Times New Roman"/>
        </w:rPr>
        <w:t>Dz. U. 2023 poz. 1149</w:t>
      </w:r>
      <w:r w:rsidR="00486A41">
        <w:rPr>
          <w:rFonts w:ascii="Times New Roman" w:hAnsi="Times New Roman" w:cs="Times New Roman"/>
        </w:rPr>
        <w:t>, z późn. zm.</w:t>
      </w:r>
      <w:r w:rsidR="00C21278">
        <w:rPr>
          <w:rFonts w:ascii="Times New Roman" w:hAnsi="Times New Roman" w:cs="Times New Roman"/>
        </w:rPr>
        <w:t>)</w:t>
      </w:r>
      <w:r w:rsidRPr="004E6D60">
        <w:rPr>
          <w:rFonts w:ascii="Times New Roman" w:hAnsi="Times New Roman" w:cs="Times New Roman"/>
        </w:rPr>
        <w:t>.</w:t>
      </w:r>
    </w:p>
  </w:footnote>
  <w:footnote w:id="22">
    <w:p w14:paraId="660059EA" w14:textId="467B2053" w:rsidR="005F446D" w:rsidRDefault="005F446D" w:rsidP="00052A8C">
      <w:pPr>
        <w:pStyle w:val="Tekstprzypisudolnego"/>
        <w:ind w:left="426" w:hanging="426"/>
        <w:jc w:val="both"/>
      </w:pPr>
      <w:r>
        <w:rPr>
          <w:rStyle w:val="Odwoanieprzypisudolnego"/>
        </w:rPr>
        <w:footnoteRef/>
      </w:r>
      <w:r w:rsidR="003D3A8E" w:rsidRPr="00052A8C">
        <w:rPr>
          <w:vertAlign w:val="superscript"/>
        </w:rPr>
        <w:t>)</w:t>
      </w:r>
      <w:r w:rsidR="003D3A8E">
        <w:tab/>
      </w:r>
      <w:r w:rsidR="00C75295" w:rsidRPr="00F865BE">
        <w:rPr>
          <w:rFonts w:ascii="Times New Roman" w:hAnsi="Times New Roman" w:cs="Times New Roman"/>
        </w:rPr>
        <w:t>Rozporządzenie Ministra Finansów z dnia 9 grudnia 2023 r. w sprawie obniżonych stawek podatku od towarów i usług (Dz. U. poz. 2670, z późn. zm.)</w:t>
      </w:r>
      <w:r w:rsidR="00C75295">
        <w:rPr>
          <w:rFonts w:ascii="Times New Roman" w:hAnsi="Times New Roman" w:cs="Times New Roman"/>
        </w:rPr>
        <w:t>, zwane dalej „rozporządzeniem w sprawie stawek”</w:t>
      </w:r>
      <w:r w:rsidR="00805E13">
        <w:rPr>
          <w:rFonts w:ascii="Times New Roman" w:hAnsi="Times New Roman" w:cs="Times New Roman"/>
        </w:rPr>
        <w:t>.</w:t>
      </w:r>
    </w:p>
  </w:footnote>
  <w:footnote w:id="23">
    <w:p w14:paraId="17F6587F" w14:textId="06C7802B" w:rsidR="00C75295" w:rsidRPr="00F865BE" w:rsidRDefault="00C75295" w:rsidP="00052A8C">
      <w:pPr>
        <w:pStyle w:val="Tekstprzypisudolnego"/>
        <w:ind w:left="426" w:hanging="426"/>
        <w:jc w:val="both"/>
        <w:rPr>
          <w:rFonts w:ascii="Times New Roman" w:hAnsi="Times New Roman" w:cs="Times New Roman"/>
        </w:rPr>
      </w:pPr>
      <w:r w:rsidRPr="00F865BE">
        <w:rPr>
          <w:rStyle w:val="Odwoanieprzypisudolnego"/>
          <w:rFonts w:ascii="Times New Roman" w:hAnsi="Times New Roman" w:cs="Times New Roman"/>
        </w:rPr>
        <w:footnoteRef/>
      </w:r>
      <w:r w:rsidR="003D3A8E">
        <w:rPr>
          <w:rFonts w:ascii="Times New Roman" w:hAnsi="Times New Roman" w:cs="Times New Roman"/>
          <w:vertAlign w:val="superscript"/>
        </w:rPr>
        <w:t>)</w:t>
      </w:r>
      <w:r w:rsidR="003D3A8E">
        <w:rPr>
          <w:rFonts w:ascii="Times New Roman" w:hAnsi="Times New Roman" w:cs="Times New Roman"/>
        </w:rPr>
        <w:tab/>
      </w:r>
      <w:r w:rsidRPr="00F865BE">
        <w:rPr>
          <w:rFonts w:ascii="Times New Roman" w:hAnsi="Times New Roman" w:cs="Times New Roman"/>
        </w:rPr>
        <w:t>Rozporządzenie Parlamentu Europejskiego i Rady (UE) 2019/1009 z dnia 5 czerwca 2019 r. ustanawiając</w:t>
      </w:r>
      <w:r w:rsidR="005C7455">
        <w:rPr>
          <w:rFonts w:ascii="Times New Roman" w:hAnsi="Times New Roman" w:cs="Times New Roman"/>
        </w:rPr>
        <w:t>e</w:t>
      </w:r>
      <w:r w:rsidRPr="00F865BE">
        <w:rPr>
          <w:rFonts w:ascii="Times New Roman" w:hAnsi="Times New Roman" w:cs="Times New Roman"/>
        </w:rPr>
        <w:t xml:space="preserve"> przepisy dotyczące udostępniania na rynku produktów nawozowych UE, zmieniając</w:t>
      </w:r>
      <w:r w:rsidR="005C7455">
        <w:rPr>
          <w:rFonts w:ascii="Times New Roman" w:hAnsi="Times New Roman" w:cs="Times New Roman"/>
        </w:rPr>
        <w:t>e</w:t>
      </w:r>
      <w:r w:rsidRPr="00F865BE">
        <w:rPr>
          <w:rFonts w:ascii="Times New Roman" w:hAnsi="Times New Roman" w:cs="Times New Roman"/>
        </w:rPr>
        <w:t xml:space="preserve"> rozporządzenia (WE) nr</w:t>
      </w:r>
      <w:r w:rsidR="00AC71A2">
        <w:rPr>
          <w:rFonts w:ascii="Times New Roman" w:hAnsi="Times New Roman" w:cs="Times New Roman"/>
        </w:rPr>
        <w:t> </w:t>
      </w:r>
      <w:r w:rsidRPr="00F865BE">
        <w:rPr>
          <w:rFonts w:ascii="Times New Roman" w:hAnsi="Times New Roman" w:cs="Times New Roman"/>
        </w:rPr>
        <w:t>1069/2009 i (WE) nr 1107/2009 oraz uchylając</w:t>
      </w:r>
      <w:r w:rsidR="005C7455">
        <w:rPr>
          <w:rFonts w:ascii="Times New Roman" w:hAnsi="Times New Roman" w:cs="Times New Roman"/>
        </w:rPr>
        <w:t>e</w:t>
      </w:r>
      <w:r w:rsidRPr="00F865BE">
        <w:rPr>
          <w:rFonts w:ascii="Times New Roman" w:hAnsi="Times New Roman" w:cs="Times New Roman"/>
        </w:rPr>
        <w:t xml:space="preserve"> rozporządzenie (WE) nr 2003/2003</w:t>
      </w:r>
      <w:r w:rsidR="00BD6A30">
        <w:rPr>
          <w:rFonts w:ascii="Times New Roman" w:hAnsi="Times New Roman" w:cs="Times New Roman"/>
        </w:rPr>
        <w:t>.</w:t>
      </w:r>
    </w:p>
  </w:footnote>
  <w:footnote w:id="24">
    <w:p w14:paraId="0DDB7891" w14:textId="2E8CA061" w:rsidR="00416CDB" w:rsidRPr="006A0BF8" w:rsidRDefault="00416CDB" w:rsidP="00052A8C">
      <w:pPr>
        <w:pStyle w:val="Tekstprzypisudolnego"/>
        <w:ind w:left="284" w:hanging="284"/>
        <w:rPr>
          <w:rFonts w:ascii="Times New Roman" w:hAnsi="Times New Roman" w:cs="Times New Roman"/>
        </w:rPr>
      </w:pPr>
      <w:r w:rsidRPr="006A0BF8">
        <w:rPr>
          <w:rStyle w:val="Odwoanieprzypisudolnego"/>
          <w:rFonts w:ascii="Times New Roman" w:hAnsi="Times New Roman" w:cs="Times New Roman"/>
        </w:rPr>
        <w:footnoteRef/>
      </w:r>
      <w:r w:rsidR="00E45F86">
        <w:rPr>
          <w:rFonts w:ascii="Times New Roman" w:hAnsi="Times New Roman" w:cs="Times New Roman"/>
          <w:vertAlign w:val="superscript"/>
        </w:rPr>
        <w:t>)</w:t>
      </w:r>
      <w:r w:rsidR="00E45F86">
        <w:rPr>
          <w:rFonts w:ascii="Times New Roman" w:hAnsi="Times New Roman" w:cs="Times New Roman"/>
        </w:rPr>
        <w:tab/>
      </w:r>
      <w:r w:rsidR="006A0BF8" w:rsidRPr="006A0BF8">
        <w:rPr>
          <w:rFonts w:ascii="Times New Roman" w:hAnsi="Times New Roman" w:cs="Times New Roman"/>
        </w:rPr>
        <w:t>Dz. U. z 2024 r. poz. 1361</w:t>
      </w:r>
      <w:r w:rsidR="00BD6A30">
        <w:rPr>
          <w:rFonts w:ascii="Times New Roman" w:hAnsi="Times New Roman" w:cs="Times New Roman"/>
        </w:rPr>
        <w:t>.</w:t>
      </w:r>
    </w:p>
  </w:footnote>
  <w:footnote w:id="25">
    <w:p w14:paraId="06A465C6" w14:textId="63F169E6" w:rsidR="006A0BF8" w:rsidRPr="006A0BF8" w:rsidRDefault="006A0BF8" w:rsidP="00052A8C">
      <w:pPr>
        <w:pStyle w:val="Tekstprzypisudolnego"/>
        <w:ind w:left="284" w:hanging="284"/>
        <w:rPr>
          <w:rFonts w:ascii="Times New Roman" w:hAnsi="Times New Roman" w:cs="Times New Roman"/>
        </w:rPr>
      </w:pPr>
      <w:r w:rsidRPr="006A0BF8">
        <w:rPr>
          <w:rStyle w:val="Odwoanieprzypisudolnego"/>
          <w:rFonts w:ascii="Times New Roman" w:hAnsi="Times New Roman" w:cs="Times New Roman"/>
        </w:rPr>
        <w:footnoteRef/>
      </w:r>
      <w:r w:rsidR="00E45F86">
        <w:rPr>
          <w:rFonts w:ascii="Times New Roman" w:hAnsi="Times New Roman" w:cs="Times New Roman"/>
          <w:vertAlign w:val="superscript"/>
        </w:rPr>
        <w:t>)</w:t>
      </w:r>
      <w:r w:rsidR="0066040F">
        <w:rPr>
          <w:rFonts w:ascii="Times New Roman" w:hAnsi="Times New Roman" w:cs="Times New Roman"/>
        </w:rPr>
        <w:tab/>
      </w:r>
      <w:r w:rsidRPr="006A0BF8">
        <w:rPr>
          <w:rFonts w:ascii="Times New Roman" w:hAnsi="Times New Roman" w:cs="Times New Roman"/>
        </w:rPr>
        <w:t>Dz. U. poz. 1597</w:t>
      </w:r>
      <w:r w:rsidR="00BD6A30">
        <w:rPr>
          <w:rFonts w:ascii="Times New Roman" w:hAnsi="Times New Roman" w:cs="Times New Roman"/>
        </w:rPr>
        <w:t>.</w:t>
      </w:r>
    </w:p>
  </w:footnote>
  <w:footnote w:id="26">
    <w:p w14:paraId="5EA13630" w14:textId="3F789364" w:rsidR="00072377" w:rsidRPr="00977AB6" w:rsidRDefault="00072377" w:rsidP="00052A8C">
      <w:pPr>
        <w:pStyle w:val="Tekstprzypisudolnego"/>
        <w:ind w:left="284" w:hanging="284"/>
        <w:rPr>
          <w:rFonts w:ascii="Times New Roman" w:hAnsi="Times New Roman" w:cs="Times New Roman"/>
        </w:rPr>
      </w:pPr>
      <w:r w:rsidRPr="00977AB6">
        <w:rPr>
          <w:rStyle w:val="Odwoanieprzypisudolnego"/>
          <w:rFonts w:ascii="Times New Roman" w:hAnsi="Times New Roman" w:cs="Times New Roman"/>
        </w:rPr>
        <w:footnoteRef/>
      </w:r>
      <w:r w:rsidR="0066040F">
        <w:rPr>
          <w:rFonts w:ascii="Times New Roman" w:hAnsi="Times New Roman" w:cs="Times New Roman"/>
          <w:vertAlign w:val="superscript"/>
        </w:rPr>
        <w:t>)</w:t>
      </w:r>
      <w:r w:rsidR="0066040F">
        <w:rPr>
          <w:rFonts w:ascii="Times New Roman" w:hAnsi="Times New Roman" w:cs="Times New Roman"/>
        </w:rPr>
        <w:tab/>
      </w:r>
      <w:r w:rsidRPr="00977AB6">
        <w:rPr>
          <w:rFonts w:ascii="Times New Roman" w:hAnsi="Times New Roman" w:cs="Times New Roman"/>
        </w:rPr>
        <w:t>Dz. U z 2023 r. poz. 556</w:t>
      </w:r>
      <w:r w:rsidR="0066040F">
        <w:rPr>
          <w:rFonts w:ascii="Times New Roman" w:hAnsi="Times New Roman" w:cs="Times New Roman"/>
        </w:rPr>
        <w:t>, z późn. zm</w:t>
      </w:r>
      <w:r w:rsidRPr="00977AB6">
        <w:rPr>
          <w:rFonts w:ascii="Times New Roman" w:hAnsi="Times New Roman" w:cs="Times New Roman"/>
        </w:rPr>
        <w:t>.</w:t>
      </w:r>
    </w:p>
  </w:footnote>
  <w:footnote w:id="27">
    <w:p w14:paraId="435932F9" w14:textId="4DA5E3A0" w:rsidR="00B028A9" w:rsidRPr="00977AB6" w:rsidRDefault="00B028A9" w:rsidP="00052A8C">
      <w:pPr>
        <w:pStyle w:val="Tekstprzypisudolnego"/>
        <w:ind w:left="284" w:hanging="284"/>
        <w:jc w:val="both"/>
        <w:rPr>
          <w:rFonts w:ascii="Times New Roman" w:hAnsi="Times New Roman" w:cs="Times New Roman"/>
        </w:rPr>
      </w:pPr>
      <w:r w:rsidRPr="00977AB6">
        <w:rPr>
          <w:rStyle w:val="Odwoanieprzypisudolnego"/>
          <w:rFonts w:ascii="Times New Roman" w:hAnsi="Times New Roman" w:cs="Times New Roman"/>
        </w:rPr>
        <w:footnoteRef/>
      </w:r>
      <w:r w:rsidR="0066040F">
        <w:rPr>
          <w:rFonts w:ascii="Times New Roman" w:hAnsi="Times New Roman" w:cs="Times New Roman"/>
          <w:vertAlign w:val="superscript"/>
        </w:rPr>
        <w:t>)</w:t>
      </w:r>
      <w:r w:rsidR="0066040F">
        <w:rPr>
          <w:rFonts w:ascii="Times New Roman" w:hAnsi="Times New Roman" w:cs="Times New Roman"/>
        </w:rPr>
        <w:tab/>
      </w:r>
      <w:r w:rsidRPr="00977AB6">
        <w:rPr>
          <w:rFonts w:ascii="Times New Roman" w:hAnsi="Times New Roman" w:cs="Times New Roman"/>
        </w:rPr>
        <w:t>Dyrektywa 2003/87/WE Parlamentu Europejskiego i</w:t>
      </w:r>
      <w:r w:rsidR="0066040F">
        <w:rPr>
          <w:rFonts w:ascii="Times New Roman" w:hAnsi="Times New Roman" w:cs="Times New Roman"/>
        </w:rPr>
        <w:t xml:space="preserve"> </w:t>
      </w:r>
      <w:r w:rsidRPr="00977AB6">
        <w:rPr>
          <w:rFonts w:ascii="Times New Roman" w:hAnsi="Times New Roman" w:cs="Times New Roman"/>
        </w:rPr>
        <w:t>Rady z dnia 13</w:t>
      </w:r>
      <w:r w:rsidR="0066040F">
        <w:rPr>
          <w:rFonts w:ascii="Times New Roman" w:hAnsi="Times New Roman" w:cs="Times New Roman"/>
        </w:rPr>
        <w:t xml:space="preserve"> </w:t>
      </w:r>
      <w:r w:rsidRPr="00977AB6">
        <w:rPr>
          <w:rFonts w:ascii="Times New Roman" w:hAnsi="Times New Roman" w:cs="Times New Roman"/>
        </w:rPr>
        <w:t xml:space="preserve">października 2003 r. </w:t>
      </w:r>
      <w:r w:rsidR="005E0DEA" w:rsidRPr="00977AB6">
        <w:rPr>
          <w:rFonts w:ascii="Times New Roman" w:hAnsi="Times New Roman" w:cs="Times New Roman"/>
        </w:rPr>
        <w:t>ustanawiając</w:t>
      </w:r>
      <w:r w:rsidR="005E0DEA">
        <w:rPr>
          <w:rFonts w:ascii="Times New Roman" w:hAnsi="Times New Roman" w:cs="Times New Roman"/>
        </w:rPr>
        <w:t>a</w:t>
      </w:r>
      <w:r w:rsidR="005E0DEA" w:rsidRPr="00977AB6">
        <w:rPr>
          <w:rFonts w:ascii="Times New Roman" w:hAnsi="Times New Roman" w:cs="Times New Roman"/>
        </w:rPr>
        <w:t xml:space="preserve"> </w:t>
      </w:r>
      <w:r w:rsidRPr="00977AB6">
        <w:rPr>
          <w:rFonts w:ascii="Times New Roman" w:hAnsi="Times New Roman" w:cs="Times New Roman"/>
        </w:rPr>
        <w:t xml:space="preserve">system handlu przydziałami emisji gazów cieplarnianych w </w:t>
      </w:r>
      <w:r w:rsidR="0005387E">
        <w:rPr>
          <w:rFonts w:ascii="Times New Roman" w:hAnsi="Times New Roman" w:cs="Times New Roman"/>
        </w:rPr>
        <w:t xml:space="preserve">Unii </w:t>
      </w:r>
      <w:r w:rsidR="005E0DEA" w:rsidRPr="005E0DEA">
        <w:rPr>
          <w:rFonts w:ascii="Times New Roman" w:hAnsi="Times New Roman" w:cs="Times New Roman"/>
        </w:rPr>
        <w:t>oraz zmieniając</w:t>
      </w:r>
      <w:r w:rsidR="005E0DEA">
        <w:rPr>
          <w:rFonts w:ascii="Times New Roman" w:hAnsi="Times New Roman" w:cs="Times New Roman"/>
        </w:rPr>
        <w:t>a</w:t>
      </w:r>
      <w:r w:rsidR="005E0DEA" w:rsidRPr="005E0DEA">
        <w:rPr>
          <w:rFonts w:ascii="Times New Roman" w:hAnsi="Times New Roman" w:cs="Times New Roman"/>
        </w:rPr>
        <w:t xml:space="preserve"> dyrektywę Rady 96/61/WE (Dz.</w:t>
      </w:r>
      <w:r w:rsidR="005E0DEA">
        <w:rPr>
          <w:rFonts w:ascii="Times New Roman" w:hAnsi="Times New Roman" w:cs="Times New Roman"/>
        </w:rPr>
        <w:t xml:space="preserve"> </w:t>
      </w:r>
      <w:r w:rsidR="005E0DEA" w:rsidRPr="005E0DEA">
        <w:rPr>
          <w:rFonts w:ascii="Times New Roman" w:hAnsi="Times New Roman" w:cs="Times New Roman"/>
        </w:rPr>
        <w:t>Urz. UE L 275 z 25.10.2003, str. 32, z późn. zm. - Dz.</w:t>
      </w:r>
      <w:r w:rsidR="005E0DEA">
        <w:rPr>
          <w:rFonts w:ascii="Times New Roman" w:hAnsi="Times New Roman" w:cs="Times New Roman"/>
        </w:rPr>
        <w:t xml:space="preserve"> </w:t>
      </w:r>
      <w:r w:rsidR="005E0DEA" w:rsidRPr="005E0DEA">
        <w:rPr>
          <w:rFonts w:ascii="Times New Roman" w:hAnsi="Times New Roman" w:cs="Times New Roman"/>
        </w:rPr>
        <w:t>Urz. UE Polskie wydanie specjalne, rozdz. 15, t. 7, str. 631</w:t>
      </w:r>
      <w:r w:rsidR="005E0DEA">
        <w:rPr>
          <w:rFonts w:ascii="Times New Roman" w:hAnsi="Times New Roman" w:cs="Times New Roman"/>
        </w:rPr>
        <w:t>)</w:t>
      </w:r>
      <w:r w:rsidR="00BD6A30">
        <w:rPr>
          <w:rFonts w:ascii="Times New Roman" w:hAnsi="Times New Roman" w:cs="Times New Roman"/>
        </w:rPr>
        <w:t>.</w:t>
      </w:r>
    </w:p>
  </w:footnote>
  <w:footnote w:id="28">
    <w:p w14:paraId="4335ADA8" w14:textId="482D257E" w:rsidR="00E41797" w:rsidRPr="00E41797" w:rsidRDefault="00E41797" w:rsidP="00052A8C">
      <w:pPr>
        <w:pStyle w:val="Tekstprzypisudolnego"/>
        <w:ind w:left="284" w:hanging="284"/>
        <w:jc w:val="both"/>
        <w:rPr>
          <w:rFonts w:ascii="Times New Roman" w:hAnsi="Times New Roman" w:cs="Times New Roman"/>
        </w:rPr>
      </w:pPr>
      <w:r>
        <w:rPr>
          <w:rFonts w:ascii="Times New Roman" w:hAnsi="Times New Roman" w:cs="Times New Roman"/>
          <w:vertAlign w:val="superscript"/>
        </w:rPr>
        <w:t>28)</w:t>
      </w:r>
      <w:r>
        <w:rPr>
          <w:rFonts w:ascii="Times New Roman" w:hAnsi="Times New Roman" w:cs="Times New Roman"/>
          <w:vertAlign w:val="superscript"/>
        </w:rPr>
        <w:tab/>
      </w:r>
      <w:r w:rsidRPr="00E41797">
        <w:rPr>
          <w:rFonts w:ascii="Times New Roman" w:hAnsi="Times New Roman" w:cs="Times New Roman"/>
        </w:rPr>
        <w:t>Dz. U. poz. 1301</w:t>
      </w:r>
      <w:r w:rsidR="00413E3D">
        <w:rPr>
          <w:rFonts w:ascii="Times New Roman" w:hAnsi="Times New Roman" w:cs="Times New Roman"/>
        </w:rPr>
        <w:t>, z późn. zm.</w:t>
      </w:r>
    </w:p>
    <w:p w14:paraId="67EE50A5" w14:textId="43C763B3" w:rsidR="009C68E7" w:rsidRPr="00530CB6" w:rsidRDefault="00E41797" w:rsidP="00052A8C">
      <w:pPr>
        <w:pStyle w:val="Tekstprzypisudolnego"/>
        <w:ind w:left="284" w:hanging="284"/>
        <w:jc w:val="both"/>
        <w:rPr>
          <w:rFonts w:ascii="Times New Roman" w:hAnsi="Times New Roman" w:cs="Times New Roman"/>
        </w:rPr>
      </w:pPr>
      <w:r>
        <w:rPr>
          <w:rFonts w:ascii="Times New Roman" w:hAnsi="Times New Roman" w:cs="Times New Roman"/>
          <w:vertAlign w:val="superscript"/>
        </w:rPr>
        <w:t>29)</w:t>
      </w:r>
      <w:r>
        <w:rPr>
          <w:rFonts w:ascii="Times New Roman" w:hAnsi="Times New Roman" w:cs="Times New Roman"/>
          <w:vertAlign w:val="superscript"/>
        </w:rPr>
        <w:tab/>
      </w:r>
      <w:r w:rsidRPr="00E41797">
        <w:rPr>
          <w:rFonts w:ascii="Times New Roman" w:hAnsi="Times New Roman" w:cs="Times New Roman"/>
        </w:rPr>
        <w:t>Dz. U</w:t>
      </w:r>
      <w:r w:rsidR="00CE1529">
        <w:rPr>
          <w:rFonts w:ascii="Times New Roman" w:hAnsi="Times New Roman" w:cs="Times New Roman"/>
        </w:rPr>
        <w:t>.</w:t>
      </w:r>
      <w:r w:rsidRPr="00E41797">
        <w:rPr>
          <w:rFonts w:ascii="Times New Roman" w:hAnsi="Times New Roman" w:cs="Times New Roman"/>
        </w:rPr>
        <w:t xml:space="preserve"> poz. 1685</w:t>
      </w:r>
      <w:r w:rsidR="00413E3D">
        <w:rPr>
          <w:rFonts w:ascii="Times New Roman" w:hAnsi="Times New Roman" w:cs="Times New Roman"/>
        </w:rPr>
        <w:t>.</w:t>
      </w:r>
    </w:p>
  </w:footnote>
  <w:footnote w:id="29">
    <w:p w14:paraId="3D6DF29D" w14:textId="553E9AEB" w:rsidR="00691EBE" w:rsidRPr="00691EBE" w:rsidRDefault="00691EBE" w:rsidP="00E62635">
      <w:pPr>
        <w:pStyle w:val="Tekstprzypisudolnego"/>
        <w:jc w:val="both"/>
        <w:rPr>
          <w:rFonts w:ascii="Times New Roman" w:hAnsi="Times New Roman" w:cs="Times New Roman"/>
          <w:sz w:val="18"/>
          <w:szCs w:val="18"/>
        </w:rPr>
      </w:pPr>
    </w:p>
  </w:footnote>
  <w:footnote w:id="30">
    <w:p w14:paraId="0EEBE943" w14:textId="53DAE6B7" w:rsidR="00F57912" w:rsidRPr="00530CB6" w:rsidRDefault="00F57912" w:rsidP="00052A8C">
      <w:pPr>
        <w:pStyle w:val="Tekstprzypisudolnego"/>
        <w:ind w:left="284" w:hanging="284"/>
        <w:rPr>
          <w:rFonts w:ascii="Times New Roman" w:hAnsi="Times New Roman" w:cs="Times New Roman"/>
        </w:rPr>
      </w:pPr>
      <w:r w:rsidRPr="00530CB6">
        <w:rPr>
          <w:rStyle w:val="Odwoanieprzypisudolnego"/>
          <w:rFonts w:ascii="Times New Roman" w:hAnsi="Times New Roman" w:cs="Times New Roman"/>
        </w:rPr>
        <w:footnoteRef/>
      </w:r>
      <w:r w:rsidR="002A1961">
        <w:rPr>
          <w:rFonts w:ascii="Times New Roman" w:hAnsi="Times New Roman" w:cs="Times New Roman"/>
          <w:vertAlign w:val="superscript"/>
        </w:rPr>
        <w:t>)</w:t>
      </w:r>
      <w:r w:rsidR="002A1961">
        <w:rPr>
          <w:rFonts w:ascii="Times New Roman" w:hAnsi="Times New Roman" w:cs="Times New Roman"/>
        </w:rPr>
        <w:tab/>
      </w:r>
      <w:r w:rsidRPr="00530CB6">
        <w:rPr>
          <w:rFonts w:ascii="Times New Roman" w:hAnsi="Times New Roman" w:cs="Times New Roman"/>
        </w:rPr>
        <w:t>Dz. U. z 202</w:t>
      </w:r>
      <w:r w:rsidR="002A1961">
        <w:rPr>
          <w:rFonts w:ascii="Times New Roman" w:hAnsi="Times New Roman" w:cs="Times New Roman"/>
        </w:rPr>
        <w:t>4</w:t>
      </w:r>
      <w:r w:rsidRPr="00530CB6">
        <w:rPr>
          <w:rFonts w:ascii="Times New Roman" w:hAnsi="Times New Roman" w:cs="Times New Roman"/>
        </w:rPr>
        <w:t xml:space="preserve"> r. poz. </w:t>
      </w:r>
      <w:r w:rsidR="002A1961">
        <w:rPr>
          <w:rFonts w:ascii="Times New Roman" w:hAnsi="Times New Roman" w:cs="Times New Roman"/>
        </w:rPr>
        <w:t>236, z późn. zm.</w:t>
      </w:r>
    </w:p>
  </w:footnote>
  <w:footnote w:id="31">
    <w:p w14:paraId="24D2A7F3" w14:textId="0FD1CC75" w:rsidR="009C68E7" w:rsidRPr="00530CB6" w:rsidRDefault="009C68E7" w:rsidP="00052A8C">
      <w:pPr>
        <w:pStyle w:val="Tekstprzypisudolnego"/>
        <w:ind w:left="284" w:hanging="284"/>
        <w:jc w:val="both"/>
        <w:rPr>
          <w:rFonts w:ascii="Times New Roman" w:hAnsi="Times New Roman" w:cs="Times New Roman"/>
        </w:rPr>
      </w:pPr>
      <w:r w:rsidRPr="00530CB6">
        <w:rPr>
          <w:rStyle w:val="Odwoanieprzypisudolnego"/>
          <w:rFonts w:ascii="Times New Roman" w:hAnsi="Times New Roman" w:cs="Times New Roman"/>
        </w:rPr>
        <w:footnoteRef/>
      </w:r>
      <w:r w:rsidR="002A1961">
        <w:rPr>
          <w:rFonts w:ascii="Times New Roman" w:hAnsi="Times New Roman" w:cs="Times New Roman"/>
          <w:vertAlign w:val="superscript"/>
        </w:rPr>
        <w:t>)</w:t>
      </w:r>
      <w:r w:rsidR="002A1961">
        <w:rPr>
          <w:rFonts w:ascii="Times New Roman" w:hAnsi="Times New Roman" w:cs="Times New Roman"/>
        </w:rPr>
        <w:tab/>
      </w:r>
      <w:r w:rsidRPr="00530CB6">
        <w:rPr>
          <w:rFonts w:ascii="Times New Roman" w:hAnsi="Times New Roman" w:cs="Times New Roman"/>
        </w:rPr>
        <w:t>Przepis art. 89 pkt 6a dodany ustawą z dnia 6 listopada 2024 r. o opodatkowaniu wyrównawczym jednostek składowych grup międzynarodowych i krajowych.</w:t>
      </w:r>
    </w:p>
  </w:footnote>
  <w:footnote w:id="32">
    <w:p w14:paraId="3E895DB5" w14:textId="6B8A4968" w:rsidR="0034221B" w:rsidRPr="00413E3D" w:rsidRDefault="0034221B" w:rsidP="00052A8C">
      <w:pPr>
        <w:pStyle w:val="Tekstprzypisudolnego"/>
        <w:ind w:left="426" w:hanging="426"/>
        <w:jc w:val="both"/>
        <w:rPr>
          <w:rFonts w:ascii="Times New Roman" w:hAnsi="Times New Roman" w:cs="Times New Roman"/>
        </w:rPr>
      </w:pPr>
      <w:r w:rsidRPr="00977AB6">
        <w:rPr>
          <w:rStyle w:val="Odwoanieprzypisudolnego"/>
          <w:rFonts w:ascii="Times New Roman" w:hAnsi="Times New Roman" w:cs="Times New Roman"/>
        </w:rPr>
        <w:footnoteRef/>
      </w:r>
      <w:r w:rsidR="00786859">
        <w:rPr>
          <w:rFonts w:ascii="Times New Roman" w:hAnsi="Times New Roman" w:cs="Times New Roman"/>
          <w:vertAlign w:val="superscript"/>
        </w:rPr>
        <w:t>)</w:t>
      </w:r>
      <w:r w:rsidR="00786859">
        <w:rPr>
          <w:rFonts w:ascii="Times New Roman" w:hAnsi="Times New Roman" w:cs="Times New Roman"/>
        </w:rPr>
        <w:tab/>
      </w:r>
      <w:r w:rsidRPr="00977AB6">
        <w:rPr>
          <w:rFonts w:ascii="Times New Roman" w:hAnsi="Times New Roman" w:cs="Times New Roman"/>
          <w:color w:val="000000"/>
        </w:rPr>
        <w:t>Rozporządzenie Parlamentu Europejskiego i Rady (UE) 2016/679 z dnia 27 kwietnia 2016</w:t>
      </w:r>
      <w:r w:rsidR="00D169A3">
        <w:rPr>
          <w:rFonts w:ascii="Times New Roman" w:hAnsi="Times New Roman" w:cs="Times New Roman"/>
          <w:color w:val="000000"/>
        </w:rPr>
        <w:t xml:space="preserve"> </w:t>
      </w:r>
      <w:r w:rsidRPr="00977AB6">
        <w:rPr>
          <w:rFonts w:ascii="Times New Roman" w:hAnsi="Times New Roman" w:cs="Times New Roman"/>
          <w:color w:val="000000"/>
        </w:rPr>
        <w:t>r. w sprawie ochrony osób fizycznych w</w:t>
      </w:r>
      <w:r w:rsidR="00D169A3">
        <w:rPr>
          <w:rFonts w:ascii="Times New Roman" w:hAnsi="Times New Roman" w:cs="Times New Roman"/>
          <w:color w:val="000000"/>
        </w:rPr>
        <w:t xml:space="preserve"> </w:t>
      </w:r>
      <w:r w:rsidRPr="00977AB6">
        <w:rPr>
          <w:rFonts w:ascii="Times New Roman" w:hAnsi="Times New Roman" w:cs="Times New Roman"/>
          <w:color w:val="000000"/>
        </w:rPr>
        <w:t>związku z</w:t>
      </w:r>
      <w:r w:rsidR="00D169A3">
        <w:rPr>
          <w:rFonts w:ascii="Times New Roman" w:hAnsi="Times New Roman" w:cs="Times New Roman"/>
          <w:color w:val="000000"/>
        </w:rPr>
        <w:t xml:space="preserve"> </w:t>
      </w:r>
      <w:r w:rsidRPr="00977AB6">
        <w:rPr>
          <w:rFonts w:ascii="Times New Roman" w:hAnsi="Times New Roman" w:cs="Times New Roman"/>
          <w:color w:val="000000"/>
        </w:rPr>
        <w:t>przetwarzaniem danych osobowych i</w:t>
      </w:r>
      <w:r w:rsidR="00D169A3">
        <w:rPr>
          <w:rFonts w:ascii="Times New Roman" w:hAnsi="Times New Roman" w:cs="Times New Roman"/>
          <w:color w:val="000000"/>
        </w:rPr>
        <w:t xml:space="preserve"> </w:t>
      </w:r>
      <w:r w:rsidRPr="00977AB6">
        <w:rPr>
          <w:rFonts w:ascii="Times New Roman" w:hAnsi="Times New Roman" w:cs="Times New Roman"/>
          <w:color w:val="000000"/>
        </w:rPr>
        <w:t>w</w:t>
      </w:r>
      <w:r w:rsidR="00D169A3">
        <w:rPr>
          <w:rFonts w:ascii="Times New Roman" w:hAnsi="Times New Roman" w:cs="Times New Roman"/>
          <w:color w:val="000000"/>
        </w:rPr>
        <w:t xml:space="preserve"> </w:t>
      </w:r>
      <w:r w:rsidRPr="00977AB6">
        <w:rPr>
          <w:rFonts w:ascii="Times New Roman" w:hAnsi="Times New Roman" w:cs="Times New Roman"/>
          <w:color w:val="000000"/>
        </w:rPr>
        <w:t xml:space="preserve">sprawie swobodnego przepływu takich danych oraz uchylenia dyrektywy 95/46/WE (ogólne rozporządzenie o ochronie danych) </w:t>
      </w:r>
      <w:r w:rsidR="00D169A3">
        <w:rPr>
          <w:rFonts w:ascii="Times New Roman" w:hAnsi="Times New Roman" w:cs="Times New Roman"/>
          <w:color w:val="000000"/>
        </w:rPr>
        <w:t>–</w:t>
      </w:r>
      <w:r w:rsidRPr="00977AB6">
        <w:rPr>
          <w:rFonts w:ascii="Times New Roman" w:hAnsi="Times New Roman" w:cs="Times New Roman"/>
          <w:color w:val="000000"/>
        </w:rPr>
        <w:t xml:space="preserve"> </w:t>
      </w:r>
      <w:r w:rsidR="00D77859">
        <w:rPr>
          <w:rFonts w:ascii="Times New Roman" w:hAnsi="Times New Roman" w:cs="Times New Roman"/>
          <w:color w:val="000000"/>
        </w:rPr>
        <w:t>(</w:t>
      </w:r>
      <w:r w:rsidRPr="00977AB6">
        <w:rPr>
          <w:rFonts w:ascii="Times New Roman" w:hAnsi="Times New Roman" w:cs="Times New Roman"/>
          <w:color w:val="000000"/>
        </w:rPr>
        <w:t>Dz.</w:t>
      </w:r>
      <w:r w:rsidR="00AA1CB1">
        <w:rPr>
          <w:rFonts w:ascii="Times New Roman" w:hAnsi="Times New Roman" w:cs="Times New Roman"/>
          <w:color w:val="000000"/>
        </w:rPr>
        <w:t xml:space="preserve"> </w:t>
      </w:r>
      <w:r w:rsidRPr="00977AB6">
        <w:rPr>
          <w:rFonts w:ascii="Times New Roman" w:hAnsi="Times New Roman" w:cs="Times New Roman"/>
          <w:color w:val="000000"/>
        </w:rPr>
        <w:t>U</w:t>
      </w:r>
      <w:r w:rsidR="00AA1CB1">
        <w:rPr>
          <w:rFonts w:ascii="Times New Roman" w:hAnsi="Times New Roman" w:cs="Times New Roman"/>
          <w:color w:val="000000"/>
        </w:rPr>
        <w:t>rz</w:t>
      </w:r>
      <w:r w:rsidRPr="00977AB6">
        <w:rPr>
          <w:rFonts w:ascii="Times New Roman" w:hAnsi="Times New Roman" w:cs="Times New Roman"/>
          <w:color w:val="000000"/>
        </w:rPr>
        <w:t>.</w:t>
      </w:r>
      <w:r w:rsidR="00AA1CB1">
        <w:rPr>
          <w:rFonts w:ascii="Times New Roman" w:hAnsi="Times New Roman" w:cs="Times New Roman"/>
          <w:color w:val="000000"/>
        </w:rPr>
        <w:t xml:space="preserve"> UE</w:t>
      </w:r>
      <w:r w:rsidRPr="00977AB6">
        <w:rPr>
          <w:rFonts w:ascii="Times New Roman" w:hAnsi="Times New Roman" w:cs="Times New Roman"/>
          <w:color w:val="000000"/>
        </w:rPr>
        <w:t xml:space="preserve"> L 119 z </w:t>
      </w:r>
      <w:r w:rsidR="00D77859">
        <w:rPr>
          <w:rFonts w:ascii="Times New Roman" w:hAnsi="Times New Roman" w:cs="Times New Roman"/>
          <w:color w:val="000000"/>
        </w:rPr>
        <w:t>0</w:t>
      </w:r>
      <w:r w:rsidRPr="00977AB6">
        <w:rPr>
          <w:rFonts w:ascii="Times New Roman" w:hAnsi="Times New Roman" w:cs="Times New Roman"/>
          <w:color w:val="000000"/>
        </w:rPr>
        <w:t>4.</w:t>
      </w:r>
      <w:r w:rsidR="00D77859">
        <w:rPr>
          <w:rFonts w:ascii="Times New Roman" w:hAnsi="Times New Roman" w:cs="Times New Roman"/>
          <w:color w:val="000000"/>
        </w:rPr>
        <w:t>0</w:t>
      </w:r>
      <w:r w:rsidRPr="00977AB6">
        <w:rPr>
          <w:rFonts w:ascii="Times New Roman" w:hAnsi="Times New Roman" w:cs="Times New Roman"/>
          <w:color w:val="000000"/>
        </w:rPr>
        <w:t>5.2016, s</w:t>
      </w:r>
      <w:r w:rsidR="00D77859">
        <w:rPr>
          <w:rFonts w:ascii="Times New Roman" w:hAnsi="Times New Roman" w:cs="Times New Roman"/>
          <w:color w:val="000000"/>
        </w:rPr>
        <w:t>tr</w:t>
      </w:r>
      <w:r w:rsidRPr="00977AB6">
        <w:rPr>
          <w:rFonts w:ascii="Times New Roman" w:hAnsi="Times New Roman" w:cs="Times New Roman"/>
          <w:color w:val="000000"/>
        </w:rPr>
        <w:t>. 1</w:t>
      </w:r>
      <w:r w:rsidR="00D77859">
        <w:rPr>
          <w:rFonts w:ascii="Times New Roman" w:hAnsi="Times New Roman" w:cs="Times New Roman"/>
          <w:color w:val="000000"/>
        </w:rPr>
        <w:t>, z późn. zm.)</w:t>
      </w:r>
      <w:r w:rsidR="00ED0916">
        <w:rPr>
          <w:rFonts w:ascii="Times New Roman" w:hAnsi="Times New Roman" w:cs="Times New Roman"/>
          <w:color w:val="000000"/>
        </w:rPr>
        <w:t>.</w:t>
      </w:r>
    </w:p>
  </w:footnote>
  <w:footnote w:id="33">
    <w:p w14:paraId="0202AB68" w14:textId="2FE915C8" w:rsidR="00691EBE" w:rsidRPr="00691EBE" w:rsidRDefault="00691EBE" w:rsidP="00052A8C">
      <w:pPr>
        <w:pStyle w:val="Tekstprzypisudolnego"/>
        <w:ind w:left="426" w:hanging="426"/>
        <w:jc w:val="both"/>
        <w:rPr>
          <w:rFonts w:ascii="Times New Roman" w:hAnsi="Times New Roman" w:cs="Times New Roman"/>
          <w:sz w:val="18"/>
          <w:szCs w:val="18"/>
        </w:rPr>
      </w:pPr>
      <w:r w:rsidRPr="00691EBE">
        <w:rPr>
          <w:rStyle w:val="Odwoanieprzypisudolnego"/>
          <w:rFonts w:ascii="Times New Roman" w:hAnsi="Times New Roman" w:cs="Times New Roman"/>
          <w:sz w:val="18"/>
          <w:szCs w:val="18"/>
        </w:rPr>
        <w:footnoteRef/>
      </w:r>
      <w:r w:rsidR="00786859">
        <w:rPr>
          <w:rFonts w:ascii="Times New Roman" w:hAnsi="Times New Roman" w:cs="Times New Roman"/>
          <w:sz w:val="18"/>
          <w:szCs w:val="18"/>
          <w:vertAlign w:val="superscript"/>
        </w:rPr>
        <w:t>)</w:t>
      </w:r>
      <w:r w:rsidR="00786859">
        <w:rPr>
          <w:rFonts w:ascii="Times New Roman" w:hAnsi="Times New Roman" w:cs="Times New Roman"/>
          <w:sz w:val="18"/>
          <w:szCs w:val="18"/>
          <w:vertAlign w:val="superscript"/>
        </w:rPr>
        <w:tab/>
      </w:r>
      <w:r w:rsidRPr="00052A8C">
        <w:rPr>
          <w:rFonts w:ascii="Times New Roman" w:hAnsi="Times New Roman" w:cs="Times New Roman"/>
        </w:rPr>
        <w:t xml:space="preserve">W brzmieniu uwzględniającym </w:t>
      </w:r>
      <w:r w:rsidR="00C0351A" w:rsidRPr="00052A8C">
        <w:rPr>
          <w:rFonts w:ascii="Times New Roman" w:hAnsi="Times New Roman" w:cs="Times New Roman"/>
        </w:rPr>
        <w:t>zmiany wprowadzone</w:t>
      </w:r>
      <w:r w:rsidR="0051277A" w:rsidRPr="00052A8C">
        <w:rPr>
          <w:rFonts w:ascii="Times New Roman" w:hAnsi="Times New Roman" w:cs="Times New Roman"/>
        </w:rPr>
        <w:t xml:space="preserve"> </w:t>
      </w:r>
      <w:r w:rsidR="00C0351A" w:rsidRPr="00052A8C">
        <w:rPr>
          <w:rFonts w:ascii="Times New Roman" w:hAnsi="Times New Roman" w:cs="Times New Roman"/>
        </w:rPr>
        <w:t xml:space="preserve">ustawą </w:t>
      </w:r>
      <w:r w:rsidRPr="00052A8C">
        <w:rPr>
          <w:rFonts w:ascii="Times New Roman" w:hAnsi="Times New Roman" w:cs="Times New Roman"/>
        </w:rPr>
        <w:t xml:space="preserve">z </w:t>
      </w:r>
      <w:r w:rsidR="00C0351A" w:rsidRPr="00052A8C">
        <w:rPr>
          <w:rFonts w:ascii="Times New Roman" w:hAnsi="Times New Roman" w:cs="Times New Roman"/>
        </w:rPr>
        <w:t xml:space="preserve">dnia </w:t>
      </w:r>
      <w:r w:rsidRPr="00052A8C">
        <w:rPr>
          <w:rFonts w:ascii="Times New Roman" w:hAnsi="Times New Roman" w:cs="Times New Roman"/>
        </w:rPr>
        <w:t>6 listopada 2024 r. o opodatkowaniu wyrównawczym jednostek składowych grup międzynarodowych i krajowych</w:t>
      </w:r>
      <w:r w:rsidR="00AB7297" w:rsidRPr="00052A8C">
        <w:rPr>
          <w:rFonts w:ascii="Times New Roman" w:hAnsi="Times New Roman" w:cs="Times New Roman"/>
        </w:rPr>
        <w:t>.</w:t>
      </w:r>
    </w:p>
  </w:footnote>
  <w:footnote w:id="34">
    <w:p w14:paraId="3DA11A20" w14:textId="2DC4F5B4" w:rsidR="00B45570" w:rsidRPr="00BD6A30" w:rsidRDefault="00B45570" w:rsidP="00052A8C">
      <w:pPr>
        <w:pStyle w:val="Tekstprzypisudolnego"/>
        <w:ind w:left="284" w:hanging="284"/>
        <w:rPr>
          <w:rFonts w:ascii="Times New Roman" w:hAnsi="Times New Roman" w:cs="Times New Roman"/>
        </w:rPr>
      </w:pPr>
      <w:r w:rsidRPr="00052A8C">
        <w:rPr>
          <w:rStyle w:val="Odwoanieprzypisudolnego"/>
          <w:rFonts w:ascii="Times New Roman" w:hAnsi="Times New Roman" w:cs="Times New Roman"/>
        </w:rPr>
        <w:footnoteRef/>
      </w:r>
      <w:r w:rsidR="00D169A3">
        <w:rPr>
          <w:vertAlign w:val="superscript"/>
        </w:rPr>
        <w:t>)</w:t>
      </w:r>
      <w:r w:rsidR="00D169A3">
        <w:tab/>
      </w:r>
      <w:r w:rsidRPr="00BD6A30">
        <w:rPr>
          <w:rFonts w:ascii="Times New Roman" w:hAnsi="Times New Roman" w:cs="Times New Roman"/>
        </w:rPr>
        <w:t>Ustawą z dnia 31 sierpnia 2019 r. o zmianie niektórych ustaw w celu ograniczenia obciążeń regulacyjnych (Dz. U. poz. 1495</w:t>
      </w:r>
      <w:r w:rsidR="00F2358D">
        <w:rPr>
          <w:rFonts w:ascii="Times New Roman" w:hAnsi="Times New Roman" w:cs="Times New Roman"/>
        </w:rPr>
        <w:t>, z późn. zm.</w:t>
      </w:r>
      <w:r w:rsidRPr="00BD6A30">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43EA4"/>
    <w:multiLevelType w:val="hybridMultilevel"/>
    <w:tmpl w:val="B4081714"/>
    <w:lvl w:ilvl="0" w:tplc="06E616EC">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7894F4C"/>
    <w:multiLevelType w:val="hybridMultilevel"/>
    <w:tmpl w:val="A440B772"/>
    <w:lvl w:ilvl="0" w:tplc="A32EB7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9C315B"/>
    <w:multiLevelType w:val="hybridMultilevel"/>
    <w:tmpl w:val="82FA4CE0"/>
    <w:lvl w:ilvl="0" w:tplc="9D2C0646">
      <w:start w:val="1"/>
      <w:numFmt w:val="bullet"/>
      <w:lvlText w:val="-"/>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606081D"/>
    <w:multiLevelType w:val="hybridMultilevel"/>
    <w:tmpl w:val="333A9E1C"/>
    <w:lvl w:ilvl="0" w:tplc="04150011">
      <w:start w:val="1"/>
      <w:numFmt w:val="decimal"/>
      <w:lvlText w:val="%1)"/>
      <w:lvlJc w:val="left"/>
      <w:pPr>
        <w:ind w:left="1070"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289B0F5B"/>
    <w:multiLevelType w:val="hybridMultilevel"/>
    <w:tmpl w:val="EEC80378"/>
    <w:lvl w:ilvl="0" w:tplc="06E616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CD7A6A"/>
    <w:multiLevelType w:val="hybridMultilevel"/>
    <w:tmpl w:val="B3123272"/>
    <w:lvl w:ilvl="0" w:tplc="04150013">
      <w:start w:val="1"/>
      <w:numFmt w:val="upperRoman"/>
      <w:lvlText w:val="%1."/>
      <w:lvlJc w:val="right"/>
      <w:pPr>
        <w:ind w:left="720" w:hanging="360"/>
      </w:pPr>
    </w:lvl>
    <w:lvl w:ilvl="1" w:tplc="B980E758">
      <w:start w:val="1"/>
      <w:numFmt w:val="upp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9332F2"/>
    <w:multiLevelType w:val="hybridMultilevel"/>
    <w:tmpl w:val="E3D4D344"/>
    <w:lvl w:ilvl="0" w:tplc="06E61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595B98"/>
    <w:multiLevelType w:val="hybridMultilevel"/>
    <w:tmpl w:val="4788C1E0"/>
    <w:lvl w:ilvl="0" w:tplc="06E616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656070A"/>
    <w:multiLevelType w:val="hybridMultilevel"/>
    <w:tmpl w:val="9ABA4CCC"/>
    <w:lvl w:ilvl="0" w:tplc="04150011">
      <w:start w:val="1"/>
      <w:numFmt w:val="decimal"/>
      <w:lvlText w:val="%1)"/>
      <w:lvlJc w:val="left"/>
      <w:pPr>
        <w:ind w:left="1070" w:hanging="360"/>
      </w:pPr>
      <w:rPr>
        <w:rFont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489E1587"/>
    <w:multiLevelType w:val="hybridMultilevel"/>
    <w:tmpl w:val="8A2677E8"/>
    <w:lvl w:ilvl="0" w:tplc="9942039E">
      <w:start w:val="1"/>
      <w:numFmt w:val="upp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817C52"/>
    <w:multiLevelType w:val="hybridMultilevel"/>
    <w:tmpl w:val="BDC27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08C5113"/>
    <w:multiLevelType w:val="hybridMultilevel"/>
    <w:tmpl w:val="32D0A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7403A4"/>
    <w:multiLevelType w:val="hybridMultilevel"/>
    <w:tmpl w:val="C44C1F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FBD171B"/>
    <w:multiLevelType w:val="hybridMultilevel"/>
    <w:tmpl w:val="59ACA79A"/>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7EF102B"/>
    <w:multiLevelType w:val="hybridMultilevel"/>
    <w:tmpl w:val="CFF69B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8D6F01"/>
    <w:multiLevelType w:val="hybridMultilevel"/>
    <w:tmpl w:val="AB8A4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FDC7F78"/>
    <w:multiLevelType w:val="hybridMultilevel"/>
    <w:tmpl w:val="5B94A92C"/>
    <w:lvl w:ilvl="0" w:tplc="04150013">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9429099">
    <w:abstractNumId w:val="0"/>
  </w:num>
  <w:num w:numId="2" w16cid:durableId="1726488935">
    <w:abstractNumId w:val="4"/>
  </w:num>
  <w:num w:numId="3" w16cid:durableId="1617253345">
    <w:abstractNumId w:val="7"/>
  </w:num>
  <w:num w:numId="4" w16cid:durableId="759981977">
    <w:abstractNumId w:val="16"/>
  </w:num>
  <w:num w:numId="5" w16cid:durableId="2034570846">
    <w:abstractNumId w:val="13"/>
  </w:num>
  <w:num w:numId="6" w16cid:durableId="420880024">
    <w:abstractNumId w:val="8"/>
  </w:num>
  <w:num w:numId="7" w16cid:durableId="468018329">
    <w:abstractNumId w:val="5"/>
  </w:num>
  <w:num w:numId="8" w16cid:durableId="1615090281">
    <w:abstractNumId w:val="9"/>
  </w:num>
  <w:num w:numId="9" w16cid:durableId="903491887">
    <w:abstractNumId w:val="2"/>
  </w:num>
  <w:num w:numId="10" w16cid:durableId="1277908333">
    <w:abstractNumId w:val="3"/>
  </w:num>
  <w:num w:numId="11" w16cid:durableId="1045448930">
    <w:abstractNumId w:val="10"/>
  </w:num>
  <w:num w:numId="12" w16cid:durableId="689917816">
    <w:abstractNumId w:val="14"/>
  </w:num>
  <w:num w:numId="13" w16cid:durableId="1806308439">
    <w:abstractNumId w:val="1"/>
  </w:num>
  <w:num w:numId="14" w16cid:durableId="2081445831">
    <w:abstractNumId w:val="6"/>
  </w:num>
  <w:num w:numId="15" w16cid:durableId="395322171">
    <w:abstractNumId w:val="11"/>
  </w:num>
  <w:num w:numId="16" w16cid:durableId="1277981767">
    <w:abstractNumId w:val="15"/>
  </w:num>
  <w:num w:numId="17" w16cid:durableId="90657415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C9"/>
    <w:rsid w:val="0000026F"/>
    <w:rsid w:val="00001B00"/>
    <w:rsid w:val="0000206B"/>
    <w:rsid w:val="00004A64"/>
    <w:rsid w:val="00010F64"/>
    <w:rsid w:val="00013106"/>
    <w:rsid w:val="00014F85"/>
    <w:rsid w:val="000150E9"/>
    <w:rsid w:val="00016E88"/>
    <w:rsid w:val="0001738F"/>
    <w:rsid w:val="00022278"/>
    <w:rsid w:val="00022803"/>
    <w:rsid w:val="00024248"/>
    <w:rsid w:val="00045330"/>
    <w:rsid w:val="000515C3"/>
    <w:rsid w:val="00051EE6"/>
    <w:rsid w:val="00052A8C"/>
    <w:rsid w:val="0005387E"/>
    <w:rsid w:val="000608B1"/>
    <w:rsid w:val="00066241"/>
    <w:rsid w:val="000664AD"/>
    <w:rsid w:val="0007190A"/>
    <w:rsid w:val="00072377"/>
    <w:rsid w:val="00073820"/>
    <w:rsid w:val="0007413B"/>
    <w:rsid w:val="00083E12"/>
    <w:rsid w:val="00090DD1"/>
    <w:rsid w:val="00091C1D"/>
    <w:rsid w:val="00094621"/>
    <w:rsid w:val="0009624E"/>
    <w:rsid w:val="00096845"/>
    <w:rsid w:val="000A05F8"/>
    <w:rsid w:val="000A40C4"/>
    <w:rsid w:val="000A47C7"/>
    <w:rsid w:val="000A7F76"/>
    <w:rsid w:val="000B6FAF"/>
    <w:rsid w:val="000C4083"/>
    <w:rsid w:val="000C4852"/>
    <w:rsid w:val="000C5F15"/>
    <w:rsid w:val="000D44A7"/>
    <w:rsid w:val="000D4513"/>
    <w:rsid w:val="000E1AE3"/>
    <w:rsid w:val="000E4DC7"/>
    <w:rsid w:val="000E7058"/>
    <w:rsid w:val="000F19F6"/>
    <w:rsid w:val="000F2970"/>
    <w:rsid w:val="000F36C1"/>
    <w:rsid w:val="00102FAB"/>
    <w:rsid w:val="00107B11"/>
    <w:rsid w:val="00110CFF"/>
    <w:rsid w:val="00113C44"/>
    <w:rsid w:val="00115E19"/>
    <w:rsid w:val="00121479"/>
    <w:rsid w:val="00121C5F"/>
    <w:rsid w:val="001261DE"/>
    <w:rsid w:val="00127405"/>
    <w:rsid w:val="0012769F"/>
    <w:rsid w:val="00132887"/>
    <w:rsid w:val="00141A24"/>
    <w:rsid w:val="00141DC6"/>
    <w:rsid w:val="001434F5"/>
    <w:rsid w:val="00153AAF"/>
    <w:rsid w:val="00156042"/>
    <w:rsid w:val="00156E67"/>
    <w:rsid w:val="001668F0"/>
    <w:rsid w:val="00173BCA"/>
    <w:rsid w:val="00183358"/>
    <w:rsid w:val="00187E21"/>
    <w:rsid w:val="00191405"/>
    <w:rsid w:val="00193771"/>
    <w:rsid w:val="00197104"/>
    <w:rsid w:val="001A7490"/>
    <w:rsid w:val="001A7A3B"/>
    <w:rsid w:val="001C332E"/>
    <w:rsid w:val="001C6F99"/>
    <w:rsid w:val="001D1B09"/>
    <w:rsid w:val="001D1E26"/>
    <w:rsid w:val="001D324D"/>
    <w:rsid w:val="001E75B5"/>
    <w:rsid w:val="001F2469"/>
    <w:rsid w:val="001F2A6B"/>
    <w:rsid w:val="001F3477"/>
    <w:rsid w:val="001F70DA"/>
    <w:rsid w:val="00201AE4"/>
    <w:rsid w:val="00206DC3"/>
    <w:rsid w:val="00210DE3"/>
    <w:rsid w:val="00216BEF"/>
    <w:rsid w:val="00216E66"/>
    <w:rsid w:val="00217249"/>
    <w:rsid w:val="00217A05"/>
    <w:rsid w:val="00217F71"/>
    <w:rsid w:val="00220236"/>
    <w:rsid w:val="00220F9B"/>
    <w:rsid w:val="002219C2"/>
    <w:rsid w:val="0022280D"/>
    <w:rsid w:val="00232287"/>
    <w:rsid w:val="002340D5"/>
    <w:rsid w:val="0024103E"/>
    <w:rsid w:val="00244265"/>
    <w:rsid w:val="002448D4"/>
    <w:rsid w:val="00251408"/>
    <w:rsid w:val="00251F4D"/>
    <w:rsid w:val="00252A63"/>
    <w:rsid w:val="00255214"/>
    <w:rsid w:val="002565E4"/>
    <w:rsid w:val="0025704F"/>
    <w:rsid w:val="002611C3"/>
    <w:rsid w:val="00270A7E"/>
    <w:rsid w:val="00275638"/>
    <w:rsid w:val="00281755"/>
    <w:rsid w:val="0028357E"/>
    <w:rsid w:val="002856AA"/>
    <w:rsid w:val="00297FD3"/>
    <w:rsid w:val="002A1961"/>
    <w:rsid w:val="002A4259"/>
    <w:rsid w:val="002B1FA1"/>
    <w:rsid w:val="002B43F3"/>
    <w:rsid w:val="002B48E0"/>
    <w:rsid w:val="002B54BB"/>
    <w:rsid w:val="002B7AAC"/>
    <w:rsid w:val="002C26A5"/>
    <w:rsid w:val="002C2933"/>
    <w:rsid w:val="002D5F5D"/>
    <w:rsid w:val="002D7835"/>
    <w:rsid w:val="002E1CCC"/>
    <w:rsid w:val="002E52D1"/>
    <w:rsid w:val="002F01FF"/>
    <w:rsid w:val="002F2F17"/>
    <w:rsid w:val="002F4868"/>
    <w:rsid w:val="00303827"/>
    <w:rsid w:val="00317E13"/>
    <w:rsid w:val="0032276F"/>
    <w:rsid w:val="00322F8A"/>
    <w:rsid w:val="00323095"/>
    <w:rsid w:val="00327286"/>
    <w:rsid w:val="00330A7D"/>
    <w:rsid w:val="00332B07"/>
    <w:rsid w:val="0033306A"/>
    <w:rsid w:val="003338E3"/>
    <w:rsid w:val="00334617"/>
    <w:rsid w:val="00337F87"/>
    <w:rsid w:val="0034221B"/>
    <w:rsid w:val="00344C7E"/>
    <w:rsid w:val="00346E7A"/>
    <w:rsid w:val="0035000C"/>
    <w:rsid w:val="00352FA3"/>
    <w:rsid w:val="003620C5"/>
    <w:rsid w:val="00374429"/>
    <w:rsid w:val="00377898"/>
    <w:rsid w:val="00381A84"/>
    <w:rsid w:val="0038535D"/>
    <w:rsid w:val="003853F6"/>
    <w:rsid w:val="00390449"/>
    <w:rsid w:val="003926B4"/>
    <w:rsid w:val="00397F64"/>
    <w:rsid w:val="003A6D55"/>
    <w:rsid w:val="003A6E52"/>
    <w:rsid w:val="003B71B0"/>
    <w:rsid w:val="003B7D1A"/>
    <w:rsid w:val="003D1F51"/>
    <w:rsid w:val="003D26F7"/>
    <w:rsid w:val="003D3A8E"/>
    <w:rsid w:val="003E1FD5"/>
    <w:rsid w:val="003E3524"/>
    <w:rsid w:val="003E3DD1"/>
    <w:rsid w:val="003E3F10"/>
    <w:rsid w:val="003F1315"/>
    <w:rsid w:val="003F1F40"/>
    <w:rsid w:val="003F593A"/>
    <w:rsid w:val="003F73C3"/>
    <w:rsid w:val="00402D49"/>
    <w:rsid w:val="00403625"/>
    <w:rsid w:val="00413D52"/>
    <w:rsid w:val="00413E3D"/>
    <w:rsid w:val="00416CDB"/>
    <w:rsid w:val="00417728"/>
    <w:rsid w:val="0042192F"/>
    <w:rsid w:val="00423208"/>
    <w:rsid w:val="004262B9"/>
    <w:rsid w:val="0043163A"/>
    <w:rsid w:val="004327B3"/>
    <w:rsid w:val="004332FB"/>
    <w:rsid w:val="00436A5E"/>
    <w:rsid w:val="0044129B"/>
    <w:rsid w:val="0044211A"/>
    <w:rsid w:val="004424E4"/>
    <w:rsid w:val="0044290D"/>
    <w:rsid w:val="00442AA3"/>
    <w:rsid w:val="004443F5"/>
    <w:rsid w:val="00450610"/>
    <w:rsid w:val="00452BAC"/>
    <w:rsid w:val="00456593"/>
    <w:rsid w:val="00456F37"/>
    <w:rsid w:val="00457B8B"/>
    <w:rsid w:val="00460E92"/>
    <w:rsid w:val="00467102"/>
    <w:rsid w:val="00474AC4"/>
    <w:rsid w:val="00474BD7"/>
    <w:rsid w:val="004810A6"/>
    <w:rsid w:val="00484952"/>
    <w:rsid w:val="00486A41"/>
    <w:rsid w:val="004872B9"/>
    <w:rsid w:val="00492889"/>
    <w:rsid w:val="00494EDE"/>
    <w:rsid w:val="004A1491"/>
    <w:rsid w:val="004A5B95"/>
    <w:rsid w:val="004B3FDB"/>
    <w:rsid w:val="004B5D2A"/>
    <w:rsid w:val="004C049B"/>
    <w:rsid w:val="004C7C87"/>
    <w:rsid w:val="004D1E44"/>
    <w:rsid w:val="004D21AE"/>
    <w:rsid w:val="004E13D4"/>
    <w:rsid w:val="004E4765"/>
    <w:rsid w:val="004E6D60"/>
    <w:rsid w:val="004F0AC2"/>
    <w:rsid w:val="004F49CE"/>
    <w:rsid w:val="00502F82"/>
    <w:rsid w:val="00505E5B"/>
    <w:rsid w:val="005119B1"/>
    <w:rsid w:val="00512671"/>
    <w:rsid w:val="0051277A"/>
    <w:rsid w:val="005171D3"/>
    <w:rsid w:val="005172D1"/>
    <w:rsid w:val="005173DC"/>
    <w:rsid w:val="005175A3"/>
    <w:rsid w:val="005230FA"/>
    <w:rsid w:val="00524844"/>
    <w:rsid w:val="00527099"/>
    <w:rsid w:val="00530CB6"/>
    <w:rsid w:val="0053267D"/>
    <w:rsid w:val="005355BC"/>
    <w:rsid w:val="005415F6"/>
    <w:rsid w:val="00541C99"/>
    <w:rsid w:val="00550F4F"/>
    <w:rsid w:val="005579F7"/>
    <w:rsid w:val="0056320C"/>
    <w:rsid w:val="00564FF0"/>
    <w:rsid w:val="005654F8"/>
    <w:rsid w:val="005674F7"/>
    <w:rsid w:val="005721C4"/>
    <w:rsid w:val="005732E0"/>
    <w:rsid w:val="0058083E"/>
    <w:rsid w:val="00582350"/>
    <w:rsid w:val="00582BA8"/>
    <w:rsid w:val="0058371C"/>
    <w:rsid w:val="0058630C"/>
    <w:rsid w:val="00592B10"/>
    <w:rsid w:val="00594733"/>
    <w:rsid w:val="00596FBE"/>
    <w:rsid w:val="005A4D27"/>
    <w:rsid w:val="005A5C1D"/>
    <w:rsid w:val="005C232D"/>
    <w:rsid w:val="005C5C8C"/>
    <w:rsid w:val="005C7153"/>
    <w:rsid w:val="005C7455"/>
    <w:rsid w:val="005D0781"/>
    <w:rsid w:val="005E0DEA"/>
    <w:rsid w:val="005E1DFC"/>
    <w:rsid w:val="005E2B41"/>
    <w:rsid w:val="005E3DFA"/>
    <w:rsid w:val="005E52F2"/>
    <w:rsid w:val="005E6360"/>
    <w:rsid w:val="005E6FAC"/>
    <w:rsid w:val="005F3AD0"/>
    <w:rsid w:val="005F446D"/>
    <w:rsid w:val="005F4EC0"/>
    <w:rsid w:val="005F62B2"/>
    <w:rsid w:val="006024B2"/>
    <w:rsid w:val="00605DFC"/>
    <w:rsid w:val="00611EF9"/>
    <w:rsid w:val="0061506D"/>
    <w:rsid w:val="00622504"/>
    <w:rsid w:val="00622581"/>
    <w:rsid w:val="0063020B"/>
    <w:rsid w:val="0063075E"/>
    <w:rsid w:val="006367DC"/>
    <w:rsid w:val="00643FAF"/>
    <w:rsid w:val="0064734D"/>
    <w:rsid w:val="00650D08"/>
    <w:rsid w:val="00653BF6"/>
    <w:rsid w:val="0066040F"/>
    <w:rsid w:val="00665195"/>
    <w:rsid w:val="006706F6"/>
    <w:rsid w:val="00671924"/>
    <w:rsid w:val="006760B0"/>
    <w:rsid w:val="00684D63"/>
    <w:rsid w:val="00684E80"/>
    <w:rsid w:val="00686FFF"/>
    <w:rsid w:val="00690437"/>
    <w:rsid w:val="00691EBE"/>
    <w:rsid w:val="006A0BF8"/>
    <w:rsid w:val="006A2401"/>
    <w:rsid w:val="006A429C"/>
    <w:rsid w:val="006A49BF"/>
    <w:rsid w:val="006A659B"/>
    <w:rsid w:val="006A7907"/>
    <w:rsid w:val="006C07D0"/>
    <w:rsid w:val="006C0824"/>
    <w:rsid w:val="006C1E12"/>
    <w:rsid w:val="006C6326"/>
    <w:rsid w:val="006C6DAE"/>
    <w:rsid w:val="006E0CEE"/>
    <w:rsid w:val="006E5BD0"/>
    <w:rsid w:val="006E651B"/>
    <w:rsid w:val="006F03C4"/>
    <w:rsid w:val="006F1D17"/>
    <w:rsid w:val="006F2477"/>
    <w:rsid w:val="006F4ED1"/>
    <w:rsid w:val="006F53E4"/>
    <w:rsid w:val="006F6D08"/>
    <w:rsid w:val="006F6E10"/>
    <w:rsid w:val="007003BE"/>
    <w:rsid w:val="00700ABC"/>
    <w:rsid w:val="00701120"/>
    <w:rsid w:val="00702AD8"/>
    <w:rsid w:val="007037DE"/>
    <w:rsid w:val="00707ED2"/>
    <w:rsid w:val="00710A13"/>
    <w:rsid w:val="007210B2"/>
    <w:rsid w:val="0072425B"/>
    <w:rsid w:val="00725F4E"/>
    <w:rsid w:val="00725F7F"/>
    <w:rsid w:val="007333F2"/>
    <w:rsid w:val="007346A7"/>
    <w:rsid w:val="00737BF5"/>
    <w:rsid w:val="00742E9C"/>
    <w:rsid w:val="007449C9"/>
    <w:rsid w:val="00744E26"/>
    <w:rsid w:val="00744FCA"/>
    <w:rsid w:val="0074500C"/>
    <w:rsid w:val="00750D3F"/>
    <w:rsid w:val="00752BBD"/>
    <w:rsid w:val="00752EDF"/>
    <w:rsid w:val="0075355E"/>
    <w:rsid w:val="00755B69"/>
    <w:rsid w:val="0075643E"/>
    <w:rsid w:val="007567CC"/>
    <w:rsid w:val="007620CF"/>
    <w:rsid w:val="007622CC"/>
    <w:rsid w:val="007622F0"/>
    <w:rsid w:val="007624D2"/>
    <w:rsid w:val="00770CD5"/>
    <w:rsid w:val="007720DB"/>
    <w:rsid w:val="007730AF"/>
    <w:rsid w:val="00780448"/>
    <w:rsid w:val="00782D53"/>
    <w:rsid w:val="00786859"/>
    <w:rsid w:val="00786E88"/>
    <w:rsid w:val="007970A9"/>
    <w:rsid w:val="00797DCC"/>
    <w:rsid w:val="007A447E"/>
    <w:rsid w:val="007A50E7"/>
    <w:rsid w:val="007B000D"/>
    <w:rsid w:val="007B0676"/>
    <w:rsid w:val="007B2671"/>
    <w:rsid w:val="007B48AE"/>
    <w:rsid w:val="007B5034"/>
    <w:rsid w:val="007B5CAB"/>
    <w:rsid w:val="007B7505"/>
    <w:rsid w:val="007B7ACE"/>
    <w:rsid w:val="007C0B7D"/>
    <w:rsid w:val="007C1178"/>
    <w:rsid w:val="007C3D48"/>
    <w:rsid w:val="007C4CEE"/>
    <w:rsid w:val="007C622A"/>
    <w:rsid w:val="007C6BE4"/>
    <w:rsid w:val="007D674C"/>
    <w:rsid w:val="007E1277"/>
    <w:rsid w:val="007E2439"/>
    <w:rsid w:val="007F1A5F"/>
    <w:rsid w:val="007F3140"/>
    <w:rsid w:val="007F7202"/>
    <w:rsid w:val="008040A3"/>
    <w:rsid w:val="008044DF"/>
    <w:rsid w:val="0080467E"/>
    <w:rsid w:val="00805E13"/>
    <w:rsid w:val="00816D3C"/>
    <w:rsid w:val="008318B9"/>
    <w:rsid w:val="008367E6"/>
    <w:rsid w:val="008401B6"/>
    <w:rsid w:val="00842DC3"/>
    <w:rsid w:val="00846131"/>
    <w:rsid w:val="00846EEF"/>
    <w:rsid w:val="008479D7"/>
    <w:rsid w:val="00852738"/>
    <w:rsid w:val="00852B9F"/>
    <w:rsid w:val="00853AC8"/>
    <w:rsid w:val="00854FCD"/>
    <w:rsid w:val="00854FE1"/>
    <w:rsid w:val="00862A6A"/>
    <w:rsid w:val="008664B1"/>
    <w:rsid w:val="00870E6C"/>
    <w:rsid w:val="008725BC"/>
    <w:rsid w:val="00884831"/>
    <w:rsid w:val="00884EEF"/>
    <w:rsid w:val="00885EB2"/>
    <w:rsid w:val="00890F2B"/>
    <w:rsid w:val="008921FF"/>
    <w:rsid w:val="00895082"/>
    <w:rsid w:val="00895334"/>
    <w:rsid w:val="00895DD2"/>
    <w:rsid w:val="00897DDA"/>
    <w:rsid w:val="008B157A"/>
    <w:rsid w:val="008B20C8"/>
    <w:rsid w:val="008B2304"/>
    <w:rsid w:val="008B3E98"/>
    <w:rsid w:val="008B5CC1"/>
    <w:rsid w:val="008C30E3"/>
    <w:rsid w:val="008C5682"/>
    <w:rsid w:val="008C7D0F"/>
    <w:rsid w:val="008D29F4"/>
    <w:rsid w:val="008D4B87"/>
    <w:rsid w:val="008D6D73"/>
    <w:rsid w:val="008E2154"/>
    <w:rsid w:val="008E597A"/>
    <w:rsid w:val="008E6955"/>
    <w:rsid w:val="008F1CE8"/>
    <w:rsid w:val="008F3347"/>
    <w:rsid w:val="008F3D0A"/>
    <w:rsid w:val="00902134"/>
    <w:rsid w:val="009060F0"/>
    <w:rsid w:val="0090697A"/>
    <w:rsid w:val="00906CF8"/>
    <w:rsid w:val="00910077"/>
    <w:rsid w:val="009100A5"/>
    <w:rsid w:val="00910969"/>
    <w:rsid w:val="009115E8"/>
    <w:rsid w:val="009132C9"/>
    <w:rsid w:val="0091564C"/>
    <w:rsid w:val="00920EC1"/>
    <w:rsid w:val="00920F09"/>
    <w:rsid w:val="00922B64"/>
    <w:rsid w:val="00923C2E"/>
    <w:rsid w:val="00924958"/>
    <w:rsid w:val="0093121B"/>
    <w:rsid w:val="00937A3A"/>
    <w:rsid w:val="00941E01"/>
    <w:rsid w:val="009457BC"/>
    <w:rsid w:val="00946C0E"/>
    <w:rsid w:val="00947051"/>
    <w:rsid w:val="00950FFC"/>
    <w:rsid w:val="00951212"/>
    <w:rsid w:val="00952263"/>
    <w:rsid w:val="00953EBE"/>
    <w:rsid w:val="0095551E"/>
    <w:rsid w:val="0095628C"/>
    <w:rsid w:val="00957F87"/>
    <w:rsid w:val="00960D3C"/>
    <w:rsid w:val="00961EB8"/>
    <w:rsid w:val="00965AB8"/>
    <w:rsid w:val="00967711"/>
    <w:rsid w:val="00971255"/>
    <w:rsid w:val="00975CC6"/>
    <w:rsid w:val="009763E4"/>
    <w:rsid w:val="00977AB6"/>
    <w:rsid w:val="00980AC4"/>
    <w:rsid w:val="0099042D"/>
    <w:rsid w:val="009925C5"/>
    <w:rsid w:val="00996CC9"/>
    <w:rsid w:val="00996D3E"/>
    <w:rsid w:val="009A0863"/>
    <w:rsid w:val="009A0B27"/>
    <w:rsid w:val="009B0963"/>
    <w:rsid w:val="009B7A87"/>
    <w:rsid w:val="009C230B"/>
    <w:rsid w:val="009C680A"/>
    <w:rsid w:val="009C68E7"/>
    <w:rsid w:val="009D34FA"/>
    <w:rsid w:val="009D7454"/>
    <w:rsid w:val="009E4496"/>
    <w:rsid w:val="009E4D5B"/>
    <w:rsid w:val="009E5A4A"/>
    <w:rsid w:val="009E61D0"/>
    <w:rsid w:val="009F0011"/>
    <w:rsid w:val="009F106C"/>
    <w:rsid w:val="009F3313"/>
    <w:rsid w:val="009F7FF2"/>
    <w:rsid w:val="00A005FE"/>
    <w:rsid w:val="00A04C40"/>
    <w:rsid w:val="00A053FB"/>
    <w:rsid w:val="00A15C7B"/>
    <w:rsid w:val="00A17258"/>
    <w:rsid w:val="00A1736E"/>
    <w:rsid w:val="00A22318"/>
    <w:rsid w:val="00A30A49"/>
    <w:rsid w:val="00A30DDE"/>
    <w:rsid w:val="00A3178D"/>
    <w:rsid w:val="00A34ACC"/>
    <w:rsid w:val="00A354BD"/>
    <w:rsid w:val="00A41743"/>
    <w:rsid w:val="00A41D69"/>
    <w:rsid w:val="00A42538"/>
    <w:rsid w:val="00A47858"/>
    <w:rsid w:val="00A51948"/>
    <w:rsid w:val="00A52BBB"/>
    <w:rsid w:val="00A52F5C"/>
    <w:rsid w:val="00A55A69"/>
    <w:rsid w:val="00A60761"/>
    <w:rsid w:val="00A64DBC"/>
    <w:rsid w:val="00A65B84"/>
    <w:rsid w:val="00A6607C"/>
    <w:rsid w:val="00A752C0"/>
    <w:rsid w:val="00A76EE1"/>
    <w:rsid w:val="00A82AE8"/>
    <w:rsid w:val="00A85C40"/>
    <w:rsid w:val="00A90EC2"/>
    <w:rsid w:val="00A938DB"/>
    <w:rsid w:val="00A942CF"/>
    <w:rsid w:val="00A95F92"/>
    <w:rsid w:val="00AA1CB1"/>
    <w:rsid w:val="00AA20CE"/>
    <w:rsid w:val="00AA6086"/>
    <w:rsid w:val="00AB0929"/>
    <w:rsid w:val="00AB2664"/>
    <w:rsid w:val="00AB4426"/>
    <w:rsid w:val="00AB4EAF"/>
    <w:rsid w:val="00AB6A4B"/>
    <w:rsid w:val="00AB6BB9"/>
    <w:rsid w:val="00AB7297"/>
    <w:rsid w:val="00AB76CE"/>
    <w:rsid w:val="00AC0834"/>
    <w:rsid w:val="00AC4B14"/>
    <w:rsid w:val="00AC71A2"/>
    <w:rsid w:val="00AD0EE4"/>
    <w:rsid w:val="00AD0FC6"/>
    <w:rsid w:val="00AD21B6"/>
    <w:rsid w:val="00AD6833"/>
    <w:rsid w:val="00AE2348"/>
    <w:rsid w:val="00AE5218"/>
    <w:rsid w:val="00B01382"/>
    <w:rsid w:val="00B028A9"/>
    <w:rsid w:val="00B02DC1"/>
    <w:rsid w:val="00B03569"/>
    <w:rsid w:val="00B04326"/>
    <w:rsid w:val="00B04D22"/>
    <w:rsid w:val="00B07291"/>
    <w:rsid w:val="00B073A8"/>
    <w:rsid w:val="00B12147"/>
    <w:rsid w:val="00B1599E"/>
    <w:rsid w:val="00B17696"/>
    <w:rsid w:val="00B17875"/>
    <w:rsid w:val="00B3063B"/>
    <w:rsid w:val="00B3318A"/>
    <w:rsid w:val="00B4527A"/>
    <w:rsid w:val="00B45570"/>
    <w:rsid w:val="00B473FF"/>
    <w:rsid w:val="00B512ED"/>
    <w:rsid w:val="00B5746D"/>
    <w:rsid w:val="00B615CD"/>
    <w:rsid w:val="00B632CD"/>
    <w:rsid w:val="00B67DE7"/>
    <w:rsid w:val="00B717CC"/>
    <w:rsid w:val="00B751D2"/>
    <w:rsid w:val="00B75D65"/>
    <w:rsid w:val="00B94174"/>
    <w:rsid w:val="00B94D85"/>
    <w:rsid w:val="00BA1BB9"/>
    <w:rsid w:val="00BA1DD9"/>
    <w:rsid w:val="00BA1FAD"/>
    <w:rsid w:val="00BA230C"/>
    <w:rsid w:val="00BB0CED"/>
    <w:rsid w:val="00BB18B9"/>
    <w:rsid w:val="00BB2E49"/>
    <w:rsid w:val="00BB4541"/>
    <w:rsid w:val="00BC0D6F"/>
    <w:rsid w:val="00BC599D"/>
    <w:rsid w:val="00BC602A"/>
    <w:rsid w:val="00BC7322"/>
    <w:rsid w:val="00BD2265"/>
    <w:rsid w:val="00BD4FD9"/>
    <w:rsid w:val="00BD6A30"/>
    <w:rsid w:val="00BE0320"/>
    <w:rsid w:val="00BE2587"/>
    <w:rsid w:val="00BE67EE"/>
    <w:rsid w:val="00BF4F43"/>
    <w:rsid w:val="00BF77F4"/>
    <w:rsid w:val="00C0351A"/>
    <w:rsid w:val="00C04E54"/>
    <w:rsid w:val="00C075FC"/>
    <w:rsid w:val="00C07A1A"/>
    <w:rsid w:val="00C16CE1"/>
    <w:rsid w:val="00C21278"/>
    <w:rsid w:val="00C21BAF"/>
    <w:rsid w:val="00C23334"/>
    <w:rsid w:val="00C240F4"/>
    <w:rsid w:val="00C24914"/>
    <w:rsid w:val="00C24EE1"/>
    <w:rsid w:val="00C24FAE"/>
    <w:rsid w:val="00C26400"/>
    <w:rsid w:val="00C343A4"/>
    <w:rsid w:val="00C343AE"/>
    <w:rsid w:val="00C3584E"/>
    <w:rsid w:val="00C42023"/>
    <w:rsid w:val="00C4227B"/>
    <w:rsid w:val="00C432E7"/>
    <w:rsid w:val="00C51050"/>
    <w:rsid w:val="00C523C0"/>
    <w:rsid w:val="00C5330A"/>
    <w:rsid w:val="00C5425B"/>
    <w:rsid w:val="00C56E28"/>
    <w:rsid w:val="00C57E19"/>
    <w:rsid w:val="00C60D56"/>
    <w:rsid w:val="00C630CF"/>
    <w:rsid w:val="00C641B6"/>
    <w:rsid w:val="00C64570"/>
    <w:rsid w:val="00C665F9"/>
    <w:rsid w:val="00C66A99"/>
    <w:rsid w:val="00C66B6F"/>
    <w:rsid w:val="00C75295"/>
    <w:rsid w:val="00C852B8"/>
    <w:rsid w:val="00C8535F"/>
    <w:rsid w:val="00C86B27"/>
    <w:rsid w:val="00C933E2"/>
    <w:rsid w:val="00CA03DC"/>
    <w:rsid w:val="00CA3276"/>
    <w:rsid w:val="00CA6238"/>
    <w:rsid w:val="00CA7D34"/>
    <w:rsid w:val="00CB03F4"/>
    <w:rsid w:val="00CC2E94"/>
    <w:rsid w:val="00CD4D63"/>
    <w:rsid w:val="00CD7083"/>
    <w:rsid w:val="00CD7417"/>
    <w:rsid w:val="00CE1529"/>
    <w:rsid w:val="00CE325F"/>
    <w:rsid w:val="00CF3A2A"/>
    <w:rsid w:val="00CF3B4F"/>
    <w:rsid w:val="00CF58F1"/>
    <w:rsid w:val="00CF5BE7"/>
    <w:rsid w:val="00D01D73"/>
    <w:rsid w:val="00D0708F"/>
    <w:rsid w:val="00D121A3"/>
    <w:rsid w:val="00D169A3"/>
    <w:rsid w:val="00D24D85"/>
    <w:rsid w:val="00D309D6"/>
    <w:rsid w:val="00D35405"/>
    <w:rsid w:val="00D36975"/>
    <w:rsid w:val="00D42793"/>
    <w:rsid w:val="00D434DA"/>
    <w:rsid w:val="00D447A2"/>
    <w:rsid w:val="00D45BD3"/>
    <w:rsid w:val="00D46CE6"/>
    <w:rsid w:val="00D47655"/>
    <w:rsid w:val="00D47CD5"/>
    <w:rsid w:val="00D5554C"/>
    <w:rsid w:val="00D56C82"/>
    <w:rsid w:val="00D60BF2"/>
    <w:rsid w:val="00D66438"/>
    <w:rsid w:val="00D701D3"/>
    <w:rsid w:val="00D7062C"/>
    <w:rsid w:val="00D749F1"/>
    <w:rsid w:val="00D77859"/>
    <w:rsid w:val="00D82F65"/>
    <w:rsid w:val="00D84DF5"/>
    <w:rsid w:val="00D854E5"/>
    <w:rsid w:val="00D87CBC"/>
    <w:rsid w:val="00D96F8B"/>
    <w:rsid w:val="00DA1944"/>
    <w:rsid w:val="00DA2B1C"/>
    <w:rsid w:val="00DA3902"/>
    <w:rsid w:val="00DA7689"/>
    <w:rsid w:val="00DA7B49"/>
    <w:rsid w:val="00DB1E88"/>
    <w:rsid w:val="00DB5591"/>
    <w:rsid w:val="00DD10C8"/>
    <w:rsid w:val="00DD1F7D"/>
    <w:rsid w:val="00DD2C14"/>
    <w:rsid w:val="00DD2C54"/>
    <w:rsid w:val="00DD2FF0"/>
    <w:rsid w:val="00DD3340"/>
    <w:rsid w:val="00DD6E6F"/>
    <w:rsid w:val="00DE0B1D"/>
    <w:rsid w:val="00DE202C"/>
    <w:rsid w:val="00DF4DF0"/>
    <w:rsid w:val="00DF5EC0"/>
    <w:rsid w:val="00DF6651"/>
    <w:rsid w:val="00DF6E4B"/>
    <w:rsid w:val="00DF79B3"/>
    <w:rsid w:val="00E03751"/>
    <w:rsid w:val="00E04F52"/>
    <w:rsid w:val="00E052B1"/>
    <w:rsid w:val="00E067DF"/>
    <w:rsid w:val="00E06AB1"/>
    <w:rsid w:val="00E07070"/>
    <w:rsid w:val="00E10E27"/>
    <w:rsid w:val="00E131D3"/>
    <w:rsid w:val="00E17524"/>
    <w:rsid w:val="00E261DB"/>
    <w:rsid w:val="00E3046C"/>
    <w:rsid w:val="00E320F7"/>
    <w:rsid w:val="00E33F88"/>
    <w:rsid w:val="00E33FE7"/>
    <w:rsid w:val="00E35CB4"/>
    <w:rsid w:val="00E41797"/>
    <w:rsid w:val="00E4338E"/>
    <w:rsid w:val="00E45F86"/>
    <w:rsid w:val="00E524E1"/>
    <w:rsid w:val="00E531CA"/>
    <w:rsid w:val="00E53E04"/>
    <w:rsid w:val="00E561AC"/>
    <w:rsid w:val="00E5771E"/>
    <w:rsid w:val="00E57863"/>
    <w:rsid w:val="00E60579"/>
    <w:rsid w:val="00E607A5"/>
    <w:rsid w:val="00E60CC6"/>
    <w:rsid w:val="00E60EC4"/>
    <w:rsid w:val="00E62635"/>
    <w:rsid w:val="00E64E29"/>
    <w:rsid w:val="00E65856"/>
    <w:rsid w:val="00E6793A"/>
    <w:rsid w:val="00E70559"/>
    <w:rsid w:val="00E8043A"/>
    <w:rsid w:val="00E824C9"/>
    <w:rsid w:val="00E875FD"/>
    <w:rsid w:val="00E92919"/>
    <w:rsid w:val="00E92E52"/>
    <w:rsid w:val="00E94188"/>
    <w:rsid w:val="00EA2140"/>
    <w:rsid w:val="00EA3767"/>
    <w:rsid w:val="00EA5AF4"/>
    <w:rsid w:val="00EA5D0A"/>
    <w:rsid w:val="00EA7394"/>
    <w:rsid w:val="00EB5491"/>
    <w:rsid w:val="00EC1378"/>
    <w:rsid w:val="00EC53BC"/>
    <w:rsid w:val="00ED0916"/>
    <w:rsid w:val="00ED0B3B"/>
    <w:rsid w:val="00ED1CD5"/>
    <w:rsid w:val="00ED723A"/>
    <w:rsid w:val="00ED7EDC"/>
    <w:rsid w:val="00EE1145"/>
    <w:rsid w:val="00EE631A"/>
    <w:rsid w:val="00EE7BEC"/>
    <w:rsid w:val="00EF003B"/>
    <w:rsid w:val="00EF1826"/>
    <w:rsid w:val="00F03580"/>
    <w:rsid w:val="00F06270"/>
    <w:rsid w:val="00F07DB1"/>
    <w:rsid w:val="00F12DE0"/>
    <w:rsid w:val="00F215F5"/>
    <w:rsid w:val="00F21D50"/>
    <w:rsid w:val="00F2358D"/>
    <w:rsid w:val="00F263FD"/>
    <w:rsid w:val="00F3084A"/>
    <w:rsid w:val="00F30D39"/>
    <w:rsid w:val="00F341C8"/>
    <w:rsid w:val="00F37C47"/>
    <w:rsid w:val="00F4022B"/>
    <w:rsid w:val="00F41303"/>
    <w:rsid w:val="00F42546"/>
    <w:rsid w:val="00F42F58"/>
    <w:rsid w:val="00F54640"/>
    <w:rsid w:val="00F55718"/>
    <w:rsid w:val="00F56DC0"/>
    <w:rsid w:val="00F57912"/>
    <w:rsid w:val="00F658AD"/>
    <w:rsid w:val="00F70547"/>
    <w:rsid w:val="00F7355D"/>
    <w:rsid w:val="00F76D46"/>
    <w:rsid w:val="00F8164E"/>
    <w:rsid w:val="00F829EA"/>
    <w:rsid w:val="00F82D11"/>
    <w:rsid w:val="00F86928"/>
    <w:rsid w:val="00F86B44"/>
    <w:rsid w:val="00F87A73"/>
    <w:rsid w:val="00F93E97"/>
    <w:rsid w:val="00F94FB1"/>
    <w:rsid w:val="00F95DE6"/>
    <w:rsid w:val="00F960E0"/>
    <w:rsid w:val="00FA44D9"/>
    <w:rsid w:val="00FB0659"/>
    <w:rsid w:val="00FB2927"/>
    <w:rsid w:val="00FC1496"/>
    <w:rsid w:val="00FC160F"/>
    <w:rsid w:val="00FC2973"/>
    <w:rsid w:val="00FC6B7B"/>
    <w:rsid w:val="00FD0AD4"/>
    <w:rsid w:val="00FD39EA"/>
    <w:rsid w:val="00FD6E5E"/>
    <w:rsid w:val="00FE1A24"/>
    <w:rsid w:val="00FE225D"/>
    <w:rsid w:val="00FE2B4A"/>
    <w:rsid w:val="00FE36B8"/>
    <w:rsid w:val="00FE3DED"/>
    <w:rsid w:val="00FE6522"/>
    <w:rsid w:val="00FE7419"/>
    <w:rsid w:val="00FE77B3"/>
    <w:rsid w:val="00FF17C3"/>
    <w:rsid w:val="00FF1BDE"/>
    <w:rsid w:val="00FF2059"/>
    <w:rsid w:val="00FF3C77"/>
    <w:rsid w:val="00FF3F1B"/>
    <w:rsid w:val="00FF6A47"/>
    <w:rsid w:val="00FF6AB4"/>
    <w:rsid w:val="00FF6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5E141"/>
  <w15:chartTrackingRefBased/>
  <w15:docId w15:val="{5263B863-5861-4B5F-B0AB-7A5079BB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72"/>
    <w:qFormat/>
    <w:rsid w:val="00996CC9"/>
    <w:pPr>
      <w:ind w:left="720"/>
      <w:contextualSpacing/>
    </w:pPr>
  </w:style>
  <w:style w:type="paragraph" w:customStyle="1" w:styleId="Tekstprzypisudolnego1">
    <w:name w:val="Tekst przypisu dolnego1"/>
    <w:basedOn w:val="Normalny"/>
    <w:next w:val="Tekstprzypisudolnego"/>
    <w:link w:val="TekstprzypisudolnegoZnak"/>
    <w:uiPriority w:val="99"/>
    <w:unhideWhenUsed/>
    <w:rsid w:val="00090DD1"/>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rsid w:val="00090DD1"/>
    <w:rPr>
      <w:sz w:val="20"/>
      <w:szCs w:val="20"/>
    </w:rPr>
  </w:style>
  <w:style w:type="character" w:styleId="Odwoanieprzypisudolnego">
    <w:name w:val="footnote reference"/>
    <w:aliases w:val="przypisy dolne,FZ,OZNAKA OPOMBE,number,SUPERS,Footnote Reference Superscript,BVI fnr,Footnote symbol,Footnote,(Footnote Reference),Footnote reference number,note TESI,EN Footnote Reference,Voetnootverwijzing,Times 10 Point"/>
    <w:basedOn w:val="Domylnaczcionkaakapitu"/>
    <w:uiPriority w:val="99"/>
    <w:unhideWhenUsed/>
    <w:qFormat/>
    <w:rsid w:val="00090DD1"/>
    <w:rPr>
      <w:vertAlign w:val="superscript"/>
    </w:rPr>
  </w:style>
  <w:style w:type="paragraph" w:styleId="Tekstprzypisudolnego">
    <w:name w:val="footnote text"/>
    <w:basedOn w:val="Normalny"/>
    <w:link w:val="TekstprzypisudolnegoZnak1"/>
    <w:uiPriority w:val="99"/>
    <w:unhideWhenUsed/>
    <w:rsid w:val="00090DD1"/>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rsid w:val="00090DD1"/>
    <w:rPr>
      <w:sz w:val="20"/>
      <w:szCs w:val="20"/>
    </w:rPr>
  </w:style>
  <w:style w:type="character" w:styleId="Odwoaniedokomentarza">
    <w:name w:val="annotation reference"/>
    <w:basedOn w:val="Domylnaczcionkaakapitu"/>
    <w:uiPriority w:val="99"/>
    <w:semiHidden/>
    <w:unhideWhenUsed/>
    <w:rsid w:val="00FE36B8"/>
    <w:rPr>
      <w:sz w:val="16"/>
      <w:szCs w:val="16"/>
    </w:rPr>
  </w:style>
  <w:style w:type="paragraph" w:styleId="Tekstkomentarza">
    <w:name w:val="annotation text"/>
    <w:basedOn w:val="Normalny"/>
    <w:link w:val="TekstkomentarzaZnak"/>
    <w:uiPriority w:val="99"/>
    <w:unhideWhenUsed/>
    <w:rsid w:val="00FE36B8"/>
    <w:pPr>
      <w:spacing w:line="240" w:lineRule="auto"/>
    </w:pPr>
    <w:rPr>
      <w:sz w:val="20"/>
      <w:szCs w:val="20"/>
    </w:rPr>
  </w:style>
  <w:style w:type="character" w:customStyle="1" w:styleId="TekstkomentarzaZnak">
    <w:name w:val="Tekst komentarza Znak"/>
    <w:basedOn w:val="Domylnaczcionkaakapitu"/>
    <w:link w:val="Tekstkomentarza"/>
    <w:uiPriority w:val="99"/>
    <w:rsid w:val="00FE36B8"/>
    <w:rPr>
      <w:sz w:val="20"/>
      <w:szCs w:val="20"/>
    </w:rPr>
  </w:style>
  <w:style w:type="paragraph" w:styleId="Tematkomentarza">
    <w:name w:val="annotation subject"/>
    <w:basedOn w:val="Tekstkomentarza"/>
    <w:next w:val="Tekstkomentarza"/>
    <w:link w:val="TematkomentarzaZnak"/>
    <w:uiPriority w:val="99"/>
    <w:semiHidden/>
    <w:unhideWhenUsed/>
    <w:rsid w:val="00FE36B8"/>
    <w:rPr>
      <w:b/>
      <w:bCs/>
    </w:rPr>
  </w:style>
  <w:style w:type="character" w:customStyle="1" w:styleId="TematkomentarzaZnak">
    <w:name w:val="Temat komentarza Znak"/>
    <w:basedOn w:val="TekstkomentarzaZnak"/>
    <w:link w:val="Tematkomentarza"/>
    <w:uiPriority w:val="99"/>
    <w:semiHidden/>
    <w:rsid w:val="00FE36B8"/>
    <w:rPr>
      <w:b/>
      <w:bCs/>
      <w:sz w:val="20"/>
      <w:szCs w:val="20"/>
    </w:rPr>
  </w:style>
  <w:style w:type="paragraph" w:customStyle="1" w:styleId="TekstpismaMF">
    <w:name w:val="Tekst pisma MF"/>
    <w:qFormat/>
    <w:rsid w:val="00920F09"/>
    <w:pPr>
      <w:spacing w:before="240" w:after="0" w:line="260" w:lineRule="exact"/>
      <w:contextualSpacing/>
    </w:pPr>
    <w:rPr>
      <w:rFonts w:ascii="Lato" w:hAnsi="Lato"/>
    </w:rPr>
  </w:style>
  <w:style w:type="paragraph" w:customStyle="1" w:styleId="USTustnpkodeksu">
    <w:name w:val="UST(§) – ust. (§ np. kodeksu)"/>
    <w:basedOn w:val="Normalny"/>
    <w:uiPriority w:val="12"/>
    <w:qFormat/>
    <w:rsid w:val="00671924"/>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styleId="Tekstpodstawowy">
    <w:name w:val="Body Text"/>
    <w:basedOn w:val="Normalny"/>
    <w:link w:val="TekstpodstawowyZnak"/>
    <w:rsid w:val="009F3313"/>
    <w:pPr>
      <w:spacing w:after="0" w:line="240" w:lineRule="auto"/>
      <w:jc w:val="both"/>
    </w:pPr>
    <w:rPr>
      <w:rFonts w:ascii="Times New Roman" w:eastAsia="Times New Roman" w:hAnsi="Times New Roman" w:cs="Times New Roman"/>
      <w:sz w:val="26"/>
      <w:szCs w:val="20"/>
      <w:lang w:eastAsia="pl-PL"/>
    </w:rPr>
  </w:style>
  <w:style w:type="character" w:customStyle="1" w:styleId="TekstpodstawowyZnak">
    <w:name w:val="Tekst podstawowy Znak"/>
    <w:basedOn w:val="Domylnaczcionkaakapitu"/>
    <w:link w:val="Tekstpodstawowy"/>
    <w:rsid w:val="009F3313"/>
    <w:rPr>
      <w:rFonts w:ascii="Times New Roman" w:eastAsia="Times New Roman" w:hAnsi="Times New Roman" w:cs="Times New Roman"/>
      <w:sz w:val="26"/>
      <w:szCs w:val="20"/>
      <w:lang w:eastAsia="pl-PL"/>
    </w:rPr>
  </w:style>
  <w:style w:type="paragraph" w:customStyle="1" w:styleId="ZTIRwLITzmtirwlitartykuempunktem">
    <w:name w:val="Z/TIR_w_LIT – zm. tir. w lit. artykułem (punktem)"/>
    <w:basedOn w:val="Normalny"/>
    <w:uiPriority w:val="33"/>
    <w:qFormat/>
    <w:rsid w:val="00902134"/>
    <w:pPr>
      <w:spacing w:after="0" w:line="360" w:lineRule="auto"/>
      <w:ind w:left="1384" w:hanging="397"/>
      <w:jc w:val="both"/>
    </w:pPr>
    <w:rPr>
      <w:rFonts w:ascii="Times" w:eastAsiaTheme="minorEastAsia" w:hAnsi="Times" w:cs="Arial"/>
      <w:bCs/>
      <w:sz w:val="24"/>
      <w:szCs w:val="20"/>
      <w:lang w:eastAsia="pl-PL"/>
    </w:rPr>
  </w:style>
  <w:style w:type="paragraph" w:customStyle="1" w:styleId="TEKSTwTABELIWYRODKOWANYtekstwyrodkowanywpoziomie">
    <w:name w:val="TEKST_w_TABELI_WYŚRODKOWANY – tekst wyśrodkowany w poziomie"/>
    <w:basedOn w:val="Normalny"/>
    <w:uiPriority w:val="23"/>
    <w:qFormat/>
    <w:rsid w:val="00902134"/>
    <w:pPr>
      <w:suppressAutoHyphens/>
      <w:autoSpaceDE w:val="0"/>
      <w:autoSpaceDN w:val="0"/>
      <w:adjustRightInd w:val="0"/>
      <w:spacing w:after="0" w:line="360" w:lineRule="auto"/>
      <w:jc w:val="center"/>
    </w:pPr>
    <w:rPr>
      <w:rFonts w:ascii="Times" w:eastAsiaTheme="minorEastAsia" w:hAnsi="Times" w:cs="Arial"/>
      <w:bCs/>
      <w:kern w:val="24"/>
      <w:sz w:val="24"/>
      <w:szCs w:val="20"/>
      <w:lang w:eastAsia="pl-PL"/>
    </w:rPr>
  </w:style>
  <w:style w:type="paragraph" w:customStyle="1" w:styleId="PKTpunkt">
    <w:name w:val="PKT – punkt"/>
    <w:uiPriority w:val="13"/>
    <w:qFormat/>
    <w:rsid w:val="006E5BD0"/>
    <w:pPr>
      <w:spacing w:after="0" w:line="360" w:lineRule="auto"/>
      <w:ind w:left="510" w:hanging="510"/>
      <w:jc w:val="both"/>
    </w:pPr>
    <w:rPr>
      <w:rFonts w:ascii="Times" w:eastAsiaTheme="minorEastAsia" w:hAnsi="Times" w:cs="Arial"/>
      <w:bCs/>
      <w:sz w:val="24"/>
      <w:szCs w:val="20"/>
      <w:lang w:eastAsia="pl-PL"/>
    </w:rPr>
  </w:style>
  <w:style w:type="paragraph" w:customStyle="1" w:styleId="ODNONIKtreodnonika">
    <w:name w:val="ODNOŚNIK – treść odnośnika"/>
    <w:uiPriority w:val="19"/>
    <w:qFormat/>
    <w:rsid w:val="002F4868"/>
    <w:pPr>
      <w:spacing w:after="0" w:line="240" w:lineRule="auto"/>
      <w:ind w:left="284" w:hanging="284"/>
      <w:jc w:val="both"/>
    </w:pPr>
    <w:rPr>
      <w:rFonts w:ascii="Times New Roman" w:eastAsiaTheme="minorEastAsia" w:hAnsi="Times New Roman" w:cs="Arial"/>
      <w:sz w:val="20"/>
      <w:szCs w:val="20"/>
      <w:lang w:eastAsia="pl-PL"/>
    </w:rPr>
  </w:style>
  <w:style w:type="character" w:customStyle="1" w:styleId="IGindeksgrny">
    <w:name w:val="_IG_ – indeks górny"/>
    <w:basedOn w:val="Domylnaczcionkaakapitu"/>
    <w:uiPriority w:val="2"/>
    <w:qFormat/>
    <w:rsid w:val="002F4868"/>
    <w:rPr>
      <w:b w:val="0"/>
      <w:i w:val="0"/>
      <w:vanish w:val="0"/>
      <w:spacing w:val="0"/>
      <w:vertAlign w:val="superscript"/>
    </w:rPr>
  </w:style>
  <w:style w:type="character" w:customStyle="1" w:styleId="AkapitzlistZnak">
    <w:name w:val="Akapit z listą Znak"/>
    <w:link w:val="Akapitzlist"/>
    <w:uiPriority w:val="72"/>
    <w:locked/>
    <w:rsid w:val="00744FCA"/>
  </w:style>
  <w:style w:type="paragraph" w:styleId="Nagwek">
    <w:name w:val="header"/>
    <w:basedOn w:val="Normalny"/>
    <w:link w:val="NagwekZnak"/>
    <w:uiPriority w:val="99"/>
    <w:unhideWhenUsed/>
    <w:rsid w:val="00B67D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67DE7"/>
  </w:style>
  <w:style w:type="paragraph" w:styleId="Stopka">
    <w:name w:val="footer"/>
    <w:basedOn w:val="Normalny"/>
    <w:link w:val="StopkaZnak"/>
    <w:uiPriority w:val="99"/>
    <w:unhideWhenUsed/>
    <w:rsid w:val="00B67D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7DE7"/>
  </w:style>
  <w:style w:type="paragraph" w:customStyle="1" w:styleId="ZUSTzmustartykuempunktem">
    <w:name w:val="Z/UST(§) – zm. ust. (§) artykułem (punktem)"/>
    <w:basedOn w:val="Normalny"/>
    <w:uiPriority w:val="30"/>
    <w:qFormat/>
    <w:rsid w:val="004F49CE"/>
    <w:pPr>
      <w:suppressAutoHyphens/>
      <w:autoSpaceDE w:val="0"/>
      <w:autoSpaceDN w:val="0"/>
      <w:adjustRightInd w:val="0"/>
      <w:spacing w:after="0" w:line="360" w:lineRule="auto"/>
      <w:ind w:left="510" w:firstLine="510"/>
      <w:jc w:val="both"/>
    </w:pPr>
    <w:rPr>
      <w:rFonts w:ascii="Times" w:eastAsiaTheme="minorEastAsia" w:hAnsi="Times" w:cs="Arial"/>
      <w:sz w:val="24"/>
      <w:szCs w:val="20"/>
      <w:lang w:eastAsia="pl-PL"/>
    </w:rPr>
  </w:style>
  <w:style w:type="paragraph" w:customStyle="1" w:styleId="ZPKTzmpktartykuempunktem">
    <w:name w:val="Z/PKT – zm. pkt artykułem (punktem)"/>
    <w:basedOn w:val="Normalny"/>
    <w:uiPriority w:val="31"/>
    <w:qFormat/>
    <w:rsid w:val="00A95F92"/>
    <w:pPr>
      <w:spacing w:after="0" w:line="360" w:lineRule="auto"/>
      <w:ind w:left="1020" w:hanging="510"/>
      <w:jc w:val="both"/>
    </w:pPr>
    <w:rPr>
      <w:rFonts w:ascii="Times" w:eastAsiaTheme="minorEastAsia" w:hAnsi="Times" w:cs="Arial"/>
      <w:bCs/>
      <w:sz w:val="24"/>
      <w:szCs w:val="20"/>
      <w:lang w:eastAsia="pl-PL"/>
    </w:rPr>
  </w:style>
  <w:style w:type="paragraph" w:customStyle="1" w:styleId="ZARTzmartartykuempunktem">
    <w:name w:val="Z/ART(§) – zm. art. (§) artykułem (punktem)"/>
    <w:basedOn w:val="Normalny"/>
    <w:uiPriority w:val="30"/>
    <w:rsid w:val="004E13D4"/>
    <w:pPr>
      <w:autoSpaceDE w:val="0"/>
      <w:autoSpaceDN w:val="0"/>
      <w:spacing w:after="0" w:line="360" w:lineRule="auto"/>
      <w:ind w:left="510" w:firstLine="510"/>
      <w:jc w:val="both"/>
    </w:pPr>
    <w:rPr>
      <w:rFonts w:ascii="Times" w:hAnsi="Times" w:cs="Calibri"/>
      <w:sz w:val="24"/>
      <w:szCs w:val="24"/>
      <w:lang w:eastAsia="pl-PL"/>
    </w:rPr>
  </w:style>
  <w:style w:type="paragraph" w:customStyle="1" w:styleId="title-doc-first">
    <w:name w:val="title-doc-first"/>
    <w:basedOn w:val="Normalny"/>
    <w:rsid w:val="009E4D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76EE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6EE1"/>
    <w:rPr>
      <w:sz w:val="20"/>
      <w:szCs w:val="20"/>
    </w:rPr>
  </w:style>
  <w:style w:type="character" w:styleId="Odwoanieprzypisukocowego">
    <w:name w:val="endnote reference"/>
    <w:basedOn w:val="Domylnaczcionkaakapitu"/>
    <w:uiPriority w:val="99"/>
    <w:semiHidden/>
    <w:unhideWhenUsed/>
    <w:rsid w:val="00A76EE1"/>
    <w:rPr>
      <w:vertAlign w:val="superscript"/>
    </w:rPr>
  </w:style>
  <w:style w:type="paragraph" w:styleId="Poprawka">
    <w:name w:val="Revision"/>
    <w:hidden/>
    <w:uiPriority w:val="99"/>
    <w:semiHidden/>
    <w:rsid w:val="00AC71A2"/>
    <w:pPr>
      <w:spacing w:after="0" w:line="240" w:lineRule="auto"/>
    </w:pPr>
  </w:style>
  <w:style w:type="paragraph" w:styleId="Tekstdymka">
    <w:name w:val="Balloon Text"/>
    <w:basedOn w:val="Normalny"/>
    <w:link w:val="TekstdymkaZnak"/>
    <w:uiPriority w:val="99"/>
    <w:semiHidden/>
    <w:unhideWhenUsed/>
    <w:rsid w:val="000A40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4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27519">
      <w:bodyDiv w:val="1"/>
      <w:marLeft w:val="0"/>
      <w:marRight w:val="0"/>
      <w:marTop w:val="0"/>
      <w:marBottom w:val="0"/>
      <w:divBdr>
        <w:top w:val="none" w:sz="0" w:space="0" w:color="auto"/>
        <w:left w:val="none" w:sz="0" w:space="0" w:color="auto"/>
        <w:bottom w:val="none" w:sz="0" w:space="0" w:color="auto"/>
        <w:right w:val="none" w:sz="0" w:space="0" w:color="auto"/>
      </w:divBdr>
    </w:div>
    <w:div w:id="136192903">
      <w:bodyDiv w:val="1"/>
      <w:marLeft w:val="0"/>
      <w:marRight w:val="0"/>
      <w:marTop w:val="0"/>
      <w:marBottom w:val="0"/>
      <w:divBdr>
        <w:top w:val="none" w:sz="0" w:space="0" w:color="auto"/>
        <w:left w:val="none" w:sz="0" w:space="0" w:color="auto"/>
        <w:bottom w:val="none" w:sz="0" w:space="0" w:color="auto"/>
        <w:right w:val="none" w:sz="0" w:space="0" w:color="auto"/>
      </w:divBdr>
      <w:divsChild>
        <w:div w:id="1451558512">
          <w:marLeft w:val="446"/>
          <w:marRight w:val="0"/>
          <w:marTop w:val="0"/>
          <w:marBottom w:val="0"/>
          <w:divBdr>
            <w:top w:val="none" w:sz="0" w:space="0" w:color="auto"/>
            <w:left w:val="none" w:sz="0" w:space="0" w:color="auto"/>
            <w:bottom w:val="none" w:sz="0" w:space="0" w:color="auto"/>
            <w:right w:val="none" w:sz="0" w:space="0" w:color="auto"/>
          </w:divBdr>
        </w:div>
      </w:divsChild>
    </w:div>
    <w:div w:id="139689592">
      <w:bodyDiv w:val="1"/>
      <w:marLeft w:val="0"/>
      <w:marRight w:val="0"/>
      <w:marTop w:val="0"/>
      <w:marBottom w:val="0"/>
      <w:divBdr>
        <w:top w:val="none" w:sz="0" w:space="0" w:color="auto"/>
        <w:left w:val="none" w:sz="0" w:space="0" w:color="auto"/>
        <w:bottom w:val="none" w:sz="0" w:space="0" w:color="auto"/>
        <w:right w:val="none" w:sz="0" w:space="0" w:color="auto"/>
      </w:divBdr>
      <w:divsChild>
        <w:div w:id="1746293646">
          <w:marLeft w:val="446"/>
          <w:marRight w:val="0"/>
          <w:marTop w:val="0"/>
          <w:marBottom w:val="0"/>
          <w:divBdr>
            <w:top w:val="none" w:sz="0" w:space="0" w:color="auto"/>
            <w:left w:val="none" w:sz="0" w:space="0" w:color="auto"/>
            <w:bottom w:val="none" w:sz="0" w:space="0" w:color="auto"/>
            <w:right w:val="none" w:sz="0" w:space="0" w:color="auto"/>
          </w:divBdr>
        </w:div>
      </w:divsChild>
    </w:div>
    <w:div w:id="168983654">
      <w:bodyDiv w:val="1"/>
      <w:marLeft w:val="0"/>
      <w:marRight w:val="0"/>
      <w:marTop w:val="0"/>
      <w:marBottom w:val="0"/>
      <w:divBdr>
        <w:top w:val="none" w:sz="0" w:space="0" w:color="auto"/>
        <w:left w:val="none" w:sz="0" w:space="0" w:color="auto"/>
        <w:bottom w:val="none" w:sz="0" w:space="0" w:color="auto"/>
        <w:right w:val="none" w:sz="0" w:space="0" w:color="auto"/>
      </w:divBdr>
    </w:div>
    <w:div w:id="392235626">
      <w:bodyDiv w:val="1"/>
      <w:marLeft w:val="0"/>
      <w:marRight w:val="0"/>
      <w:marTop w:val="0"/>
      <w:marBottom w:val="0"/>
      <w:divBdr>
        <w:top w:val="none" w:sz="0" w:space="0" w:color="auto"/>
        <w:left w:val="none" w:sz="0" w:space="0" w:color="auto"/>
        <w:bottom w:val="none" w:sz="0" w:space="0" w:color="auto"/>
        <w:right w:val="none" w:sz="0" w:space="0" w:color="auto"/>
      </w:divBdr>
    </w:div>
    <w:div w:id="418990232">
      <w:bodyDiv w:val="1"/>
      <w:marLeft w:val="0"/>
      <w:marRight w:val="0"/>
      <w:marTop w:val="0"/>
      <w:marBottom w:val="0"/>
      <w:divBdr>
        <w:top w:val="none" w:sz="0" w:space="0" w:color="auto"/>
        <w:left w:val="none" w:sz="0" w:space="0" w:color="auto"/>
        <w:bottom w:val="none" w:sz="0" w:space="0" w:color="auto"/>
        <w:right w:val="none" w:sz="0" w:space="0" w:color="auto"/>
      </w:divBdr>
      <w:divsChild>
        <w:div w:id="967203573">
          <w:marLeft w:val="446"/>
          <w:marRight w:val="0"/>
          <w:marTop w:val="0"/>
          <w:marBottom w:val="0"/>
          <w:divBdr>
            <w:top w:val="none" w:sz="0" w:space="0" w:color="auto"/>
            <w:left w:val="none" w:sz="0" w:space="0" w:color="auto"/>
            <w:bottom w:val="none" w:sz="0" w:space="0" w:color="auto"/>
            <w:right w:val="none" w:sz="0" w:space="0" w:color="auto"/>
          </w:divBdr>
        </w:div>
      </w:divsChild>
    </w:div>
    <w:div w:id="519979194">
      <w:bodyDiv w:val="1"/>
      <w:marLeft w:val="0"/>
      <w:marRight w:val="0"/>
      <w:marTop w:val="0"/>
      <w:marBottom w:val="0"/>
      <w:divBdr>
        <w:top w:val="none" w:sz="0" w:space="0" w:color="auto"/>
        <w:left w:val="none" w:sz="0" w:space="0" w:color="auto"/>
        <w:bottom w:val="none" w:sz="0" w:space="0" w:color="auto"/>
        <w:right w:val="none" w:sz="0" w:space="0" w:color="auto"/>
      </w:divBdr>
      <w:divsChild>
        <w:div w:id="2141916265">
          <w:marLeft w:val="446"/>
          <w:marRight w:val="0"/>
          <w:marTop w:val="0"/>
          <w:marBottom w:val="0"/>
          <w:divBdr>
            <w:top w:val="none" w:sz="0" w:space="0" w:color="auto"/>
            <w:left w:val="none" w:sz="0" w:space="0" w:color="auto"/>
            <w:bottom w:val="none" w:sz="0" w:space="0" w:color="auto"/>
            <w:right w:val="none" w:sz="0" w:space="0" w:color="auto"/>
          </w:divBdr>
        </w:div>
        <w:div w:id="675771626">
          <w:marLeft w:val="446"/>
          <w:marRight w:val="0"/>
          <w:marTop w:val="0"/>
          <w:marBottom w:val="0"/>
          <w:divBdr>
            <w:top w:val="none" w:sz="0" w:space="0" w:color="auto"/>
            <w:left w:val="none" w:sz="0" w:space="0" w:color="auto"/>
            <w:bottom w:val="none" w:sz="0" w:space="0" w:color="auto"/>
            <w:right w:val="none" w:sz="0" w:space="0" w:color="auto"/>
          </w:divBdr>
        </w:div>
        <w:div w:id="1005323518">
          <w:marLeft w:val="446"/>
          <w:marRight w:val="0"/>
          <w:marTop w:val="0"/>
          <w:marBottom w:val="0"/>
          <w:divBdr>
            <w:top w:val="none" w:sz="0" w:space="0" w:color="auto"/>
            <w:left w:val="none" w:sz="0" w:space="0" w:color="auto"/>
            <w:bottom w:val="none" w:sz="0" w:space="0" w:color="auto"/>
            <w:right w:val="none" w:sz="0" w:space="0" w:color="auto"/>
          </w:divBdr>
        </w:div>
      </w:divsChild>
    </w:div>
    <w:div w:id="1237475637">
      <w:bodyDiv w:val="1"/>
      <w:marLeft w:val="0"/>
      <w:marRight w:val="0"/>
      <w:marTop w:val="0"/>
      <w:marBottom w:val="0"/>
      <w:divBdr>
        <w:top w:val="none" w:sz="0" w:space="0" w:color="auto"/>
        <w:left w:val="none" w:sz="0" w:space="0" w:color="auto"/>
        <w:bottom w:val="none" w:sz="0" w:space="0" w:color="auto"/>
        <w:right w:val="none" w:sz="0" w:space="0" w:color="auto"/>
      </w:divBdr>
    </w:div>
    <w:div w:id="1353411391">
      <w:bodyDiv w:val="1"/>
      <w:marLeft w:val="0"/>
      <w:marRight w:val="0"/>
      <w:marTop w:val="0"/>
      <w:marBottom w:val="0"/>
      <w:divBdr>
        <w:top w:val="none" w:sz="0" w:space="0" w:color="auto"/>
        <w:left w:val="none" w:sz="0" w:space="0" w:color="auto"/>
        <w:bottom w:val="none" w:sz="0" w:space="0" w:color="auto"/>
        <w:right w:val="none" w:sz="0" w:space="0" w:color="auto"/>
      </w:divBdr>
    </w:div>
    <w:div w:id="1473594479">
      <w:bodyDiv w:val="1"/>
      <w:marLeft w:val="0"/>
      <w:marRight w:val="0"/>
      <w:marTop w:val="0"/>
      <w:marBottom w:val="0"/>
      <w:divBdr>
        <w:top w:val="none" w:sz="0" w:space="0" w:color="auto"/>
        <w:left w:val="none" w:sz="0" w:space="0" w:color="auto"/>
        <w:bottom w:val="none" w:sz="0" w:space="0" w:color="auto"/>
        <w:right w:val="none" w:sz="0" w:space="0" w:color="auto"/>
      </w:divBdr>
    </w:div>
    <w:div w:id="1502741524">
      <w:bodyDiv w:val="1"/>
      <w:marLeft w:val="0"/>
      <w:marRight w:val="0"/>
      <w:marTop w:val="0"/>
      <w:marBottom w:val="0"/>
      <w:divBdr>
        <w:top w:val="none" w:sz="0" w:space="0" w:color="auto"/>
        <w:left w:val="none" w:sz="0" w:space="0" w:color="auto"/>
        <w:bottom w:val="none" w:sz="0" w:space="0" w:color="auto"/>
        <w:right w:val="none" w:sz="0" w:space="0" w:color="auto"/>
      </w:divBdr>
      <w:divsChild>
        <w:div w:id="523402605">
          <w:marLeft w:val="446"/>
          <w:marRight w:val="0"/>
          <w:marTop w:val="0"/>
          <w:marBottom w:val="0"/>
          <w:divBdr>
            <w:top w:val="none" w:sz="0" w:space="0" w:color="auto"/>
            <w:left w:val="none" w:sz="0" w:space="0" w:color="auto"/>
            <w:bottom w:val="none" w:sz="0" w:space="0" w:color="auto"/>
            <w:right w:val="none" w:sz="0" w:space="0" w:color="auto"/>
          </w:divBdr>
        </w:div>
      </w:divsChild>
    </w:div>
    <w:div w:id="1571579146">
      <w:bodyDiv w:val="1"/>
      <w:marLeft w:val="0"/>
      <w:marRight w:val="0"/>
      <w:marTop w:val="0"/>
      <w:marBottom w:val="0"/>
      <w:divBdr>
        <w:top w:val="none" w:sz="0" w:space="0" w:color="auto"/>
        <w:left w:val="none" w:sz="0" w:space="0" w:color="auto"/>
        <w:bottom w:val="none" w:sz="0" w:space="0" w:color="auto"/>
        <w:right w:val="none" w:sz="0" w:space="0" w:color="auto"/>
      </w:divBdr>
    </w:div>
    <w:div w:id="1603613203">
      <w:bodyDiv w:val="1"/>
      <w:marLeft w:val="0"/>
      <w:marRight w:val="0"/>
      <w:marTop w:val="0"/>
      <w:marBottom w:val="0"/>
      <w:divBdr>
        <w:top w:val="none" w:sz="0" w:space="0" w:color="auto"/>
        <w:left w:val="none" w:sz="0" w:space="0" w:color="auto"/>
        <w:bottom w:val="none" w:sz="0" w:space="0" w:color="auto"/>
        <w:right w:val="none" w:sz="0" w:space="0" w:color="auto"/>
      </w:divBdr>
    </w:div>
    <w:div w:id="1610045005">
      <w:bodyDiv w:val="1"/>
      <w:marLeft w:val="0"/>
      <w:marRight w:val="0"/>
      <w:marTop w:val="0"/>
      <w:marBottom w:val="0"/>
      <w:divBdr>
        <w:top w:val="none" w:sz="0" w:space="0" w:color="auto"/>
        <w:left w:val="none" w:sz="0" w:space="0" w:color="auto"/>
        <w:bottom w:val="none" w:sz="0" w:space="0" w:color="auto"/>
        <w:right w:val="none" w:sz="0" w:space="0" w:color="auto"/>
      </w:divBdr>
      <w:divsChild>
        <w:div w:id="2020278368">
          <w:marLeft w:val="446"/>
          <w:marRight w:val="0"/>
          <w:marTop w:val="0"/>
          <w:marBottom w:val="0"/>
          <w:divBdr>
            <w:top w:val="none" w:sz="0" w:space="0" w:color="auto"/>
            <w:left w:val="none" w:sz="0" w:space="0" w:color="auto"/>
            <w:bottom w:val="none" w:sz="0" w:space="0" w:color="auto"/>
            <w:right w:val="none" w:sz="0" w:space="0" w:color="auto"/>
          </w:divBdr>
        </w:div>
      </w:divsChild>
    </w:div>
    <w:div w:id="2059696162">
      <w:bodyDiv w:val="1"/>
      <w:marLeft w:val="0"/>
      <w:marRight w:val="0"/>
      <w:marTop w:val="0"/>
      <w:marBottom w:val="0"/>
      <w:divBdr>
        <w:top w:val="none" w:sz="0" w:space="0" w:color="auto"/>
        <w:left w:val="none" w:sz="0" w:space="0" w:color="auto"/>
        <w:bottom w:val="none" w:sz="0" w:space="0" w:color="auto"/>
        <w:right w:val="none" w:sz="0" w:space="0" w:color="auto"/>
      </w:divBdr>
      <w:divsChild>
        <w:div w:id="48361880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4FD3-171E-4B26-AB53-B4362FBE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8245</Words>
  <Characters>49470</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57600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Sachogłuchowicz Piotr</dc:creator>
  <cp:keywords/>
  <dc:description/>
  <cp:lastModifiedBy>Jankowska-Słomianko Dorota</cp:lastModifiedBy>
  <cp:revision>13</cp:revision>
  <cp:lastPrinted>2024-10-02T12:06:00Z</cp:lastPrinted>
  <dcterms:created xsi:type="dcterms:W3CDTF">2024-12-02T13:35:00Z</dcterms:created>
  <dcterms:modified xsi:type="dcterms:W3CDTF">2024-12-04T14:08:00Z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UxC4dwLulzfINJ8nQH+xvX5LNGipWa4BRSZhPgxsCvkJgbrxBx3w0zpyymocAvwmuM3e516Ou/wlb+UHHiYbWA==</vt:lpwstr>
  </property>
  <property fmtid="{D5CDD505-2E9C-101B-9397-08002B2CF9AE}" pid="4" name="MFClassificationDate">
    <vt:lpwstr>2024-07-25T13:28:36.8236717+02:00</vt:lpwstr>
  </property>
  <property fmtid="{D5CDD505-2E9C-101B-9397-08002B2CF9AE}" pid="5" name="MFClassifiedBySID">
    <vt:lpwstr>UxC4dwLulzfINJ8nQH+xvX5LNGipWa4BRSZhPgxsCvm42mrIC/DSDv0ggS+FjUN/2v1BBotkLlY5aAiEhoi6ueQpfc70tr9qeEF5ikRoZiCBOaY/nmHyOretc7/4Ijg0</vt:lpwstr>
  </property>
  <property fmtid="{D5CDD505-2E9C-101B-9397-08002B2CF9AE}" pid="6" name="MFGRNItemId">
    <vt:lpwstr>GRN-80de824f-a4e4-43f6-a1da-79d699316d1d</vt:lpwstr>
  </property>
  <property fmtid="{D5CDD505-2E9C-101B-9397-08002B2CF9AE}" pid="7" name="MFHash">
    <vt:lpwstr>JMfrSOan6no1KxK58DS76zu2N5UdldSGLYMM7x1JzqU=</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