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DCED" w14:textId="3F4DE96B" w:rsidR="00FA0E32" w:rsidRPr="005D0F09" w:rsidRDefault="00FA0E32" w:rsidP="005D0F09">
      <w:pPr>
        <w:pStyle w:val="OZNRODZAKTUtznustawalubrozporzdzenieiorganwydajcy"/>
        <w:spacing w:before="360" w:after="360"/>
        <w:rPr>
          <w:rFonts w:ascii="Times New Roman" w:hAnsi="Times New Roman"/>
          <w:b w:val="0"/>
          <w:bCs w:val="0"/>
        </w:rPr>
      </w:pPr>
      <w:r w:rsidRPr="005D0F09">
        <w:rPr>
          <w:rFonts w:ascii="Times New Roman" w:hAnsi="Times New Roman"/>
          <w:b w:val="0"/>
          <w:bCs w:val="0"/>
        </w:rPr>
        <w:t>U</w:t>
      </w:r>
      <w:r w:rsidR="00591F8D" w:rsidRPr="005D0F09">
        <w:rPr>
          <w:rFonts w:ascii="Times New Roman" w:hAnsi="Times New Roman"/>
          <w:b w:val="0"/>
          <w:bCs w:val="0"/>
        </w:rPr>
        <w:t>zasadnienie</w:t>
      </w:r>
    </w:p>
    <w:p w14:paraId="3642DAF4" w14:textId="3CDECD3C" w:rsidR="00920E32" w:rsidRPr="003766F3" w:rsidRDefault="003766F3" w:rsidP="005D0F09">
      <w:pPr>
        <w:keepLines/>
        <w:spacing w:before="120"/>
        <w:jc w:val="both"/>
        <w:rPr>
          <w:rFonts w:cs="Times New Roman"/>
          <w:szCs w:val="24"/>
        </w:rPr>
      </w:pPr>
      <w:r w:rsidRPr="003766F3">
        <w:rPr>
          <w:rFonts w:cs="Times New Roman"/>
          <w:b/>
          <w:bCs/>
          <w:szCs w:val="24"/>
        </w:rPr>
        <w:t>1.</w:t>
      </w:r>
      <w:r w:rsidRPr="003766F3">
        <w:rPr>
          <w:rFonts w:cs="Times New Roman"/>
          <w:szCs w:val="24"/>
        </w:rPr>
        <w:t xml:space="preserve"> </w:t>
      </w:r>
      <w:r w:rsidR="00920E32" w:rsidRPr="003766F3">
        <w:rPr>
          <w:rFonts w:cs="Times New Roman"/>
          <w:szCs w:val="24"/>
        </w:rPr>
        <w:t>Celem projektowanej ustawy jest uwzględnienie w krajowym porządku prawnym wejścia w życie, z dniem 20 listopada 2024 r., rozporządzenia wykonawczego Komisji (UE) 2024/2522 z</w:t>
      </w:r>
      <w:r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 xml:space="preserve">dnia 23 września 2024 r. zmieniającego załącznik I do rozporządzenia Rady (EWG) nr 2658/87 w sprawie nomenklatury taryfowej i statystycznej oraz w sprawie Wspólnej Taryfy Celnej (Dz. Urz. UE L 2024/2522 z 31.10.2024). Rozporządzenie to stosuje się bezpośrednio we wszystkich państwach członkowskich Unii Europejskiej od dnia 1 stycznia 2025 r. Akt ten wprowadza m.in. zmianę kodu CN dla czystego (o zawartości siarki nieprzekraczającej 0,001 % masy) oleju napędowego. </w:t>
      </w:r>
      <w:r w:rsidR="002D49D1" w:rsidRPr="003766F3">
        <w:rPr>
          <w:rFonts w:cs="Times New Roman"/>
          <w:szCs w:val="24"/>
        </w:rPr>
        <w:t>Aktualny dla tego oleju napędowego k</w:t>
      </w:r>
      <w:r w:rsidR="00920E32" w:rsidRPr="003766F3">
        <w:rPr>
          <w:rFonts w:cs="Times New Roman"/>
          <w:szCs w:val="24"/>
        </w:rPr>
        <w:t xml:space="preserve">od </w:t>
      </w:r>
      <w:r w:rsidR="002D49D1" w:rsidRPr="003766F3">
        <w:rPr>
          <w:rFonts w:cs="Times New Roman"/>
          <w:szCs w:val="24"/>
        </w:rPr>
        <w:t xml:space="preserve">CN 2710 19 43 </w:t>
      </w:r>
      <w:r w:rsidR="00920E32" w:rsidRPr="003766F3">
        <w:rPr>
          <w:rFonts w:cs="Times New Roman"/>
          <w:szCs w:val="24"/>
        </w:rPr>
        <w:t>zostanie zastąpiony dwoma nowymi kodami:</w:t>
      </w:r>
    </w:p>
    <w:p w14:paraId="3DD68554" w14:textId="5D62FC32" w:rsidR="00920E32" w:rsidRPr="003766F3" w:rsidRDefault="00920E32" w:rsidP="005D0F09">
      <w:pPr>
        <w:pStyle w:val="Akapitzlist"/>
        <w:keepLines/>
        <w:spacing w:before="60" w:after="60"/>
        <w:ind w:left="284" w:hanging="284"/>
        <w:contextualSpacing w:val="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1)</w:t>
      </w:r>
      <w:r w:rsidRPr="003766F3">
        <w:rPr>
          <w:rFonts w:cs="Times New Roman"/>
          <w:szCs w:val="24"/>
        </w:rPr>
        <w:tab/>
        <w:t>CN 2710 19 42 – dla oleju napędowego o zawartości węgla biogenicznego co najmniej 80 % masy</w:t>
      </w:r>
      <w:r w:rsidR="006E5879">
        <w:rPr>
          <w:rFonts w:cs="Times New Roman"/>
          <w:szCs w:val="24"/>
        </w:rPr>
        <w:t>;</w:t>
      </w:r>
    </w:p>
    <w:p w14:paraId="69C5B451" w14:textId="77777777" w:rsidR="00920E32" w:rsidRPr="003766F3" w:rsidRDefault="00920E32" w:rsidP="005D0F09">
      <w:pPr>
        <w:pStyle w:val="Akapitzlist"/>
        <w:keepLines/>
        <w:spacing w:before="60" w:after="60"/>
        <w:ind w:left="284" w:hanging="284"/>
        <w:contextualSpacing w:val="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2)</w:t>
      </w:r>
      <w:r w:rsidRPr="003766F3">
        <w:rPr>
          <w:rFonts w:cs="Times New Roman"/>
          <w:szCs w:val="24"/>
        </w:rPr>
        <w:tab/>
        <w:t>CN 2710 19 44 – dla pozostałych olejów napędowych.</w:t>
      </w:r>
    </w:p>
    <w:p w14:paraId="60A3683B" w14:textId="65B37DD4" w:rsidR="00920E32" w:rsidRPr="003766F3" w:rsidRDefault="003766F3" w:rsidP="005D0F09">
      <w:pPr>
        <w:keepLines/>
        <w:spacing w:before="120"/>
        <w:jc w:val="both"/>
        <w:rPr>
          <w:rFonts w:cs="Times New Roman"/>
          <w:szCs w:val="24"/>
        </w:rPr>
      </w:pPr>
      <w:r w:rsidRPr="003766F3">
        <w:rPr>
          <w:rFonts w:cs="Times New Roman"/>
          <w:b/>
          <w:bCs/>
          <w:szCs w:val="24"/>
        </w:rPr>
        <w:t>2.</w:t>
      </w:r>
      <w:r w:rsidRPr="003766F3">
        <w:rPr>
          <w:rFonts w:cs="Times New Roman"/>
          <w:szCs w:val="24"/>
        </w:rPr>
        <w:t xml:space="preserve"> </w:t>
      </w:r>
      <w:r w:rsidR="00920E32" w:rsidRPr="003766F3">
        <w:rPr>
          <w:rFonts w:cs="Times New Roman"/>
          <w:szCs w:val="24"/>
        </w:rPr>
        <w:t>Projektodawca, w wyniku przeglądu polskiego ustawodawstwa, zidentyfikował regulacje, w których jest aktualnie powoływany kod CN 2710 19 43. Regulacje te, bez odpowiednich zmian, które weszłyby w życie z dniem 1 stycznia 2025 r., pozostawałyby niespójne z</w:t>
      </w:r>
      <w:r w:rsidR="00812943" w:rsidRPr="003766F3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powołanym rozporządzeniem wykonawczym. Są one zamieszczone w:</w:t>
      </w:r>
    </w:p>
    <w:p w14:paraId="77E29358" w14:textId="77777777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1)</w:t>
      </w:r>
      <w:r w:rsidRPr="003766F3">
        <w:rPr>
          <w:rFonts w:cs="Times New Roman"/>
          <w:szCs w:val="24"/>
        </w:rPr>
        <w:tab/>
        <w:t>art. 37h ust. 4 pkt 2 ustawy z dnia 27 października 1994 r. o autostradach płatnych oraz o Krajowym Funduszu Drogowym (Dz. U. z 2024 r. poz. 321);</w:t>
      </w:r>
    </w:p>
    <w:p w14:paraId="4A3B9719" w14:textId="004023E2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2)</w:t>
      </w:r>
      <w:r w:rsidRPr="003766F3">
        <w:rPr>
          <w:rFonts w:cs="Times New Roman"/>
          <w:szCs w:val="24"/>
        </w:rPr>
        <w:tab/>
        <w:t>art. 321a ust. 3 pkt 2 ustawy z dnia 27 kwietnia 2001 r. – Prawo ochrony środowiska (Dz.</w:t>
      </w:r>
      <w:r w:rsidR="002D49D1" w:rsidRPr="003766F3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>U. z</w:t>
      </w:r>
      <w:r w:rsidR="00BC27FB" w:rsidRPr="003766F3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>2024 r. poz. 54, 834, 1089 i 1222);</w:t>
      </w:r>
    </w:p>
    <w:p w14:paraId="6B2064EF" w14:textId="6B7A0C8E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3)</w:t>
      </w:r>
      <w:r w:rsidRPr="003766F3">
        <w:rPr>
          <w:rFonts w:cs="Times New Roman"/>
          <w:szCs w:val="24"/>
        </w:rPr>
        <w:tab/>
        <w:t>art. 21 ust. 3 ustawy z dnia 25 sierpnia 2006 r. o biokomponentach i biopaliwach ciekłych (Dz.</w:t>
      </w:r>
      <w:r w:rsidR="003766F3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>U. z 2024 r. poz. 20 i 834);</w:t>
      </w:r>
    </w:p>
    <w:p w14:paraId="54CD1045" w14:textId="77777777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4)</w:t>
      </w:r>
      <w:r w:rsidRPr="003766F3">
        <w:rPr>
          <w:rFonts w:cs="Times New Roman"/>
          <w:szCs w:val="24"/>
        </w:rPr>
        <w:tab/>
        <w:t>art. 2 ust. 1 pkt 8 ustawy z dnia 25 sierpnia 2006 r. o systemie monitorowania i kontrolowania jakości paliw (Dz. U. z 2024 r. poz. 1209);</w:t>
      </w:r>
    </w:p>
    <w:p w14:paraId="59F61330" w14:textId="41A27D79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5)</w:t>
      </w:r>
      <w:r w:rsidRPr="003766F3">
        <w:rPr>
          <w:rFonts w:cs="Times New Roman"/>
          <w:szCs w:val="24"/>
        </w:rPr>
        <w:tab/>
        <w:t>art. 2 pkt 15 lit. c ustawy z dnia 20 maja 2016 r. o efektywności energetycznej (Dz. U. z</w:t>
      </w:r>
      <w:r w:rsidR="002D49D1" w:rsidRPr="003766F3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>2024 r. poz. 1047).</w:t>
      </w:r>
    </w:p>
    <w:p w14:paraId="686D0B39" w14:textId="0ABE0A5C" w:rsidR="003C7595" w:rsidRPr="003766F3" w:rsidRDefault="00F87A85" w:rsidP="005D0F09">
      <w:pPr>
        <w:keepLines/>
        <w:spacing w:before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 xml:space="preserve">W przypadku powołanych przepisów zaproponowano nadanie im nowego brzmienia, </w:t>
      </w:r>
      <w:r w:rsidR="003C7595" w:rsidRPr="003766F3">
        <w:rPr>
          <w:rFonts w:cs="Times New Roman"/>
          <w:szCs w:val="24"/>
        </w:rPr>
        <w:t>w którym w</w:t>
      </w:r>
      <w:r w:rsidR="00BC27FB" w:rsidRPr="003766F3">
        <w:rPr>
          <w:rFonts w:cs="Times New Roman"/>
          <w:szCs w:val="24"/>
        </w:rPr>
        <w:t> </w:t>
      </w:r>
      <w:r w:rsidR="003C7595" w:rsidRPr="003766F3">
        <w:rPr>
          <w:rFonts w:cs="Times New Roman"/>
          <w:szCs w:val="24"/>
        </w:rPr>
        <w:t>przypadku:</w:t>
      </w:r>
    </w:p>
    <w:p w14:paraId="1BBEB87B" w14:textId="37A02CFC" w:rsidR="003C7595" w:rsidRPr="003766F3" w:rsidRDefault="003C7595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1)</w:t>
      </w:r>
      <w:r w:rsidRPr="003766F3">
        <w:rPr>
          <w:rFonts w:cs="Times New Roman"/>
          <w:szCs w:val="24"/>
        </w:rPr>
        <w:tab/>
        <w:t>ustaw wymienionych w pkt 1, 2, 4 i 5 – zaproponowano zastąpienie kodu CN 2710 19 43 kodami CN 2710 19 42 i CN 2710 19 44;</w:t>
      </w:r>
    </w:p>
    <w:p w14:paraId="6C89B173" w14:textId="40AC60E8" w:rsidR="00F87A85" w:rsidRPr="003766F3" w:rsidRDefault="003C7595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lastRenderedPageBreak/>
        <w:t>2)</w:t>
      </w:r>
      <w:r w:rsidRPr="003766F3">
        <w:rPr>
          <w:rFonts w:cs="Times New Roman"/>
          <w:szCs w:val="24"/>
        </w:rPr>
        <w:tab/>
        <w:t xml:space="preserve">ustawy wymienionej w pkt 3, ze względu na specyfikę regulowanego obszaru </w:t>
      </w:r>
      <w:r w:rsidR="00BC27FB" w:rsidRPr="003766F3">
        <w:rPr>
          <w:rFonts w:cs="Times New Roman"/>
          <w:szCs w:val="24"/>
        </w:rPr>
        <w:t xml:space="preserve">(ograniczenia w zakresie wytwarzanych przez rolników biopaliw ciekłych na własny użytek) </w:t>
      </w:r>
      <w:r w:rsidRPr="003766F3">
        <w:rPr>
          <w:rFonts w:cs="Times New Roman"/>
          <w:szCs w:val="24"/>
        </w:rPr>
        <w:t>– zaproponowano zastąpienie kodu CN 2710 19 43 jedynie kodem CN 2710 19 44.</w:t>
      </w:r>
    </w:p>
    <w:p w14:paraId="504AF666" w14:textId="55ED42BF" w:rsidR="00920E32" w:rsidRPr="003766F3" w:rsidRDefault="003766F3" w:rsidP="005D0F09">
      <w:pPr>
        <w:keepLines/>
        <w:spacing w:before="120"/>
        <w:jc w:val="both"/>
        <w:rPr>
          <w:rFonts w:cs="Times New Roman"/>
          <w:szCs w:val="24"/>
        </w:rPr>
      </w:pPr>
      <w:r w:rsidRPr="003766F3">
        <w:rPr>
          <w:rFonts w:cs="Times New Roman"/>
          <w:b/>
          <w:bCs/>
          <w:szCs w:val="24"/>
        </w:rPr>
        <w:t>3.</w:t>
      </w:r>
      <w:r w:rsidRPr="003766F3">
        <w:rPr>
          <w:rFonts w:cs="Times New Roman"/>
          <w:szCs w:val="24"/>
        </w:rPr>
        <w:t xml:space="preserve"> </w:t>
      </w:r>
      <w:r w:rsidR="00920E32" w:rsidRPr="003766F3">
        <w:rPr>
          <w:rFonts w:cs="Times New Roman"/>
          <w:szCs w:val="24"/>
        </w:rPr>
        <w:t>Projektowana zmiana wprowadza również przepisy, które stanowią reguły przejściowe dla przyszłych zmian w kodach CN, co ułatwi ich wdrażanie do porządku krajowego. Zmiany te dotyczą:</w:t>
      </w:r>
    </w:p>
    <w:p w14:paraId="66DB785A" w14:textId="6880464E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1)</w:t>
      </w:r>
      <w:r w:rsidRPr="003766F3">
        <w:rPr>
          <w:rFonts w:cs="Times New Roman"/>
          <w:szCs w:val="24"/>
        </w:rPr>
        <w:tab/>
        <w:t>ustawy z dnia 10 kwietnia 1997 r. – Prawo energetyczne (Dz. U. z 2024 r. poz. 266, 834 i</w:t>
      </w:r>
      <w:r w:rsidR="002D49D1" w:rsidRPr="003766F3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 xml:space="preserve">859) w zakresie art. 32, w którym zaproponowano dodanie ust. </w:t>
      </w:r>
      <w:r w:rsidR="002717EF">
        <w:rPr>
          <w:rFonts w:cs="Times New Roman"/>
          <w:szCs w:val="24"/>
        </w:rPr>
        <w:t>8</w:t>
      </w:r>
      <w:r w:rsidRPr="003766F3">
        <w:rPr>
          <w:rFonts w:cs="Times New Roman"/>
          <w:szCs w:val="24"/>
        </w:rPr>
        <w:t>;</w:t>
      </w:r>
    </w:p>
    <w:p w14:paraId="0CA4F19C" w14:textId="5871952C" w:rsidR="00920E32" w:rsidRPr="003766F3" w:rsidRDefault="00920E32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2)</w:t>
      </w:r>
      <w:r w:rsidRPr="003766F3">
        <w:rPr>
          <w:rFonts w:cs="Times New Roman"/>
          <w:szCs w:val="24"/>
        </w:rPr>
        <w:tab/>
        <w:t xml:space="preserve">ustawy z dnia 16 lutego 2007 r. o zapasach ropy naftowej, produktów naftowych i gazu ziemnego oraz zasadach postępowania w sytuacjach zagrożenia bezpieczeństwa paliwowego państwa i zakłóceń na rynku naftowym (Dz. U. z 2024 r. poz. 1281) w zakresie art. 3, w którym po ust. 5a zaproponowano dodanie ust. 5b (brak </w:t>
      </w:r>
      <w:r w:rsidR="00C05C6A" w:rsidRPr="003766F3">
        <w:rPr>
          <w:rFonts w:cs="Times New Roman"/>
          <w:szCs w:val="24"/>
        </w:rPr>
        <w:t xml:space="preserve">jest </w:t>
      </w:r>
      <w:r w:rsidRPr="003766F3">
        <w:rPr>
          <w:rFonts w:cs="Times New Roman"/>
          <w:szCs w:val="24"/>
        </w:rPr>
        <w:t>możliwości dodania nowego przepisu bezpośrednio po ust. 5).</w:t>
      </w:r>
    </w:p>
    <w:p w14:paraId="6B022A6F" w14:textId="0B310C32" w:rsidR="001155BA" w:rsidRPr="003766F3" w:rsidRDefault="003766F3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b/>
          <w:bCs/>
          <w:szCs w:val="24"/>
        </w:rPr>
        <w:t>3.1.</w:t>
      </w:r>
      <w:r w:rsidRPr="003766F3">
        <w:rPr>
          <w:rFonts w:cs="Times New Roman"/>
          <w:szCs w:val="24"/>
        </w:rPr>
        <w:t xml:space="preserve"> </w:t>
      </w:r>
      <w:r w:rsidR="00920E32" w:rsidRPr="003766F3">
        <w:rPr>
          <w:rFonts w:cs="Times New Roman"/>
          <w:szCs w:val="24"/>
        </w:rPr>
        <w:t>Zgodnie z art. 32 ust. 6 ustawy z dnia 10 kwietnia 1997 r. – Prawo energetyczne minister właściwy do spraw gospodarki surowcami energetycznymi określi, w drodze rozporządzenia, szczegółowy wykaz paliw ciekłych, których wytwarzanie, magazynowanie lub przeładunek, przesyłanie lub dystrybucja, obrót, w tym obrót z zagranicą, wymaga koncesji, o których mowa w</w:t>
      </w:r>
      <w:r w:rsidR="00841E10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art. 32 ust. 1 pkt 1–4 tej ustawy, oraz których przywóz wymaga wpisu do rejestru, o którym mowa w art. 32a tej ustawy (tj. rejestru podmiotów przywożących), stosując obowiązującą klasyfikację Nomenklatury Scalonej (kody CN) według załącznika I do rozporządzenia Rady (EWG) nr</w:t>
      </w:r>
      <w:r w:rsidR="006258C1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2658/87 z dnia 23 lipca 1987 r. w sprawie nomenklatury taryfowej i statystycznej oraz w</w:t>
      </w:r>
      <w:r w:rsidR="006258C1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sprawie Wspólnej Taryfy Celnej (Dz. Urz. UE L 256 z 07.09.1987, str. 1). W</w:t>
      </w:r>
      <w:r w:rsidR="002D49D1" w:rsidRPr="003766F3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rozporządzeniu można określić przeznaczenie paliwa ciekłego, jeżeli będzie to służyć osiągnięciu celów tego rozporządzenia, o których mowa w art. 32 ust. 7 tej ustawy. Ten z kolei przepis stanowi, że</w:t>
      </w:r>
      <w:r w:rsidR="006258C1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minister właściwy do spraw gospodarki surowcami energetycznymi, wydając rozporządzenie, o którym mowa w art. 32 ust. 6 tej ustawy, kieruje się potrzebą zapewnienia prawidłowego funkcjonowania krajowego rynku paliw, bezpieczeństwem paliwowym państwa i ochroną konkurencji.</w:t>
      </w:r>
    </w:p>
    <w:p w14:paraId="72D5D229" w14:textId="017CDFD3" w:rsidR="003766F3" w:rsidRPr="003766F3" w:rsidRDefault="003C789F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lastRenderedPageBreak/>
        <w:t xml:space="preserve">Aktualnie obowiązuje, wydane na podstawie </w:t>
      </w:r>
      <w:r w:rsidR="00F40FA7" w:rsidRPr="003766F3">
        <w:rPr>
          <w:rFonts w:cs="Times New Roman"/>
          <w:szCs w:val="24"/>
        </w:rPr>
        <w:t xml:space="preserve">art. 32 ust. 6 tej ustawy, rozporządzenie Ministra Aktywów Państwowych z dnia 27 listopada 2019 r. w sprawie szczegółowego wykazu paliw ciekłych, których wytwarzanie, magazynowanie lub przeładunek, przesyłanie lub dystrybucja, obrót, w tym obrót z zagranicą, wymaga koncesji oraz których przywóz wymaga wpisu do rejestru podmiotów przywożących (Dz. U. z 2021 r. poz. 2336 oraz z 2023 r. poz. 2455). </w:t>
      </w:r>
      <w:r w:rsidR="006940F5" w:rsidRPr="003766F3">
        <w:rPr>
          <w:rFonts w:cs="Times New Roman"/>
          <w:szCs w:val="24"/>
        </w:rPr>
        <w:t xml:space="preserve">Projektowany ust. </w:t>
      </w:r>
      <w:r w:rsidR="00143D51">
        <w:rPr>
          <w:rFonts w:cs="Times New Roman"/>
          <w:szCs w:val="24"/>
        </w:rPr>
        <w:t>8</w:t>
      </w:r>
      <w:r w:rsidR="006940F5" w:rsidRPr="003766F3">
        <w:rPr>
          <w:rFonts w:cs="Times New Roman"/>
          <w:szCs w:val="24"/>
        </w:rPr>
        <w:t xml:space="preserve"> w art. 32 stanowi, że </w:t>
      </w:r>
      <w:r w:rsidRPr="003766F3">
        <w:rPr>
          <w:rFonts w:cs="Times New Roman"/>
          <w:szCs w:val="24"/>
        </w:rPr>
        <w:t>z</w:t>
      </w:r>
      <w:r w:rsidR="00F766F3" w:rsidRPr="003766F3">
        <w:rPr>
          <w:rFonts w:cs="Times New Roman"/>
          <w:szCs w:val="24"/>
        </w:rPr>
        <w:t>miany w Nomenklaturze Scalonej (CN) nie powodują zmian w</w:t>
      </w:r>
      <w:r w:rsidR="006258C1">
        <w:rPr>
          <w:rFonts w:cs="Times New Roman"/>
          <w:szCs w:val="24"/>
        </w:rPr>
        <w:t> </w:t>
      </w:r>
      <w:r w:rsidR="00F766F3" w:rsidRPr="003766F3">
        <w:rPr>
          <w:rFonts w:cs="Times New Roman"/>
          <w:szCs w:val="24"/>
        </w:rPr>
        <w:t>wykazach określonych w przepisach wydanych na podstawie ust. 6.</w:t>
      </w:r>
    </w:p>
    <w:p w14:paraId="55ECF0F5" w14:textId="5FD11314" w:rsidR="00920E32" w:rsidRPr="003766F3" w:rsidRDefault="00F40FA7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 xml:space="preserve">Zaproponowana regulacja </w:t>
      </w:r>
      <w:r w:rsidR="00920E32" w:rsidRPr="003766F3">
        <w:rPr>
          <w:rFonts w:cs="Times New Roman"/>
          <w:szCs w:val="24"/>
        </w:rPr>
        <w:t xml:space="preserve">zapewni utrzymanie porządku prawnego i stabilności koncesjonowania oraz obowiązku wpisu do rejestru podmiotów przywożących w </w:t>
      </w:r>
      <w:r w:rsidRPr="003766F3">
        <w:rPr>
          <w:rFonts w:cs="Times New Roman"/>
          <w:szCs w:val="24"/>
        </w:rPr>
        <w:t>przypadku z</w:t>
      </w:r>
      <w:r w:rsidR="00920E32" w:rsidRPr="003766F3">
        <w:rPr>
          <w:rFonts w:cs="Times New Roman"/>
          <w:szCs w:val="24"/>
        </w:rPr>
        <w:t xml:space="preserve">miany </w:t>
      </w:r>
      <w:r w:rsidR="00DE194C" w:rsidRPr="003766F3">
        <w:rPr>
          <w:rFonts w:cs="Times New Roman"/>
          <w:szCs w:val="24"/>
        </w:rPr>
        <w:t>N</w:t>
      </w:r>
      <w:r w:rsidR="00920E32" w:rsidRPr="003766F3">
        <w:rPr>
          <w:rFonts w:cs="Times New Roman"/>
          <w:szCs w:val="24"/>
        </w:rPr>
        <w:t xml:space="preserve">omenklatury </w:t>
      </w:r>
      <w:r w:rsidR="00DE194C" w:rsidRPr="003766F3">
        <w:rPr>
          <w:rFonts w:cs="Times New Roman"/>
          <w:szCs w:val="24"/>
        </w:rPr>
        <w:t>S</w:t>
      </w:r>
      <w:r w:rsidR="00920E32" w:rsidRPr="003766F3">
        <w:rPr>
          <w:rFonts w:cs="Times New Roman"/>
          <w:szCs w:val="24"/>
        </w:rPr>
        <w:t>calonej przy jednoczesnym braku nowelizacji rozporządzenia w</w:t>
      </w:r>
      <w:r w:rsidR="00DE194C" w:rsidRPr="003766F3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sprawie szczegółowego wykazu paliw ciekłych, których wytwarzanie, magazynowanie lub przeładunek, przesyłanie lub dystrybucja, obrót, w tym obrót z zagranicą, wymaga koncesji oraz których przywóz wymaga wpisu do rejestru podmiotów przywożących.</w:t>
      </w:r>
    </w:p>
    <w:p w14:paraId="3BEF0E6D" w14:textId="73AD973A" w:rsidR="00B504BC" w:rsidRPr="003766F3" w:rsidRDefault="003766F3" w:rsidP="005D0F09">
      <w:pPr>
        <w:keepLines/>
        <w:spacing w:before="120"/>
        <w:jc w:val="both"/>
        <w:rPr>
          <w:rFonts w:cs="Times New Roman"/>
          <w:szCs w:val="24"/>
        </w:rPr>
      </w:pPr>
      <w:r w:rsidRPr="003766F3">
        <w:rPr>
          <w:rFonts w:cs="Times New Roman"/>
          <w:b/>
          <w:bCs/>
          <w:szCs w:val="24"/>
        </w:rPr>
        <w:t>3.2.</w:t>
      </w:r>
      <w:r w:rsidRPr="003766F3">
        <w:rPr>
          <w:rFonts w:cs="Times New Roman"/>
          <w:szCs w:val="24"/>
        </w:rPr>
        <w:t xml:space="preserve"> </w:t>
      </w:r>
      <w:r w:rsidR="00B504BC" w:rsidRPr="003766F3">
        <w:rPr>
          <w:rFonts w:cs="Times New Roman"/>
          <w:szCs w:val="24"/>
        </w:rPr>
        <w:t>Zgodnie z art. 3 ust. 5 ustawy z dnia 16 lutego 2007 r. o zapasach ropy naftowej, produktów naftowych i gazu ziemnego oraz zasadach postępowania w sytuacjach zagrożenia bezpieczeństwa paliwowego państwa i zakłóceń na rynku naftowym minister właściwy do spraw gospodarki surowcami energetycznymi określi, w drodze rozporządzenia, szczegółowy wykaz:</w:t>
      </w:r>
    </w:p>
    <w:p w14:paraId="5D093148" w14:textId="77777777" w:rsidR="00B504BC" w:rsidRPr="003766F3" w:rsidRDefault="00B504BC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1)</w:t>
      </w:r>
      <w:r w:rsidRPr="003766F3">
        <w:rPr>
          <w:rFonts w:cs="Times New Roman"/>
          <w:szCs w:val="24"/>
        </w:rPr>
        <w:tab/>
        <w:t>surowców oraz produktów naftowych uwzględnianych podczas ustalania ilości zapasów interwencyjnych (należą do nich zapasy obowiązkowe i agencyjne),</w:t>
      </w:r>
    </w:p>
    <w:p w14:paraId="44B46E26" w14:textId="77777777" w:rsidR="00B504BC" w:rsidRPr="003766F3" w:rsidRDefault="00B504BC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2)</w:t>
      </w:r>
      <w:r w:rsidRPr="003766F3">
        <w:rPr>
          <w:rFonts w:cs="Times New Roman"/>
          <w:szCs w:val="24"/>
        </w:rPr>
        <w:tab/>
        <w:t>surowców oraz paliw, w których tworzy się zapasy interwencyjne, w podziale na kategorie (grupy), uwzględniając możliwość zamiennego utrzymywania zapasów tych paliw w ramach danej kategorii,</w:t>
      </w:r>
    </w:p>
    <w:p w14:paraId="58F27D39" w14:textId="77777777" w:rsidR="00B504BC" w:rsidRPr="003766F3" w:rsidRDefault="00B504BC" w:rsidP="005D0F09">
      <w:pPr>
        <w:keepLines/>
        <w:spacing w:before="60" w:after="60"/>
        <w:ind w:left="284" w:hanging="284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3)</w:t>
      </w:r>
      <w:r w:rsidRPr="003766F3">
        <w:rPr>
          <w:rFonts w:cs="Times New Roman"/>
          <w:szCs w:val="24"/>
        </w:rPr>
        <w:tab/>
        <w:t>paliw stanowiących podstawę do wyliczenia opłaty zapasowej</w:t>
      </w:r>
    </w:p>
    <w:p w14:paraId="69BAD03E" w14:textId="6BEFB331" w:rsidR="00B504BC" w:rsidRPr="003766F3" w:rsidRDefault="00B504BC" w:rsidP="005D0F09">
      <w:pPr>
        <w:keepLines/>
        <w:spacing w:before="6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– biorąc pod uwagę obowiązującą klasyfikację Nomenklatury Scalonej (kody CN) według załącznika I do rozporządzenia Rady (EWG) Nr 2658/87 z dnia 23 lipca 1987 r. w sprawie nomenklatury taryfowej i statystycznej oraz w sprawie Wspólnej Taryfy Celnej (Dz. Urz. L 256 z</w:t>
      </w:r>
      <w:r w:rsidR="006258C1">
        <w:rPr>
          <w:rFonts w:cs="Times New Roman"/>
          <w:szCs w:val="24"/>
        </w:rPr>
        <w:t> </w:t>
      </w:r>
      <w:r w:rsidRPr="003766F3">
        <w:rPr>
          <w:rFonts w:cs="Times New Roman"/>
          <w:szCs w:val="24"/>
        </w:rPr>
        <w:t>07.09.1987, str. 1), strukturę zużycia paliw na rynku krajowym oraz zobowiązania międzynarodowe Rzeczypospolitej.</w:t>
      </w:r>
    </w:p>
    <w:p w14:paraId="1F813C32" w14:textId="3ED3C0E0" w:rsidR="00B504BC" w:rsidRPr="003766F3" w:rsidRDefault="00B504BC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Upoważnienie ustawowe przesądza, że surowce oraz produkty naftowe są oznaczone kodami CN wynikającymi z obowiązującej klasyfikacji Nomenklatury Scalonej.</w:t>
      </w:r>
    </w:p>
    <w:p w14:paraId="478A74DD" w14:textId="6DEF9C80" w:rsidR="003766F3" w:rsidRPr="003766F3" w:rsidRDefault="00B504BC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lastRenderedPageBreak/>
        <w:t>Aktualnie obowiązuje</w:t>
      </w:r>
      <w:r w:rsidR="006258C1">
        <w:rPr>
          <w:rFonts w:cs="Times New Roman"/>
          <w:szCs w:val="24"/>
        </w:rPr>
        <w:t xml:space="preserve">, wydane na podstawie </w:t>
      </w:r>
      <w:r w:rsidR="006258C1" w:rsidRPr="003766F3">
        <w:rPr>
          <w:rFonts w:cs="Times New Roman"/>
          <w:szCs w:val="24"/>
        </w:rPr>
        <w:t>art. 3 ust. 5 ustawy z dnia 16 lutego 2007 r. o zapasach ropy naftowej, produktów naftowych i gazu ziemnego oraz zasadach postępowania w</w:t>
      </w:r>
      <w:r w:rsidR="006258C1">
        <w:rPr>
          <w:rFonts w:cs="Times New Roman"/>
          <w:szCs w:val="24"/>
        </w:rPr>
        <w:t> </w:t>
      </w:r>
      <w:r w:rsidR="006258C1" w:rsidRPr="003766F3">
        <w:rPr>
          <w:rFonts w:cs="Times New Roman"/>
          <w:szCs w:val="24"/>
        </w:rPr>
        <w:t>sytuacjach zagrożenia bezpieczeństwa paliwowego państwa i zakłóceń na rynku naftowym</w:t>
      </w:r>
      <w:r w:rsidR="006258C1">
        <w:rPr>
          <w:rFonts w:cs="Times New Roman"/>
          <w:szCs w:val="24"/>
        </w:rPr>
        <w:t>,</w:t>
      </w:r>
      <w:r w:rsidRPr="003766F3">
        <w:rPr>
          <w:rFonts w:cs="Times New Roman"/>
          <w:szCs w:val="24"/>
        </w:rPr>
        <w:t xml:space="preserve"> </w:t>
      </w:r>
      <w:r w:rsidR="001155BA" w:rsidRPr="003766F3">
        <w:rPr>
          <w:rFonts w:cs="Times New Roman"/>
          <w:szCs w:val="24"/>
        </w:rPr>
        <w:t>rozporządzenie Ministra Klimatu z dnia 7 sierpnia 2020 r. w sprawie szczegółowego wykazu surowców oraz produktów naftowych objętych systemem zapasów interwencyjnych oraz wykazu paliw stanowiących podstawę do wyliczenia opłaty zapasowej (Dz.</w:t>
      </w:r>
      <w:r w:rsidR="006258C1">
        <w:rPr>
          <w:rFonts w:cs="Times New Roman"/>
          <w:szCs w:val="24"/>
        </w:rPr>
        <w:t> </w:t>
      </w:r>
      <w:r w:rsidR="001155BA" w:rsidRPr="003766F3">
        <w:rPr>
          <w:rFonts w:cs="Times New Roman"/>
          <w:szCs w:val="24"/>
        </w:rPr>
        <w:t xml:space="preserve">U. poz. 1373). Projektowany </w:t>
      </w:r>
      <w:r w:rsidR="00F318F7" w:rsidRPr="003766F3">
        <w:rPr>
          <w:rFonts w:cs="Times New Roman"/>
          <w:szCs w:val="24"/>
        </w:rPr>
        <w:t>ust. 5b w</w:t>
      </w:r>
      <w:r w:rsidR="006258C1">
        <w:rPr>
          <w:rFonts w:cs="Times New Roman"/>
          <w:szCs w:val="24"/>
        </w:rPr>
        <w:t> </w:t>
      </w:r>
      <w:r w:rsidR="00F318F7" w:rsidRPr="003766F3">
        <w:rPr>
          <w:rFonts w:cs="Times New Roman"/>
          <w:szCs w:val="24"/>
        </w:rPr>
        <w:t xml:space="preserve">art. 3 </w:t>
      </w:r>
      <w:r w:rsidR="006258C1">
        <w:rPr>
          <w:rFonts w:cs="Times New Roman"/>
          <w:szCs w:val="24"/>
        </w:rPr>
        <w:t xml:space="preserve">tej ustawy </w:t>
      </w:r>
      <w:r w:rsidR="00F318F7" w:rsidRPr="003766F3">
        <w:rPr>
          <w:rFonts w:cs="Times New Roman"/>
          <w:szCs w:val="24"/>
        </w:rPr>
        <w:t>stanowi, że zmiany w Nomenklaturze Scalonej (CN) nie powodują zmian wykazów określonych w przepisach wydanych na podstawie ust. 5.</w:t>
      </w:r>
    </w:p>
    <w:p w14:paraId="7DE4C496" w14:textId="79EB00CB" w:rsidR="00920E32" w:rsidRPr="003766F3" w:rsidRDefault="00BB41EE" w:rsidP="005D0F09">
      <w:pPr>
        <w:keepLines/>
        <w:spacing w:before="120" w:after="120"/>
        <w:jc w:val="both"/>
        <w:rPr>
          <w:rFonts w:cs="Times New Roman"/>
          <w:szCs w:val="24"/>
        </w:rPr>
      </w:pPr>
      <w:r w:rsidRPr="003766F3">
        <w:rPr>
          <w:rFonts w:cs="Times New Roman"/>
          <w:szCs w:val="24"/>
        </w:rPr>
        <w:t>P</w:t>
      </w:r>
      <w:r w:rsidR="00920E32" w:rsidRPr="003766F3">
        <w:rPr>
          <w:rFonts w:cs="Times New Roman"/>
          <w:szCs w:val="24"/>
        </w:rPr>
        <w:t>rojektowana zmiana zapewni utrzymanie porządku prawnego i stabilności systemu w zakresie tworzenia i utrzymywania zapasów interwencyjnych ropy naftowej i paliw oraz zapewni wpływy z opłaty zapasowej na konto Funduszu Zapasów Interwencyjnych</w:t>
      </w:r>
      <w:r w:rsidRPr="003766F3">
        <w:rPr>
          <w:rFonts w:cs="Times New Roman"/>
          <w:szCs w:val="24"/>
        </w:rPr>
        <w:t xml:space="preserve">, o którym mowa w </w:t>
      </w:r>
      <w:r w:rsidR="0097320E" w:rsidRPr="003766F3">
        <w:rPr>
          <w:rFonts w:cs="Times New Roman"/>
          <w:szCs w:val="24"/>
        </w:rPr>
        <w:t>art. 28a tej ustawy,</w:t>
      </w:r>
      <w:r w:rsidR="00920E32" w:rsidRPr="003766F3">
        <w:rPr>
          <w:rFonts w:cs="Times New Roman"/>
          <w:szCs w:val="24"/>
        </w:rPr>
        <w:t xml:space="preserve"> w </w:t>
      </w:r>
      <w:r w:rsidR="0097320E" w:rsidRPr="003766F3">
        <w:rPr>
          <w:rFonts w:cs="Times New Roman"/>
          <w:szCs w:val="24"/>
        </w:rPr>
        <w:t>przypadku</w:t>
      </w:r>
      <w:r w:rsidR="00920E32" w:rsidRPr="003766F3">
        <w:rPr>
          <w:rFonts w:cs="Times New Roman"/>
          <w:szCs w:val="24"/>
        </w:rPr>
        <w:t xml:space="preserve"> zmiany </w:t>
      </w:r>
      <w:r w:rsidR="0097320E" w:rsidRPr="003766F3">
        <w:rPr>
          <w:rFonts w:cs="Times New Roman"/>
          <w:szCs w:val="24"/>
        </w:rPr>
        <w:t>N</w:t>
      </w:r>
      <w:r w:rsidR="00920E32" w:rsidRPr="003766F3">
        <w:rPr>
          <w:rFonts w:cs="Times New Roman"/>
          <w:szCs w:val="24"/>
        </w:rPr>
        <w:t xml:space="preserve">omenklatury </w:t>
      </w:r>
      <w:r w:rsidR="0097320E" w:rsidRPr="003766F3">
        <w:rPr>
          <w:rFonts w:cs="Times New Roman"/>
          <w:szCs w:val="24"/>
        </w:rPr>
        <w:t>S</w:t>
      </w:r>
      <w:r w:rsidR="00920E32" w:rsidRPr="003766F3">
        <w:rPr>
          <w:rFonts w:cs="Times New Roman"/>
          <w:szCs w:val="24"/>
        </w:rPr>
        <w:t>calonej przy jednoczesnym braku nowelizacji rozporządzenia w</w:t>
      </w:r>
      <w:r w:rsidR="002D49D1" w:rsidRPr="003766F3">
        <w:rPr>
          <w:rFonts w:cs="Times New Roman"/>
          <w:szCs w:val="24"/>
        </w:rPr>
        <w:t> </w:t>
      </w:r>
      <w:r w:rsidR="00920E32" w:rsidRPr="003766F3">
        <w:rPr>
          <w:rFonts w:cs="Times New Roman"/>
          <w:szCs w:val="24"/>
        </w:rPr>
        <w:t>sprawie wykazu surowców oraz produktów naftowych objętych systemem zapasów interwencyjnych oraz wykazu paliw stanowiących podstawę do wyliczenia opłaty zapasowej.</w:t>
      </w:r>
    </w:p>
    <w:p w14:paraId="4C56A9AD" w14:textId="5CFF0A1E" w:rsidR="00920E32" w:rsidRPr="003766F3" w:rsidRDefault="003766F3" w:rsidP="005D0F09">
      <w:pPr>
        <w:pStyle w:val="NIEARTTEKSTtekstnieartykuowanynppodstprawnarozplubpreambua"/>
        <w:keepLines/>
        <w:ind w:firstLine="0"/>
        <w:rPr>
          <w:rFonts w:ascii="Times New Roman" w:hAnsi="Times New Roman" w:cs="Times New Roman"/>
          <w:szCs w:val="24"/>
        </w:rPr>
      </w:pPr>
      <w:r w:rsidRPr="003766F3">
        <w:rPr>
          <w:rFonts w:ascii="Times New Roman" w:hAnsi="Times New Roman" w:cs="Times New Roman"/>
          <w:b/>
          <w:bCs w:val="0"/>
          <w:szCs w:val="24"/>
        </w:rPr>
        <w:t>4.</w:t>
      </w:r>
      <w:r w:rsidRPr="003766F3">
        <w:rPr>
          <w:rFonts w:ascii="Times New Roman" w:hAnsi="Times New Roman" w:cs="Times New Roman"/>
          <w:szCs w:val="24"/>
        </w:rPr>
        <w:t xml:space="preserve"> </w:t>
      </w:r>
      <w:r w:rsidR="00920E32" w:rsidRPr="003766F3">
        <w:rPr>
          <w:rFonts w:ascii="Times New Roman" w:hAnsi="Times New Roman" w:cs="Times New Roman"/>
          <w:szCs w:val="24"/>
        </w:rPr>
        <w:t>Projekt ustawy:</w:t>
      </w:r>
    </w:p>
    <w:p w14:paraId="33B81D00" w14:textId="77777777" w:rsidR="00920E32" w:rsidRPr="003766F3" w:rsidRDefault="00920E32" w:rsidP="005D0F09">
      <w:pPr>
        <w:pStyle w:val="NIEARTTEKSTtekstnieartykuowanynppodstprawnarozplubpreambua"/>
        <w:keepLines/>
        <w:widowControl w:val="0"/>
        <w:suppressAutoHyphens w:val="0"/>
        <w:spacing w:before="60" w:after="60"/>
        <w:ind w:left="284" w:hanging="284"/>
        <w:rPr>
          <w:rFonts w:ascii="Times New Roman" w:hAnsi="Times New Roman" w:cs="Times New Roman"/>
          <w:szCs w:val="24"/>
        </w:rPr>
      </w:pPr>
      <w:r w:rsidRPr="003766F3">
        <w:rPr>
          <w:rFonts w:ascii="Times New Roman" w:hAnsi="Times New Roman" w:cs="Times New Roman"/>
          <w:szCs w:val="24"/>
        </w:rPr>
        <w:t>1)</w:t>
      </w:r>
      <w:r w:rsidRPr="003766F3">
        <w:rPr>
          <w:rFonts w:ascii="Times New Roman" w:hAnsi="Times New Roman" w:cs="Times New Roman"/>
          <w:szCs w:val="24"/>
        </w:rPr>
        <w:tab/>
        <w:t>jest zgodny z prawem Unii Europejskiej;</w:t>
      </w:r>
    </w:p>
    <w:p w14:paraId="72BD0317" w14:textId="77777777" w:rsidR="0079263C" w:rsidRPr="003766F3" w:rsidRDefault="00812943" w:rsidP="005D0F09">
      <w:pPr>
        <w:pStyle w:val="NIEARTTEKSTtekstnieartykuowanynppodstprawnarozplubpreambua"/>
        <w:keepLines/>
        <w:widowControl w:val="0"/>
        <w:suppressAutoHyphens w:val="0"/>
        <w:spacing w:before="60" w:after="60"/>
        <w:ind w:left="284" w:hanging="284"/>
        <w:rPr>
          <w:rFonts w:ascii="Times New Roman" w:hAnsi="Times New Roman" w:cs="Times New Roman"/>
          <w:szCs w:val="24"/>
        </w:rPr>
      </w:pPr>
      <w:r w:rsidRPr="003766F3">
        <w:rPr>
          <w:rFonts w:ascii="Times New Roman" w:hAnsi="Times New Roman" w:cs="Times New Roman"/>
          <w:szCs w:val="24"/>
        </w:rPr>
        <w:t>2</w:t>
      </w:r>
      <w:r w:rsidR="00920E32" w:rsidRPr="003766F3">
        <w:rPr>
          <w:rFonts w:ascii="Times New Roman" w:hAnsi="Times New Roman" w:cs="Times New Roman"/>
          <w:szCs w:val="24"/>
        </w:rPr>
        <w:t>)</w:t>
      </w:r>
      <w:r w:rsidR="00920E32" w:rsidRPr="003766F3">
        <w:rPr>
          <w:rFonts w:ascii="Times New Roman" w:hAnsi="Times New Roman" w:cs="Times New Roman"/>
          <w:szCs w:val="24"/>
        </w:rPr>
        <w:tab/>
        <w:t>nie podlega procedurze notyfikacji aktów prawnych, określonej w przepisach rozporządzenia Rady Ministrów z dnia 23 grudnia 2002 r. w sprawie sposobu funkcjonowania krajowego systemu notyfikacji norm i aktów prawnych (Dz. U. poz. 2039 oraz z 2004 r. poz. 597);</w:t>
      </w:r>
    </w:p>
    <w:p w14:paraId="33D92AC4" w14:textId="56D1EA62" w:rsidR="0079263C" w:rsidRPr="003766F3" w:rsidRDefault="0079263C" w:rsidP="005D0F09">
      <w:pPr>
        <w:pStyle w:val="NIEARTTEKSTtekstnieartykuowanynppodstprawnarozplubpreambua"/>
        <w:keepLines/>
        <w:widowControl w:val="0"/>
        <w:suppressAutoHyphens w:val="0"/>
        <w:spacing w:before="60" w:after="60"/>
        <w:ind w:left="284" w:hanging="284"/>
        <w:rPr>
          <w:szCs w:val="24"/>
        </w:rPr>
      </w:pPr>
      <w:r w:rsidRPr="003766F3">
        <w:rPr>
          <w:rFonts w:ascii="Times New Roman" w:hAnsi="Times New Roman" w:cs="Times New Roman"/>
          <w:szCs w:val="24"/>
        </w:rPr>
        <w:t>3)</w:t>
      </w:r>
      <w:r w:rsidRPr="003766F3">
        <w:rPr>
          <w:rFonts w:ascii="Times New Roman" w:hAnsi="Times New Roman" w:cs="Times New Roman"/>
          <w:szCs w:val="24"/>
        </w:rPr>
        <w:tab/>
        <w:t>nie będzie wymagać notyfikacji Komisji Europejskiej w trybie ustawy z dnia 30 kwietnia 2004</w:t>
      </w:r>
      <w:r w:rsidR="006258C1">
        <w:rPr>
          <w:rFonts w:ascii="Times New Roman" w:hAnsi="Times New Roman" w:cs="Times New Roman"/>
          <w:szCs w:val="24"/>
        </w:rPr>
        <w:t> </w:t>
      </w:r>
      <w:r w:rsidRPr="003766F3">
        <w:rPr>
          <w:rFonts w:ascii="Times New Roman" w:hAnsi="Times New Roman" w:cs="Times New Roman"/>
          <w:szCs w:val="24"/>
        </w:rPr>
        <w:t>r. o postępowaniu w sprawach dotyczących pomocy publicznej (</w:t>
      </w:r>
      <w:r w:rsidRPr="003766F3">
        <w:rPr>
          <w:rFonts w:ascii="Times New Roman" w:eastAsia="Times New Roman" w:hAnsi="Times New Roman" w:cs="Times New Roman"/>
          <w:szCs w:val="24"/>
        </w:rPr>
        <w:t>Dz. U. z 2023 r. poz.</w:t>
      </w:r>
      <w:r w:rsidR="00B310F3" w:rsidRPr="003766F3">
        <w:rPr>
          <w:rFonts w:ascii="Times New Roman" w:eastAsia="Times New Roman" w:hAnsi="Times New Roman" w:cs="Times New Roman"/>
          <w:szCs w:val="24"/>
        </w:rPr>
        <w:t> </w:t>
      </w:r>
      <w:r w:rsidRPr="003766F3">
        <w:rPr>
          <w:rFonts w:ascii="Times New Roman" w:eastAsia="Times New Roman" w:hAnsi="Times New Roman" w:cs="Times New Roman"/>
          <w:szCs w:val="24"/>
        </w:rPr>
        <w:t>702 oraz z 2024 r. poz. 1635</w:t>
      </w:r>
      <w:r w:rsidRPr="003766F3">
        <w:rPr>
          <w:rFonts w:ascii="Times New Roman" w:hAnsi="Times New Roman" w:cs="Times New Roman"/>
          <w:szCs w:val="24"/>
        </w:rPr>
        <w:t>)</w:t>
      </w:r>
      <w:r w:rsidR="00B310F3" w:rsidRPr="003766F3">
        <w:rPr>
          <w:rFonts w:ascii="Times New Roman" w:hAnsi="Times New Roman" w:cs="Times New Roman"/>
          <w:szCs w:val="24"/>
        </w:rPr>
        <w:t>;</w:t>
      </w:r>
    </w:p>
    <w:p w14:paraId="0416B77F" w14:textId="4E198D77" w:rsidR="00920E32" w:rsidRPr="003766F3" w:rsidRDefault="00B310F3" w:rsidP="005D0F09">
      <w:pPr>
        <w:pStyle w:val="NIEARTTEKSTtekstnieartykuowanynppodstprawnarozplubpreambua"/>
        <w:keepLines/>
        <w:widowControl w:val="0"/>
        <w:suppressAutoHyphens w:val="0"/>
        <w:spacing w:before="60" w:after="60"/>
        <w:ind w:left="284" w:hanging="284"/>
        <w:rPr>
          <w:rFonts w:ascii="Times New Roman" w:hAnsi="Times New Roman" w:cs="Times New Roman"/>
          <w:szCs w:val="24"/>
        </w:rPr>
      </w:pPr>
      <w:r w:rsidRPr="003766F3">
        <w:rPr>
          <w:rFonts w:ascii="Times New Roman" w:hAnsi="Times New Roman" w:cs="Times New Roman"/>
          <w:bCs w:val="0"/>
          <w:szCs w:val="24"/>
        </w:rPr>
        <w:t>4</w:t>
      </w:r>
      <w:r w:rsidR="00920E32" w:rsidRPr="003766F3">
        <w:rPr>
          <w:rFonts w:ascii="Times New Roman" w:hAnsi="Times New Roman" w:cs="Times New Roman"/>
          <w:bCs w:val="0"/>
          <w:szCs w:val="24"/>
        </w:rPr>
        <w:t>)</w:t>
      </w:r>
      <w:r w:rsidR="00920E32" w:rsidRPr="003766F3">
        <w:rPr>
          <w:rFonts w:ascii="Times New Roman" w:hAnsi="Times New Roman" w:cs="Times New Roman"/>
          <w:bCs w:val="0"/>
          <w:szCs w:val="24"/>
        </w:rPr>
        <w:tab/>
        <w:t>nie podlega obowiązkowi, o którym mowa w § 39 ust. 1 uchwały nr 190 Rady Ministrów z</w:t>
      </w:r>
      <w:r w:rsidR="002D49D1" w:rsidRPr="003766F3">
        <w:rPr>
          <w:rFonts w:ascii="Times New Roman" w:hAnsi="Times New Roman" w:cs="Times New Roman"/>
          <w:bCs w:val="0"/>
          <w:szCs w:val="24"/>
        </w:rPr>
        <w:t> </w:t>
      </w:r>
      <w:r w:rsidR="00920E32" w:rsidRPr="003766F3">
        <w:rPr>
          <w:rFonts w:ascii="Times New Roman" w:hAnsi="Times New Roman" w:cs="Times New Roman"/>
          <w:bCs w:val="0"/>
          <w:szCs w:val="24"/>
        </w:rPr>
        <w:t>dnia 29 października 2013 r. – Regulamin pracy Rady Ministrów (M.P. z 2024 r. poz. 806), obejmującemu przedstawienie go</w:t>
      </w:r>
      <w:r w:rsidR="00920E32" w:rsidRPr="003766F3">
        <w:rPr>
          <w:rFonts w:ascii="Times New Roman" w:hAnsi="Times New Roman" w:cs="Times New Roman"/>
          <w:szCs w:val="24"/>
        </w:rPr>
        <w:t xml:space="preserve"> instytucjom i organom Unii Europejskiej, w tym Europejskiemu Bankowi Centralnemu, w celu uzyskania opinii, dokonania powiadomienia, konsultacji albo uzgodnienia;</w:t>
      </w:r>
    </w:p>
    <w:p w14:paraId="768A2E4B" w14:textId="65527D59" w:rsidR="00920E32" w:rsidRPr="003766F3" w:rsidRDefault="00B310F3" w:rsidP="005D0F09">
      <w:pPr>
        <w:pStyle w:val="NIEARTTEKSTtekstnieartykuowanynppodstprawnarozplubpreambua"/>
        <w:keepLines/>
        <w:widowControl w:val="0"/>
        <w:suppressAutoHyphens w:val="0"/>
        <w:spacing w:before="60" w:after="60"/>
        <w:ind w:left="284" w:hanging="284"/>
        <w:rPr>
          <w:rFonts w:ascii="Times New Roman" w:hAnsi="Times New Roman" w:cs="Times New Roman"/>
          <w:szCs w:val="24"/>
        </w:rPr>
      </w:pPr>
      <w:r w:rsidRPr="003766F3">
        <w:rPr>
          <w:rFonts w:ascii="Times New Roman" w:hAnsi="Times New Roman" w:cs="Times New Roman"/>
          <w:szCs w:val="24"/>
        </w:rPr>
        <w:t>5</w:t>
      </w:r>
      <w:r w:rsidR="00920E32" w:rsidRPr="003766F3">
        <w:rPr>
          <w:rFonts w:ascii="Times New Roman" w:hAnsi="Times New Roman" w:cs="Times New Roman"/>
          <w:szCs w:val="24"/>
        </w:rPr>
        <w:t>)</w:t>
      </w:r>
      <w:r w:rsidR="00920E32" w:rsidRPr="003766F3">
        <w:rPr>
          <w:rFonts w:ascii="Times New Roman" w:hAnsi="Times New Roman" w:cs="Times New Roman"/>
          <w:szCs w:val="24"/>
        </w:rPr>
        <w:tab/>
        <w:t>nie zawiera wymogów nakładanych na usługodawców, podlegających notyfikacji, o której mowa w art. 15 ust. 7 i art. 39 ust. 5 dyrektywy 2006/123/WE Parlamentu Europejskiego i</w:t>
      </w:r>
      <w:r w:rsidR="002D49D1" w:rsidRPr="003766F3">
        <w:rPr>
          <w:rFonts w:ascii="Times New Roman" w:hAnsi="Times New Roman" w:cs="Times New Roman"/>
          <w:szCs w:val="24"/>
        </w:rPr>
        <w:t> </w:t>
      </w:r>
      <w:r w:rsidR="00920E32" w:rsidRPr="003766F3">
        <w:rPr>
          <w:rFonts w:ascii="Times New Roman" w:hAnsi="Times New Roman" w:cs="Times New Roman"/>
          <w:szCs w:val="24"/>
        </w:rPr>
        <w:t>Rady z dnia 12 grudnia 2006 r. dotyczącej usług na rynku wewnętrznym (Dz. Urz. UE L</w:t>
      </w:r>
      <w:r w:rsidRPr="003766F3">
        <w:rPr>
          <w:rFonts w:ascii="Times New Roman" w:hAnsi="Times New Roman" w:cs="Times New Roman"/>
          <w:szCs w:val="24"/>
        </w:rPr>
        <w:t> </w:t>
      </w:r>
      <w:r w:rsidR="00920E32" w:rsidRPr="003766F3">
        <w:rPr>
          <w:rFonts w:ascii="Times New Roman" w:hAnsi="Times New Roman" w:cs="Times New Roman"/>
          <w:szCs w:val="24"/>
        </w:rPr>
        <w:t>376 z</w:t>
      </w:r>
      <w:r w:rsidR="006258C1">
        <w:rPr>
          <w:rFonts w:ascii="Times New Roman" w:hAnsi="Times New Roman" w:cs="Times New Roman"/>
          <w:szCs w:val="24"/>
        </w:rPr>
        <w:t> </w:t>
      </w:r>
      <w:r w:rsidR="00920E32" w:rsidRPr="003766F3">
        <w:rPr>
          <w:rFonts w:ascii="Times New Roman" w:hAnsi="Times New Roman" w:cs="Times New Roman"/>
          <w:szCs w:val="24"/>
        </w:rPr>
        <w:t>27.12.2006, str. 36)</w:t>
      </w:r>
      <w:r w:rsidR="006E5879">
        <w:rPr>
          <w:rFonts w:ascii="Times New Roman" w:hAnsi="Times New Roman" w:cs="Times New Roman"/>
          <w:szCs w:val="24"/>
        </w:rPr>
        <w:t>.</w:t>
      </w:r>
    </w:p>
    <w:p w14:paraId="2E1EE510" w14:textId="7E758033" w:rsidR="00920E32" w:rsidRPr="003766F3" w:rsidRDefault="00024120" w:rsidP="005D0F09">
      <w:pPr>
        <w:pStyle w:val="ARTartustawynprozporzdzenia"/>
        <w:keepLines/>
        <w:spacing w:after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5</w:t>
      </w:r>
      <w:r w:rsidRPr="003766F3">
        <w:rPr>
          <w:rFonts w:ascii="Times New Roman" w:hAnsi="Times New Roman" w:cs="Times New Roman"/>
          <w:b/>
          <w:szCs w:val="24"/>
        </w:rPr>
        <w:t>.</w:t>
      </w:r>
      <w:r w:rsidRPr="003766F3">
        <w:rPr>
          <w:rFonts w:ascii="Times New Roman" w:hAnsi="Times New Roman" w:cs="Times New Roman"/>
          <w:szCs w:val="24"/>
        </w:rPr>
        <w:t xml:space="preserve"> </w:t>
      </w:r>
      <w:r w:rsidR="00920E32" w:rsidRPr="003766F3">
        <w:rPr>
          <w:rFonts w:ascii="Times New Roman" w:hAnsi="Times New Roman" w:cs="Times New Roman"/>
          <w:szCs w:val="24"/>
        </w:rPr>
        <w:t>Zgodnie z art. 5 ustawy z dnia 7 lipca 2005 r. o działalności lobbingowej w procesie stanowienia prawa (Dz. U. z 2017 r. poz. 248 oraz z 2024 r. poz. 1535) oraz § 52 ust. 1 uchwały nr 190 Rady Ministrów z dnia 29 października 2013 r. – Regulamin pracy Rady Ministrów, projekt zostanie udostępniony w</w:t>
      </w:r>
      <w:r w:rsidR="003766F3" w:rsidRPr="003766F3">
        <w:rPr>
          <w:rFonts w:ascii="Times New Roman" w:hAnsi="Times New Roman" w:cs="Times New Roman"/>
          <w:szCs w:val="24"/>
        </w:rPr>
        <w:t> </w:t>
      </w:r>
      <w:r w:rsidR="00920E32" w:rsidRPr="003766F3">
        <w:rPr>
          <w:rFonts w:ascii="Times New Roman" w:hAnsi="Times New Roman" w:cs="Times New Roman"/>
          <w:szCs w:val="24"/>
        </w:rPr>
        <w:t>Biuletynie Informacji Publicznej na stronie podmiotowej Rządowego Centrum Legislacji, w serwisie Rządowy Proces Legislacyjny.</w:t>
      </w:r>
    </w:p>
    <w:p w14:paraId="72466D5A" w14:textId="3A26C1C0" w:rsidR="00920E32" w:rsidRPr="003766F3" w:rsidRDefault="00024120" w:rsidP="005D0F09">
      <w:pPr>
        <w:pStyle w:val="ARTartustawynprozporzdzenia"/>
        <w:keepLines/>
        <w:spacing w:after="12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6</w:t>
      </w:r>
      <w:r w:rsidRPr="003766F3">
        <w:rPr>
          <w:rFonts w:ascii="Times New Roman" w:hAnsi="Times New Roman" w:cs="Times New Roman"/>
          <w:b/>
          <w:szCs w:val="24"/>
        </w:rPr>
        <w:t>.</w:t>
      </w:r>
      <w:r w:rsidRPr="003766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Zaproponowano, aby </w:t>
      </w:r>
      <w:r w:rsidR="00920E32" w:rsidRPr="003766F3">
        <w:rPr>
          <w:rFonts w:ascii="Times New Roman" w:hAnsi="Times New Roman" w:cs="Times New Roman"/>
          <w:bCs/>
          <w:szCs w:val="24"/>
        </w:rPr>
        <w:t>projektowana ustawa we</w:t>
      </w:r>
      <w:r>
        <w:rPr>
          <w:rFonts w:ascii="Times New Roman" w:hAnsi="Times New Roman" w:cs="Times New Roman"/>
          <w:bCs/>
          <w:szCs w:val="24"/>
        </w:rPr>
        <w:t xml:space="preserve">szła </w:t>
      </w:r>
      <w:r w:rsidR="00920E32" w:rsidRPr="003766F3">
        <w:rPr>
          <w:rFonts w:ascii="Times New Roman" w:hAnsi="Times New Roman" w:cs="Times New Roman"/>
          <w:bCs/>
          <w:szCs w:val="24"/>
        </w:rPr>
        <w:t xml:space="preserve">w życie z dniem 1 stycznia 2025 r. Termin ten będzie spójny z datą, od której stosuje się powołane </w:t>
      </w:r>
      <w:r w:rsidR="00920E32" w:rsidRPr="003766F3">
        <w:rPr>
          <w:rFonts w:ascii="Times New Roman" w:hAnsi="Times New Roman" w:cs="Times New Roman"/>
          <w:szCs w:val="24"/>
        </w:rPr>
        <w:t>rozporządzenie wykonawcze Komisji (UE) 2024/2522 z dnia 23 września 2024 r.</w:t>
      </w:r>
    </w:p>
    <w:sectPr w:rsidR="00920E32" w:rsidRPr="003766F3" w:rsidSect="007F7C8C">
      <w:footerReference w:type="default" r:id="rId6"/>
      <w:pgSz w:w="11906" w:h="16838" w:code="9"/>
      <w:pgMar w:top="1134" w:right="1276" w:bottom="1134" w:left="127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75FC" w14:textId="77777777" w:rsidR="00072C0B" w:rsidRDefault="00072C0B" w:rsidP="00EF7D01">
      <w:pPr>
        <w:spacing w:line="240" w:lineRule="auto"/>
      </w:pPr>
      <w:r>
        <w:separator/>
      </w:r>
    </w:p>
  </w:endnote>
  <w:endnote w:type="continuationSeparator" w:id="0">
    <w:p w14:paraId="1250FAB0" w14:textId="77777777" w:rsidR="00072C0B" w:rsidRDefault="00072C0B" w:rsidP="00EF7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32"/>
        <w:szCs w:val="32"/>
      </w:rPr>
      <w:id w:val="5293793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10B3A09" w14:textId="3AB368C3" w:rsidR="000222DE" w:rsidRPr="007F7C8C" w:rsidRDefault="000222DE">
        <w:pPr>
          <w:pStyle w:val="Stopka"/>
          <w:jc w:val="center"/>
          <w:rPr>
            <w:rFonts w:ascii="Times New Roman" w:hAnsi="Times New Roman"/>
          </w:rPr>
        </w:pPr>
        <w:r w:rsidRPr="007F7C8C">
          <w:rPr>
            <w:rFonts w:ascii="Times New Roman" w:hAnsi="Times New Roman"/>
          </w:rPr>
          <w:fldChar w:fldCharType="begin"/>
        </w:r>
        <w:r w:rsidRPr="007F7C8C">
          <w:rPr>
            <w:rFonts w:ascii="Times New Roman" w:hAnsi="Times New Roman"/>
          </w:rPr>
          <w:instrText>PAGE   \* MERGEFORMAT</w:instrText>
        </w:r>
        <w:r w:rsidRPr="007F7C8C">
          <w:rPr>
            <w:rFonts w:ascii="Times New Roman" w:hAnsi="Times New Roman"/>
          </w:rPr>
          <w:fldChar w:fldCharType="separate"/>
        </w:r>
        <w:r w:rsidRPr="007F7C8C">
          <w:rPr>
            <w:rFonts w:ascii="Times New Roman" w:hAnsi="Times New Roman"/>
          </w:rPr>
          <w:t>2</w:t>
        </w:r>
        <w:r w:rsidRPr="007F7C8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1799D" w14:textId="77777777" w:rsidR="00072C0B" w:rsidRDefault="00072C0B" w:rsidP="00EF7D01">
      <w:pPr>
        <w:spacing w:line="240" w:lineRule="auto"/>
      </w:pPr>
      <w:r>
        <w:separator/>
      </w:r>
    </w:p>
  </w:footnote>
  <w:footnote w:type="continuationSeparator" w:id="0">
    <w:p w14:paraId="2F606756" w14:textId="77777777" w:rsidR="00072C0B" w:rsidRDefault="00072C0B" w:rsidP="00EF7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7F"/>
    <w:rsid w:val="00002905"/>
    <w:rsid w:val="00012E47"/>
    <w:rsid w:val="000222DE"/>
    <w:rsid w:val="00024120"/>
    <w:rsid w:val="000717EA"/>
    <w:rsid w:val="00072C0B"/>
    <w:rsid w:val="00095E9B"/>
    <w:rsid w:val="000F0643"/>
    <w:rsid w:val="001155BA"/>
    <w:rsid w:val="001250D4"/>
    <w:rsid w:val="00143D51"/>
    <w:rsid w:val="00167B1A"/>
    <w:rsid w:val="001B09F4"/>
    <w:rsid w:val="001B5DE6"/>
    <w:rsid w:val="001E5CFF"/>
    <w:rsid w:val="001F07F3"/>
    <w:rsid w:val="00222F99"/>
    <w:rsid w:val="00225582"/>
    <w:rsid w:val="00232D63"/>
    <w:rsid w:val="002717EF"/>
    <w:rsid w:val="002A0AA3"/>
    <w:rsid w:val="002A177C"/>
    <w:rsid w:val="002C2169"/>
    <w:rsid w:val="002D49D1"/>
    <w:rsid w:val="002E2400"/>
    <w:rsid w:val="002F2C99"/>
    <w:rsid w:val="003073AF"/>
    <w:rsid w:val="00374729"/>
    <w:rsid w:val="003766F3"/>
    <w:rsid w:val="003B6C23"/>
    <w:rsid w:val="003C7595"/>
    <w:rsid w:val="003C789F"/>
    <w:rsid w:val="003F427F"/>
    <w:rsid w:val="004E64CE"/>
    <w:rsid w:val="004F2A7A"/>
    <w:rsid w:val="005002D2"/>
    <w:rsid w:val="005103FB"/>
    <w:rsid w:val="005322C2"/>
    <w:rsid w:val="00570FF6"/>
    <w:rsid w:val="00591F8D"/>
    <w:rsid w:val="0059618D"/>
    <w:rsid w:val="005D0F09"/>
    <w:rsid w:val="006258C1"/>
    <w:rsid w:val="00635A51"/>
    <w:rsid w:val="006940F5"/>
    <w:rsid w:val="006E5879"/>
    <w:rsid w:val="0076523F"/>
    <w:rsid w:val="007708BE"/>
    <w:rsid w:val="0079263C"/>
    <w:rsid w:val="007A06FE"/>
    <w:rsid w:val="007F7C8C"/>
    <w:rsid w:val="00812943"/>
    <w:rsid w:val="00841E10"/>
    <w:rsid w:val="00866A1E"/>
    <w:rsid w:val="008A53DB"/>
    <w:rsid w:val="008F6DBC"/>
    <w:rsid w:val="00920E32"/>
    <w:rsid w:val="00922019"/>
    <w:rsid w:val="0097320E"/>
    <w:rsid w:val="009D0822"/>
    <w:rsid w:val="009E51ED"/>
    <w:rsid w:val="00A158FC"/>
    <w:rsid w:val="00A2387B"/>
    <w:rsid w:val="00A50A4E"/>
    <w:rsid w:val="00B310F3"/>
    <w:rsid w:val="00B373BB"/>
    <w:rsid w:val="00B504BC"/>
    <w:rsid w:val="00BB41EE"/>
    <w:rsid w:val="00BC27FB"/>
    <w:rsid w:val="00C008C5"/>
    <w:rsid w:val="00C05C6A"/>
    <w:rsid w:val="00C50032"/>
    <w:rsid w:val="00C73DED"/>
    <w:rsid w:val="00CB0D2B"/>
    <w:rsid w:val="00DB172D"/>
    <w:rsid w:val="00DC3F63"/>
    <w:rsid w:val="00DE194C"/>
    <w:rsid w:val="00E55693"/>
    <w:rsid w:val="00E622A6"/>
    <w:rsid w:val="00EE7E9E"/>
    <w:rsid w:val="00EF4E3E"/>
    <w:rsid w:val="00EF7D01"/>
    <w:rsid w:val="00F13A22"/>
    <w:rsid w:val="00F318F7"/>
    <w:rsid w:val="00F40FA7"/>
    <w:rsid w:val="00F766F3"/>
    <w:rsid w:val="00F87A85"/>
    <w:rsid w:val="00FA0E32"/>
    <w:rsid w:val="00FA5F28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0D2"/>
  <w15:chartTrackingRefBased/>
  <w15:docId w15:val="{754DFF22-1C00-4E64-8D07-EC7B7C4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E3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rsid w:val="00FA0E32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2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rganpodpisujcy">
    <w:name w:val="organ podpisujący"/>
    <w:basedOn w:val="Normalny"/>
    <w:link w:val="organpodpisujcyZnak"/>
    <w:uiPriority w:val="99"/>
    <w:rsid w:val="00B373BB"/>
    <w:pPr>
      <w:spacing w:before="240" w:line="240" w:lineRule="auto"/>
      <w:jc w:val="right"/>
    </w:pPr>
    <w:rPr>
      <w:rFonts w:cs="Univers"/>
    </w:rPr>
  </w:style>
  <w:style w:type="character" w:customStyle="1" w:styleId="organpodpisujcyZnak">
    <w:name w:val="organ podpisujący Znak"/>
    <w:basedOn w:val="Domylnaczcionkaakapitu"/>
    <w:link w:val="organpodpisujcy"/>
    <w:uiPriority w:val="99"/>
    <w:locked/>
    <w:rsid w:val="00B373BB"/>
    <w:rPr>
      <w:rFonts w:ascii="Times New Roman" w:hAnsi="Times New Roman" w:cs="Univers"/>
    </w:rPr>
  </w:style>
  <w:style w:type="paragraph" w:customStyle="1" w:styleId="tytuzacznika">
    <w:name w:val="tytuł załącznika"/>
    <w:uiPriority w:val="99"/>
    <w:rsid w:val="00B373BB"/>
    <w:pPr>
      <w:autoSpaceDE w:val="0"/>
      <w:autoSpaceDN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373BB"/>
    <w:rPr>
      <w:rFonts w:ascii="Times New Roman" w:hAnsi="Times New Roman"/>
      <w:b w:val="0"/>
      <w:i w:val="0"/>
      <w:sz w:val="16"/>
    </w:rPr>
  </w:style>
  <w:style w:type="paragraph" w:customStyle="1" w:styleId="zacznikdozacznika">
    <w:name w:val="załącznik do załącznika"/>
    <w:uiPriority w:val="99"/>
    <w:rsid w:val="009D0822"/>
    <w:pPr>
      <w:pageBreakBefore/>
      <w:widowControl w:val="0"/>
      <w:autoSpaceDE w:val="0"/>
      <w:autoSpaceDN w:val="0"/>
      <w:spacing w:before="60" w:after="240" w:line="240" w:lineRule="auto"/>
      <w:ind w:left="5670"/>
      <w:jc w:val="both"/>
    </w:pPr>
    <w:rPr>
      <w:rFonts w:ascii="Times New Roman" w:eastAsia="Times New Roman" w:hAnsi="Times New Roman" w:cs="Univers"/>
      <w:kern w:val="0"/>
      <w:sz w:val="16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9"/>
    <w:rsid w:val="00FA0E32"/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27F"/>
    <w:rPr>
      <w:i/>
      <w:iCs/>
      <w:color w:val="404040" w:themeColor="text1" w:themeTint="BF"/>
    </w:rPr>
  </w:style>
  <w:style w:type="paragraph" w:styleId="Akapitzlist">
    <w:name w:val="List Paragraph"/>
    <w:aliases w:val="Dot pt,F5 List Paragraph,List Paragraph1,Recommendation,List Paragraph11,List Paragraph,Numerowanie,Kolorowa lista — akcent 11,Akapit z listą1,Listaszerű bekezdés1,List Paragraph à moi,No Spacing1,List Paragraph Char Char Char,Bullet 1,2"/>
    <w:basedOn w:val="Normalny"/>
    <w:link w:val="AkapitzlistZnak"/>
    <w:uiPriority w:val="34"/>
    <w:qFormat/>
    <w:rsid w:val="003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27F"/>
    <w:rPr>
      <w:b/>
      <w:bCs/>
      <w:smallCaps/>
      <w:color w:val="0F4761" w:themeColor="accent1" w:themeShade="BF"/>
      <w:spacing w:val="5"/>
    </w:rPr>
  </w:style>
  <w:style w:type="character" w:customStyle="1" w:styleId="BEZWERSALIKW">
    <w:name w:val="_BEZ_WERSALIKÓW_"/>
    <w:basedOn w:val="Domylnaczcionkaakapitu"/>
    <w:uiPriority w:val="4"/>
    <w:qFormat/>
    <w:rsid w:val="00FA0E32"/>
    <w:rPr>
      <w:caps/>
    </w:rPr>
  </w:style>
  <w:style w:type="character" w:customStyle="1" w:styleId="IDindeksdolny">
    <w:name w:val="_ID_ – indeks dolny"/>
    <w:basedOn w:val="Domylnaczcionkaakapitu"/>
    <w:uiPriority w:val="3"/>
    <w:qFormat/>
    <w:rsid w:val="00FA0E32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A0E32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A0E32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A0E32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basedOn w:val="Domylnaczcionkaakapitu"/>
    <w:uiPriority w:val="2"/>
    <w:qFormat/>
    <w:rsid w:val="00FA0E32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A0E32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A0E32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A0E32"/>
    <w:rPr>
      <w:b/>
      <w:i/>
      <w:vanish w:val="0"/>
      <w:spacing w:val="0"/>
      <w:vertAlign w:val="superscript"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A0E32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A0E32"/>
    <w:rPr>
      <w:b w:val="0"/>
      <w:i w:val="0"/>
      <w:vanish w:val="0"/>
      <w:spacing w:val="0"/>
      <w:position w:val="6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FA0E32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FA0E32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A0E32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A0E32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FA0E3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A0E32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FA0E32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FA0E32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A0E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styleId="Bezodstpw">
    <w:name w:val="No Spacing"/>
    <w:uiPriority w:val="99"/>
    <w:rsid w:val="00FA0E32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A0E32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A0E32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A0E32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A0E32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A0E32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FA0E3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FA0E32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A0E32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A0E32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A0E32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A0E32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A0E32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A0E32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A0E32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A0E32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A0E32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A0E32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A0E32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A0E32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A0E32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A0E32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A0E32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FA0E32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A0E32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FA0E3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FA0E32"/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A0E32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A0E32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A0E32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A0E32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FA0E32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A0E3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FA0E32"/>
    <w:rPr>
      <w:sz w:val="16"/>
      <w:szCs w:val="16"/>
    </w:rPr>
  </w:style>
  <w:style w:type="character" w:styleId="Odwoanieprzypisudolnego">
    <w:name w:val="footnote reference"/>
    <w:uiPriority w:val="99"/>
    <w:semiHidden/>
    <w:rsid w:val="00FA0E32"/>
    <w:rPr>
      <w:rFonts w:cs="Times New Roman"/>
      <w:vertAlign w:val="superscript"/>
    </w:rPr>
  </w:style>
  <w:style w:type="paragraph" w:customStyle="1" w:styleId="OZNPARAFYADNOTACJE">
    <w:name w:val="OZN_PARAFY(ADNOTACJE)"/>
    <w:basedOn w:val="ODNONIKtreodnonika"/>
    <w:uiPriority w:val="26"/>
    <w:qFormat/>
    <w:rsid w:val="00FA0E32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A0E32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A0E32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A0E32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A0E3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A0E32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A0E3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lang w:eastAsia="pl-PL"/>
      <w14:ligatures w14:val="none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A0E3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lang w:eastAsia="pl-PL"/>
      <w14:ligatures w14:val="none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A0E32"/>
    <w:pPr>
      <w:ind w:left="510" w:firstLine="0"/>
    </w:pPr>
  </w:style>
  <w:style w:type="paragraph" w:styleId="Stopka">
    <w:name w:val="footer"/>
    <w:basedOn w:val="Normalny"/>
    <w:link w:val="StopkaZnak"/>
    <w:uiPriority w:val="99"/>
    <w:rsid w:val="00FA0E3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A0E32"/>
    <w:rPr>
      <w:rFonts w:ascii="Times" w:eastAsia="Times New Roman" w:hAnsi="Times" w:cs="Times New Roman"/>
      <w:kern w:val="1"/>
      <w:lang w:eastAsia="ar-SA"/>
      <w14:ligatures w14:val="none"/>
    </w:rPr>
  </w:style>
  <w:style w:type="table" w:customStyle="1" w:styleId="TABELA1zszablonu">
    <w:name w:val="TABELA 1 z szablonu"/>
    <w:basedOn w:val="Tabela-Siatka"/>
    <w:uiPriority w:val="99"/>
    <w:rsid w:val="00FA0E32"/>
    <w:rPr>
      <w:rFonts w:ascii="Times" w:eastAsia="Times New Roman" w:hAnsi="Times" w:cs="Times New Roman"/>
      <w:kern w:val="0"/>
      <w:lang w:eastAsia="pl-PL"/>
      <w14:ligatures w14:val="none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FA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2zszablonu">
    <w:name w:val="TABELA 2 z szablonu"/>
    <w:basedOn w:val="Tabela-Elegancki"/>
    <w:uiPriority w:val="99"/>
    <w:rsid w:val="00FA0E32"/>
    <w:pPr>
      <w:spacing w:line="240" w:lineRule="auto"/>
    </w:pPr>
    <w:rPr>
      <w:rFonts w:ascii="Times" w:eastAsia="Times New Roman" w:hAnsi="Times" w:cs="Times New Roman"/>
      <w:kern w:val="0"/>
      <w:sz w:val="20"/>
      <w:szCs w:val="20"/>
      <w:lang w:eastAsia="pl-PL"/>
      <w14:ligatures w14:val="none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styleId="Tabela-Elegancki">
    <w:name w:val="Table Elegant"/>
    <w:basedOn w:val="Standardowy"/>
    <w:uiPriority w:val="99"/>
    <w:semiHidden/>
    <w:unhideWhenUsed/>
    <w:rsid w:val="00FA0E32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3zszablonu">
    <w:name w:val="TABELA 3 z szablonu"/>
    <w:basedOn w:val="TABELA2zszablonu"/>
    <w:uiPriority w:val="99"/>
    <w:rsid w:val="00FA0E32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FA0E32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FA0E32"/>
    <w:rPr>
      <w:rFonts w:ascii="Tahoma" w:eastAsia="Times New Roman" w:hAnsi="Tahoma" w:cs="Tahoma"/>
      <w:kern w:val="1"/>
      <w:szCs w:val="16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FA0E32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E32"/>
    <w:rPr>
      <w:rFonts w:ascii="Times" w:eastAsia="Times New Roman" w:hAnsi="Times" w:cs="Times New Roman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A0E32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A0E32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A0E32"/>
    <w:pPr>
      <w:spacing w:after="0" w:line="360" w:lineRule="auto"/>
    </w:pPr>
    <w:rPr>
      <w:rFonts w:ascii="Times New Roman" w:eastAsiaTheme="minorEastAsia" w:hAnsi="Times New Roman" w:cs="Arial"/>
      <w:b/>
      <w:kern w:val="0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A0E3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A0E32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A0E32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A0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E32"/>
    <w:rPr>
      <w:rFonts w:ascii="Times" w:eastAsia="Times New Roman" w:hAnsi="Times" w:cs="Times New Roman"/>
      <w:b/>
      <w:bCs/>
      <w:kern w:val="0"/>
      <w:lang w:eastAsia="pl-PL"/>
      <w14:ligatures w14:val="none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FA0E32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A0E32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Cs w:val="26"/>
      <w:lang w:eastAsia="pl-PL"/>
      <w14:ligatures w14:val="none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FA0E32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A0E32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A0E32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A0E32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A0E32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A0E32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A0E32"/>
    <w:pPr>
      <w:ind w:left="1304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A0E32"/>
    <w:pPr>
      <w:spacing w:before="0"/>
      <w:ind w:left="510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A0E32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A0E32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A0E32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A0E32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A0E32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A0E32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A0E32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A0E32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A0E32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A0E32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A0E32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A0E32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A0E32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A0E32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A0E32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A0E32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A0E32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A0E32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A0E32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A0E32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A0E32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FA0E32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A0E32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A0E32"/>
    <w:pPr>
      <w:ind w:left="1497"/>
    </w:pPr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A0E32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A0E32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A0E32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A0E32"/>
    <w:pPr>
      <w:ind w:left="51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FA0E32"/>
    <w:pPr>
      <w:ind w:left="1020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A0E32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lang w:eastAsia="pl-PL"/>
      <w14:ligatures w14:val="none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A0E32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A0E32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A0E32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A0E32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A0E32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A0E32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A0E32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Cs w:val="26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A0E32"/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A0E32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A0E32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A0E32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A0E32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A0E32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A0E32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A0E32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A0E32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A0E32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A0E32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A0E32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A0E32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A0E32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A0E32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A0E32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A0E32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A0E32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A0E32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A0E32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A0E32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A0E32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A0E32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A0E32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A0E32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A0E32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A0E32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A0E32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A0E32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A0E32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A0E32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A0E32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A0E32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A0E32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A0E32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A0E32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A0E32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A0E32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A0E32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A0E32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A0E3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A0E32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A0E32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FA0E32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A0E32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A0E32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A0E32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FA0E32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A0E32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A0E32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A0E32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A0E32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A0E32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A0E32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A0E32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A0E32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A0E32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A0E32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A0E32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A0E32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A0E32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FA0E32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A0E32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FA0E32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A0E32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FA0E32"/>
  </w:style>
  <w:style w:type="paragraph" w:customStyle="1" w:styleId="ZLITTIRwLITzmtirwlitliter">
    <w:name w:val="Z_LIT/TIR_w_LIT – zm. tir. w lit. literą"/>
    <w:basedOn w:val="TIRtiret"/>
    <w:uiPriority w:val="49"/>
    <w:qFormat/>
    <w:rsid w:val="00FA0E32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A0E32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A0E32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A0E32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FA0E32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A0E32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A0E32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A0E32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FA0E32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FA0E32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A0E32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A0E32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A0E32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A0E32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A0E32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A0E32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A0E32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A0E32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A0E32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A0E32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A0E32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A0E32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A0E32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FA0E32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A0E32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A0E32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FA0E32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FA0E32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A0E32"/>
  </w:style>
  <w:style w:type="paragraph" w:customStyle="1" w:styleId="ZZPKTzmianazmpkt">
    <w:name w:val="ZZ/PKT – zmiana zm. pkt"/>
    <w:basedOn w:val="ZPKTzmpktartykuempunktem"/>
    <w:uiPriority w:val="66"/>
    <w:qFormat/>
    <w:rsid w:val="00FA0E32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FA0E32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A0E32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A0E32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A0E32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A0E32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A0E32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A0E32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A0E32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A0E32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A0E32"/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A0E32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A0E32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A0E32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A0E32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A0E32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A0E32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A0E32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A0E32"/>
  </w:style>
  <w:style w:type="paragraph" w:customStyle="1" w:styleId="ZZTIRwLITzmianazmtirwlit">
    <w:name w:val="ZZ/TIR_w_LIT – zmiana zm. tir. w lit."/>
    <w:basedOn w:val="ZZTIRzmianazmtir"/>
    <w:uiPriority w:val="67"/>
    <w:qFormat/>
    <w:rsid w:val="00FA0E32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A0E32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A0E32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A0E32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A0E32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A0E32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A0E32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A0E3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A0E32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A0E32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A0E32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FA0E32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A0E32"/>
    <w:pPr>
      <w:ind w:left="2404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Numerowanie Znak,Kolorowa lista — akcent 11 Znak,Akapit z listą1 Znak,Listaszerű bekezdés1 Znak,No Spacing1 Znak"/>
    <w:link w:val="Akapitzlist"/>
    <w:uiPriority w:val="34"/>
    <w:qFormat/>
    <w:locked/>
    <w:rsid w:val="00920E32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C27F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7F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7C8C"/>
    <w:pPr>
      <w:spacing w:after="0" w:line="24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Grzesiok</dc:creator>
  <cp:keywords/>
  <dc:description/>
  <cp:lastModifiedBy>Kołakowska Iwona</cp:lastModifiedBy>
  <cp:revision>4</cp:revision>
  <cp:lastPrinted>2024-12-05T14:56:00Z</cp:lastPrinted>
  <dcterms:created xsi:type="dcterms:W3CDTF">2024-12-10T12:52:00Z</dcterms:created>
  <dcterms:modified xsi:type="dcterms:W3CDTF">2024-12-10T12:53:00Z</dcterms:modified>
</cp:coreProperties>
</file>