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44B8" w14:textId="77777777" w:rsidR="00CE3829" w:rsidRPr="00D47954" w:rsidRDefault="00CE3829" w:rsidP="00CE3829">
      <w:pPr>
        <w:pStyle w:val="OZNPROJEKTUwskazaniedatylubwersjiprojektu"/>
        <w:keepNext/>
      </w:pPr>
      <w:r w:rsidRPr="0042231F">
        <w:t>Projekt</w:t>
      </w:r>
    </w:p>
    <w:p w14:paraId="19270D47" w14:textId="77777777" w:rsidR="00CE3829" w:rsidRPr="0042231F" w:rsidRDefault="00CE3829" w:rsidP="00CE3829">
      <w:pPr>
        <w:pStyle w:val="OZNRODZAKTUtznustawalubrozporzdzenieiorganwydajcy"/>
      </w:pPr>
      <w:r w:rsidRPr="0042231F">
        <w:t>Ustawa</w:t>
      </w:r>
    </w:p>
    <w:p w14:paraId="0A352CBF" w14:textId="77777777" w:rsidR="00CE3829" w:rsidRPr="0042231F" w:rsidRDefault="00CE3829" w:rsidP="00CE3829">
      <w:pPr>
        <w:pStyle w:val="DATAAKTUdatauchwalenialubwydaniaaktu"/>
      </w:pPr>
      <w:r w:rsidRPr="0042231F">
        <w:t>z dnia</w:t>
      </w:r>
    </w:p>
    <w:p w14:paraId="35024798" w14:textId="77777777" w:rsidR="00CE3829" w:rsidRDefault="00CE3829" w:rsidP="00CE3829">
      <w:pPr>
        <w:pStyle w:val="TYTUAKTUprzedmiotregulacjiustawylubrozporzdzenia"/>
      </w:pPr>
      <w:r w:rsidRPr="0042231F">
        <w:t xml:space="preserve">o </w:t>
      </w:r>
      <w:r>
        <w:t xml:space="preserve">szczególnych rozwiązaniach </w:t>
      </w:r>
      <w:r w:rsidRPr="002037EF">
        <w:t xml:space="preserve">w zakresie </w:t>
      </w:r>
      <w:r>
        <w:t>rozpoznawania</w:t>
      </w:r>
      <w:r w:rsidRPr="002037EF">
        <w:t xml:space="preserve"> przez Sąd Najwyższy spraw, związanych z wyborami </w:t>
      </w:r>
      <w:r>
        <w:t>Prezydenta Rzeczypospolitej Polskiej oraz wyborami uzupełniającymi do Senatu Rzeczypospolitej Polskiej,</w:t>
      </w:r>
      <w:r w:rsidRPr="002037EF">
        <w:t xml:space="preserve"> zarządzonymi w 2025 r</w:t>
      </w:r>
      <w:r>
        <w:t>.</w:t>
      </w:r>
    </w:p>
    <w:p w14:paraId="33817281" w14:textId="77777777" w:rsidR="00CE3829" w:rsidRPr="00804987" w:rsidRDefault="00CE3829" w:rsidP="00CE3829">
      <w:pPr>
        <w:pStyle w:val="ARTartustawynprozporzdzenia"/>
        <w:keepNext/>
        <w:spacing w:after="120"/>
        <w:ind w:firstLine="0"/>
      </w:pPr>
      <w:r w:rsidRPr="002A728E">
        <w:rPr>
          <w:rStyle w:val="Ppogrubienie"/>
        </w:rPr>
        <w:t>Art. 1.</w:t>
      </w:r>
      <w:r>
        <w:t xml:space="preserve"> W sprawach dotyczących rozpoznawania protestów wyborczych oraz stwierdzania ważności wyboru Prezydenta Rzeczypospolitej Polskiej  oraz wyborów uzupełniających do Senatu Rzeczypospolitej Polskiej, zarządzonych w 2025 r., właściwy jest Sąd Najwyższy w składzie </w:t>
      </w:r>
      <w:r w:rsidRPr="00A133CA">
        <w:rPr>
          <w:rFonts w:ascii="Times New Roman" w:hAnsi="Times New Roman" w:cs="Times New Roman"/>
          <w:szCs w:val="24"/>
        </w:rPr>
        <w:t>połączonych izb: Cywilnej, Karnej oraz Pracy i Ubezpieczeń Społecznych. Składowi orzekającemu przewodniczy sędzia najstarszy służbą na stanowisku sędziego</w:t>
      </w:r>
      <w:r>
        <w:rPr>
          <w:rFonts w:ascii="Times New Roman" w:hAnsi="Times New Roman" w:cs="Times New Roman"/>
          <w:szCs w:val="24"/>
        </w:rPr>
        <w:t xml:space="preserve">. </w:t>
      </w:r>
      <w:r w:rsidRPr="00FF68F9">
        <w:rPr>
          <w:rFonts w:cs="Times New Roman"/>
          <w:szCs w:val="24"/>
        </w:rPr>
        <w:t>Przepisu art. 26 § 1 pkt 2 ustawy</w:t>
      </w:r>
      <w:r>
        <w:rPr>
          <w:rFonts w:cs="Times New Roman"/>
          <w:szCs w:val="24"/>
        </w:rPr>
        <w:t xml:space="preserve"> </w:t>
      </w:r>
      <w:r w:rsidRPr="0042231F">
        <w:t>z</w:t>
      </w:r>
      <w:r>
        <w:t> </w:t>
      </w:r>
      <w:r w:rsidRPr="0042231F">
        <w:t xml:space="preserve">dnia </w:t>
      </w:r>
      <w:r>
        <w:t>8 grudnia 2017 </w:t>
      </w:r>
      <w:r w:rsidRPr="0042231F">
        <w:t>r. o</w:t>
      </w:r>
      <w:r>
        <w:t xml:space="preserve"> Sądzie Najwyższym (Dz. U. z 2024 r. poz. 622)  oraz art. 244 i 324 ustawy </w:t>
      </w:r>
      <w:r w:rsidRPr="0042231F">
        <w:t>z</w:t>
      </w:r>
      <w:r>
        <w:t> </w:t>
      </w:r>
      <w:r w:rsidRPr="0042231F">
        <w:t xml:space="preserve">dnia </w:t>
      </w:r>
      <w:r>
        <w:t>5 stycznia 2011 </w:t>
      </w:r>
      <w:r w:rsidRPr="0042231F">
        <w:t xml:space="preserve">r. </w:t>
      </w:r>
      <w:r>
        <w:t xml:space="preserve">– Kodeks wyborczy (Dz. U. z 2023 r. </w:t>
      </w:r>
      <w:r>
        <w:rPr>
          <w:rFonts w:ascii="Times New Roman" w:hAnsi="Times New Roman" w:cs="Times New Roman"/>
          <w:szCs w:val="24"/>
        </w:rPr>
        <w:t xml:space="preserve">poz. 2408 oraz z </w:t>
      </w:r>
      <w:r w:rsidRPr="00FF68F9">
        <w:rPr>
          <w:rFonts w:ascii="Times New Roman" w:hAnsi="Times New Roman" w:cs="Times New Roman"/>
          <w:bCs/>
          <w:szCs w:val="24"/>
        </w:rPr>
        <w:t>2024 r.</w:t>
      </w:r>
      <w:r>
        <w:rPr>
          <w:rFonts w:ascii="Times New Roman" w:hAnsi="Times New Roman" w:cs="Times New Roman"/>
          <w:szCs w:val="24"/>
        </w:rPr>
        <w:t xml:space="preserve"> poz. 721 i 1572</w:t>
      </w:r>
      <w:r>
        <w:t xml:space="preserve">)  </w:t>
      </w:r>
      <w:r>
        <w:rPr>
          <w:rFonts w:cs="Times New Roman"/>
          <w:szCs w:val="24"/>
        </w:rPr>
        <w:t>nie stosuje się</w:t>
      </w:r>
      <w:r w:rsidRPr="00A133CA">
        <w:rPr>
          <w:rFonts w:ascii="Times New Roman" w:hAnsi="Times New Roman" w:cs="Times New Roman"/>
          <w:szCs w:val="24"/>
        </w:rPr>
        <w:t>.</w:t>
      </w:r>
    </w:p>
    <w:p w14:paraId="08128201" w14:textId="77777777" w:rsidR="00CE3829" w:rsidRDefault="00CE3829" w:rsidP="00CE3829">
      <w:pPr>
        <w:jc w:val="both"/>
        <w:rPr>
          <w:rFonts w:cs="Times New Roman"/>
          <w:szCs w:val="24"/>
        </w:rPr>
      </w:pPr>
      <w:r w:rsidRPr="00A133CA">
        <w:rPr>
          <w:rFonts w:cs="Times New Roman"/>
          <w:b/>
          <w:bCs/>
          <w:szCs w:val="24"/>
        </w:rPr>
        <w:t xml:space="preserve">Art. </w:t>
      </w:r>
      <w:r>
        <w:rPr>
          <w:rFonts w:cs="Times New Roman"/>
          <w:b/>
          <w:bCs/>
          <w:szCs w:val="24"/>
        </w:rPr>
        <w:t>2</w:t>
      </w:r>
      <w:r w:rsidRPr="00A133CA">
        <w:rPr>
          <w:rFonts w:cs="Times New Roman"/>
          <w:b/>
          <w:bCs/>
          <w:szCs w:val="24"/>
        </w:rPr>
        <w:t>.</w:t>
      </w:r>
      <w:r w:rsidRPr="00A133CA">
        <w:rPr>
          <w:rFonts w:cs="Times New Roman"/>
          <w:szCs w:val="24"/>
        </w:rPr>
        <w:t xml:space="preserve"> Sprawy, w których złożono środki odwoławcze od uchwał Państwowej Komisji Wyborczej w związku z wyborami Prezydenta Rzeczypospolitej Polskiej </w:t>
      </w:r>
      <w:r>
        <w:rPr>
          <w:rFonts w:cs="Times New Roman"/>
          <w:szCs w:val="24"/>
        </w:rPr>
        <w:t xml:space="preserve">oraz uzupełniającymi do Senatu Rzeczypospolitej Polskiej, </w:t>
      </w:r>
      <w:r w:rsidRPr="00A133CA">
        <w:rPr>
          <w:rFonts w:cs="Times New Roman"/>
          <w:szCs w:val="24"/>
        </w:rPr>
        <w:t>zarządzon</w:t>
      </w:r>
      <w:r>
        <w:rPr>
          <w:rFonts w:cs="Times New Roman"/>
          <w:szCs w:val="24"/>
        </w:rPr>
        <w:t>ymi</w:t>
      </w:r>
      <w:r w:rsidRPr="00A133CA">
        <w:rPr>
          <w:rFonts w:cs="Times New Roman"/>
          <w:szCs w:val="24"/>
        </w:rPr>
        <w:t xml:space="preserve"> w 2025 r., </w:t>
      </w:r>
      <w:r>
        <w:rPr>
          <w:rFonts w:cs="Times New Roman"/>
          <w:szCs w:val="24"/>
        </w:rPr>
        <w:t xml:space="preserve">Sąd Najwyższy </w:t>
      </w:r>
      <w:r w:rsidRPr="00A133CA">
        <w:rPr>
          <w:rFonts w:cs="Times New Roman"/>
          <w:szCs w:val="24"/>
        </w:rPr>
        <w:t>rozpozna</w:t>
      </w:r>
      <w:r>
        <w:rPr>
          <w:rFonts w:cs="Times New Roman"/>
          <w:szCs w:val="24"/>
        </w:rPr>
        <w:t>je</w:t>
      </w:r>
      <w:r w:rsidRPr="00A133CA">
        <w:rPr>
          <w:rFonts w:cs="Times New Roman"/>
          <w:szCs w:val="24"/>
        </w:rPr>
        <w:t xml:space="preserve"> w</w:t>
      </w:r>
      <w:r>
        <w:rPr>
          <w:rFonts w:cs="Times New Roman"/>
          <w:szCs w:val="24"/>
        </w:rPr>
        <w:t> </w:t>
      </w:r>
      <w:r w:rsidRPr="00A133CA">
        <w:rPr>
          <w:rFonts w:cs="Times New Roman"/>
          <w:szCs w:val="24"/>
        </w:rPr>
        <w:t xml:space="preserve">składzie </w:t>
      </w:r>
      <w:r w:rsidRPr="006B1808">
        <w:rPr>
          <w:rFonts w:cs="Times New Roman"/>
          <w:szCs w:val="24"/>
        </w:rPr>
        <w:t>3 sędziów losowanych spośród sędziów Izby Cywilnej, Izby Karnej oraz Izby Pracy i Ubezpieczeń Społecznych.</w:t>
      </w:r>
      <w:r w:rsidRPr="00A133CA">
        <w:rPr>
          <w:rFonts w:cs="Times New Roman"/>
          <w:szCs w:val="24"/>
        </w:rPr>
        <w:t xml:space="preserve"> Składowi orzekającemu przewodniczy sędzia najstarszy służbą na stanowisku sędziego. </w:t>
      </w:r>
      <w:r w:rsidRPr="00FF68F9">
        <w:rPr>
          <w:rFonts w:cs="Times New Roman"/>
          <w:szCs w:val="24"/>
        </w:rPr>
        <w:t xml:space="preserve">Przepisu art. 26 § 1 pkt 2 ustawy </w:t>
      </w:r>
      <w:r w:rsidRPr="0042231F">
        <w:t>z</w:t>
      </w:r>
      <w:r>
        <w:t> </w:t>
      </w:r>
      <w:r w:rsidRPr="0042231F">
        <w:t xml:space="preserve">dnia </w:t>
      </w:r>
      <w:r>
        <w:t>8 grudnia 2017 </w:t>
      </w:r>
      <w:r w:rsidRPr="0042231F">
        <w:t>r. o</w:t>
      </w:r>
      <w:r>
        <w:t xml:space="preserve"> Sądzie Najwyższym (Dz. U. z 2024 r. poz. 622) </w:t>
      </w:r>
      <w:r w:rsidRPr="00FF68F9">
        <w:rPr>
          <w:rFonts w:cs="Times New Roman"/>
          <w:szCs w:val="24"/>
        </w:rPr>
        <w:t>nie stosuje się.</w:t>
      </w:r>
    </w:p>
    <w:p w14:paraId="49120A3F" w14:textId="77777777" w:rsidR="00CE3829" w:rsidRDefault="00CE3829" w:rsidP="00CE3829">
      <w:pPr>
        <w:pStyle w:val="ARTartustawynprozporzdzenia"/>
        <w:ind w:firstLine="0"/>
      </w:pPr>
      <w:r w:rsidRPr="002A728E">
        <w:rPr>
          <w:rStyle w:val="Ppogrubienie"/>
        </w:rPr>
        <w:t>Art. </w:t>
      </w:r>
      <w:r>
        <w:rPr>
          <w:rStyle w:val="Ppogrubienie"/>
        </w:rPr>
        <w:t>3</w:t>
      </w:r>
      <w:r w:rsidRPr="002A728E">
        <w:rPr>
          <w:rStyle w:val="Ppogrubienie"/>
        </w:rPr>
        <w:t>.</w:t>
      </w:r>
      <w:r w:rsidRPr="0042231F">
        <w:t xml:space="preserve"> Ustawa wchodzi w</w:t>
      </w:r>
      <w:r>
        <w:t> </w:t>
      </w:r>
      <w:r w:rsidRPr="0042231F">
        <w:t xml:space="preserve">życie </w:t>
      </w:r>
      <w:r>
        <w:t>po upływie 3 dni od dnia ogłoszenia.</w:t>
      </w:r>
    </w:p>
    <w:p w14:paraId="54200155" w14:textId="77777777" w:rsidR="00CE3829" w:rsidRPr="00D867D7" w:rsidRDefault="00CE3829" w:rsidP="00CE3829">
      <w:pPr>
        <w:widowControl/>
        <w:autoSpaceDE/>
        <w:autoSpaceDN/>
        <w:adjustRightInd/>
        <w:rPr>
          <w:rFonts w:ascii="Times" w:hAnsi="Times"/>
        </w:rPr>
      </w:pPr>
      <w:r>
        <w:br w:type="page"/>
      </w:r>
    </w:p>
    <w:p w14:paraId="6ADFE9AD" w14:textId="77777777" w:rsidR="00CE3829" w:rsidRDefault="00CE3829" w:rsidP="00CE3829">
      <w:pPr>
        <w:pStyle w:val="ARTartustawynprozporzdzenia"/>
        <w:ind w:firstLine="0"/>
        <w:jc w:val="center"/>
      </w:pPr>
      <w:r w:rsidRPr="00B37A8E">
        <w:rPr>
          <w:b/>
          <w:bCs/>
        </w:rPr>
        <w:lastRenderedPageBreak/>
        <w:t>UZASADNIENIE</w:t>
      </w:r>
    </w:p>
    <w:p w14:paraId="2B147CD9" w14:textId="77777777" w:rsidR="00CE3829" w:rsidRDefault="00CE3829" w:rsidP="00CE3829">
      <w:pPr>
        <w:pStyle w:val="ARTartustawynprozporzdzenia"/>
      </w:pPr>
      <w:r>
        <w:t>Przedstawiona ustawa zakłada wprowadzenie szczególnych rozwiązań w zakresie zasad rozpatrywania przez Sąd Najwyższy spraw,</w:t>
      </w:r>
      <w:r w:rsidRPr="00D47954">
        <w:t xml:space="preserve"> </w:t>
      </w:r>
      <w:r w:rsidRPr="002037EF">
        <w:t xml:space="preserve">związanych z wyborami </w:t>
      </w:r>
      <w:r>
        <w:t>Prezydenta Rzeczypospolitej Polskiej oraz uzupełniającymi do Senatu,</w:t>
      </w:r>
      <w:r w:rsidRPr="002037EF">
        <w:t xml:space="preserve"> zarządzonymi w 2025 r</w:t>
      </w:r>
      <w:r>
        <w:t xml:space="preserve">. </w:t>
      </w:r>
    </w:p>
    <w:p w14:paraId="4C0652FE" w14:textId="77777777" w:rsidR="00CE3829" w:rsidRDefault="00CE3829" w:rsidP="00CE3829">
      <w:pPr>
        <w:pStyle w:val="ARTartustawynprozporzdzenia"/>
      </w:pPr>
      <w:r>
        <w:rPr>
          <w:rFonts w:ascii="Times New Roman" w:hAnsi="Times New Roman" w:cs="Times New Roman"/>
          <w:szCs w:val="24"/>
        </w:rPr>
        <w:t xml:space="preserve">Co istotne, wskazane zmiany mają charakter przejściowy, bowiem dotyczą jedynie spraw, związanych z </w:t>
      </w:r>
      <w:r w:rsidRPr="00A133CA">
        <w:rPr>
          <w:rFonts w:cs="Times New Roman"/>
          <w:szCs w:val="24"/>
        </w:rPr>
        <w:t xml:space="preserve">wyborami Prezydenta Rzeczypospolitej Polskiej </w:t>
      </w:r>
      <w:r>
        <w:rPr>
          <w:rFonts w:cs="Times New Roman"/>
          <w:szCs w:val="24"/>
        </w:rPr>
        <w:t xml:space="preserve">oraz uzupełniającymi do Senatu Rzeczypospolitej Polskiej, </w:t>
      </w:r>
      <w:r w:rsidRPr="00A133CA">
        <w:rPr>
          <w:rFonts w:cs="Times New Roman"/>
          <w:szCs w:val="24"/>
        </w:rPr>
        <w:t>zarządzon</w:t>
      </w:r>
      <w:r>
        <w:rPr>
          <w:rFonts w:cs="Times New Roman"/>
          <w:szCs w:val="24"/>
        </w:rPr>
        <w:t>ymi</w:t>
      </w:r>
      <w:r w:rsidRPr="00A133CA">
        <w:rPr>
          <w:rFonts w:cs="Times New Roman"/>
          <w:szCs w:val="24"/>
        </w:rPr>
        <w:t xml:space="preserve"> w 2025 r</w:t>
      </w:r>
      <w:r>
        <w:rPr>
          <w:rFonts w:cs="Times New Roman"/>
          <w:szCs w:val="24"/>
        </w:rPr>
        <w:t xml:space="preserve">. </w:t>
      </w:r>
    </w:p>
    <w:p w14:paraId="29AAC306" w14:textId="77777777" w:rsidR="00CE3829" w:rsidRDefault="00CE3829" w:rsidP="00CE3829">
      <w:pPr>
        <w:pStyle w:val="ARTartustawynprozporzdzenia"/>
      </w:pPr>
      <w:r>
        <w:t>Celem projektowanej ustawy jest zapewnienie sytuacji, w której rozstrzygnięcia o fundamentalnym znaczeniu dla demokracji, w tym zwłaszcza związane z rozpatrzeniem protestów wyborczych i ważnością wyborów, nie będą budziły wątpliwości co do ich skuteczności, zwłaszcza przez osoby, biorące w różnym charakterze udział w procedurze wyborczej. Celem fundamentalnym jest zatem zapewnienie stabilności funkcjonowania Rzeczypospolitej, zwłaszcza w kontekście wyborów Prezydenta Rzeczypospolitej Polskiej, zarządzonych w 2025 r.</w:t>
      </w:r>
    </w:p>
    <w:p w14:paraId="17089479" w14:textId="77777777" w:rsidR="00CE3829" w:rsidRPr="00416CB6" w:rsidRDefault="00CE3829" w:rsidP="00CE3829">
      <w:pPr>
        <w:pStyle w:val="ARTartustawynprozporzdzenia"/>
      </w:pPr>
      <w:r>
        <w:t xml:space="preserve">Warto zauważyć, że zgodnie z art. 129 ust. 1 Konstytucji Rzeczypospolitej Polskiej, ważność wyboru Prezydenta Rzeczypospolitej stwierdza Sąd Najwyższy, tak jak ma to miejsce, zgodnie z art. 101 ust. 1 Konstytucji Rzeczypospolitej Polskiej, w odniesieniu do wyborów do Sejmu i Senatu. Jak wskazuje się w doktrynie, </w:t>
      </w:r>
      <w:r w:rsidRPr="00416CB6">
        <w:t>„Problem, czy stwierdzanie ważności wyboru Prezydenta jest wymierzaniem sprawiedliwości w rozumieniu art. 175 Konstytucji, ma zasadniczo charakter teoretyczny. Konstytucja przyznaje Sądowi Najwyższemu tę kompetencję poza rozdziałem VIII, a Sąd Najwyższy stwierdza ważność wyboru również w sytuacji braku sporu prawnego co do tej okoliczności. Istotnie wydaje się, że z uwagi na główny cel regulacji zawartej w art. 129, tj. stworzenie stanu pewności prawnej co do prawidłowości wyboru określonej osoby na urząd Prezydenta, należy tu raczej mówić o kompetencji z zakresu tzw. ochrony prawnej” (P. Czarny [w:] </w:t>
      </w:r>
      <w:r w:rsidRPr="00416CB6">
        <w:rPr>
          <w:i/>
          <w:iCs/>
        </w:rPr>
        <w:t>Konstytucja Rzeczypospolitej Polskiej. Komentarz, wyd.</w:t>
      </w:r>
      <w:r>
        <w:rPr>
          <w:i/>
          <w:iCs/>
        </w:rPr>
        <w:t> </w:t>
      </w:r>
      <w:r w:rsidRPr="00416CB6">
        <w:rPr>
          <w:i/>
          <w:iCs/>
        </w:rPr>
        <w:t>II</w:t>
      </w:r>
      <w:r w:rsidRPr="00416CB6">
        <w:t>, red. P. Tuleja, Warszawa 2023, art. 129.)</w:t>
      </w:r>
      <w:r>
        <w:t>”.</w:t>
      </w:r>
    </w:p>
    <w:p w14:paraId="3F34B0E3" w14:textId="77777777" w:rsidR="00CE3829" w:rsidRDefault="00CE3829" w:rsidP="00CE3829">
      <w:pPr>
        <w:pStyle w:val="ARTartustawynprozporzdzenia"/>
        <w:rPr>
          <w:rFonts w:ascii="Times New Roman" w:hAnsi="Times New Roman" w:cs="Times New Roman"/>
          <w:szCs w:val="24"/>
        </w:rPr>
      </w:pPr>
      <w:r>
        <w:t xml:space="preserve">W art. 1 projektu ustawy przewiduje się regulacje szczególne względem art. 26 § 1 pkt 2 w zw. z art. 1 pkt 3 ustawy o Sądzie Najwyższym. W miejsce </w:t>
      </w:r>
      <w:r>
        <w:rPr>
          <w:i/>
          <w:iCs/>
        </w:rPr>
        <w:t xml:space="preserve">de lege lata </w:t>
      </w:r>
      <w:r>
        <w:t xml:space="preserve">Izby Kontroli Nadzwyczajnej i Spraw Publicznych, protesty wyborcze oraz stwierdzenie ważności wyborów Prezydenta Rzeczypospolitej Polskiej oraz uzupełniających do Senatu Rzeczypospolitej Polskiej będzie rozpoznawane przez skład </w:t>
      </w:r>
      <w:r w:rsidRPr="00A133CA">
        <w:rPr>
          <w:rFonts w:ascii="Times New Roman" w:hAnsi="Times New Roman" w:cs="Times New Roman"/>
          <w:szCs w:val="24"/>
        </w:rPr>
        <w:t>połączonych izb</w:t>
      </w:r>
      <w:r>
        <w:rPr>
          <w:rFonts w:ascii="Times New Roman" w:hAnsi="Times New Roman" w:cs="Times New Roman"/>
          <w:szCs w:val="24"/>
        </w:rPr>
        <w:t xml:space="preserve"> Sądu Najwyższego</w:t>
      </w:r>
      <w:r w:rsidRPr="00A133CA">
        <w:rPr>
          <w:rFonts w:ascii="Times New Roman" w:hAnsi="Times New Roman" w:cs="Times New Roman"/>
          <w:szCs w:val="24"/>
        </w:rPr>
        <w:t>: Cywilnej, Karnej oraz Pracy i Ubezpieczeń Społecznych.</w:t>
      </w:r>
      <w:r>
        <w:rPr>
          <w:rFonts w:ascii="Times New Roman" w:hAnsi="Times New Roman" w:cs="Times New Roman"/>
          <w:szCs w:val="24"/>
        </w:rPr>
        <w:t xml:space="preserve"> Służy to zapewnieniu możliwie szerokiej </w:t>
      </w:r>
      <w:r>
        <w:rPr>
          <w:rFonts w:ascii="Times New Roman" w:hAnsi="Times New Roman" w:cs="Times New Roman"/>
          <w:szCs w:val="24"/>
        </w:rPr>
        <w:lastRenderedPageBreak/>
        <w:t>legitymizacji wydanego rozstrzygnięcia z uwagi na szeroki skład orzekający Sądu Najwyższego. Przewiduje się przy tym, że składowi orzekającemu przewodniczy sędzia najstarszy służbą na stanowisku sędziego.</w:t>
      </w:r>
    </w:p>
    <w:p w14:paraId="6372C084" w14:textId="77777777" w:rsidR="00CE3829" w:rsidRDefault="00CE3829" w:rsidP="00CE3829">
      <w:pPr>
        <w:pStyle w:val="ARTartustawynprozporzdzenia"/>
      </w:pPr>
      <w:r>
        <w:t>W art. 2 projektu ustawy przewidziano kolejny szczególny przepis przejściowy podyktowany – jak wskazano powyżej – potrzebą zapewnienia stabilności działania państwa w kluczowym dla funkcjonowania państwa demokratycznego powszechnych wyborów. W 2025 r. zarządzone zostaną wybory Prezydenta Rzeczypospolitej Polskiej oraz mogą zostać zarządzone wybory uzupełniające do Senatu Rzeczypospolitej Polskiej.</w:t>
      </w:r>
    </w:p>
    <w:p w14:paraId="44506FCE" w14:textId="77777777" w:rsidR="00CE3829" w:rsidRDefault="00CE3829" w:rsidP="00CE3829">
      <w:pPr>
        <w:pStyle w:val="ARTartustawynprozporzdzenia"/>
        <w:rPr>
          <w:rFonts w:cs="Times New Roman"/>
          <w:szCs w:val="24"/>
        </w:rPr>
      </w:pPr>
      <w:r>
        <w:t>Z powyższego względu w art. 2 projektu ustawy przewidziano, że s</w:t>
      </w:r>
      <w:r w:rsidRPr="00A133CA">
        <w:rPr>
          <w:rFonts w:cs="Times New Roman"/>
          <w:szCs w:val="24"/>
        </w:rPr>
        <w:t xml:space="preserve">prawy, w których złożono środki odwoławcze od uchwał Państwowej Komisji Wyborczej w związku z wyborami Prezydenta Rzeczypospolitej Polskiej </w:t>
      </w:r>
      <w:r>
        <w:rPr>
          <w:rFonts w:cs="Times New Roman"/>
          <w:szCs w:val="24"/>
        </w:rPr>
        <w:t xml:space="preserve">oraz uzupełniającymi do Senatu Rzeczypospolitej Polskiej, </w:t>
      </w:r>
      <w:r w:rsidRPr="00A133CA">
        <w:rPr>
          <w:rFonts w:cs="Times New Roman"/>
          <w:szCs w:val="24"/>
        </w:rPr>
        <w:t>zarządzon</w:t>
      </w:r>
      <w:r>
        <w:rPr>
          <w:rFonts w:cs="Times New Roman"/>
          <w:szCs w:val="24"/>
        </w:rPr>
        <w:t>ymi</w:t>
      </w:r>
      <w:r w:rsidRPr="00A133CA">
        <w:rPr>
          <w:rFonts w:cs="Times New Roman"/>
          <w:szCs w:val="24"/>
        </w:rPr>
        <w:t xml:space="preserve"> w 2025 r., </w:t>
      </w:r>
      <w:r>
        <w:rPr>
          <w:rFonts w:cs="Times New Roman"/>
          <w:szCs w:val="24"/>
        </w:rPr>
        <w:t xml:space="preserve">Sąd Najwyższy </w:t>
      </w:r>
      <w:r w:rsidRPr="00A133CA">
        <w:rPr>
          <w:rFonts w:cs="Times New Roman"/>
          <w:szCs w:val="24"/>
        </w:rPr>
        <w:t>rozpozna</w:t>
      </w:r>
      <w:r>
        <w:rPr>
          <w:rFonts w:cs="Times New Roman"/>
          <w:szCs w:val="24"/>
        </w:rPr>
        <w:t>je</w:t>
      </w:r>
      <w:r w:rsidRPr="00A133CA">
        <w:rPr>
          <w:rFonts w:cs="Times New Roman"/>
          <w:szCs w:val="24"/>
        </w:rPr>
        <w:t xml:space="preserve"> w składzie </w:t>
      </w:r>
      <w:r w:rsidRPr="006B1808">
        <w:rPr>
          <w:rFonts w:cs="Times New Roman"/>
          <w:szCs w:val="24"/>
        </w:rPr>
        <w:t>3 sędziów losowanych spośród sędziów Izby Cywilnej, Izby Karnej oraz Izby Pracy i Ubezpieczeń Społecznych.</w:t>
      </w:r>
      <w:r w:rsidRPr="00A133C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Podobnie jak w zmianach, przewidzianych w art. 1 projektu ustawy, przewiduje się, że s</w:t>
      </w:r>
      <w:r w:rsidRPr="00A133CA">
        <w:rPr>
          <w:rFonts w:cs="Times New Roman"/>
          <w:szCs w:val="24"/>
        </w:rPr>
        <w:t>kładowi orzekającemu przewodniczy sędzia najstarszy służbą na stanowisku sędziego</w:t>
      </w:r>
      <w:r>
        <w:t>.</w:t>
      </w:r>
    </w:p>
    <w:p w14:paraId="5CDE023C" w14:textId="77777777" w:rsidR="00CE3829" w:rsidRDefault="00CE3829" w:rsidP="00CE3829">
      <w:pPr>
        <w:pStyle w:val="ARTartustawynprozporzdzenia"/>
      </w:pPr>
      <w:r>
        <w:rPr>
          <w:rFonts w:cs="Times New Roman"/>
          <w:szCs w:val="24"/>
        </w:rPr>
        <w:t xml:space="preserve">Należy przy tym podkreślić, że regulacja ta dotyczy jedynie rozpatrywania spraw, związanych z wymienionymi wyborami. Oznacza to, że art. 2 projektu ustawy nie znajdzie zastosowania do spraw zainicjowanych środkami odwoławczymi od uchwał Państwowej Komisji Wyborczej, jeżeli te uchwały nie będą związane z wyborami Prezydenta Rzeczypospolitej Polskiej oraz wyborami uzupełniającymi do Senatu Rzeczypospolitej Polskiej, zarządzonymi w 2025 r. </w:t>
      </w:r>
    </w:p>
    <w:p w14:paraId="4C088DD0" w14:textId="77777777" w:rsidR="00CE3829" w:rsidRDefault="00CE3829" w:rsidP="00CE3829">
      <w:pPr>
        <w:pStyle w:val="ARTartustawynprozporzdzenia"/>
      </w:pPr>
      <w:r>
        <w:t xml:space="preserve">Projekt przewiduje wejście w życie regulacji po upływie 3 dni od dnia jej ogłoszenia. Jest to spowodowane okolicznością, że na początku 2025 r. zarządzone zostaną wybory Prezydenta Rzeczypospolitej Polskiej. W toku procedury wyborczej wydawane są uchwały Państwowej Komisji Wyborczej, od których przysługuje środek zaskarżenia do Sądu Najwyższego. Wejście w życie projektowanego aktu w terminie krótszym od określonego w art. 4 ust. 1 ustawy </w:t>
      </w:r>
      <w:r w:rsidRPr="00B37A8E">
        <w:t>z dnia 20 lipca 2000 r. o ogłaszaniu aktów normatywnych i niektórych innych aktów prawnych</w:t>
      </w:r>
      <w:r>
        <w:t xml:space="preserve"> (Dz.U. </w:t>
      </w:r>
      <w:r w:rsidRPr="00B37A8E">
        <w:t>z 2019 r. poz. 1461</w:t>
      </w:r>
      <w:r>
        <w:t>) podyktowane jest zapewnienie jednolitego sposobu działania Sądu Najwyższego w związku z wyborami Prezydenta Rzeczypospolitej Polskiej oraz wyborami uzupełniającymi do Senatu Rzeczypospolitej, zarządzonych w 2025 r., zgodnie z regulacjami, określonymi w niniejszej ustawie.</w:t>
      </w:r>
    </w:p>
    <w:p w14:paraId="1EB0F6D8" w14:textId="77777777" w:rsidR="0061153D" w:rsidRPr="00E521BF" w:rsidRDefault="0061153D" w:rsidP="0061153D">
      <w:pPr>
        <w:pStyle w:val="NIEARTTEKSTtekstnieartykuowanynppodstprawnarozplubpreambua"/>
        <w:ind w:firstLine="0"/>
      </w:pPr>
      <w:r w:rsidRPr="00E521BF">
        <w:t>Wejście w życie ustawy nie wymaga wydania aktów wykonawczych.</w:t>
      </w:r>
    </w:p>
    <w:p w14:paraId="05FA798A" w14:textId="77777777" w:rsidR="0061153D" w:rsidRPr="00E521BF" w:rsidRDefault="0061153D" w:rsidP="0061153D">
      <w:pPr>
        <w:pStyle w:val="NIEARTTEKSTtekstnieartykuowanynppodstprawnarozplubpreambua"/>
        <w:ind w:firstLine="0"/>
      </w:pPr>
      <w:r w:rsidRPr="00E521BF">
        <w:lastRenderedPageBreak/>
        <w:t>Projekt jest zgodny z prawem Unii Europejskiej.</w:t>
      </w:r>
    </w:p>
    <w:p w14:paraId="7F35527B" w14:textId="77777777" w:rsidR="00CE3829" w:rsidRDefault="00CE3829" w:rsidP="00CE3829">
      <w:pPr>
        <w:pStyle w:val="ARTartustawynprozporzdzenia"/>
        <w:ind w:firstLine="0"/>
      </w:pPr>
    </w:p>
    <w:p w14:paraId="1358FF6D" w14:textId="77777777" w:rsidR="00F740E1" w:rsidRDefault="00F740E1"/>
    <w:sectPr w:rsidR="00F740E1" w:rsidSect="00CE3829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843AA" w14:textId="77777777" w:rsidR="00062EF9" w:rsidRDefault="00062EF9">
      <w:pPr>
        <w:spacing w:line="240" w:lineRule="auto"/>
      </w:pPr>
      <w:r>
        <w:separator/>
      </w:r>
    </w:p>
  </w:endnote>
  <w:endnote w:type="continuationSeparator" w:id="0">
    <w:p w14:paraId="2EAA8A74" w14:textId="77777777" w:rsidR="00062EF9" w:rsidRDefault="00062E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8125C" w14:textId="77777777" w:rsidR="00062EF9" w:rsidRDefault="00062EF9">
      <w:pPr>
        <w:spacing w:line="240" w:lineRule="auto"/>
      </w:pPr>
      <w:r>
        <w:separator/>
      </w:r>
    </w:p>
  </w:footnote>
  <w:footnote w:type="continuationSeparator" w:id="0">
    <w:p w14:paraId="1E5380A7" w14:textId="77777777" w:rsidR="00062EF9" w:rsidRDefault="00062E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A246E" w14:textId="77777777" w:rsidR="0096367F" w:rsidRPr="00B371CC" w:rsidRDefault="0000000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29"/>
    <w:rsid w:val="00062EF9"/>
    <w:rsid w:val="001B7544"/>
    <w:rsid w:val="00350AC3"/>
    <w:rsid w:val="00391F66"/>
    <w:rsid w:val="003C762C"/>
    <w:rsid w:val="004C69A1"/>
    <w:rsid w:val="0061153D"/>
    <w:rsid w:val="0096367F"/>
    <w:rsid w:val="00CE3829"/>
    <w:rsid w:val="00CE7AEB"/>
    <w:rsid w:val="00F42128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8C0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82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3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3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3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3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38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38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38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38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3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3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3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38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38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38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38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38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38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3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3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3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3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3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38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38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38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3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38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382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CE382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E3829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E382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E382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E3829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E382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E3829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CE3829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1153D"/>
    <w:rPr>
      <w:bCs/>
    </w:rPr>
  </w:style>
  <w:style w:type="paragraph" w:styleId="Stopka">
    <w:name w:val="footer"/>
    <w:basedOn w:val="Normalny"/>
    <w:link w:val="StopkaZnak"/>
    <w:uiPriority w:val="99"/>
    <w:unhideWhenUsed/>
    <w:rsid w:val="00391F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F66"/>
    <w:rPr>
      <w:rFonts w:ascii="Times New Roman" w:eastAsiaTheme="minorEastAsia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2024-12-30T13:41:00Z</dcterms:created>
  <dcterms:modified xsi:type="dcterms:W3CDTF">2024-12-30T13:41:00Z</dcterms:modified>
</cp:coreProperties>
</file>