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A439" w14:textId="77777777" w:rsidR="008B5A9E" w:rsidRPr="00590AEA" w:rsidRDefault="008B5A9E" w:rsidP="008B5A9E">
      <w:pPr>
        <w:suppressAutoHyphens/>
        <w:jc w:val="right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i/>
          <w:kern w:val="0"/>
          <w:lang w:eastAsia="ar-SA"/>
          <w14:ligatures w14:val="none"/>
        </w:rPr>
        <w:t>Projekt</w:t>
      </w:r>
    </w:p>
    <w:p w14:paraId="3F9B0848" w14:textId="77777777" w:rsidR="008B5A9E" w:rsidRDefault="008B5A9E" w:rsidP="008B5A9E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bookmarkStart w:id="0" w:name="_Hlk172801897"/>
    </w:p>
    <w:p w14:paraId="39998960" w14:textId="77777777" w:rsidR="008B5A9E" w:rsidRPr="00590AEA" w:rsidRDefault="008B5A9E" w:rsidP="008B5A9E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590AE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USTAWA</w:t>
      </w:r>
    </w:p>
    <w:bookmarkEnd w:id="0"/>
    <w:p w14:paraId="5237EBD6" w14:textId="77777777" w:rsidR="008B5A9E" w:rsidRPr="00590AEA" w:rsidRDefault="008B5A9E" w:rsidP="008B5A9E">
      <w:pPr>
        <w:suppressAutoHyphens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z dnia …</w:t>
      </w:r>
    </w:p>
    <w:p w14:paraId="465F40EA" w14:textId="77777777" w:rsidR="008B5A9E" w:rsidRPr="00590AEA" w:rsidRDefault="008B5A9E" w:rsidP="008B5A9E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o zmianie ustawy </w:t>
      </w:r>
      <w:r w:rsidRPr="00297E7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o </w:t>
      </w:r>
      <w:r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wykonywaniu mandatu posła i senatora</w:t>
      </w:r>
    </w:p>
    <w:p w14:paraId="4F4A387C" w14:textId="77777777" w:rsidR="008B5A9E" w:rsidRPr="00590AEA" w:rsidRDefault="008B5A9E" w:rsidP="008B5A9E">
      <w:pPr>
        <w:suppressAutoHyphens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D65C0F7" w14:textId="77777777" w:rsidR="008B5A9E" w:rsidRPr="00083E65" w:rsidRDefault="008B5A9E" w:rsidP="008B5A9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Art. 1</w:t>
      </w:r>
      <w:bookmarkStart w:id="1" w:name="_Hlk176439065"/>
      <w:r w:rsidRPr="00590AEA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. W ustawie z dnia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9 maja 1996</w:t>
      </w:r>
      <w:r w:rsidRPr="00590AEA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Start w:id="2" w:name="_Hlk178937336"/>
      <w:r w:rsidRPr="00590AEA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o </w:t>
      </w:r>
      <w:bookmarkEnd w:id="2"/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wykonywaniu mandatu posła i senatora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(Dz.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U. z 2024 r. poz</w:t>
      </w:r>
      <w:r w:rsidRPr="00BC75F8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 907)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C75F8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art. 5a otrzymuje brzmienie:</w:t>
      </w:r>
      <w:bookmarkEnd w:id="1"/>
    </w:p>
    <w:p w14:paraId="73A8AE5A" w14:textId="77777777" w:rsidR="008B5A9E" w:rsidRDefault="008B5A9E" w:rsidP="008B5A9E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Pr="00083E6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Art.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5a</w:t>
      </w:r>
      <w:r w:rsidRPr="00083E6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Poseł lub senator w czasie pozbawienia wolności albo względem którego wydano postanowienie </w:t>
      </w:r>
      <w:bookmarkStart w:id="3" w:name="_Hlk185584569"/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o zastosowaniu tymczasowego aresztowania </w:t>
      </w:r>
      <w:bookmarkEnd w:id="3"/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nie wykonuje praw i obowiązków wynikających z niniejszej ustawy.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”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9359ED2" w14:textId="77777777" w:rsidR="008B5A9E" w:rsidRDefault="008B5A9E" w:rsidP="008B5A9E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91A95F7" w14:textId="77777777" w:rsidR="008B5A9E" w:rsidRDefault="008B5A9E" w:rsidP="008B5A9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026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Art.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 Przepis art. 5a ustawy zmienianej w art. 1 w brzmieniu nadanym niniejszą ustawą stosuje się także do posła lub senatora, względem którego wydano postanowienie o zastosowaniu tymczasowego aresztowania przed dniem wejścia w życie niniejszej ustawy.</w:t>
      </w:r>
    </w:p>
    <w:p w14:paraId="5BF7D6A2" w14:textId="77777777" w:rsidR="008B5A9E" w:rsidRPr="00083E65" w:rsidRDefault="008B5A9E" w:rsidP="008B5A9E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DF1DDA4" w14:textId="77777777" w:rsidR="008B5A9E" w:rsidRPr="00083E65" w:rsidRDefault="008B5A9E" w:rsidP="008B5A9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Art. </w:t>
      </w:r>
      <w:r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3</w:t>
      </w:r>
      <w:r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.</w:t>
      </w:r>
      <w:r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Ustawa </w:t>
      </w:r>
      <w:r w:rsidRPr="00BC75F8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wchodzi w życie z dniem następującym po dniu ogłoszenia.</w:t>
      </w:r>
    </w:p>
    <w:p w14:paraId="52D0BFC8" w14:textId="77777777" w:rsidR="008B5A9E" w:rsidRPr="00083E65" w:rsidRDefault="008B5A9E" w:rsidP="008B5A9E">
      <w:pPr>
        <w:spacing w:after="120" w:line="312" w:lineRule="auto"/>
      </w:pPr>
    </w:p>
    <w:p w14:paraId="2D5A4861" w14:textId="77777777" w:rsidR="008B5A9E" w:rsidRPr="00083E65" w:rsidRDefault="008B5A9E" w:rsidP="008B5A9E">
      <w:pPr>
        <w:spacing w:after="120" w:line="312" w:lineRule="auto"/>
      </w:pPr>
    </w:p>
    <w:p w14:paraId="7B977A37" w14:textId="77777777" w:rsidR="008B5A9E" w:rsidRPr="00083E65" w:rsidRDefault="008B5A9E" w:rsidP="008B5A9E">
      <w:pPr>
        <w:spacing w:after="120" w:line="312" w:lineRule="auto"/>
      </w:pPr>
    </w:p>
    <w:p w14:paraId="7D388D08" w14:textId="77777777" w:rsidR="008B5A9E" w:rsidRPr="00083E65" w:rsidRDefault="008B5A9E" w:rsidP="008B5A9E">
      <w:pPr>
        <w:spacing w:after="120" w:line="312" w:lineRule="auto"/>
      </w:pPr>
    </w:p>
    <w:p w14:paraId="7D877240" w14:textId="77777777" w:rsidR="008B5A9E" w:rsidRPr="00083E65" w:rsidRDefault="008B5A9E" w:rsidP="008B5A9E">
      <w:pPr>
        <w:spacing w:after="120" w:line="312" w:lineRule="auto"/>
      </w:pPr>
    </w:p>
    <w:p w14:paraId="5036F550" w14:textId="77777777" w:rsidR="008B5A9E" w:rsidRPr="00083E65" w:rsidRDefault="008B5A9E" w:rsidP="008B5A9E">
      <w:pPr>
        <w:spacing w:after="120" w:line="312" w:lineRule="auto"/>
      </w:pPr>
    </w:p>
    <w:p w14:paraId="676DE5D6" w14:textId="77777777" w:rsidR="008B5A9E" w:rsidRDefault="008B5A9E" w:rsidP="008B5A9E">
      <w:pPr>
        <w:spacing w:after="120" w:line="312" w:lineRule="auto"/>
      </w:pPr>
    </w:p>
    <w:p w14:paraId="7E173288" w14:textId="77777777" w:rsidR="008B5A9E" w:rsidRDefault="008B5A9E" w:rsidP="008B5A9E">
      <w:pPr>
        <w:spacing w:after="120" w:line="312" w:lineRule="auto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</w:p>
    <w:p w14:paraId="5AFA8BE8" w14:textId="77777777" w:rsidR="008B5A9E" w:rsidRDefault="008B5A9E" w:rsidP="008B5A9E">
      <w:pP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br w:type="page"/>
      </w:r>
    </w:p>
    <w:p w14:paraId="58D630E6" w14:textId="77777777" w:rsidR="008B5A9E" w:rsidRPr="00590AEA" w:rsidRDefault="008B5A9E" w:rsidP="008B5A9E">
      <w:pPr>
        <w:keepNext/>
        <w:suppressAutoHyphens/>
        <w:spacing w:after="120" w:line="288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590AE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lastRenderedPageBreak/>
        <w:t>U</w:t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ZASADNIENIE</w:t>
      </w:r>
    </w:p>
    <w:p w14:paraId="2C1EDDCB" w14:textId="77777777" w:rsidR="008B5A9E" w:rsidRPr="008F6FB4" w:rsidRDefault="008B5A9E" w:rsidP="008B5A9E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372F8059" w14:textId="77777777" w:rsidR="008B5A9E" w:rsidRPr="008F6FB4" w:rsidRDefault="008B5A9E" w:rsidP="008B5A9E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345BBABD" w14:textId="77777777" w:rsidR="008B5A9E" w:rsidRDefault="008B5A9E" w:rsidP="008B5A9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Przedstawiony przez grupę posłów projekt nowelizacji ustawy o wykonywaniu mandatu posła i senatora ma na celu uregulowanie sytuacji prawnej posła albo senatora, względem którego wydane zostało postanowienie o zastosowani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u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tymczasowego aresztowania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. Projekt uzupełnia art. 5a ustawy, który został wprowadzony ustawą z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6 stycznia 2005 r.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o zmianie ustawy o wykonywaniu mandatu posła i senatora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(Dz.U.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Nr 48, poz. 446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). W obecnym stanie prawnym zakres zastosowania przywołanego przepisu obejmuje sytuacje, w której poseł lub senator jest „pozbawiony wolności”, przy czym pojęcie to rozumie się jako faktyczne pozbawienie wolności parlamentarzysty, tj. zarówno jako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wykonanie prawomocnie orzeczonej 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względem niego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kary pozbawienia wolności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, jak i zastosowanie </w:t>
      </w:r>
      <w:r w:rsidRPr="008F6FB4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izolacyjnego środka zapobiegawczego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w postaci tymczasowego aresztowania. Natomiast art. 5a nie odnosi się do sytuacji, w której względem posła i senatora wydane zostało w przepisanym prawem trybie postanowienie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o zastosowaniu tymczasowego aresztowania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, lecz nie doszło do rozpoczęcia stosowania tego środka izolacyjnego, np. wskutek ukrywania się parlamentarzysty przed organami ścigania.</w:t>
      </w:r>
    </w:p>
    <w:p w14:paraId="3E17A76C" w14:textId="77777777" w:rsidR="008B5A9E" w:rsidRPr="008F6FB4" w:rsidRDefault="008B5A9E" w:rsidP="008B5A9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Proponowane rozwiązanie rozciąga zakres zastosowania art. 5a ustawy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o wykonywaniu mandatu posła i senatora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na opisaną wyżej sytuację. W konsekwencji, w razie wydania względem posła lub senatora postanowienia o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zastosowaniu tymczasowego aresztowania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, parlamentarzysta zaprzestanie wykonywania praw i obowiązków wynikających z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ustawy o wykonywaniu mandatu posła i senatora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. Nie będzie mógł więc w szczególności wykonywać tzw. uprawnień terenowych (w tym tzw. prawa do informacji – art. 19 ustawy, a także interwencji – art. 20 ustawy), a także korzystać z uprawnień socjalno-bytowych, jak prawo do uposażenia (art. 25 ustawy) czy do diety parlamentarnej (art. 42 ustawy). Ponadto w ww. sytuacji na mocy art. 23 ust. 10a ustawy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prawa i obowiązki posła i senatora wynikające z funkcjonowania i znoszenia biura 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poselskiego bądź senatorskiego 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prze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jdą</w:t>
      </w:r>
      <w:r w:rsidRPr="009F1BF5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odpowiednio na Marszałka Sejmu lub Marszałka Senat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u.</w:t>
      </w:r>
    </w:p>
    <w:p w14:paraId="2C7EAE01" w14:textId="77777777" w:rsidR="008B5A9E" w:rsidRDefault="008B5A9E" w:rsidP="008B5A9E">
      <w:pPr>
        <w:widowControl w:val="0"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2E6390D" w14:textId="77777777" w:rsidR="008B5A9E" w:rsidRDefault="008B5A9E" w:rsidP="008B5A9E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1C9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przewiduje wejście w życie regulacji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z dniem następującym po dniu ogłoszenia</w:t>
      </w:r>
      <w:r w:rsidRPr="006A1C9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 Jest to spowodowane okolicznością, że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obecne brzmienie art. 5a ustawy o wykonywaniu mandatu posła i senatora może być wykorzystywane instrumentalnie przez posłów lub senatorów, np. w postaci ukrywania się przed organami ścigania. </w:t>
      </w:r>
      <w:r w:rsidRPr="006A1C9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Wejście w życie </w:t>
      </w:r>
      <w:r w:rsidRPr="006A1C9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projektowanego aktu w terminie krótszym od określonego w art. 4 ust. 1 ustawy z dnia 20 lipca 2000 r. o ogłaszaniu aktów normatywnych i niektórych innych aktów prawnych (Dz.U. z 2019 r. poz. 1461) podyktowane jest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zapewnieniem skuteczności projektowanych regulacji oraz jest skorelowane z przepisem przejściowym z art. 2 projektu ustawy. W celu uniemożliwienia instrumentalnego traktowania obecnego brzmienia art. 5a ustawy o wykonywaniu mandatu posła i senatora w przepisie tym przewidziano, że</w:t>
      </w:r>
      <w:r w:rsidRPr="006A1C9D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zaproponowane regulacje stosowane będą także do posła lub senatora, względem którego wydano postanowienie o zastosowaniu tymczasowego aresztowania przed dniem wejścia w życie projektowanej ustawy.</w:t>
      </w:r>
    </w:p>
    <w:p w14:paraId="252775A6" w14:textId="77777777" w:rsidR="008B5A9E" w:rsidRDefault="008B5A9E" w:rsidP="008B5A9E">
      <w:pPr>
        <w:widowControl w:val="0"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5D9378B" w14:textId="77777777" w:rsidR="008B5A9E" w:rsidRPr="00241437" w:rsidRDefault="008B5A9E" w:rsidP="008B5A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ustawy pociąga za sobą 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niewielkie 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skutk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i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finansow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e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dla budżetu państwa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, gdyż w okresie od wydania względem posła lub senatora postanowienia o zastosowaniu tymczasowego aresztowania do faktycznego rozpoczęcia wykonywania tego środka zapobiegawczego nie będą parlamentarzyście wypłacane środki finansowe przewidziane ustawą (w szczególności uposażenie czy dieta parlamentarna). Projekt nie wywołuje skutków finansowych 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dla budżetów jednostek samorządu terytorialnego. </w:t>
      </w:r>
    </w:p>
    <w:p w14:paraId="2934D253" w14:textId="77777777" w:rsidR="008B5A9E" w:rsidRDefault="008B5A9E" w:rsidP="008B5A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A757352" w14:textId="77777777" w:rsidR="008B5A9E" w:rsidRPr="00241437" w:rsidRDefault="008B5A9E" w:rsidP="008B5A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wywołuje pozytywne skutki społeczne,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wzmacniając poczucie praworządności w społeczeństwie poprzez wykluczenie prób nadużywania prawa przez parlamentarzystów, 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względem których wydane zostanie </w:t>
      </w:r>
      <w:r w:rsidRPr="00523548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postanowienie o zastosowani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u</w:t>
      </w:r>
      <w:r w:rsidRPr="00523548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tymczasowego aresztowania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 Natomiast projekt nie wywołuje skutków</w:t>
      </w:r>
      <w:r w:rsidRPr="00523548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gospodarcz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ych..</w:t>
      </w:r>
    </w:p>
    <w:p w14:paraId="36D60155" w14:textId="77777777" w:rsidR="008B5A9E" w:rsidRDefault="008B5A9E" w:rsidP="008B5A9E">
      <w:pPr>
        <w:pStyle w:val="ARTartustawynprozporzdzenia"/>
        <w:spacing w:before="0" w:after="120" w:line="288" w:lineRule="auto"/>
        <w:ind w:firstLine="709"/>
        <w:rPr>
          <w:rFonts w:ascii="Times New Roman" w:hAnsi="Times New Roman" w:cs="Times New Roman"/>
        </w:rPr>
      </w:pPr>
    </w:p>
    <w:p w14:paraId="4AFDECF9" w14:textId="77777777" w:rsidR="008B5A9E" w:rsidRPr="00241437" w:rsidRDefault="008B5A9E" w:rsidP="008B5A9E">
      <w:pPr>
        <w:pStyle w:val="ARTartustawynprozporzdzenia"/>
        <w:spacing w:before="0"/>
        <w:ind w:firstLine="709"/>
        <w:rPr>
          <w:rFonts w:ascii="Times New Roman" w:hAnsi="Times New Roman" w:cs="Times New Roman"/>
        </w:rPr>
      </w:pPr>
      <w:r w:rsidRPr="00241437">
        <w:rPr>
          <w:rFonts w:ascii="Times New Roman" w:hAnsi="Times New Roman" w:cs="Times New Roman"/>
        </w:rPr>
        <w:t xml:space="preserve">Projekt ustawy nie ma wpływu na działalność </w:t>
      </w:r>
      <w:proofErr w:type="spellStart"/>
      <w:r w:rsidRPr="00241437">
        <w:rPr>
          <w:rFonts w:ascii="Times New Roman" w:hAnsi="Times New Roman" w:cs="Times New Roman"/>
        </w:rPr>
        <w:t>mikroprzedsiębiorców</w:t>
      </w:r>
      <w:proofErr w:type="spellEnd"/>
      <w:r w:rsidRPr="00241437">
        <w:rPr>
          <w:rFonts w:ascii="Times New Roman" w:hAnsi="Times New Roman" w:cs="Times New Roman"/>
        </w:rPr>
        <w:t xml:space="preserve"> oraz małych i średnich przedsiębiorców.</w:t>
      </w:r>
    </w:p>
    <w:p w14:paraId="0A78F729" w14:textId="77777777" w:rsidR="008B5A9E" w:rsidRDefault="008B5A9E" w:rsidP="008B5A9E">
      <w:pPr>
        <w:widowControl w:val="0"/>
        <w:autoSpaceDE w:val="0"/>
        <w:autoSpaceDN w:val="0"/>
        <w:adjustRightInd w:val="0"/>
        <w:spacing w:after="120"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DAE862E" w14:textId="77777777" w:rsidR="008B5A9E" w:rsidRPr="00241437" w:rsidRDefault="008B5A9E" w:rsidP="008B5A9E">
      <w:pPr>
        <w:widowControl w:val="0"/>
        <w:autoSpaceDE w:val="0"/>
        <w:autoSpaceDN w:val="0"/>
        <w:adjustRightInd w:val="0"/>
        <w:spacing w:after="120"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nie jest sprzeczny z prawem Unii Europejskiej.</w:t>
      </w:r>
    </w:p>
    <w:p w14:paraId="0B5E8BF3" w14:textId="77777777" w:rsidR="008B5A9E" w:rsidRDefault="008B5A9E" w:rsidP="008B5A9E">
      <w:pPr>
        <w:spacing w:after="120" w:line="288" w:lineRule="auto"/>
      </w:pPr>
    </w:p>
    <w:p w14:paraId="37A809CB" w14:textId="77777777" w:rsidR="008B5A9E" w:rsidRDefault="008B5A9E"/>
    <w:sectPr w:rsidR="008B5A9E" w:rsidSect="008B5A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9E"/>
    <w:rsid w:val="00283DF6"/>
    <w:rsid w:val="008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BD86"/>
  <w15:chartTrackingRefBased/>
  <w15:docId w15:val="{1AB78154-0B40-4E72-88F6-C9E65E8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A9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A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A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A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A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A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A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A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A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A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A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A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A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A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A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A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A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A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B5A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A9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B5A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A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A9E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8B5A9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Pachocki</dc:creator>
  <cp:keywords/>
  <dc:description/>
  <cp:lastModifiedBy>Wiktor Pachocki</cp:lastModifiedBy>
  <cp:revision>1</cp:revision>
  <dcterms:created xsi:type="dcterms:W3CDTF">2024-12-31T11:01:00Z</dcterms:created>
  <dcterms:modified xsi:type="dcterms:W3CDTF">2024-12-31T11:03:00Z</dcterms:modified>
</cp:coreProperties>
</file>