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CD8DB" w14:textId="21F8C2C6" w:rsidR="004E3550" w:rsidRPr="0065692C" w:rsidRDefault="004E3550" w:rsidP="0065692C">
      <w:pPr>
        <w:pStyle w:val="OZNRODZAKTUtznustawalubrozporzdzenieiorganwydajcy"/>
        <w:spacing w:after="240"/>
        <w:rPr>
          <w:rFonts w:ascii="Times New Roman" w:hAnsi="Times New Roman"/>
          <w:b w:val="0"/>
          <w:bCs w:val="0"/>
          <w:spacing w:val="0"/>
        </w:rPr>
      </w:pPr>
      <w:r w:rsidRPr="0065692C">
        <w:rPr>
          <w:rFonts w:ascii="Times New Roman" w:hAnsi="Times New Roman"/>
          <w:b w:val="0"/>
          <w:bCs w:val="0"/>
          <w:spacing w:val="0"/>
        </w:rPr>
        <w:t>UZASADNIENIE</w:t>
      </w:r>
    </w:p>
    <w:p w14:paraId="102F8EA9" w14:textId="0F141D72" w:rsidR="000E335D" w:rsidRPr="006C034B" w:rsidRDefault="000E335D" w:rsidP="0065692C">
      <w:pPr>
        <w:spacing w:before="120"/>
        <w:jc w:val="both"/>
        <w:rPr>
          <w:rFonts w:cs="Times New Roman"/>
          <w:b/>
          <w:bCs/>
          <w:szCs w:val="24"/>
        </w:rPr>
      </w:pPr>
      <w:r w:rsidRPr="006C034B">
        <w:rPr>
          <w:rFonts w:cs="Times New Roman"/>
          <w:b/>
          <w:bCs/>
          <w:szCs w:val="24"/>
        </w:rPr>
        <w:t>1. Potrzeba i cel wydania aktu prawnego</w:t>
      </w:r>
    </w:p>
    <w:p w14:paraId="71ABA63A" w14:textId="64885F31" w:rsidR="00715112" w:rsidRPr="006C034B" w:rsidRDefault="004E3550" w:rsidP="0065692C">
      <w:pPr>
        <w:spacing w:before="120"/>
        <w:jc w:val="both"/>
        <w:rPr>
          <w:rFonts w:cs="Times New Roman"/>
          <w:szCs w:val="24"/>
        </w:rPr>
      </w:pPr>
      <w:r w:rsidRPr="006C034B">
        <w:rPr>
          <w:rFonts w:cs="Times New Roman"/>
          <w:szCs w:val="24"/>
        </w:rPr>
        <w:t xml:space="preserve">Celem </w:t>
      </w:r>
      <w:r w:rsidR="00B82662" w:rsidRPr="006C034B">
        <w:rPr>
          <w:rFonts w:cs="Times New Roman"/>
          <w:szCs w:val="24"/>
        </w:rPr>
        <w:t>projektowanej ustawy</w:t>
      </w:r>
      <w:r w:rsidR="004378BA" w:rsidRPr="006C034B">
        <w:rPr>
          <w:rFonts w:cs="Times New Roman"/>
          <w:szCs w:val="24"/>
        </w:rPr>
        <w:t xml:space="preserve"> o zmianie ustawy o rynku mocy</w:t>
      </w:r>
      <w:r w:rsidR="00B82662" w:rsidRPr="006C034B">
        <w:rPr>
          <w:rFonts w:cs="Times New Roman"/>
          <w:szCs w:val="24"/>
        </w:rPr>
        <w:t xml:space="preserve"> </w:t>
      </w:r>
      <w:r w:rsidR="00715112" w:rsidRPr="006C034B">
        <w:rPr>
          <w:rFonts w:cs="Times New Roman"/>
          <w:szCs w:val="24"/>
        </w:rPr>
        <w:t>jest wprowadzenie aukcji uzupełniających na rynku mocy</w:t>
      </w:r>
      <w:r w:rsidR="004378BA" w:rsidRPr="006C034B">
        <w:rPr>
          <w:rFonts w:cs="Times New Roman"/>
          <w:szCs w:val="24"/>
        </w:rPr>
        <w:t xml:space="preserve"> w okresie od </w:t>
      </w:r>
      <w:r w:rsidR="00F93C9B" w:rsidRPr="006C034B">
        <w:rPr>
          <w:rFonts w:cs="Times New Roman"/>
          <w:szCs w:val="24"/>
        </w:rPr>
        <w:t xml:space="preserve">drugiej </w:t>
      </w:r>
      <w:r w:rsidR="004378BA" w:rsidRPr="006C034B">
        <w:rPr>
          <w:rFonts w:cs="Times New Roman"/>
          <w:szCs w:val="24"/>
        </w:rPr>
        <w:t>poł</w:t>
      </w:r>
      <w:r w:rsidR="00F93C9B" w:rsidRPr="006C034B">
        <w:rPr>
          <w:rFonts w:cs="Times New Roman"/>
          <w:szCs w:val="24"/>
        </w:rPr>
        <w:t>owy</w:t>
      </w:r>
      <w:r w:rsidR="004378BA" w:rsidRPr="006C034B">
        <w:rPr>
          <w:rFonts w:cs="Times New Roman"/>
          <w:szCs w:val="24"/>
        </w:rPr>
        <w:t xml:space="preserve"> 2025 r. do 2028 r</w:t>
      </w:r>
      <w:r w:rsidR="00715112" w:rsidRPr="006C034B">
        <w:rPr>
          <w:rFonts w:cs="Times New Roman"/>
          <w:szCs w:val="24"/>
        </w:rPr>
        <w:t xml:space="preserve">. W </w:t>
      </w:r>
      <w:r w:rsidR="0040093E" w:rsidRPr="006C034B">
        <w:rPr>
          <w:rFonts w:cs="Times New Roman"/>
          <w:szCs w:val="24"/>
        </w:rPr>
        <w:t>toku</w:t>
      </w:r>
      <w:r w:rsidR="00143821" w:rsidRPr="006C034B">
        <w:rPr>
          <w:rFonts w:cs="Times New Roman"/>
          <w:szCs w:val="24"/>
        </w:rPr>
        <w:t xml:space="preserve"> </w:t>
      </w:r>
      <w:r w:rsidR="00715112" w:rsidRPr="006C034B">
        <w:rPr>
          <w:rFonts w:cs="Times New Roman"/>
          <w:szCs w:val="24"/>
        </w:rPr>
        <w:t>aukcji</w:t>
      </w:r>
      <w:r w:rsidR="0040093E" w:rsidRPr="006C034B">
        <w:rPr>
          <w:rFonts w:cs="Times New Roman"/>
          <w:szCs w:val="24"/>
        </w:rPr>
        <w:t xml:space="preserve"> </w:t>
      </w:r>
      <w:r w:rsidR="00715112" w:rsidRPr="006C034B">
        <w:rPr>
          <w:rFonts w:cs="Times New Roman"/>
          <w:szCs w:val="24"/>
        </w:rPr>
        <w:t xml:space="preserve">uzupełniających </w:t>
      </w:r>
      <w:r w:rsidR="00F93C9B" w:rsidRPr="006C034B">
        <w:rPr>
          <w:rFonts w:cs="Times New Roman"/>
          <w:szCs w:val="24"/>
        </w:rPr>
        <w:t xml:space="preserve">będzie </w:t>
      </w:r>
      <w:r w:rsidR="00715112" w:rsidRPr="006C034B">
        <w:rPr>
          <w:rFonts w:cs="Times New Roman"/>
          <w:szCs w:val="24"/>
        </w:rPr>
        <w:t xml:space="preserve">nabywana dodatkowa moc na potrzeby zapewnienia bezpieczeństwa energetycznego w ramach mechanizmu rynku mocy. </w:t>
      </w:r>
    </w:p>
    <w:p w14:paraId="7CC2FB7C" w14:textId="502CDC24" w:rsidR="00715112" w:rsidRPr="006C034B" w:rsidRDefault="00715112" w:rsidP="0065692C">
      <w:pPr>
        <w:spacing w:before="120"/>
        <w:jc w:val="both"/>
        <w:rPr>
          <w:rFonts w:cs="Times New Roman"/>
          <w:color w:val="000000"/>
          <w:szCs w:val="24"/>
        </w:rPr>
      </w:pPr>
      <w:r w:rsidRPr="006C034B">
        <w:rPr>
          <w:rFonts w:cs="Times New Roman"/>
          <w:szCs w:val="24"/>
        </w:rPr>
        <w:t xml:space="preserve">Mechanizm rynku mocy, wprowadzony </w:t>
      </w:r>
      <w:r w:rsidRPr="006C034B">
        <w:rPr>
          <w:rFonts w:cs="Times New Roman"/>
          <w:color w:val="000000"/>
          <w:szCs w:val="24"/>
        </w:rPr>
        <w:t>ustawą z dnia 8 grudnia 2017 r. o rynku mocy (Dz. U. z 2023 r. poz. 2131</w:t>
      </w:r>
      <w:r w:rsidR="00B070D9" w:rsidRPr="006C034B">
        <w:rPr>
          <w:rFonts w:cs="Times New Roman"/>
          <w:color w:val="000000"/>
          <w:szCs w:val="24"/>
        </w:rPr>
        <w:t>)</w:t>
      </w:r>
      <w:r w:rsidR="00960F64" w:rsidRPr="006C034B">
        <w:rPr>
          <w:rFonts w:cs="Times New Roman"/>
          <w:color w:val="000000"/>
          <w:szCs w:val="24"/>
        </w:rPr>
        <w:t xml:space="preserve">, </w:t>
      </w:r>
      <w:r w:rsidR="00B070D9" w:rsidRPr="006C034B">
        <w:rPr>
          <w:rFonts w:cs="Times New Roman"/>
          <w:color w:val="000000"/>
          <w:szCs w:val="24"/>
        </w:rPr>
        <w:t xml:space="preserve">zwaną </w:t>
      </w:r>
      <w:r w:rsidR="00960F64" w:rsidRPr="006C034B">
        <w:rPr>
          <w:rFonts w:cs="Times New Roman"/>
          <w:color w:val="000000"/>
          <w:szCs w:val="24"/>
        </w:rPr>
        <w:t>dalej „</w:t>
      </w:r>
      <w:r w:rsidR="00F93C9B" w:rsidRPr="006C034B">
        <w:rPr>
          <w:rFonts w:cs="Times New Roman"/>
          <w:color w:val="000000"/>
          <w:szCs w:val="24"/>
        </w:rPr>
        <w:t xml:space="preserve">ustawą </w:t>
      </w:r>
      <w:r w:rsidR="00960F64" w:rsidRPr="006C034B">
        <w:rPr>
          <w:rFonts w:cs="Times New Roman"/>
          <w:color w:val="000000"/>
          <w:szCs w:val="24"/>
        </w:rPr>
        <w:t>o rynku mocy”</w:t>
      </w:r>
      <w:r w:rsidR="00B070D9" w:rsidRPr="006C034B">
        <w:rPr>
          <w:rFonts w:cs="Times New Roman"/>
          <w:color w:val="000000"/>
          <w:szCs w:val="24"/>
        </w:rPr>
        <w:t>,</w:t>
      </w:r>
      <w:r w:rsidRPr="006C034B">
        <w:rPr>
          <w:rFonts w:cs="Times New Roman"/>
          <w:color w:val="000000"/>
          <w:szCs w:val="24"/>
        </w:rPr>
        <w:t xml:space="preserve"> zapewnia możliwość wynagradzania uczestników rynku (</w:t>
      </w:r>
      <w:r w:rsidR="0040093E" w:rsidRPr="006C034B">
        <w:rPr>
          <w:rFonts w:cs="Times New Roman"/>
          <w:color w:val="000000"/>
          <w:szCs w:val="24"/>
        </w:rPr>
        <w:t xml:space="preserve">jednostki </w:t>
      </w:r>
      <w:r w:rsidR="00143821" w:rsidRPr="006C034B">
        <w:rPr>
          <w:rFonts w:cs="Times New Roman"/>
          <w:color w:val="000000"/>
          <w:szCs w:val="24"/>
        </w:rPr>
        <w:t>wytwórcz</w:t>
      </w:r>
      <w:r w:rsidR="005F35F0" w:rsidRPr="006C034B">
        <w:rPr>
          <w:rFonts w:cs="Times New Roman"/>
          <w:color w:val="000000"/>
          <w:szCs w:val="24"/>
        </w:rPr>
        <w:t>e</w:t>
      </w:r>
      <w:r w:rsidR="0040093E" w:rsidRPr="006C034B">
        <w:rPr>
          <w:rFonts w:cs="Times New Roman"/>
          <w:color w:val="000000"/>
          <w:szCs w:val="24"/>
        </w:rPr>
        <w:t>,</w:t>
      </w:r>
      <w:r w:rsidRPr="006C034B">
        <w:rPr>
          <w:rFonts w:cs="Times New Roman"/>
          <w:color w:val="000000"/>
          <w:szCs w:val="24"/>
        </w:rPr>
        <w:t xml:space="preserve"> odpowiedź odbioru (DSR), magazyny energii) za ich </w:t>
      </w:r>
      <w:r w:rsidR="0040093E" w:rsidRPr="006C034B">
        <w:rPr>
          <w:rFonts w:cs="Times New Roman"/>
          <w:color w:val="000000"/>
          <w:szCs w:val="24"/>
        </w:rPr>
        <w:t xml:space="preserve">pozostawanie w gotowości do dostarczania mocy </w:t>
      </w:r>
      <w:r w:rsidRPr="006C034B">
        <w:rPr>
          <w:rFonts w:cs="Times New Roman"/>
          <w:color w:val="000000"/>
          <w:szCs w:val="24"/>
        </w:rPr>
        <w:t>i zapewnienie dostaw energii elektrycznej do systemu elektroenergetycznego w przypadku przewidywanych problemów z pokryciem zapotrzebowania na moc w systemie w czasie okresu przywołania na rynku mocy.</w:t>
      </w:r>
    </w:p>
    <w:p w14:paraId="4894373A" w14:textId="7584546A" w:rsidR="00715112" w:rsidRPr="006C034B" w:rsidRDefault="00715112" w:rsidP="0065692C">
      <w:pPr>
        <w:spacing w:before="120"/>
        <w:jc w:val="both"/>
        <w:rPr>
          <w:rFonts w:cs="Times New Roman"/>
          <w:color w:val="000000"/>
          <w:szCs w:val="24"/>
        </w:rPr>
      </w:pPr>
      <w:r w:rsidRPr="006C034B">
        <w:rPr>
          <w:rFonts w:cs="Times New Roman"/>
          <w:color w:val="000000"/>
          <w:szCs w:val="24"/>
        </w:rPr>
        <w:t xml:space="preserve">Rynek mocy został zmodyfikowany przepisami </w:t>
      </w:r>
      <w:r w:rsidR="0050705E" w:rsidRPr="006C034B">
        <w:rPr>
          <w:rFonts w:cs="Times New Roman"/>
          <w:color w:val="000000"/>
          <w:szCs w:val="24"/>
        </w:rPr>
        <w:t xml:space="preserve">rozporządzenia </w:t>
      </w:r>
      <w:r w:rsidRPr="006C034B">
        <w:rPr>
          <w:rFonts w:cs="Times New Roman"/>
          <w:color w:val="000000"/>
          <w:szCs w:val="24"/>
        </w:rPr>
        <w:t>Parlamentu Europejskiego i</w:t>
      </w:r>
      <w:r w:rsidR="00796F5E" w:rsidRPr="006C034B">
        <w:rPr>
          <w:rFonts w:cs="Times New Roman"/>
          <w:color w:val="000000"/>
          <w:szCs w:val="24"/>
        </w:rPr>
        <w:t> </w:t>
      </w:r>
      <w:r w:rsidRPr="006C034B">
        <w:rPr>
          <w:rFonts w:cs="Times New Roman"/>
          <w:color w:val="000000"/>
          <w:szCs w:val="24"/>
        </w:rPr>
        <w:t>Rady (UE) 2019/943 w sprawie rynku wewnętrznego energii elektrycznej (Dz. Urz. UE L 158/54 z 14.</w:t>
      </w:r>
      <w:r w:rsidR="00D50229" w:rsidRPr="006C034B">
        <w:rPr>
          <w:rFonts w:cs="Times New Roman"/>
          <w:color w:val="000000"/>
          <w:szCs w:val="24"/>
        </w:rPr>
        <w:t>0</w:t>
      </w:r>
      <w:r w:rsidRPr="006C034B">
        <w:rPr>
          <w:rFonts w:cs="Times New Roman"/>
          <w:color w:val="000000"/>
          <w:szCs w:val="24"/>
        </w:rPr>
        <w:t>6.2019</w:t>
      </w:r>
      <w:r w:rsidR="00B070D9" w:rsidRPr="006C034B">
        <w:rPr>
          <w:rFonts w:cs="Times New Roman"/>
          <w:color w:val="000000"/>
          <w:szCs w:val="24"/>
        </w:rPr>
        <w:t>)</w:t>
      </w:r>
      <w:r w:rsidRPr="006C034B">
        <w:rPr>
          <w:rFonts w:cs="Times New Roman"/>
          <w:color w:val="000000"/>
          <w:szCs w:val="24"/>
        </w:rPr>
        <w:t xml:space="preserve">, </w:t>
      </w:r>
      <w:r w:rsidR="00F93C9B" w:rsidRPr="006C034B">
        <w:rPr>
          <w:rFonts w:cs="Times New Roman"/>
          <w:color w:val="000000"/>
          <w:szCs w:val="24"/>
        </w:rPr>
        <w:t xml:space="preserve">zwanego </w:t>
      </w:r>
      <w:r w:rsidRPr="006C034B">
        <w:rPr>
          <w:rFonts w:cs="Times New Roman"/>
          <w:color w:val="000000"/>
          <w:szCs w:val="24"/>
        </w:rPr>
        <w:t>dalej „rozporządzenie</w:t>
      </w:r>
      <w:r w:rsidR="00F93C9B" w:rsidRPr="006C034B">
        <w:rPr>
          <w:rFonts w:cs="Times New Roman"/>
          <w:color w:val="000000"/>
          <w:szCs w:val="24"/>
        </w:rPr>
        <w:t>m</w:t>
      </w:r>
      <w:r w:rsidRPr="006C034B">
        <w:rPr>
          <w:rFonts w:cs="Times New Roman"/>
          <w:color w:val="000000"/>
          <w:szCs w:val="24"/>
        </w:rPr>
        <w:t xml:space="preserve"> </w:t>
      </w:r>
      <w:r w:rsidR="00F93C9B" w:rsidRPr="006C034B">
        <w:rPr>
          <w:rFonts w:cs="Times New Roman"/>
          <w:color w:val="000000"/>
          <w:szCs w:val="24"/>
        </w:rPr>
        <w:t>rynkowym</w:t>
      </w:r>
      <w:r w:rsidRPr="006C034B">
        <w:rPr>
          <w:rFonts w:cs="Times New Roman"/>
          <w:color w:val="000000"/>
          <w:szCs w:val="24"/>
        </w:rPr>
        <w:t xml:space="preserve">”, </w:t>
      </w:r>
      <w:r w:rsidR="00F93C9B" w:rsidRPr="006C034B">
        <w:rPr>
          <w:rFonts w:cs="Times New Roman"/>
          <w:color w:val="000000"/>
          <w:szCs w:val="24"/>
        </w:rPr>
        <w:t>którego</w:t>
      </w:r>
      <w:r w:rsidRPr="006C034B">
        <w:rPr>
          <w:rFonts w:cs="Times New Roman"/>
          <w:color w:val="000000"/>
          <w:szCs w:val="24"/>
        </w:rPr>
        <w:t xml:space="preserve"> art. 22 ust. 4 </w:t>
      </w:r>
      <w:r w:rsidR="00F93C9B" w:rsidRPr="006C034B">
        <w:rPr>
          <w:rFonts w:cs="Times New Roman"/>
          <w:color w:val="000000"/>
          <w:szCs w:val="24"/>
        </w:rPr>
        <w:t xml:space="preserve">wprowadza </w:t>
      </w:r>
      <w:r w:rsidRPr="006C034B">
        <w:rPr>
          <w:rFonts w:cs="Times New Roman"/>
          <w:color w:val="000000"/>
          <w:szCs w:val="24"/>
        </w:rPr>
        <w:t>wymogi dotyczące limitów emisji CO</w:t>
      </w:r>
      <w:r w:rsidRPr="006C034B">
        <w:rPr>
          <w:rFonts w:cs="Times New Roman"/>
          <w:color w:val="000000"/>
          <w:szCs w:val="24"/>
          <w:vertAlign w:val="subscript"/>
        </w:rPr>
        <w:t>2</w:t>
      </w:r>
      <w:r w:rsidRPr="006C034B">
        <w:rPr>
          <w:rFonts w:cs="Times New Roman"/>
          <w:color w:val="000000"/>
          <w:szCs w:val="24"/>
        </w:rPr>
        <w:t xml:space="preserve"> dla mechanizmów zdolności wytwórczych. </w:t>
      </w:r>
      <w:r w:rsidR="00BC6538" w:rsidRPr="006C034B">
        <w:rPr>
          <w:rFonts w:cs="Times New Roman"/>
          <w:color w:val="000000"/>
          <w:szCs w:val="24"/>
        </w:rPr>
        <w:t xml:space="preserve">Wobec powyższego </w:t>
      </w:r>
      <w:r w:rsidR="00F93C9B" w:rsidRPr="006C034B">
        <w:rPr>
          <w:rFonts w:cs="Times New Roman"/>
          <w:color w:val="000000"/>
          <w:szCs w:val="24"/>
        </w:rPr>
        <w:t xml:space="preserve">było </w:t>
      </w:r>
      <w:r w:rsidR="00BC6538" w:rsidRPr="006C034B">
        <w:rPr>
          <w:rFonts w:cs="Times New Roman"/>
          <w:color w:val="000000"/>
          <w:szCs w:val="24"/>
        </w:rPr>
        <w:t>konieczne</w:t>
      </w:r>
      <w:r w:rsidRPr="006C034B">
        <w:rPr>
          <w:rFonts w:cs="Times New Roman"/>
          <w:color w:val="000000"/>
          <w:szCs w:val="24"/>
        </w:rPr>
        <w:t xml:space="preserve"> </w:t>
      </w:r>
      <w:r w:rsidR="00BC6538" w:rsidRPr="006C034B">
        <w:rPr>
          <w:rFonts w:cs="Times New Roman"/>
          <w:color w:val="000000"/>
          <w:szCs w:val="24"/>
        </w:rPr>
        <w:t xml:space="preserve">dostosowanie </w:t>
      </w:r>
      <w:r w:rsidRPr="006C034B">
        <w:rPr>
          <w:rFonts w:cs="Times New Roman"/>
          <w:color w:val="000000"/>
          <w:szCs w:val="24"/>
        </w:rPr>
        <w:t xml:space="preserve">polskiego rynku mocy do </w:t>
      </w:r>
      <w:r w:rsidR="005F35F0" w:rsidRPr="006C034B">
        <w:rPr>
          <w:rFonts w:cs="Times New Roman"/>
          <w:color w:val="000000"/>
          <w:szCs w:val="24"/>
        </w:rPr>
        <w:t xml:space="preserve">wprowadzonych </w:t>
      </w:r>
      <w:r w:rsidRPr="006C034B">
        <w:rPr>
          <w:rFonts w:cs="Times New Roman"/>
          <w:color w:val="000000"/>
          <w:szCs w:val="24"/>
        </w:rPr>
        <w:t>limitów emisji CO</w:t>
      </w:r>
      <w:r w:rsidRPr="006C034B">
        <w:rPr>
          <w:rFonts w:cs="Times New Roman"/>
          <w:color w:val="000000"/>
          <w:szCs w:val="24"/>
          <w:vertAlign w:val="subscript"/>
        </w:rPr>
        <w:t>2</w:t>
      </w:r>
      <w:r w:rsidR="00BC6538" w:rsidRPr="006C034B">
        <w:rPr>
          <w:rFonts w:cs="Times New Roman"/>
          <w:color w:val="000000"/>
          <w:szCs w:val="24"/>
        </w:rPr>
        <w:t>, w konsekwencji czego</w:t>
      </w:r>
      <w:r w:rsidRPr="006C034B">
        <w:rPr>
          <w:rFonts w:cs="Times New Roman"/>
          <w:color w:val="000000"/>
          <w:szCs w:val="24"/>
        </w:rPr>
        <w:t xml:space="preserve"> od </w:t>
      </w:r>
      <w:r w:rsidR="00F93C9B" w:rsidRPr="006C034B">
        <w:rPr>
          <w:rFonts w:cs="Times New Roman"/>
          <w:color w:val="000000"/>
          <w:szCs w:val="24"/>
        </w:rPr>
        <w:t xml:space="preserve">dnia </w:t>
      </w:r>
      <w:r w:rsidRPr="006C034B">
        <w:rPr>
          <w:rFonts w:cs="Times New Roman"/>
          <w:color w:val="000000"/>
          <w:szCs w:val="24"/>
        </w:rPr>
        <w:t>1</w:t>
      </w:r>
      <w:r w:rsidR="00F93C9B" w:rsidRPr="006C034B">
        <w:rPr>
          <w:rFonts w:cs="Times New Roman"/>
          <w:color w:val="000000"/>
          <w:szCs w:val="24"/>
        </w:rPr>
        <w:t xml:space="preserve"> lipca </w:t>
      </w:r>
      <w:r w:rsidRPr="006C034B">
        <w:rPr>
          <w:rFonts w:cs="Times New Roman"/>
          <w:color w:val="000000"/>
          <w:szCs w:val="24"/>
        </w:rPr>
        <w:t>2025 r. jednostki wytwórcze emitujące powyżej 550 kg CO</w:t>
      </w:r>
      <w:r w:rsidRPr="006C034B">
        <w:rPr>
          <w:rFonts w:cs="Times New Roman"/>
          <w:color w:val="000000"/>
          <w:szCs w:val="24"/>
          <w:vertAlign w:val="subscript"/>
        </w:rPr>
        <w:t>2</w:t>
      </w:r>
      <w:r w:rsidRPr="006C034B">
        <w:rPr>
          <w:rFonts w:cs="Times New Roman"/>
          <w:color w:val="000000"/>
          <w:szCs w:val="24"/>
        </w:rPr>
        <w:t>/MWh „nie będą posiadały zobowiązań ani nie będą otrzymywać płatności lub zobowiązań dotyczących przyszłych płatności w ramach mechanizmu zdolności wytwórczych” (art. 22 ust. 4 lit. b</w:t>
      </w:r>
      <w:r w:rsidR="004378BA" w:rsidRPr="006C034B">
        <w:rPr>
          <w:rFonts w:cs="Times New Roman"/>
          <w:color w:val="000000"/>
          <w:szCs w:val="24"/>
        </w:rPr>
        <w:t xml:space="preserve"> rozporządzenia rynkowego</w:t>
      </w:r>
      <w:r w:rsidRPr="006C034B">
        <w:rPr>
          <w:rFonts w:cs="Times New Roman"/>
          <w:color w:val="000000"/>
          <w:szCs w:val="24"/>
        </w:rPr>
        <w:t>).</w:t>
      </w:r>
    </w:p>
    <w:p w14:paraId="3D4C61E8" w14:textId="7E5919A9" w:rsidR="00715112" w:rsidRPr="006C034B" w:rsidRDefault="00715112" w:rsidP="0065692C">
      <w:pPr>
        <w:spacing w:before="120"/>
        <w:jc w:val="both"/>
        <w:rPr>
          <w:rFonts w:cs="Times New Roman"/>
          <w:color w:val="000000"/>
          <w:szCs w:val="24"/>
        </w:rPr>
      </w:pPr>
      <w:r w:rsidRPr="006C034B">
        <w:rPr>
          <w:rFonts w:cs="Times New Roman"/>
          <w:color w:val="000000"/>
          <w:szCs w:val="24"/>
        </w:rPr>
        <w:t>Wprowadzenie limitu emisji CO</w:t>
      </w:r>
      <w:r w:rsidRPr="006C034B">
        <w:rPr>
          <w:rFonts w:cs="Times New Roman"/>
          <w:color w:val="000000"/>
          <w:szCs w:val="24"/>
          <w:vertAlign w:val="subscript"/>
        </w:rPr>
        <w:t>2</w:t>
      </w:r>
      <w:r w:rsidRPr="006C034B">
        <w:rPr>
          <w:rFonts w:cs="Times New Roman"/>
          <w:color w:val="000000"/>
          <w:szCs w:val="24"/>
        </w:rPr>
        <w:t xml:space="preserve"> na rynku mocy ograniczyło znacząco zakres podmiotów, które konkurują w ramach aukcji rynku mocy, co może prowadzić do braku pokrycia całego zapotrzebowania na moc, jakie jest niezbędne do zapewnienia bezpieczeństwa dostaw. Aby rozwiązać ten problem, projektodawca zaproponował wprowadzenie dodatkowej aukcji uzupełniającej, w ramach której </w:t>
      </w:r>
      <w:r w:rsidR="00F93C9B" w:rsidRPr="006C034B">
        <w:rPr>
          <w:rFonts w:cs="Times New Roman"/>
          <w:color w:val="000000"/>
          <w:szCs w:val="24"/>
        </w:rPr>
        <w:t xml:space="preserve">byłby </w:t>
      </w:r>
      <w:r w:rsidRPr="006C034B">
        <w:rPr>
          <w:rFonts w:cs="Times New Roman"/>
          <w:color w:val="000000"/>
          <w:szCs w:val="24"/>
        </w:rPr>
        <w:t>możliwy udział jednostek wytwórczych emitujących powyżej 550 kg CO</w:t>
      </w:r>
      <w:r w:rsidRPr="006C034B">
        <w:rPr>
          <w:rFonts w:cs="Times New Roman"/>
          <w:color w:val="000000"/>
          <w:szCs w:val="24"/>
          <w:vertAlign w:val="subscript"/>
        </w:rPr>
        <w:t>2</w:t>
      </w:r>
      <w:r w:rsidRPr="006C034B">
        <w:rPr>
          <w:rFonts w:cs="Times New Roman"/>
          <w:color w:val="000000"/>
          <w:szCs w:val="24"/>
        </w:rPr>
        <w:t>/MWh i ich konkurowanie z pozostałymi podmiotami, które spełniają limit emisji 550 kg CO</w:t>
      </w:r>
      <w:r w:rsidRPr="006C034B">
        <w:rPr>
          <w:rFonts w:cs="Times New Roman"/>
          <w:color w:val="000000"/>
          <w:szCs w:val="24"/>
          <w:vertAlign w:val="subscript"/>
        </w:rPr>
        <w:t>2</w:t>
      </w:r>
      <w:r w:rsidRPr="006C034B">
        <w:rPr>
          <w:rFonts w:cs="Times New Roman"/>
          <w:color w:val="000000"/>
          <w:szCs w:val="24"/>
        </w:rPr>
        <w:t>/MWh (jednostki wytwórcze, magazyny energii, DSR). Taką możliwość – w ograniczonym czasie i</w:t>
      </w:r>
      <w:r w:rsidR="00146DD9" w:rsidRPr="006C034B">
        <w:rPr>
          <w:rFonts w:cs="Times New Roman"/>
          <w:color w:val="000000"/>
          <w:szCs w:val="24"/>
        </w:rPr>
        <w:t> </w:t>
      </w:r>
      <w:r w:rsidRPr="006C034B">
        <w:rPr>
          <w:rFonts w:cs="Times New Roman"/>
          <w:color w:val="000000"/>
          <w:szCs w:val="24"/>
        </w:rPr>
        <w:t xml:space="preserve">pod rygorystycznymi warunkami umożliwia </w:t>
      </w:r>
      <w:r w:rsidR="00B070D9" w:rsidRPr="006C034B">
        <w:rPr>
          <w:rFonts w:cs="Times New Roman"/>
          <w:szCs w:val="24"/>
        </w:rPr>
        <w:t xml:space="preserve">rozporządzenie </w:t>
      </w:r>
      <w:r w:rsidRPr="006C034B">
        <w:rPr>
          <w:rFonts w:cs="Times New Roman"/>
          <w:szCs w:val="24"/>
        </w:rPr>
        <w:t>Parlamentu Europejskiego i</w:t>
      </w:r>
      <w:r w:rsidR="00146DD9" w:rsidRPr="006C034B">
        <w:rPr>
          <w:rFonts w:cs="Times New Roman"/>
          <w:szCs w:val="24"/>
        </w:rPr>
        <w:t> </w:t>
      </w:r>
      <w:r w:rsidRPr="006C034B">
        <w:rPr>
          <w:rFonts w:cs="Times New Roman"/>
          <w:szCs w:val="24"/>
        </w:rPr>
        <w:t xml:space="preserve">Rady (UE) 2024/1747 z dnia 13 czerwca 2024 r. zmieniające rozporządzenia (UE) 2019/942 i (UE) 2019/943 w odniesieniu do poprawy struktury unijnego rynku energii elektrycznej </w:t>
      </w:r>
      <w:r w:rsidRPr="006C034B">
        <w:rPr>
          <w:rFonts w:cs="Times New Roman"/>
          <w:color w:val="000000"/>
          <w:szCs w:val="24"/>
        </w:rPr>
        <w:t>(Dz. Urz. UE L</w:t>
      </w:r>
      <w:r w:rsidR="00F93C9B" w:rsidRPr="006C034B">
        <w:rPr>
          <w:rFonts w:cs="Times New Roman"/>
          <w:color w:val="000000"/>
          <w:szCs w:val="24"/>
        </w:rPr>
        <w:t xml:space="preserve"> 2024/1747</w:t>
      </w:r>
      <w:r w:rsidRPr="006C034B">
        <w:rPr>
          <w:rFonts w:cs="Times New Roman"/>
          <w:color w:val="000000"/>
          <w:szCs w:val="24"/>
        </w:rPr>
        <w:t xml:space="preserve"> z 26.</w:t>
      </w:r>
      <w:r w:rsidR="00D50229" w:rsidRPr="006C034B">
        <w:rPr>
          <w:rFonts w:cs="Times New Roman"/>
          <w:color w:val="000000"/>
          <w:szCs w:val="24"/>
        </w:rPr>
        <w:t>0</w:t>
      </w:r>
      <w:r w:rsidRPr="006C034B">
        <w:rPr>
          <w:rFonts w:cs="Times New Roman"/>
          <w:color w:val="000000"/>
          <w:szCs w:val="24"/>
        </w:rPr>
        <w:t>6.2024</w:t>
      </w:r>
      <w:r w:rsidR="00B070D9" w:rsidRPr="006C034B">
        <w:rPr>
          <w:rFonts w:cs="Times New Roman"/>
          <w:color w:val="000000"/>
          <w:szCs w:val="24"/>
        </w:rPr>
        <w:t>)</w:t>
      </w:r>
      <w:r w:rsidRPr="006C034B">
        <w:rPr>
          <w:rFonts w:cs="Times New Roman"/>
          <w:color w:val="000000"/>
          <w:szCs w:val="24"/>
        </w:rPr>
        <w:t xml:space="preserve">, </w:t>
      </w:r>
      <w:r w:rsidR="00F93C9B" w:rsidRPr="006C034B">
        <w:rPr>
          <w:rFonts w:cs="Times New Roman"/>
          <w:color w:val="000000"/>
          <w:szCs w:val="24"/>
        </w:rPr>
        <w:t xml:space="preserve">zwane </w:t>
      </w:r>
      <w:r w:rsidRPr="006C034B">
        <w:rPr>
          <w:rFonts w:cs="Times New Roman"/>
          <w:color w:val="000000"/>
          <w:szCs w:val="24"/>
        </w:rPr>
        <w:t xml:space="preserve">dalej </w:t>
      </w:r>
      <w:r w:rsidRPr="006C034B">
        <w:rPr>
          <w:rFonts w:cs="Times New Roman"/>
          <w:color w:val="000000"/>
          <w:szCs w:val="24"/>
        </w:rPr>
        <w:lastRenderedPageBreak/>
        <w:t>„rozporządzenie</w:t>
      </w:r>
      <w:r w:rsidR="00F93C9B" w:rsidRPr="006C034B">
        <w:rPr>
          <w:rFonts w:cs="Times New Roman"/>
          <w:color w:val="000000"/>
          <w:szCs w:val="24"/>
        </w:rPr>
        <w:t>m</w:t>
      </w:r>
      <w:r w:rsidRPr="006C034B">
        <w:rPr>
          <w:rFonts w:cs="Times New Roman"/>
          <w:color w:val="000000"/>
          <w:szCs w:val="24"/>
        </w:rPr>
        <w:t xml:space="preserve"> EMD”.</w:t>
      </w:r>
    </w:p>
    <w:p w14:paraId="6EC8A02C" w14:textId="1123087D" w:rsidR="000E335D" w:rsidRPr="006C034B" w:rsidRDefault="000E335D" w:rsidP="0065692C">
      <w:pPr>
        <w:spacing w:before="120"/>
        <w:jc w:val="both"/>
        <w:rPr>
          <w:rFonts w:cs="Times New Roman"/>
          <w:b/>
          <w:bCs/>
          <w:szCs w:val="24"/>
        </w:rPr>
      </w:pPr>
      <w:r w:rsidRPr="006C034B">
        <w:rPr>
          <w:rFonts w:cs="Times New Roman"/>
          <w:b/>
          <w:bCs/>
          <w:szCs w:val="24"/>
        </w:rPr>
        <w:t xml:space="preserve">2. Opis najważniejszych rozwiązań projektu </w:t>
      </w:r>
      <w:r w:rsidR="00146DD9" w:rsidRPr="006C034B">
        <w:rPr>
          <w:rFonts w:cs="Times New Roman"/>
          <w:b/>
          <w:bCs/>
          <w:szCs w:val="24"/>
        </w:rPr>
        <w:t>ustawy</w:t>
      </w:r>
    </w:p>
    <w:p w14:paraId="0AB63773" w14:textId="0413DCEB" w:rsidR="00B22A2D" w:rsidRPr="006C034B" w:rsidRDefault="00B22A2D" w:rsidP="0065692C">
      <w:pPr>
        <w:spacing w:before="120"/>
        <w:jc w:val="both"/>
        <w:rPr>
          <w:rFonts w:cs="Times New Roman"/>
          <w:color w:val="000000"/>
          <w:szCs w:val="24"/>
        </w:rPr>
      </w:pPr>
      <w:r w:rsidRPr="006C034B">
        <w:rPr>
          <w:rFonts w:cs="Times New Roman"/>
          <w:color w:val="000000"/>
          <w:szCs w:val="24"/>
        </w:rPr>
        <w:t>W ramach wdrożenia derogacji przewidzianej przepisami rozporządzenia EMD projektodawca przewidział konieczność zmiany ustawy o rynku mocy przez wprowadzenie dodatkowego proces</w:t>
      </w:r>
      <w:r w:rsidR="00B070D9" w:rsidRPr="006C034B">
        <w:rPr>
          <w:rFonts w:cs="Times New Roman"/>
          <w:color w:val="000000"/>
          <w:szCs w:val="24"/>
        </w:rPr>
        <w:t>u</w:t>
      </w:r>
      <w:r w:rsidRPr="006C034B">
        <w:rPr>
          <w:rFonts w:cs="Times New Roman"/>
          <w:color w:val="000000"/>
          <w:szCs w:val="24"/>
        </w:rPr>
        <w:t xml:space="preserve"> przetargowego, w którym jednostki wytwórcze, które rozpoczęły produkcję komercyjną przed dniem 4 lipca 2019 r., emitujące więcej niż 550 g CO</w:t>
      </w:r>
      <w:r w:rsidRPr="0065692C">
        <w:rPr>
          <w:rFonts w:cs="Times New Roman"/>
          <w:color w:val="000000"/>
          <w:szCs w:val="24"/>
          <w:vertAlign w:val="subscript"/>
        </w:rPr>
        <w:t>2</w:t>
      </w:r>
      <w:r w:rsidRPr="006C034B">
        <w:rPr>
          <w:rFonts w:cs="Times New Roman"/>
          <w:color w:val="000000"/>
          <w:szCs w:val="24"/>
        </w:rPr>
        <w:t xml:space="preserve"> pochodzącego z paliw kopalnych na kWh energii elektrycznej, będą mogły</w:t>
      </w:r>
      <w:r w:rsidR="00B070D9" w:rsidRPr="006C034B">
        <w:rPr>
          <w:rFonts w:cs="Times New Roman"/>
          <w:color w:val="000000"/>
          <w:szCs w:val="24"/>
        </w:rPr>
        <w:t xml:space="preserve">, </w:t>
      </w:r>
      <w:r w:rsidRPr="006C034B">
        <w:rPr>
          <w:rFonts w:cs="Times New Roman"/>
          <w:color w:val="000000"/>
          <w:szCs w:val="24"/>
        </w:rPr>
        <w:t>z zastrzeżeniem zgodności z art. 107 i </w:t>
      </w:r>
      <w:r w:rsidR="006C034B">
        <w:rPr>
          <w:rFonts w:cs="Times New Roman"/>
          <w:color w:val="000000"/>
          <w:szCs w:val="24"/>
        </w:rPr>
        <w:t xml:space="preserve">art. </w:t>
      </w:r>
      <w:r w:rsidRPr="006C034B">
        <w:rPr>
          <w:rFonts w:cs="Times New Roman"/>
          <w:color w:val="000000"/>
          <w:szCs w:val="24"/>
        </w:rPr>
        <w:t>108 TFUE</w:t>
      </w:r>
      <w:r w:rsidR="00B070D9" w:rsidRPr="006C034B">
        <w:rPr>
          <w:rFonts w:cs="Times New Roman"/>
          <w:color w:val="000000"/>
          <w:szCs w:val="24"/>
        </w:rPr>
        <w:t>,</w:t>
      </w:r>
      <w:r w:rsidRPr="006C034B">
        <w:rPr>
          <w:rFonts w:cs="Times New Roman"/>
          <w:color w:val="000000"/>
          <w:szCs w:val="24"/>
        </w:rPr>
        <w:t xml:space="preserve"> w drodze wyjątku posiadać zobowiązania lub otrzymywać płatności lub zobowiązania dotyczące przyszłych płatności po dniu 1 lipca 2025 r. w ramach mechanizmu zdolności wytwórczych zatwierdzonego przez Komisję</w:t>
      </w:r>
      <w:r w:rsidR="00F93C9B" w:rsidRPr="006C034B">
        <w:rPr>
          <w:rFonts w:cs="Times New Roman"/>
          <w:color w:val="000000"/>
          <w:szCs w:val="24"/>
        </w:rPr>
        <w:t xml:space="preserve"> Europejską</w:t>
      </w:r>
      <w:r w:rsidRPr="006C034B">
        <w:rPr>
          <w:rFonts w:cs="Times New Roman"/>
          <w:color w:val="000000"/>
          <w:szCs w:val="24"/>
        </w:rPr>
        <w:t xml:space="preserve"> przed dniem 4 lipca 2019 r. Konieczne jest spełnienie przez państwo członkowskie szeregu wymogów, których realizacja będzie oceniana przez K</w:t>
      </w:r>
      <w:r w:rsidR="00092658" w:rsidRPr="006C034B">
        <w:rPr>
          <w:rFonts w:cs="Times New Roman"/>
          <w:color w:val="000000"/>
          <w:szCs w:val="24"/>
        </w:rPr>
        <w:t xml:space="preserve">omisję </w:t>
      </w:r>
      <w:r w:rsidRPr="006C034B">
        <w:rPr>
          <w:rFonts w:cs="Times New Roman"/>
          <w:color w:val="000000"/>
          <w:szCs w:val="24"/>
        </w:rPr>
        <w:t>E</w:t>
      </w:r>
      <w:r w:rsidR="00092658" w:rsidRPr="006C034B">
        <w:rPr>
          <w:rFonts w:cs="Times New Roman"/>
          <w:color w:val="000000"/>
          <w:szCs w:val="24"/>
        </w:rPr>
        <w:t>uropejską</w:t>
      </w:r>
      <w:r w:rsidRPr="006C034B">
        <w:rPr>
          <w:rFonts w:cs="Times New Roman"/>
          <w:color w:val="000000"/>
          <w:szCs w:val="24"/>
        </w:rPr>
        <w:t>:</w:t>
      </w:r>
    </w:p>
    <w:p w14:paraId="64FD4191" w14:textId="5B68C42B" w:rsidR="00B22A2D" w:rsidRPr="006C034B" w:rsidRDefault="00B22A2D" w:rsidP="0065692C">
      <w:pPr>
        <w:pStyle w:val="Akapitzlist"/>
        <w:widowControl/>
        <w:numPr>
          <w:ilvl w:val="0"/>
          <w:numId w:val="9"/>
        </w:numPr>
        <w:autoSpaceDE/>
        <w:autoSpaceDN/>
        <w:adjustRightInd/>
        <w:spacing w:before="120"/>
        <w:ind w:left="284" w:hanging="284"/>
        <w:jc w:val="both"/>
        <w:rPr>
          <w:rFonts w:eastAsia="Times New Roman" w:cs="Times New Roman"/>
          <w:szCs w:val="24"/>
        </w:rPr>
      </w:pPr>
      <w:r w:rsidRPr="006C034B">
        <w:rPr>
          <w:rFonts w:eastAsia="Times New Roman" w:cs="Times New Roman"/>
          <w:szCs w:val="24"/>
        </w:rPr>
        <w:t>w dniu 4 lipca 2019 r. lub po tym dniu państwo członkowskie przeprowadziło konkurencyjny proces przetargowy zgodnie z art. 22 rozporządzenia rynkowego i na okres dostawy po dniu 1 lipca 2025 r., którego celem jest maksymalizacja udziału dostawców zdolności wytwórczych spełniających wymogi określone w art. 22 ust. 4 rozporządzenia rynkowego</w:t>
      </w:r>
      <w:r w:rsidR="00F93C9B" w:rsidRPr="006C034B">
        <w:rPr>
          <w:rFonts w:eastAsia="Times New Roman" w:cs="Times New Roman"/>
          <w:szCs w:val="24"/>
        </w:rPr>
        <w:t>,</w:t>
      </w:r>
    </w:p>
    <w:p w14:paraId="62C932A3" w14:textId="0927A0BB" w:rsidR="00B22A2D" w:rsidRPr="006C034B" w:rsidRDefault="00B22A2D" w:rsidP="0065692C">
      <w:pPr>
        <w:pStyle w:val="Akapitzlist"/>
        <w:widowControl/>
        <w:numPr>
          <w:ilvl w:val="0"/>
          <w:numId w:val="9"/>
        </w:numPr>
        <w:autoSpaceDE/>
        <w:autoSpaceDN/>
        <w:adjustRightInd/>
        <w:spacing w:before="120"/>
        <w:ind w:left="284" w:hanging="284"/>
        <w:jc w:val="both"/>
        <w:rPr>
          <w:rFonts w:eastAsia="Times New Roman" w:cs="Times New Roman"/>
          <w:szCs w:val="24"/>
        </w:rPr>
      </w:pPr>
      <w:r w:rsidRPr="006C034B">
        <w:rPr>
          <w:rFonts w:eastAsia="Times New Roman" w:cs="Times New Roman"/>
          <w:szCs w:val="24"/>
        </w:rPr>
        <w:t>ilość zdolności wytwórczych oferowanych w konkurencyjnym procesie przetargowym, o którym mowa w lit. a, nie jest wystarczająca, aby rozwiązać problem związany z wystarczalnością stwierdzony na podstawie art. 20 ust. 1 rozporządzenia rynkowego w okresie dostaw, którego dotyczy ten proces przetargowy</w:t>
      </w:r>
      <w:r w:rsidR="00F93C9B" w:rsidRPr="006C034B">
        <w:rPr>
          <w:rFonts w:eastAsia="Times New Roman" w:cs="Times New Roman"/>
          <w:szCs w:val="24"/>
        </w:rPr>
        <w:t>,</w:t>
      </w:r>
    </w:p>
    <w:p w14:paraId="0BB88801" w14:textId="7B11D6CA" w:rsidR="00B22A2D" w:rsidRPr="006C034B" w:rsidRDefault="00B22A2D" w:rsidP="0065692C">
      <w:pPr>
        <w:pStyle w:val="Akapitzlist"/>
        <w:widowControl/>
        <w:numPr>
          <w:ilvl w:val="0"/>
          <w:numId w:val="9"/>
        </w:numPr>
        <w:autoSpaceDE/>
        <w:autoSpaceDN/>
        <w:adjustRightInd/>
        <w:spacing w:before="120"/>
        <w:ind w:left="284" w:hanging="284"/>
        <w:jc w:val="both"/>
        <w:rPr>
          <w:rFonts w:eastAsia="Times New Roman" w:cs="Times New Roman"/>
          <w:vanish/>
          <w:szCs w:val="24"/>
        </w:rPr>
      </w:pPr>
      <w:r w:rsidRPr="006C034B">
        <w:rPr>
          <w:rFonts w:eastAsia="Times New Roman" w:cs="Times New Roman"/>
          <w:szCs w:val="24"/>
        </w:rPr>
        <w:t>zdolności wytwórcze emitujące więcej niż 550 g CO</w:t>
      </w:r>
      <w:r w:rsidRPr="006C034B">
        <w:rPr>
          <w:rFonts w:eastAsia="Times New Roman" w:cs="Times New Roman"/>
          <w:szCs w:val="24"/>
          <w:vertAlign w:val="subscript"/>
        </w:rPr>
        <w:t>2</w:t>
      </w:r>
      <w:r w:rsidRPr="006C034B">
        <w:rPr>
          <w:rFonts w:eastAsia="Times New Roman" w:cs="Times New Roman"/>
          <w:szCs w:val="24"/>
        </w:rPr>
        <w:t xml:space="preserve"> pochodzącego z paliw kopalnych na kWh energii elektrycznej posiadają zobowiązania lub otrzymują płatności lub zobowiązania dotyczące przyszłych płatności przez okres nieprzekraczający jednego roku i na okres dostawy, który nie przekracza okresu obowiązywania odstępstwa, a także zostają zamówione przez dodatkowy proces udzielania zamówień, który spełnia wszystkie wymogi przewidziane w art. 22 rozporządzenia rynkowego, wyłącznie na ilość zdolności niezbędną do zaradzenia problemowi związanemu z wystarczalnością, o którym mowa w literze powyżej.</w:t>
      </w:r>
    </w:p>
    <w:p w14:paraId="12DBC4EA" w14:textId="3B3A60BB" w:rsidR="000E335D" w:rsidRPr="006C034B" w:rsidRDefault="00B22A2D" w:rsidP="0065692C">
      <w:pPr>
        <w:widowControl/>
        <w:autoSpaceDE/>
        <w:autoSpaceDN/>
        <w:adjustRightInd/>
        <w:spacing w:before="120"/>
        <w:jc w:val="both"/>
        <w:rPr>
          <w:rFonts w:cs="Times New Roman"/>
          <w:color w:val="000000"/>
          <w:szCs w:val="24"/>
        </w:rPr>
      </w:pPr>
      <w:r w:rsidRPr="006C034B">
        <w:rPr>
          <w:rFonts w:eastAsia="Times New Roman" w:cs="Times New Roman"/>
          <w:szCs w:val="24"/>
        </w:rPr>
        <w:t xml:space="preserve">Przewidziane odstępstwo może być stosowane do dnia 31 grudnia 2028 r., jeżeli przez cały okres obowiązywania odstępstwa </w:t>
      </w:r>
      <w:r w:rsidR="00F93C9B" w:rsidRPr="006C034B">
        <w:rPr>
          <w:rFonts w:eastAsia="Times New Roman" w:cs="Times New Roman"/>
          <w:szCs w:val="24"/>
        </w:rPr>
        <w:t xml:space="preserve">są </w:t>
      </w:r>
      <w:r w:rsidRPr="006C034B">
        <w:rPr>
          <w:rFonts w:eastAsia="Times New Roman" w:cs="Times New Roman"/>
          <w:szCs w:val="24"/>
        </w:rPr>
        <w:t xml:space="preserve">spełnione warunki w nim określone. Stąd w </w:t>
      </w:r>
      <w:r w:rsidR="00960F64" w:rsidRPr="006C034B">
        <w:rPr>
          <w:rFonts w:cs="Times New Roman"/>
          <w:color w:val="000000"/>
          <w:szCs w:val="24"/>
        </w:rPr>
        <w:t xml:space="preserve">przedmiotowym projekcie ustawy o zmianie ustawy o rynku mocy wprowadzono szereg </w:t>
      </w:r>
      <w:r w:rsidR="00D10381" w:rsidRPr="006C034B">
        <w:rPr>
          <w:rFonts w:cs="Times New Roman"/>
          <w:color w:val="000000"/>
          <w:szCs w:val="24"/>
        </w:rPr>
        <w:lastRenderedPageBreak/>
        <w:t>dostosowań umożliwiających przeprowadzenie</w:t>
      </w:r>
      <w:r w:rsidR="00960F64" w:rsidRPr="006C034B">
        <w:rPr>
          <w:rFonts w:cs="Times New Roman"/>
          <w:color w:val="000000"/>
          <w:szCs w:val="24"/>
        </w:rPr>
        <w:t xml:space="preserve"> aukcj</w:t>
      </w:r>
      <w:r w:rsidR="00D10381" w:rsidRPr="006C034B">
        <w:rPr>
          <w:rFonts w:cs="Times New Roman"/>
          <w:color w:val="000000"/>
          <w:szCs w:val="24"/>
        </w:rPr>
        <w:t>i</w:t>
      </w:r>
      <w:r w:rsidR="00960F64" w:rsidRPr="006C034B">
        <w:rPr>
          <w:rFonts w:cs="Times New Roman"/>
          <w:color w:val="000000"/>
          <w:szCs w:val="24"/>
        </w:rPr>
        <w:t xml:space="preserve"> uzupełniając</w:t>
      </w:r>
      <w:r w:rsidR="00D10381" w:rsidRPr="006C034B">
        <w:rPr>
          <w:rFonts w:cs="Times New Roman"/>
          <w:color w:val="000000"/>
          <w:szCs w:val="24"/>
        </w:rPr>
        <w:t>ych</w:t>
      </w:r>
      <w:r w:rsidR="00960F64" w:rsidRPr="006C034B">
        <w:rPr>
          <w:rFonts w:cs="Times New Roman"/>
          <w:color w:val="000000"/>
          <w:szCs w:val="24"/>
        </w:rPr>
        <w:t>. Celem jest wpisanie aukcji uzupełniających w obecne procesy rynku mocy.</w:t>
      </w:r>
    </w:p>
    <w:p w14:paraId="40D279F5" w14:textId="3DCBB77C" w:rsidR="001A2F39" w:rsidRPr="0065692C" w:rsidRDefault="001A2F39" w:rsidP="0065692C">
      <w:pPr>
        <w:spacing w:before="120"/>
        <w:jc w:val="both"/>
        <w:rPr>
          <w:rFonts w:eastAsia="Calibri" w:cs="Times New Roman"/>
          <w:color w:val="000000"/>
          <w:spacing w:val="-2"/>
          <w:szCs w:val="24"/>
        </w:rPr>
      </w:pPr>
      <w:r w:rsidRPr="006C034B">
        <w:rPr>
          <w:rFonts w:cs="Times New Roman"/>
          <w:color w:val="000000"/>
          <w:spacing w:val="-2"/>
          <w:szCs w:val="24"/>
        </w:rPr>
        <w:t>Projektodawca proponuje wprowadzenie aukcji uzupełniających w ramach obecnego mechanizmu rynku mocy. Aukcje uzupełniające muszą spełniać rygorystyczne warunki określone w art. 2 pkt 16 rozporządzenia EMD (dodawany ust. 2c w art. 64 rozporządzenia rynkowego). W związku z tym projektodawca proponuje przeprowadzeni</w:t>
      </w:r>
      <w:r w:rsidR="00060FC1" w:rsidRPr="006C034B">
        <w:rPr>
          <w:rFonts w:cs="Times New Roman"/>
          <w:color w:val="000000"/>
          <w:spacing w:val="-2"/>
          <w:szCs w:val="24"/>
        </w:rPr>
        <w:t>e</w:t>
      </w:r>
      <w:r w:rsidRPr="006C034B">
        <w:rPr>
          <w:rFonts w:cs="Times New Roman"/>
          <w:color w:val="000000"/>
          <w:spacing w:val="-2"/>
          <w:szCs w:val="24"/>
        </w:rPr>
        <w:t xml:space="preserve"> czterech aukcji uzupełniających na następujące okresy dostaw: </w:t>
      </w:r>
      <w:r w:rsidR="00B540AF" w:rsidRPr="006C034B">
        <w:rPr>
          <w:rFonts w:cs="Times New Roman"/>
          <w:color w:val="000000"/>
          <w:spacing w:val="-2"/>
          <w:szCs w:val="24"/>
        </w:rPr>
        <w:t xml:space="preserve">druga </w:t>
      </w:r>
      <w:r w:rsidRPr="006C034B">
        <w:rPr>
          <w:rFonts w:cs="Times New Roman"/>
          <w:color w:val="000000"/>
          <w:spacing w:val="-2"/>
          <w:szCs w:val="24"/>
        </w:rPr>
        <w:t xml:space="preserve">połowa 2025 r. (aukcja półroczna) oraz na lata dostaw 2026, 2027 i 2028 (aukcje roczne). Aukcje uzupełniające zostaną przeprowadzone po zakończeniu aukcji dodatkowych rynku mocy, tzn. będą przeprowadzone z </w:t>
      </w:r>
      <w:r w:rsidR="00060FC1" w:rsidRPr="006C034B">
        <w:rPr>
          <w:rFonts w:cs="Times New Roman"/>
          <w:color w:val="000000"/>
          <w:spacing w:val="-2"/>
          <w:szCs w:val="24"/>
        </w:rPr>
        <w:t xml:space="preserve">krótszym niż rok </w:t>
      </w:r>
      <w:r w:rsidRPr="006C034B">
        <w:rPr>
          <w:rFonts w:cs="Times New Roman"/>
          <w:color w:val="000000"/>
          <w:spacing w:val="-2"/>
          <w:szCs w:val="24"/>
        </w:rPr>
        <w:t xml:space="preserve">wyprzedzeniem </w:t>
      </w:r>
      <w:r w:rsidR="00060FC1" w:rsidRPr="006C034B">
        <w:rPr>
          <w:rFonts w:cs="Times New Roman"/>
          <w:color w:val="000000"/>
          <w:spacing w:val="-2"/>
          <w:szCs w:val="24"/>
        </w:rPr>
        <w:t xml:space="preserve">względem </w:t>
      </w:r>
      <w:r w:rsidRPr="006C034B">
        <w:rPr>
          <w:rFonts w:cs="Times New Roman"/>
          <w:color w:val="000000"/>
          <w:spacing w:val="-2"/>
          <w:szCs w:val="24"/>
        </w:rPr>
        <w:t>momentu rozpoczęci</w:t>
      </w:r>
      <w:r w:rsidR="00EF371E" w:rsidRPr="006C034B">
        <w:rPr>
          <w:rFonts w:cs="Times New Roman"/>
          <w:color w:val="000000"/>
          <w:spacing w:val="-2"/>
          <w:szCs w:val="24"/>
        </w:rPr>
        <w:t>a</w:t>
      </w:r>
      <w:r w:rsidRPr="006C034B">
        <w:rPr>
          <w:rFonts w:cs="Times New Roman"/>
          <w:color w:val="000000"/>
          <w:spacing w:val="-2"/>
          <w:szCs w:val="24"/>
        </w:rPr>
        <w:t xml:space="preserve"> trwania obowiązku mocowego (lead time).</w:t>
      </w:r>
    </w:p>
    <w:p w14:paraId="659D79C7" w14:textId="0463BD15" w:rsidR="001A2F39" w:rsidRPr="006C034B" w:rsidRDefault="001A2F39" w:rsidP="0065692C">
      <w:pPr>
        <w:spacing w:before="120"/>
        <w:jc w:val="both"/>
        <w:rPr>
          <w:rFonts w:cs="Times New Roman"/>
          <w:color w:val="000000"/>
          <w:spacing w:val="-2"/>
          <w:szCs w:val="24"/>
        </w:rPr>
      </w:pPr>
      <w:r w:rsidRPr="006C034B">
        <w:rPr>
          <w:rFonts w:cs="Times New Roman"/>
          <w:color w:val="000000"/>
          <w:spacing w:val="-2"/>
          <w:szCs w:val="24"/>
        </w:rPr>
        <w:t xml:space="preserve">Aukcje uzupełniające będą w swej istocie przedłużeniem </w:t>
      </w:r>
      <w:r w:rsidR="00060FC1" w:rsidRPr="006C034B">
        <w:rPr>
          <w:rFonts w:cs="Times New Roman"/>
          <w:color w:val="000000"/>
          <w:spacing w:val="-2"/>
          <w:szCs w:val="24"/>
        </w:rPr>
        <w:t xml:space="preserve">istniejących procesów rynku mocy (m.in. </w:t>
      </w:r>
      <w:r w:rsidRPr="006C034B">
        <w:rPr>
          <w:rFonts w:cs="Times New Roman"/>
          <w:color w:val="000000"/>
          <w:spacing w:val="-2"/>
          <w:szCs w:val="24"/>
        </w:rPr>
        <w:t>aukcji dodatkowych</w:t>
      </w:r>
      <w:r w:rsidR="00060FC1" w:rsidRPr="006C034B">
        <w:rPr>
          <w:rFonts w:cs="Times New Roman"/>
          <w:color w:val="000000"/>
          <w:spacing w:val="-2"/>
          <w:szCs w:val="24"/>
        </w:rPr>
        <w:t>)</w:t>
      </w:r>
      <w:r w:rsidRPr="006C034B">
        <w:rPr>
          <w:rFonts w:cs="Times New Roman"/>
          <w:color w:val="000000"/>
          <w:spacing w:val="-2"/>
          <w:szCs w:val="24"/>
        </w:rPr>
        <w:t>: będą organizowane w przypadku, gdy po przeprowadzeniu pierwotnych procesów rynku mocy na dany rok dostaw (aukcja główna i a</w:t>
      </w:r>
      <w:r w:rsidR="006C034B">
        <w:rPr>
          <w:rFonts w:cs="Times New Roman"/>
          <w:color w:val="000000"/>
          <w:spacing w:val="-2"/>
          <w:szCs w:val="24"/>
        </w:rPr>
        <w:t>u</w:t>
      </w:r>
      <w:r w:rsidRPr="006C034B">
        <w:rPr>
          <w:rFonts w:cs="Times New Roman"/>
          <w:color w:val="000000"/>
          <w:spacing w:val="-2"/>
          <w:szCs w:val="24"/>
        </w:rPr>
        <w:t>kcje dodatkowe) zidentyfikowany problem z wystarczalnością zasobów wytwórczych nie zostanie rozwiązany, a</w:t>
      </w:r>
      <w:r w:rsidR="00796F5E" w:rsidRPr="006C034B">
        <w:rPr>
          <w:rFonts w:cs="Times New Roman"/>
          <w:color w:val="000000"/>
          <w:spacing w:val="-2"/>
          <w:szCs w:val="24"/>
        </w:rPr>
        <w:t> </w:t>
      </w:r>
      <w:r w:rsidRPr="006C034B">
        <w:rPr>
          <w:rFonts w:cs="Times New Roman"/>
          <w:color w:val="000000"/>
          <w:spacing w:val="-2"/>
          <w:szCs w:val="24"/>
        </w:rPr>
        <w:t xml:space="preserve">fakt ten </w:t>
      </w:r>
      <w:r w:rsidR="00F93C9B" w:rsidRPr="006C034B">
        <w:rPr>
          <w:rFonts w:cs="Times New Roman"/>
          <w:color w:val="000000"/>
          <w:spacing w:val="-2"/>
          <w:szCs w:val="24"/>
        </w:rPr>
        <w:t xml:space="preserve">zostanie </w:t>
      </w:r>
      <w:r w:rsidRPr="006C034B">
        <w:rPr>
          <w:rFonts w:cs="Times New Roman"/>
          <w:color w:val="000000"/>
          <w:spacing w:val="-2"/>
          <w:szCs w:val="24"/>
        </w:rPr>
        <w:t>potwierdzony przez ocen</w:t>
      </w:r>
      <w:r w:rsidR="00060FC1" w:rsidRPr="006C034B">
        <w:rPr>
          <w:rFonts w:cs="Times New Roman"/>
          <w:color w:val="000000"/>
          <w:spacing w:val="-2"/>
          <w:szCs w:val="24"/>
        </w:rPr>
        <w:t>ę</w:t>
      </w:r>
      <w:r w:rsidRPr="006C034B">
        <w:rPr>
          <w:rFonts w:cs="Times New Roman"/>
          <w:color w:val="000000"/>
          <w:spacing w:val="-2"/>
          <w:szCs w:val="24"/>
        </w:rPr>
        <w:t xml:space="preserve"> wystarczalności zasobów </w:t>
      </w:r>
      <w:r w:rsidR="00C04115" w:rsidRPr="006C034B">
        <w:rPr>
          <w:rFonts w:cs="Times New Roman"/>
          <w:color w:val="000000"/>
          <w:spacing w:val="-2"/>
          <w:szCs w:val="24"/>
        </w:rPr>
        <w:t xml:space="preserve">wytwórczych na poziomie krajowym </w:t>
      </w:r>
      <w:r w:rsidRPr="006C034B">
        <w:rPr>
          <w:rFonts w:cs="Times New Roman"/>
          <w:color w:val="000000"/>
          <w:spacing w:val="-2"/>
          <w:szCs w:val="24"/>
        </w:rPr>
        <w:t xml:space="preserve">(NRAA – ang. national resource adequacy assessment) sporządzaną na podstawie art. 24 rozporządzenia rynkowego oraz przepisów krajowych, tj. art. 15i ustawy z dnia 10 kwietnia 1997 r. – Prawo energetyczne (Dz. U. z 2024 r. poz. 266, </w:t>
      </w:r>
      <w:r w:rsidR="00AB43A0">
        <w:rPr>
          <w:rFonts w:cs="Times New Roman"/>
          <w:color w:val="000000"/>
          <w:spacing w:val="-2"/>
          <w:szCs w:val="24"/>
        </w:rPr>
        <w:t xml:space="preserve">z </w:t>
      </w:r>
      <w:proofErr w:type="spellStart"/>
      <w:r w:rsidR="00AB43A0">
        <w:rPr>
          <w:rFonts w:cs="Times New Roman"/>
          <w:color w:val="000000"/>
          <w:spacing w:val="-2"/>
          <w:szCs w:val="24"/>
        </w:rPr>
        <w:t>późn</w:t>
      </w:r>
      <w:proofErr w:type="spellEnd"/>
      <w:r w:rsidR="00AB43A0">
        <w:rPr>
          <w:rFonts w:cs="Times New Roman"/>
          <w:color w:val="000000"/>
          <w:spacing w:val="-2"/>
          <w:szCs w:val="24"/>
        </w:rPr>
        <w:t>. zm.</w:t>
      </w:r>
      <w:r w:rsidR="00DE55FF" w:rsidRPr="006C034B">
        <w:rPr>
          <w:rFonts w:cs="Times New Roman"/>
          <w:color w:val="000000"/>
          <w:spacing w:val="-2"/>
          <w:szCs w:val="24"/>
        </w:rPr>
        <w:t>)</w:t>
      </w:r>
      <w:r w:rsidR="00C04115" w:rsidRPr="006C034B">
        <w:rPr>
          <w:rFonts w:cs="Times New Roman"/>
          <w:color w:val="000000"/>
          <w:spacing w:val="-2"/>
          <w:szCs w:val="24"/>
        </w:rPr>
        <w:t>, albo jej aktualizację</w:t>
      </w:r>
      <w:r w:rsidRPr="006C034B">
        <w:rPr>
          <w:rFonts w:cs="Times New Roman"/>
          <w:color w:val="000000"/>
          <w:spacing w:val="-2"/>
          <w:szCs w:val="24"/>
        </w:rPr>
        <w:t>.</w:t>
      </w:r>
      <w:r w:rsidR="003504E7" w:rsidRPr="006C034B">
        <w:rPr>
          <w:rFonts w:cs="Times New Roman"/>
          <w:color w:val="000000"/>
          <w:spacing w:val="-2"/>
          <w:szCs w:val="24"/>
        </w:rPr>
        <w:t xml:space="preserve"> Projektodawca w tym zakresie przedstawił przepisy regulujące szczegółowo w jakich okolicznościach można ogłosić i zorganizować aukcje uzupełniające.</w:t>
      </w:r>
    </w:p>
    <w:p w14:paraId="6555B5F6" w14:textId="01598D46" w:rsidR="001A2F39" w:rsidRPr="006C034B" w:rsidRDefault="001A2F39" w:rsidP="0065692C">
      <w:pPr>
        <w:spacing w:before="120"/>
        <w:jc w:val="both"/>
        <w:rPr>
          <w:rFonts w:cs="Times New Roman"/>
          <w:color w:val="000000"/>
          <w:spacing w:val="-2"/>
          <w:szCs w:val="24"/>
        </w:rPr>
      </w:pPr>
      <w:r w:rsidRPr="006C034B">
        <w:rPr>
          <w:rFonts w:cs="Times New Roman"/>
          <w:color w:val="000000"/>
          <w:spacing w:val="-2"/>
          <w:szCs w:val="24"/>
        </w:rPr>
        <w:t xml:space="preserve">Organizacja aukcji uzupełniających po zakończeniu procesów aukcji dodatkowych na dany rok dostaw zapewni, że </w:t>
      </w:r>
      <w:r w:rsidR="00F909D4" w:rsidRPr="006C034B">
        <w:rPr>
          <w:rFonts w:cs="Times New Roman"/>
          <w:color w:val="000000"/>
          <w:spacing w:val="-2"/>
          <w:szCs w:val="24"/>
        </w:rPr>
        <w:t xml:space="preserve">zostanie </w:t>
      </w:r>
      <w:r w:rsidRPr="006C034B">
        <w:rPr>
          <w:rFonts w:cs="Times New Roman"/>
          <w:color w:val="000000"/>
          <w:spacing w:val="-2"/>
          <w:szCs w:val="24"/>
        </w:rPr>
        <w:t xml:space="preserve">zmaksymalizowany udział dostawców zdolności wytwórczych spełniających limit emisji </w:t>
      </w:r>
      <w:r w:rsidRPr="006C034B">
        <w:rPr>
          <w:rFonts w:cs="Times New Roman"/>
          <w:color w:val="000000"/>
          <w:szCs w:val="24"/>
        </w:rPr>
        <w:t>CO</w:t>
      </w:r>
      <w:r w:rsidRPr="006C034B">
        <w:rPr>
          <w:rFonts w:cs="Times New Roman"/>
          <w:color w:val="000000"/>
          <w:szCs w:val="24"/>
          <w:vertAlign w:val="subscript"/>
        </w:rPr>
        <w:t>2</w:t>
      </w:r>
      <w:r w:rsidRPr="006C034B">
        <w:rPr>
          <w:rFonts w:cs="Times New Roman"/>
          <w:color w:val="000000"/>
          <w:spacing w:val="-2"/>
          <w:szCs w:val="24"/>
        </w:rPr>
        <w:t xml:space="preserve"> (art. 64 ust. 2c lit. a rozporządzenia rynkowego), ponieważ jednostki niskoemisyjne mogą uczestniczyć zarówno w procesach pierwotnych rynku mocy (aukcja główna i dodatkowe) bez konkurencji ze strony jednostek wysokoemisyjnych, jak i</w:t>
      </w:r>
      <w:r w:rsidR="00796F5E" w:rsidRPr="006C034B">
        <w:rPr>
          <w:rFonts w:cs="Times New Roman"/>
          <w:color w:val="000000"/>
          <w:spacing w:val="-2"/>
          <w:szCs w:val="24"/>
        </w:rPr>
        <w:t> </w:t>
      </w:r>
      <w:r w:rsidRPr="006C034B">
        <w:rPr>
          <w:rFonts w:cs="Times New Roman"/>
          <w:color w:val="000000"/>
          <w:spacing w:val="-2"/>
          <w:szCs w:val="24"/>
        </w:rPr>
        <w:t xml:space="preserve">konkurować z nimi w aukcjach uzupełniających. </w:t>
      </w:r>
      <w:r w:rsidR="00060FC1" w:rsidRPr="006C034B">
        <w:rPr>
          <w:rFonts w:cs="Times New Roman"/>
          <w:color w:val="000000"/>
          <w:spacing w:val="-2"/>
          <w:szCs w:val="24"/>
        </w:rPr>
        <w:t>J</w:t>
      </w:r>
      <w:r w:rsidRPr="006C034B">
        <w:rPr>
          <w:rFonts w:cs="Times New Roman"/>
          <w:color w:val="000000"/>
          <w:spacing w:val="-2"/>
          <w:szCs w:val="24"/>
        </w:rPr>
        <w:t xml:space="preserve">ednostki wytwórcze niespełniające </w:t>
      </w:r>
      <w:r w:rsidR="00060FC1" w:rsidRPr="006C034B">
        <w:rPr>
          <w:rFonts w:cs="Times New Roman"/>
          <w:color w:val="000000"/>
          <w:spacing w:val="-2"/>
          <w:szCs w:val="24"/>
        </w:rPr>
        <w:t xml:space="preserve">limitu </w:t>
      </w:r>
      <w:r w:rsidRPr="006C034B">
        <w:rPr>
          <w:rFonts w:cs="Times New Roman"/>
          <w:color w:val="000000"/>
          <w:spacing w:val="-2"/>
          <w:szCs w:val="24"/>
        </w:rPr>
        <w:t xml:space="preserve">emisji </w:t>
      </w:r>
      <w:r w:rsidRPr="006C034B">
        <w:rPr>
          <w:rFonts w:cs="Times New Roman"/>
          <w:color w:val="000000"/>
          <w:szCs w:val="24"/>
        </w:rPr>
        <w:t>CO</w:t>
      </w:r>
      <w:r w:rsidRPr="006C034B">
        <w:rPr>
          <w:rFonts w:cs="Times New Roman"/>
          <w:color w:val="000000"/>
          <w:szCs w:val="24"/>
          <w:vertAlign w:val="subscript"/>
        </w:rPr>
        <w:t>2</w:t>
      </w:r>
      <w:r w:rsidRPr="006C034B">
        <w:rPr>
          <w:rFonts w:cs="Times New Roman"/>
          <w:color w:val="000000"/>
          <w:spacing w:val="-2"/>
          <w:szCs w:val="24"/>
        </w:rPr>
        <w:t xml:space="preserve"> otrzymają możliwość zawarcia kontraktów na nie więcej niż jeden rok dostaw (art. 68 ust. 2c lit. a rozporządzenia rynkowego), ponieważ w aukcji uzupełniającej będą mog</w:t>
      </w:r>
      <w:r w:rsidR="00060FC1" w:rsidRPr="006C034B">
        <w:rPr>
          <w:rFonts w:cs="Times New Roman"/>
          <w:color w:val="000000"/>
          <w:spacing w:val="-2"/>
          <w:szCs w:val="24"/>
        </w:rPr>
        <w:t>ły</w:t>
      </w:r>
      <w:r w:rsidRPr="006C034B">
        <w:rPr>
          <w:rFonts w:cs="Times New Roman"/>
          <w:color w:val="000000"/>
          <w:spacing w:val="-2"/>
          <w:szCs w:val="24"/>
        </w:rPr>
        <w:t xml:space="preserve"> zawrzeć kontrakt na pół roku (</w:t>
      </w:r>
      <w:r w:rsidR="00B540AF" w:rsidRPr="006C034B">
        <w:rPr>
          <w:rFonts w:cs="Times New Roman"/>
          <w:color w:val="000000"/>
          <w:spacing w:val="-2"/>
          <w:szCs w:val="24"/>
        </w:rPr>
        <w:t xml:space="preserve">drugie </w:t>
      </w:r>
      <w:r w:rsidRPr="006C034B">
        <w:rPr>
          <w:rFonts w:cs="Times New Roman"/>
          <w:color w:val="000000"/>
          <w:spacing w:val="-2"/>
          <w:szCs w:val="24"/>
        </w:rPr>
        <w:t xml:space="preserve">półrocze 2025 r.) lub na rok (2026, 2027 lub 2028). Aukcje uzupełniające będą organizowane na dany rok dostaw w przypadku stwierdzenia uzasadnionej potrzeby zakupu dodatkowych mocy (co potwierdzi </w:t>
      </w:r>
      <w:r w:rsidR="00DE55FF" w:rsidRPr="006C034B">
        <w:rPr>
          <w:rFonts w:cs="Times New Roman"/>
          <w:color w:val="000000"/>
          <w:spacing w:val="-2"/>
          <w:szCs w:val="24"/>
        </w:rPr>
        <w:t>NRAA</w:t>
      </w:r>
      <w:r w:rsidR="00647C41" w:rsidRPr="006C034B">
        <w:rPr>
          <w:rFonts w:cs="Times New Roman"/>
          <w:color w:val="000000"/>
          <w:spacing w:val="-2"/>
          <w:szCs w:val="24"/>
        </w:rPr>
        <w:t xml:space="preserve"> wykonana przez operatora</w:t>
      </w:r>
      <w:r w:rsidRPr="006C034B">
        <w:rPr>
          <w:rFonts w:cs="Times New Roman"/>
          <w:color w:val="000000"/>
          <w:spacing w:val="-2"/>
          <w:szCs w:val="24"/>
        </w:rPr>
        <w:t>), tak aby zapewnić spełnienie wymogu określonego w art. 64 ust. 2c lit. b rozporządzenia rynkowego, tj. zapewnienia, że ilość zdolności wytwórczy</w:t>
      </w:r>
      <w:r w:rsidR="00092658" w:rsidRPr="006C034B">
        <w:rPr>
          <w:rFonts w:cs="Times New Roman"/>
          <w:color w:val="000000"/>
          <w:spacing w:val="-2"/>
          <w:szCs w:val="24"/>
        </w:rPr>
        <w:t>ch</w:t>
      </w:r>
      <w:r w:rsidRPr="006C034B">
        <w:rPr>
          <w:rFonts w:cs="Times New Roman"/>
          <w:color w:val="000000"/>
          <w:spacing w:val="-2"/>
          <w:szCs w:val="24"/>
        </w:rPr>
        <w:t xml:space="preserve"> oferowanych w pierwotnych procesach rynku </w:t>
      </w:r>
      <w:r w:rsidRPr="006C034B">
        <w:rPr>
          <w:rFonts w:cs="Times New Roman"/>
          <w:color w:val="000000"/>
          <w:spacing w:val="-2"/>
          <w:szCs w:val="24"/>
        </w:rPr>
        <w:lastRenderedPageBreak/>
        <w:t>mocy (aukcje główna i dodatkowe) na dany rok dostaw nie jest wystarczająca, aby rozwiązać problem związany z wystarczalnością mocy w systemie elektroenergetycznym.</w:t>
      </w:r>
      <w:r w:rsidR="003504E7" w:rsidRPr="006C034B">
        <w:rPr>
          <w:rFonts w:cs="Times New Roman"/>
          <w:color w:val="000000"/>
          <w:spacing w:val="-2"/>
          <w:szCs w:val="24"/>
        </w:rPr>
        <w:t xml:space="preserve"> Możliwość konkurencji między jednostkami wysokoemisyjnymi i niskoemisyjnymi, a także ścisłe ograniczenie wolumenu, zostało doprecyzowane przez projektodawcę w przepisach projektowanej ustawy.</w:t>
      </w:r>
    </w:p>
    <w:p w14:paraId="24328313" w14:textId="2903F365" w:rsidR="001A2F39" w:rsidRPr="006C034B" w:rsidRDefault="001A2F39" w:rsidP="0065692C">
      <w:pPr>
        <w:spacing w:before="120"/>
        <w:jc w:val="both"/>
        <w:rPr>
          <w:rFonts w:cs="Times New Roman"/>
          <w:color w:val="000000"/>
          <w:spacing w:val="-2"/>
          <w:szCs w:val="24"/>
        </w:rPr>
      </w:pPr>
      <w:r w:rsidRPr="006C034B">
        <w:rPr>
          <w:rFonts w:cs="Times New Roman"/>
          <w:color w:val="000000"/>
          <w:spacing w:val="-2"/>
          <w:szCs w:val="24"/>
        </w:rPr>
        <w:t>Do udziału w aukcjach uzupełniających będą uprawni</w:t>
      </w:r>
      <w:r w:rsidR="00BE5FE7" w:rsidRPr="006C034B">
        <w:rPr>
          <w:rFonts w:cs="Times New Roman"/>
          <w:color w:val="000000"/>
          <w:spacing w:val="-2"/>
          <w:szCs w:val="24"/>
        </w:rPr>
        <w:t>o</w:t>
      </w:r>
      <w:r w:rsidRPr="006C034B">
        <w:rPr>
          <w:rFonts w:cs="Times New Roman"/>
          <w:color w:val="000000"/>
          <w:spacing w:val="-2"/>
          <w:szCs w:val="24"/>
        </w:rPr>
        <w:t>n</w:t>
      </w:r>
      <w:r w:rsidR="00BE5FE7" w:rsidRPr="006C034B">
        <w:rPr>
          <w:rFonts w:cs="Times New Roman"/>
          <w:color w:val="000000"/>
          <w:spacing w:val="-2"/>
          <w:szCs w:val="24"/>
        </w:rPr>
        <w:t>e</w:t>
      </w:r>
      <w:r w:rsidRPr="006C034B">
        <w:rPr>
          <w:rFonts w:cs="Times New Roman"/>
          <w:color w:val="000000"/>
          <w:spacing w:val="-2"/>
          <w:szCs w:val="24"/>
        </w:rPr>
        <w:t xml:space="preserve">: istniejące jednostki wytwórcze, istniejące jednostki wytwórcze zagraniczne (które wcześniej wygrały aukcję wstępną na dany okres dostaw, ale nie zawarły umowy mocowej), </w:t>
      </w:r>
      <w:r w:rsidR="00BE5FE7" w:rsidRPr="006C034B">
        <w:rPr>
          <w:rFonts w:cs="Times New Roman"/>
          <w:color w:val="000000"/>
          <w:spacing w:val="-2"/>
          <w:szCs w:val="24"/>
        </w:rPr>
        <w:t xml:space="preserve">jednostki </w:t>
      </w:r>
      <w:r w:rsidRPr="006C034B">
        <w:rPr>
          <w:rFonts w:cs="Times New Roman"/>
          <w:color w:val="000000"/>
          <w:spacing w:val="-2"/>
          <w:szCs w:val="24"/>
        </w:rPr>
        <w:t>DSR składając</w:t>
      </w:r>
      <w:r w:rsidR="00BE5FE7" w:rsidRPr="006C034B">
        <w:rPr>
          <w:rFonts w:cs="Times New Roman"/>
          <w:color w:val="000000"/>
          <w:spacing w:val="-2"/>
          <w:szCs w:val="24"/>
        </w:rPr>
        <w:t>e</w:t>
      </w:r>
      <w:r w:rsidRPr="006C034B">
        <w:rPr>
          <w:rFonts w:cs="Times New Roman"/>
          <w:color w:val="000000"/>
          <w:spacing w:val="-2"/>
          <w:szCs w:val="24"/>
        </w:rPr>
        <w:t xml:space="preserve"> się z istniejących jednostek fizycznych oraz </w:t>
      </w:r>
      <w:r w:rsidR="00BE5FE7" w:rsidRPr="006C034B">
        <w:rPr>
          <w:rFonts w:cs="Times New Roman"/>
          <w:color w:val="000000"/>
          <w:spacing w:val="-2"/>
          <w:szCs w:val="24"/>
        </w:rPr>
        <w:t xml:space="preserve">jednostki </w:t>
      </w:r>
      <w:r w:rsidRPr="006C034B">
        <w:rPr>
          <w:rFonts w:cs="Times New Roman"/>
          <w:color w:val="000000"/>
          <w:spacing w:val="-2"/>
          <w:szCs w:val="24"/>
        </w:rPr>
        <w:t>DSR składając</w:t>
      </w:r>
      <w:r w:rsidR="00BE5FE7" w:rsidRPr="006C034B">
        <w:rPr>
          <w:rFonts w:cs="Times New Roman"/>
          <w:color w:val="000000"/>
          <w:spacing w:val="-2"/>
          <w:szCs w:val="24"/>
        </w:rPr>
        <w:t>e</w:t>
      </w:r>
      <w:r w:rsidRPr="006C034B">
        <w:rPr>
          <w:rFonts w:cs="Times New Roman"/>
          <w:color w:val="000000"/>
          <w:spacing w:val="-2"/>
          <w:szCs w:val="24"/>
        </w:rPr>
        <w:t xml:space="preserve"> się z istniejących jednostek fizycznych zagranicznych (na zasadach jak jednostki wytwórcze zagraniczne), a także </w:t>
      </w:r>
      <w:r w:rsidR="00BE5FE7" w:rsidRPr="006C034B">
        <w:rPr>
          <w:rFonts w:cs="Times New Roman"/>
          <w:color w:val="000000"/>
          <w:spacing w:val="-2"/>
          <w:szCs w:val="24"/>
        </w:rPr>
        <w:t>jednostki</w:t>
      </w:r>
      <w:r w:rsidRPr="006C034B">
        <w:rPr>
          <w:rFonts w:cs="Times New Roman"/>
          <w:color w:val="000000"/>
          <w:spacing w:val="-2"/>
          <w:szCs w:val="24"/>
        </w:rPr>
        <w:t xml:space="preserve"> DSR planowan</w:t>
      </w:r>
      <w:r w:rsidR="00BE5FE7" w:rsidRPr="006C034B">
        <w:rPr>
          <w:rFonts w:cs="Times New Roman"/>
          <w:color w:val="000000"/>
          <w:spacing w:val="-2"/>
          <w:szCs w:val="24"/>
        </w:rPr>
        <w:t>e</w:t>
      </w:r>
      <w:r w:rsidRPr="006C034B">
        <w:rPr>
          <w:rFonts w:cs="Times New Roman"/>
          <w:color w:val="000000"/>
          <w:spacing w:val="-2"/>
          <w:szCs w:val="24"/>
        </w:rPr>
        <w:t xml:space="preserve">. Aby uczestniczyć w aukcjach uzupełniających dany podmiot </w:t>
      </w:r>
      <w:r w:rsidR="003504E7" w:rsidRPr="006C034B">
        <w:rPr>
          <w:rFonts w:cs="Times New Roman"/>
          <w:color w:val="000000"/>
          <w:spacing w:val="-2"/>
          <w:szCs w:val="24"/>
        </w:rPr>
        <w:t xml:space="preserve">powinien wcześniej poddać się procesowi certyfikacji </w:t>
      </w:r>
      <w:r w:rsidRPr="006C034B">
        <w:rPr>
          <w:rFonts w:cs="Times New Roman"/>
          <w:color w:val="000000"/>
          <w:spacing w:val="-2"/>
          <w:szCs w:val="24"/>
        </w:rPr>
        <w:t>ogólnej</w:t>
      </w:r>
      <w:r w:rsidR="003504E7" w:rsidRPr="006C034B">
        <w:rPr>
          <w:rFonts w:cs="Times New Roman"/>
          <w:color w:val="000000"/>
          <w:spacing w:val="-2"/>
          <w:szCs w:val="24"/>
        </w:rPr>
        <w:t xml:space="preserve">, aby niezbędne dane na potrzeby procesów rynku mocy w odniesieniu do </w:t>
      </w:r>
      <w:r w:rsidR="000E7718" w:rsidRPr="006C034B">
        <w:rPr>
          <w:rFonts w:cs="Times New Roman"/>
          <w:color w:val="000000"/>
          <w:spacing w:val="-2"/>
          <w:szCs w:val="24"/>
        </w:rPr>
        <w:t xml:space="preserve">danego podmiotu </w:t>
      </w:r>
      <w:r w:rsidR="003504E7" w:rsidRPr="006C034B">
        <w:rPr>
          <w:rFonts w:cs="Times New Roman"/>
          <w:color w:val="000000"/>
          <w:spacing w:val="-2"/>
          <w:szCs w:val="24"/>
        </w:rPr>
        <w:t>i jego jednost</w:t>
      </w:r>
      <w:r w:rsidR="000E7718" w:rsidRPr="006C034B">
        <w:rPr>
          <w:rFonts w:cs="Times New Roman"/>
          <w:color w:val="000000"/>
          <w:spacing w:val="-2"/>
          <w:szCs w:val="24"/>
        </w:rPr>
        <w:t>e</w:t>
      </w:r>
      <w:r w:rsidR="003504E7" w:rsidRPr="006C034B">
        <w:rPr>
          <w:rFonts w:cs="Times New Roman"/>
          <w:color w:val="000000"/>
          <w:spacing w:val="-2"/>
          <w:szCs w:val="24"/>
        </w:rPr>
        <w:t>k zostały właściwie przekazane i</w:t>
      </w:r>
      <w:r w:rsidR="00FE637A" w:rsidRPr="006C034B">
        <w:rPr>
          <w:rFonts w:cs="Times New Roman"/>
          <w:color w:val="000000"/>
          <w:spacing w:val="-2"/>
          <w:szCs w:val="24"/>
        </w:rPr>
        <w:t> </w:t>
      </w:r>
      <w:r w:rsidR="003504E7" w:rsidRPr="006C034B">
        <w:rPr>
          <w:rFonts w:cs="Times New Roman"/>
          <w:color w:val="000000"/>
          <w:spacing w:val="-2"/>
          <w:szCs w:val="24"/>
        </w:rPr>
        <w:t xml:space="preserve">zweryfikowane, </w:t>
      </w:r>
      <w:r w:rsidRPr="006C034B">
        <w:rPr>
          <w:rFonts w:cs="Times New Roman"/>
          <w:color w:val="000000"/>
          <w:spacing w:val="-2"/>
          <w:szCs w:val="24"/>
        </w:rPr>
        <w:t xml:space="preserve">oraz </w:t>
      </w:r>
      <w:r w:rsidR="00F909D4" w:rsidRPr="006C034B">
        <w:rPr>
          <w:rFonts w:cs="Times New Roman"/>
          <w:color w:val="000000"/>
          <w:spacing w:val="-2"/>
          <w:szCs w:val="24"/>
        </w:rPr>
        <w:t xml:space="preserve">uczestniczyć </w:t>
      </w:r>
      <w:r w:rsidRPr="006C034B">
        <w:rPr>
          <w:rFonts w:cs="Times New Roman"/>
          <w:color w:val="000000"/>
          <w:spacing w:val="-2"/>
          <w:szCs w:val="24"/>
        </w:rPr>
        <w:t>w certyfikacji do aukcji uzupełniającej, podczas które</w:t>
      </w:r>
      <w:r w:rsidR="000E7718" w:rsidRPr="006C034B">
        <w:rPr>
          <w:rFonts w:cs="Times New Roman"/>
          <w:color w:val="000000"/>
          <w:spacing w:val="-2"/>
          <w:szCs w:val="24"/>
        </w:rPr>
        <w:t>j</w:t>
      </w:r>
      <w:r w:rsidRPr="006C034B">
        <w:rPr>
          <w:rFonts w:cs="Times New Roman"/>
          <w:color w:val="000000"/>
          <w:spacing w:val="-2"/>
          <w:szCs w:val="24"/>
        </w:rPr>
        <w:t xml:space="preserve"> deklaruj</w:t>
      </w:r>
      <w:r w:rsidR="00647C41" w:rsidRPr="006C034B">
        <w:rPr>
          <w:rFonts w:cs="Times New Roman"/>
          <w:color w:val="000000"/>
          <w:spacing w:val="-2"/>
          <w:szCs w:val="24"/>
        </w:rPr>
        <w:t>e</w:t>
      </w:r>
      <w:r w:rsidRPr="006C034B">
        <w:rPr>
          <w:rFonts w:cs="Times New Roman"/>
          <w:color w:val="000000"/>
          <w:spacing w:val="-2"/>
          <w:szCs w:val="24"/>
        </w:rPr>
        <w:t xml:space="preserve"> również swój udział w aukcji uzupełniającej.</w:t>
      </w:r>
    </w:p>
    <w:p w14:paraId="001D3E48" w14:textId="638D6436" w:rsidR="003504E7" w:rsidRPr="006C034B" w:rsidRDefault="00DE55FF" w:rsidP="0065692C">
      <w:pPr>
        <w:spacing w:before="120"/>
        <w:jc w:val="both"/>
        <w:rPr>
          <w:rFonts w:cs="Times New Roman"/>
          <w:color w:val="000000"/>
          <w:spacing w:val="-2"/>
          <w:szCs w:val="24"/>
        </w:rPr>
      </w:pPr>
      <w:r w:rsidRPr="006C034B">
        <w:rPr>
          <w:rFonts w:cs="Times New Roman"/>
          <w:color w:val="000000"/>
          <w:spacing w:val="-2"/>
          <w:szCs w:val="24"/>
        </w:rPr>
        <w:t>Sposób określenia p</w:t>
      </w:r>
      <w:r w:rsidR="001A2F39" w:rsidRPr="006C034B">
        <w:rPr>
          <w:rFonts w:cs="Times New Roman"/>
          <w:color w:val="000000"/>
          <w:spacing w:val="-2"/>
          <w:szCs w:val="24"/>
        </w:rPr>
        <w:t>arametr</w:t>
      </w:r>
      <w:r w:rsidRPr="006C034B">
        <w:rPr>
          <w:rFonts w:cs="Times New Roman"/>
          <w:color w:val="000000"/>
          <w:spacing w:val="-2"/>
          <w:szCs w:val="24"/>
        </w:rPr>
        <w:t>ów</w:t>
      </w:r>
      <w:r w:rsidR="001A2F39" w:rsidRPr="006C034B">
        <w:rPr>
          <w:rFonts w:cs="Times New Roman"/>
          <w:color w:val="000000"/>
          <w:spacing w:val="-2"/>
          <w:szCs w:val="24"/>
        </w:rPr>
        <w:t xml:space="preserve"> aukcji uzupełniających rynku mocy został określon</w:t>
      </w:r>
      <w:r w:rsidRPr="006C034B">
        <w:rPr>
          <w:rFonts w:cs="Times New Roman"/>
          <w:color w:val="000000"/>
          <w:spacing w:val="-2"/>
          <w:szCs w:val="24"/>
        </w:rPr>
        <w:t>y</w:t>
      </w:r>
      <w:r w:rsidR="001A2F39" w:rsidRPr="006C034B">
        <w:rPr>
          <w:rFonts w:cs="Times New Roman"/>
          <w:color w:val="000000"/>
          <w:spacing w:val="-2"/>
          <w:szCs w:val="24"/>
        </w:rPr>
        <w:t xml:space="preserve"> </w:t>
      </w:r>
      <w:r w:rsidRPr="006C034B">
        <w:rPr>
          <w:rFonts w:cs="Times New Roman"/>
          <w:color w:val="000000"/>
          <w:spacing w:val="-2"/>
          <w:szCs w:val="24"/>
        </w:rPr>
        <w:t xml:space="preserve">w przepisach ustawy. Parametry </w:t>
      </w:r>
      <w:r w:rsidR="00647C41" w:rsidRPr="006C034B">
        <w:rPr>
          <w:rFonts w:cs="Times New Roman"/>
          <w:color w:val="000000"/>
          <w:spacing w:val="-2"/>
          <w:szCs w:val="24"/>
        </w:rPr>
        <w:t xml:space="preserve">aukcji uzupełniającej na dany rok </w:t>
      </w:r>
      <w:r w:rsidR="00BE5FE7" w:rsidRPr="006C034B">
        <w:rPr>
          <w:rFonts w:cs="Times New Roman"/>
          <w:color w:val="000000"/>
          <w:spacing w:val="-2"/>
          <w:szCs w:val="24"/>
        </w:rPr>
        <w:t>będą</w:t>
      </w:r>
      <w:r w:rsidR="00647C41" w:rsidRPr="006C034B">
        <w:rPr>
          <w:rFonts w:cs="Times New Roman"/>
          <w:color w:val="000000"/>
          <w:spacing w:val="-2"/>
          <w:szCs w:val="24"/>
        </w:rPr>
        <w:t xml:space="preserve"> ogłoszone przez ministra właściwego d</w:t>
      </w:r>
      <w:r w:rsidR="000E7718" w:rsidRPr="006C034B">
        <w:rPr>
          <w:rFonts w:cs="Times New Roman"/>
          <w:color w:val="000000"/>
          <w:spacing w:val="-2"/>
          <w:szCs w:val="24"/>
        </w:rPr>
        <w:t xml:space="preserve">o </w:t>
      </w:r>
      <w:r w:rsidR="00647C41" w:rsidRPr="006C034B">
        <w:rPr>
          <w:rFonts w:cs="Times New Roman"/>
          <w:color w:val="000000"/>
          <w:spacing w:val="-2"/>
          <w:szCs w:val="24"/>
        </w:rPr>
        <w:t>s</w:t>
      </w:r>
      <w:r w:rsidR="000E7718" w:rsidRPr="006C034B">
        <w:rPr>
          <w:rFonts w:cs="Times New Roman"/>
          <w:color w:val="000000"/>
          <w:spacing w:val="-2"/>
          <w:szCs w:val="24"/>
        </w:rPr>
        <w:t>praw</w:t>
      </w:r>
      <w:r w:rsidR="00647C41" w:rsidRPr="006C034B">
        <w:rPr>
          <w:rFonts w:cs="Times New Roman"/>
          <w:color w:val="000000"/>
          <w:spacing w:val="-2"/>
          <w:szCs w:val="24"/>
        </w:rPr>
        <w:t xml:space="preserve"> energii</w:t>
      </w:r>
      <w:r w:rsidR="003504E7" w:rsidRPr="006C034B">
        <w:rPr>
          <w:rFonts w:cs="Times New Roman"/>
          <w:color w:val="000000"/>
          <w:spacing w:val="-2"/>
          <w:szCs w:val="24"/>
        </w:rPr>
        <w:t xml:space="preserve"> </w:t>
      </w:r>
      <w:r w:rsidR="000E7718" w:rsidRPr="006C034B">
        <w:rPr>
          <w:rFonts w:cs="Times New Roman"/>
          <w:color w:val="000000"/>
          <w:spacing w:val="-2"/>
          <w:szCs w:val="24"/>
        </w:rPr>
        <w:t xml:space="preserve">w </w:t>
      </w:r>
      <w:r w:rsidR="003504E7" w:rsidRPr="006C034B">
        <w:rPr>
          <w:rFonts w:cs="Times New Roman"/>
          <w:color w:val="000000"/>
          <w:spacing w:val="-2"/>
          <w:szCs w:val="24"/>
        </w:rPr>
        <w:t>drodze obwieszczenia</w:t>
      </w:r>
      <w:r w:rsidR="001A2F39" w:rsidRPr="006C034B">
        <w:rPr>
          <w:rFonts w:cs="Times New Roman"/>
          <w:color w:val="000000"/>
          <w:spacing w:val="-2"/>
          <w:szCs w:val="24"/>
        </w:rPr>
        <w:t>.</w:t>
      </w:r>
      <w:r w:rsidR="003504E7" w:rsidRPr="006C034B">
        <w:rPr>
          <w:rFonts w:cs="Times New Roman"/>
          <w:color w:val="000000"/>
          <w:spacing w:val="-2"/>
          <w:szCs w:val="24"/>
        </w:rPr>
        <w:t xml:space="preserve"> </w:t>
      </w:r>
      <w:r w:rsidR="00F909D4" w:rsidRPr="006C034B">
        <w:rPr>
          <w:rFonts w:cs="Times New Roman"/>
          <w:color w:val="000000"/>
          <w:spacing w:val="-2"/>
          <w:szCs w:val="24"/>
        </w:rPr>
        <w:t>O</w:t>
      </w:r>
      <w:r w:rsidR="003504E7" w:rsidRPr="006C034B">
        <w:rPr>
          <w:rFonts w:cs="Times New Roman"/>
          <w:color w:val="000000"/>
          <w:spacing w:val="-2"/>
          <w:szCs w:val="24"/>
        </w:rPr>
        <w:t xml:space="preserve">bwieszczenie jest </w:t>
      </w:r>
      <w:r w:rsidR="000E7718" w:rsidRPr="006C034B">
        <w:rPr>
          <w:rFonts w:cs="Times New Roman"/>
          <w:color w:val="000000"/>
          <w:spacing w:val="-2"/>
          <w:szCs w:val="24"/>
        </w:rPr>
        <w:t>adekwatnym środkiem</w:t>
      </w:r>
      <w:r w:rsidR="00B7345B" w:rsidRPr="006C034B">
        <w:rPr>
          <w:rFonts w:cs="Times New Roman"/>
          <w:color w:val="000000"/>
          <w:spacing w:val="-2"/>
          <w:szCs w:val="24"/>
        </w:rPr>
        <w:t>,</w:t>
      </w:r>
      <w:r w:rsidR="003504E7" w:rsidRPr="006C034B">
        <w:rPr>
          <w:rFonts w:cs="Times New Roman"/>
          <w:color w:val="000000"/>
          <w:spacing w:val="-2"/>
          <w:szCs w:val="24"/>
        </w:rPr>
        <w:t xml:space="preserve"> ponieważ w ustawie jasno określono poszczególne parametry</w:t>
      </w:r>
      <w:r w:rsidR="00F909D4" w:rsidRPr="006C034B">
        <w:rPr>
          <w:rFonts w:cs="Times New Roman"/>
          <w:color w:val="000000"/>
          <w:spacing w:val="-2"/>
          <w:szCs w:val="24"/>
        </w:rPr>
        <w:t xml:space="preserve"> – </w:t>
      </w:r>
      <w:r w:rsidR="003504E7" w:rsidRPr="006C034B">
        <w:rPr>
          <w:rFonts w:cs="Times New Roman"/>
          <w:color w:val="000000"/>
          <w:spacing w:val="-2"/>
          <w:szCs w:val="24"/>
        </w:rPr>
        <w:t>sposób ich obliczenia lub źródło, z których powinny zostać powzięte. Należy wyjaśnić, że poszczególne parametry zostaną przez operatora zaczerpnięte z już wydanych aktów wykonawczych do ustawy lub zostaną obliczone na podstawie precyzyjnie określonego w projektow</w:t>
      </w:r>
      <w:r w:rsidR="006C034B">
        <w:rPr>
          <w:rFonts w:cs="Times New Roman"/>
          <w:color w:val="000000"/>
          <w:spacing w:val="-2"/>
          <w:szCs w:val="24"/>
        </w:rPr>
        <w:t>an</w:t>
      </w:r>
      <w:r w:rsidR="003504E7" w:rsidRPr="006C034B">
        <w:rPr>
          <w:rFonts w:cs="Times New Roman"/>
          <w:color w:val="000000"/>
          <w:spacing w:val="-2"/>
          <w:szCs w:val="24"/>
        </w:rPr>
        <w:t>ej ustawie wzoru, a sama kalkulacja będzie czynnością matematyczną i nie będzie pozwalać na dowolność w podejściu przez operatora.</w:t>
      </w:r>
      <w:r w:rsidR="003504E7" w:rsidRPr="006C034B">
        <w:rPr>
          <w:rFonts w:cs="Times New Roman"/>
          <w:szCs w:val="24"/>
        </w:rPr>
        <w:t xml:space="preserve"> </w:t>
      </w:r>
      <w:r w:rsidR="003504E7" w:rsidRPr="006C034B">
        <w:rPr>
          <w:rFonts w:cs="Times New Roman"/>
          <w:color w:val="000000"/>
          <w:spacing w:val="-2"/>
          <w:szCs w:val="24"/>
        </w:rPr>
        <w:t xml:space="preserve">Operator, przygotowując propozycje parametrów aukcji uzupełniającej rynku mocy, dokona jedynie czynności obliczeniowych na potrzeby obliczenia zapotrzebowania na moc oraz (vide art. 32 ust. 1 pkt 1 oraz pkt 7 ustawy w sposób określony w </w:t>
      </w:r>
      <w:r w:rsidR="006734F3" w:rsidRPr="006C034B">
        <w:rPr>
          <w:rFonts w:cs="Times New Roman"/>
          <w:color w:val="000000"/>
          <w:spacing w:val="-2"/>
          <w:szCs w:val="24"/>
        </w:rPr>
        <w:t xml:space="preserve">projektowanym </w:t>
      </w:r>
      <w:r w:rsidR="003504E7" w:rsidRPr="006C034B">
        <w:rPr>
          <w:rFonts w:cs="Times New Roman"/>
          <w:color w:val="000000"/>
          <w:spacing w:val="-2"/>
          <w:szCs w:val="24"/>
        </w:rPr>
        <w:t>art. 34a ustawy)</w:t>
      </w:r>
      <w:r w:rsidR="007B2674" w:rsidRPr="006C034B">
        <w:rPr>
          <w:rFonts w:cs="Times New Roman"/>
          <w:color w:val="000000"/>
          <w:spacing w:val="-2"/>
          <w:szCs w:val="24"/>
        </w:rPr>
        <w:t>, oraz wyznaczenia maksymalnej określonej dla cenobiorcy, na podstawie wyznaczona na podstawie kapitałowych i operacyjnych kosztów stałych jednostek mogących uczestniczyć w tych aukcjach (art. 32 ust. 1 pkt 2)</w:t>
      </w:r>
      <w:r w:rsidR="003504E7" w:rsidRPr="006C034B">
        <w:rPr>
          <w:rFonts w:cs="Times New Roman"/>
          <w:color w:val="000000"/>
          <w:spacing w:val="-2"/>
          <w:szCs w:val="24"/>
        </w:rPr>
        <w:t>. Natomiast</w:t>
      </w:r>
      <w:r w:rsidR="00F909D4" w:rsidRPr="006C034B">
        <w:rPr>
          <w:rFonts w:cs="Times New Roman"/>
          <w:color w:val="000000"/>
          <w:spacing w:val="-2"/>
          <w:szCs w:val="24"/>
        </w:rPr>
        <w:t xml:space="preserve"> </w:t>
      </w:r>
      <w:r w:rsidR="003504E7" w:rsidRPr="006C034B">
        <w:rPr>
          <w:rFonts w:cs="Times New Roman"/>
          <w:color w:val="000000"/>
          <w:spacing w:val="-2"/>
          <w:szCs w:val="24"/>
        </w:rPr>
        <w:t>pozostałe wartości parametrów zostan</w:t>
      </w:r>
      <w:r w:rsidR="006734F3" w:rsidRPr="006C034B">
        <w:rPr>
          <w:rFonts w:cs="Times New Roman"/>
          <w:color w:val="000000"/>
          <w:spacing w:val="-2"/>
          <w:szCs w:val="24"/>
        </w:rPr>
        <w:t>ą</w:t>
      </w:r>
      <w:r w:rsidR="003504E7" w:rsidRPr="006C034B">
        <w:rPr>
          <w:rFonts w:cs="Times New Roman"/>
          <w:color w:val="000000"/>
          <w:spacing w:val="-2"/>
          <w:szCs w:val="24"/>
        </w:rPr>
        <w:t xml:space="preserve"> zaczerpnięt</w:t>
      </w:r>
      <w:r w:rsidR="006734F3" w:rsidRPr="006C034B">
        <w:rPr>
          <w:rFonts w:cs="Times New Roman"/>
          <w:color w:val="000000"/>
          <w:spacing w:val="-2"/>
          <w:szCs w:val="24"/>
        </w:rPr>
        <w:t>e</w:t>
      </w:r>
      <w:r w:rsidR="003504E7" w:rsidRPr="006C034B">
        <w:rPr>
          <w:rFonts w:cs="Times New Roman"/>
          <w:color w:val="000000"/>
          <w:spacing w:val="-2"/>
          <w:szCs w:val="24"/>
        </w:rPr>
        <w:t xml:space="preserve"> z </w:t>
      </w:r>
      <w:r w:rsidR="009A7B99" w:rsidRPr="006C034B">
        <w:rPr>
          <w:rFonts w:cs="Times New Roman"/>
          <w:color w:val="000000"/>
          <w:spacing w:val="-2"/>
          <w:szCs w:val="24"/>
        </w:rPr>
        <w:t>już ogłoszonych</w:t>
      </w:r>
      <w:r w:rsidR="00172C83" w:rsidRPr="006C034B">
        <w:rPr>
          <w:rFonts w:cs="Times New Roman"/>
          <w:color w:val="000000"/>
          <w:spacing w:val="-2"/>
          <w:szCs w:val="24"/>
        </w:rPr>
        <w:t xml:space="preserve"> </w:t>
      </w:r>
      <w:r w:rsidR="003504E7" w:rsidRPr="006C034B">
        <w:rPr>
          <w:rFonts w:cs="Times New Roman"/>
          <w:color w:val="000000"/>
          <w:spacing w:val="-2"/>
          <w:szCs w:val="24"/>
        </w:rPr>
        <w:t>rozporządzeń ministra</w:t>
      </w:r>
      <w:r w:rsidR="003504E7" w:rsidRPr="006C034B">
        <w:rPr>
          <w:rFonts w:cs="Times New Roman"/>
          <w:szCs w:val="24"/>
        </w:rPr>
        <w:t xml:space="preserve"> </w:t>
      </w:r>
      <w:r w:rsidR="003504E7" w:rsidRPr="006C034B">
        <w:rPr>
          <w:rFonts w:cs="Times New Roman"/>
          <w:color w:val="000000"/>
          <w:spacing w:val="-2"/>
          <w:szCs w:val="24"/>
        </w:rPr>
        <w:t xml:space="preserve">właściwego </w:t>
      </w:r>
      <w:r w:rsidR="006734F3" w:rsidRPr="006C034B">
        <w:rPr>
          <w:rFonts w:cs="Times New Roman"/>
          <w:color w:val="000000"/>
          <w:spacing w:val="-2"/>
          <w:szCs w:val="24"/>
        </w:rPr>
        <w:t>do spraw</w:t>
      </w:r>
      <w:r w:rsidR="003504E7" w:rsidRPr="006C034B">
        <w:rPr>
          <w:rFonts w:cs="Times New Roman"/>
          <w:color w:val="000000"/>
          <w:spacing w:val="-2"/>
          <w:szCs w:val="24"/>
        </w:rPr>
        <w:t xml:space="preserve"> energii wydanych na podstawie art. 34 ustawy – są </w:t>
      </w:r>
      <w:proofErr w:type="gramStart"/>
      <w:r w:rsidR="003504E7" w:rsidRPr="006C034B">
        <w:rPr>
          <w:rFonts w:cs="Times New Roman"/>
          <w:color w:val="000000"/>
          <w:spacing w:val="-2"/>
          <w:szCs w:val="24"/>
        </w:rPr>
        <w:t>to:  maksymalna</w:t>
      </w:r>
      <w:proofErr w:type="gramEnd"/>
      <w:r w:rsidR="003504E7" w:rsidRPr="006C034B">
        <w:rPr>
          <w:rFonts w:cs="Times New Roman"/>
          <w:color w:val="000000"/>
          <w:spacing w:val="-2"/>
          <w:szCs w:val="24"/>
        </w:rPr>
        <w:t xml:space="preserve"> liczba rund aukcji (art. 32 ust. 1 pkt 3), korekcyjne współczynniki dyspozycyjności dla poszczególnych grup technologii (art. 32 ust. 1 pkt 6), a także parametry, o których mowa w art. 31 ust. 2 i 3 ustawy o rynku mocy</w:t>
      </w:r>
      <w:r w:rsidR="0004390C" w:rsidRPr="006C034B">
        <w:rPr>
          <w:rFonts w:cs="Times New Roman"/>
          <w:color w:val="000000"/>
          <w:spacing w:val="-2"/>
          <w:szCs w:val="24"/>
        </w:rPr>
        <w:t>.</w:t>
      </w:r>
    </w:p>
    <w:p w14:paraId="6484D381" w14:textId="363D97CE" w:rsidR="001A2F39" w:rsidRPr="006C034B" w:rsidRDefault="001A2F39" w:rsidP="0065692C">
      <w:pPr>
        <w:spacing w:before="120"/>
        <w:jc w:val="both"/>
        <w:rPr>
          <w:rFonts w:cs="Times New Roman"/>
          <w:color w:val="000000"/>
          <w:szCs w:val="24"/>
        </w:rPr>
      </w:pPr>
      <w:r w:rsidRPr="006C034B">
        <w:rPr>
          <w:rFonts w:cs="Times New Roman"/>
          <w:color w:val="000000"/>
          <w:spacing w:val="-2"/>
          <w:szCs w:val="24"/>
        </w:rPr>
        <w:lastRenderedPageBreak/>
        <w:t xml:space="preserve">Dodatkowo status </w:t>
      </w:r>
      <w:proofErr w:type="spellStart"/>
      <w:r w:rsidRPr="006C034B">
        <w:rPr>
          <w:rFonts w:cs="Times New Roman"/>
          <w:color w:val="000000"/>
          <w:spacing w:val="-2"/>
          <w:szCs w:val="24"/>
        </w:rPr>
        <w:t>cenotwórcy</w:t>
      </w:r>
      <w:proofErr w:type="spellEnd"/>
      <w:r w:rsidRPr="006C034B">
        <w:rPr>
          <w:rFonts w:cs="Times New Roman"/>
          <w:color w:val="000000"/>
          <w:spacing w:val="-2"/>
          <w:szCs w:val="24"/>
        </w:rPr>
        <w:t xml:space="preserve"> i </w:t>
      </w:r>
      <w:proofErr w:type="spellStart"/>
      <w:r w:rsidRPr="006C034B">
        <w:rPr>
          <w:rFonts w:cs="Times New Roman"/>
          <w:color w:val="000000"/>
          <w:spacing w:val="-2"/>
          <w:szCs w:val="24"/>
        </w:rPr>
        <w:t>cenobiorcy</w:t>
      </w:r>
      <w:proofErr w:type="spellEnd"/>
      <w:r w:rsidRPr="006C034B">
        <w:rPr>
          <w:rFonts w:cs="Times New Roman"/>
          <w:color w:val="000000"/>
          <w:spacing w:val="-2"/>
          <w:szCs w:val="24"/>
        </w:rPr>
        <w:t xml:space="preserve"> będzie przyznany zgodnie z</w:t>
      </w:r>
      <w:r w:rsidR="00647C41" w:rsidRPr="006C034B">
        <w:rPr>
          <w:rFonts w:cs="Times New Roman"/>
          <w:color w:val="000000"/>
          <w:spacing w:val="-2"/>
          <w:szCs w:val="24"/>
        </w:rPr>
        <w:t> </w:t>
      </w:r>
      <w:r w:rsidRPr="006C034B">
        <w:rPr>
          <w:rFonts w:cs="Times New Roman"/>
          <w:color w:val="000000"/>
          <w:spacing w:val="-2"/>
          <w:szCs w:val="24"/>
        </w:rPr>
        <w:t>zasadami</w:t>
      </w:r>
      <w:r w:rsidR="004B49BB" w:rsidRPr="006C034B">
        <w:rPr>
          <w:rFonts w:cs="Times New Roman"/>
          <w:color w:val="000000"/>
          <w:spacing w:val="-2"/>
          <w:szCs w:val="24"/>
        </w:rPr>
        <w:t xml:space="preserve"> obowiązującymi na</w:t>
      </w:r>
      <w:r w:rsidRPr="006C034B">
        <w:rPr>
          <w:rFonts w:cs="Times New Roman"/>
          <w:color w:val="000000"/>
          <w:spacing w:val="-2"/>
          <w:szCs w:val="24"/>
        </w:rPr>
        <w:t xml:space="preserve"> aukcji dodatkowej, tj. jednostki wytwórcze istniejące będą </w:t>
      </w:r>
      <w:r w:rsidR="009A7B99" w:rsidRPr="006C034B">
        <w:rPr>
          <w:rFonts w:cs="Times New Roman"/>
          <w:color w:val="000000"/>
          <w:spacing w:val="-2"/>
          <w:szCs w:val="24"/>
        </w:rPr>
        <w:t xml:space="preserve">miały </w:t>
      </w:r>
      <w:r w:rsidRPr="006C034B">
        <w:rPr>
          <w:rFonts w:cs="Times New Roman"/>
          <w:color w:val="000000"/>
          <w:spacing w:val="-2"/>
          <w:szCs w:val="24"/>
        </w:rPr>
        <w:t xml:space="preserve">status cenobiorcy, a </w:t>
      </w:r>
      <w:r w:rsidR="004B49BB" w:rsidRPr="006C034B">
        <w:rPr>
          <w:rFonts w:cs="Times New Roman"/>
          <w:color w:val="000000"/>
          <w:spacing w:val="-2"/>
          <w:szCs w:val="24"/>
        </w:rPr>
        <w:t xml:space="preserve">jednostki </w:t>
      </w:r>
      <w:r w:rsidRPr="006C034B">
        <w:rPr>
          <w:rFonts w:cs="Times New Roman"/>
          <w:color w:val="000000"/>
          <w:spacing w:val="-2"/>
          <w:szCs w:val="24"/>
        </w:rPr>
        <w:t xml:space="preserve">DSR i </w:t>
      </w:r>
      <w:r w:rsidR="004B49BB" w:rsidRPr="006C034B">
        <w:rPr>
          <w:rFonts w:cs="Times New Roman"/>
          <w:color w:val="000000"/>
          <w:spacing w:val="-2"/>
          <w:szCs w:val="24"/>
        </w:rPr>
        <w:t xml:space="preserve">jednostki składające się z jednostek fizycznych zagranicznych </w:t>
      </w:r>
      <w:r w:rsidRPr="006C034B">
        <w:rPr>
          <w:rFonts w:cs="Times New Roman"/>
          <w:color w:val="000000"/>
          <w:spacing w:val="-2"/>
          <w:szCs w:val="24"/>
        </w:rPr>
        <w:t xml:space="preserve">będą </w:t>
      </w:r>
      <w:r w:rsidR="009A7B99" w:rsidRPr="006C034B">
        <w:rPr>
          <w:rFonts w:cs="Times New Roman"/>
          <w:color w:val="000000"/>
          <w:spacing w:val="-2"/>
          <w:szCs w:val="24"/>
        </w:rPr>
        <w:t xml:space="preserve">miały </w:t>
      </w:r>
      <w:r w:rsidRPr="006C034B">
        <w:rPr>
          <w:rFonts w:cs="Times New Roman"/>
          <w:color w:val="000000"/>
          <w:spacing w:val="-2"/>
          <w:szCs w:val="24"/>
        </w:rPr>
        <w:t>status cenotwórcy.</w:t>
      </w:r>
      <w:r w:rsidR="00167B8A" w:rsidRPr="006C034B">
        <w:rPr>
          <w:rFonts w:cs="Times New Roman"/>
          <w:color w:val="000000"/>
          <w:spacing w:val="-2"/>
          <w:szCs w:val="24"/>
        </w:rPr>
        <w:t xml:space="preserve"> To rozstrzygnięcie projektodawcy wynika z faktu, że aukcje uzupełniające umożliwiają zawarcie umowy mocowej na maksymalnie jeden rok, więc statu</w:t>
      </w:r>
      <w:r w:rsidR="006734F3" w:rsidRPr="006C034B">
        <w:rPr>
          <w:rFonts w:cs="Times New Roman"/>
          <w:color w:val="000000"/>
          <w:spacing w:val="-2"/>
          <w:szCs w:val="24"/>
        </w:rPr>
        <w:t>s</w:t>
      </w:r>
      <w:r w:rsidR="00167B8A" w:rsidRPr="006C034B">
        <w:rPr>
          <w:rFonts w:cs="Times New Roman"/>
          <w:color w:val="000000"/>
          <w:spacing w:val="-2"/>
          <w:szCs w:val="24"/>
        </w:rPr>
        <w:t xml:space="preserve"> cenotwórcy i cenobiorcy został ustalony analogicznie do aukcji dodatkowej (art. 25 ust. 7 ustawy o rynku mocy). Zgodnie z obowiązującymi zasadami rynku mocy, zapewnienie statusu cenotwórcy dla jednostek wytwórczych ma miejsce tylko w odniesieniu do jednostek nowych oraz tych, które są w stanie wykazać odpowiedni poziom nakładów inwestycyjnych kwalifikujących do zawarcia wieloletnich umów mocowych (w ramach aukcji głównej). W przypadku aukcji uzupełniającej (umowy roczne/półroczna), w której nie ma możliwości zawierania umów wieloletnich, taki stan nie występuje.</w:t>
      </w:r>
      <w:r w:rsidR="001B275A" w:rsidRPr="006C034B">
        <w:rPr>
          <w:rFonts w:cs="Times New Roman"/>
          <w:color w:val="000000"/>
          <w:spacing w:val="-2"/>
          <w:szCs w:val="24"/>
        </w:rPr>
        <w:t xml:space="preserve"> Cenotwórcami na tych aukcjach, jak w przypadku aukcji dodatkowych, mogą być jedynie jednostki rynku mocy redukcji zapotrzebowania, jednostki rynku mocy składającej się z jednostki fizycznej zagranicznej redukcji zapotrzebowania i jednostki rynku mocy składającej się z jednostki fizycznej zagranicznej wytwórczej.</w:t>
      </w:r>
      <w:r w:rsidRPr="006C034B">
        <w:rPr>
          <w:rFonts w:cs="Times New Roman"/>
          <w:color w:val="000000"/>
          <w:spacing w:val="-2"/>
          <w:szCs w:val="24"/>
        </w:rPr>
        <w:t xml:space="preserve"> </w:t>
      </w:r>
      <w:r w:rsidR="00167B8A" w:rsidRPr="006C034B">
        <w:rPr>
          <w:rFonts w:cs="Times New Roman"/>
          <w:color w:val="000000"/>
          <w:spacing w:val="-2"/>
          <w:szCs w:val="24"/>
        </w:rPr>
        <w:t>Ponadto</w:t>
      </w:r>
      <w:r w:rsidR="009A7B99" w:rsidRPr="006C034B">
        <w:rPr>
          <w:rFonts w:cs="Times New Roman"/>
          <w:color w:val="000000"/>
          <w:spacing w:val="-2"/>
          <w:szCs w:val="24"/>
        </w:rPr>
        <w:t xml:space="preserve"> </w:t>
      </w:r>
      <w:r w:rsidR="00167B8A" w:rsidRPr="006C034B">
        <w:rPr>
          <w:rFonts w:cs="Times New Roman"/>
          <w:color w:val="000000"/>
          <w:spacing w:val="-2"/>
          <w:szCs w:val="24"/>
        </w:rPr>
        <w:t>a</w:t>
      </w:r>
      <w:r w:rsidRPr="006C034B">
        <w:rPr>
          <w:rFonts w:cs="Times New Roman"/>
          <w:color w:val="000000"/>
          <w:spacing w:val="-2"/>
          <w:szCs w:val="24"/>
        </w:rPr>
        <w:t>ukcje uzupełniające będą realizowane na zasadach analogicznych do obecnych aukcji głównych i dodatkowy</w:t>
      </w:r>
      <w:r w:rsidR="00EF371E" w:rsidRPr="006C034B">
        <w:rPr>
          <w:rFonts w:cs="Times New Roman"/>
          <w:color w:val="000000"/>
          <w:spacing w:val="-2"/>
          <w:szCs w:val="24"/>
        </w:rPr>
        <w:t>ch</w:t>
      </w:r>
      <w:r w:rsidR="00B13945" w:rsidRPr="006C034B">
        <w:rPr>
          <w:rFonts w:cs="Times New Roman"/>
          <w:color w:val="000000"/>
          <w:spacing w:val="-2"/>
          <w:szCs w:val="24"/>
        </w:rPr>
        <w:t>,</w:t>
      </w:r>
      <w:r w:rsidR="009A7B99" w:rsidRPr="006C034B">
        <w:rPr>
          <w:rFonts w:cs="Times New Roman"/>
          <w:color w:val="000000"/>
          <w:spacing w:val="-2"/>
          <w:szCs w:val="24"/>
        </w:rPr>
        <w:t xml:space="preserve"> czyli </w:t>
      </w:r>
      <w:r w:rsidRPr="006C034B">
        <w:rPr>
          <w:rFonts w:cs="Times New Roman"/>
          <w:color w:val="000000"/>
          <w:spacing w:val="-2"/>
          <w:szCs w:val="24"/>
        </w:rPr>
        <w:t>w formule aukcji holenderskiej, w rundach ze spadającą ceną, z ustaloną ceną maksymalną</w:t>
      </w:r>
      <w:r w:rsidR="004B49BB" w:rsidRPr="006C034B">
        <w:rPr>
          <w:rFonts w:cs="Times New Roman"/>
          <w:color w:val="000000"/>
          <w:spacing w:val="-2"/>
          <w:szCs w:val="24"/>
        </w:rPr>
        <w:t xml:space="preserve"> oraz jednolitą ceną zamknięcia aukcji</w:t>
      </w:r>
      <w:r w:rsidRPr="006C034B">
        <w:rPr>
          <w:rFonts w:cs="Times New Roman"/>
          <w:color w:val="000000"/>
          <w:spacing w:val="-2"/>
          <w:szCs w:val="24"/>
        </w:rPr>
        <w:t>.</w:t>
      </w:r>
    </w:p>
    <w:p w14:paraId="4ADF49FA" w14:textId="73F589EE" w:rsidR="00960F64" w:rsidRPr="006C034B" w:rsidRDefault="00960F64" w:rsidP="0065692C">
      <w:pPr>
        <w:spacing w:before="120"/>
        <w:jc w:val="both"/>
        <w:rPr>
          <w:rFonts w:cs="Times New Roman"/>
          <w:color w:val="000000"/>
          <w:szCs w:val="24"/>
        </w:rPr>
      </w:pPr>
      <w:r w:rsidRPr="006C034B">
        <w:rPr>
          <w:rFonts w:cs="Times New Roman"/>
          <w:color w:val="000000"/>
          <w:szCs w:val="24"/>
        </w:rPr>
        <w:t>Stąd</w:t>
      </w:r>
      <w:r w:rsidR="00057078" w:rsidRPr="006C034B">
        <w:rPr>
          <w:rFonts w:cs="Times New Roman"/>
          <w:color w:val="000000"/>
          <w:szCs w:val="24"/>
        </w:rPr>
        <w:t xml:space="preserve"> w </w:t>
      </w:r>
      <w:r w:rsidRPr="006C034B">
        <w:rPr>
          <w:rFonts w:cs="Times New Roman"/>
          <w:color w:val="000000"/>
          <w:szCs w:val="24"/>
        </w:rPr>
        <w:t>art. 1 zaproponowano przepisy zmieniające ustawę o rynku mocy:</w:t>
      </w:r>
    </w:p>
    <w:p w14:paraId="3EE5FFDB" w14:textId="0086972C" w:rsidR="00960F64" w:rsidRPr="006C034B" w:rsidRDefault="00960F64" w:rsidP="0065692C">
      <w:pPr>
        <w:pStyle w:val="Akapitzlist"/>
        <w:numPr>
          <w:ilvl w:val="0"/>
          <w:numId w:val="7"/>
        </w:numPr>
        <w:ind w:left="425" w:hanging="425"/>
        <w:contextualSpacing w:val="0"/>
        <w:jc w:val="both"/>
        <w:rPr>
          <w:rFonts w:cs="Times New Roman"/>
          <w:szCs w:val="24"/>
        </w:rPr>
      </w:pPr>
      <w:r w:rsidRPr="006C034B">
        <w:rPr>
          <w:rFonts w:cs="Times New Roman"/>
          <w:color w:val="000000"/>
          <w:szCs w:val="24"/>
        </w:rPr>
        <w:t xml:space="preserve">w pkt 1 dodano odnośnik informujący o tym, że ustawa o rynku </w:t>
      </w:r>
      <w:r w:rsidR="00BC6538" w:rsidRPr="006C034B">
        <w:rPr>
          <w:rFonts w:cs="Times New Roman"/>
          <w:color w:val="000000"/>
          <w:szCs w:val="24"/>
        </w:rPr>
        <w:t xml:space="preserve">mocy </w:t>
      </w:r>
      <w:r w:rsidRPr="006C034B">
        <w:rPr>
          <w:rFonts w:cs="Times New Roman"/>
          <w:color w:val="000000"/>
          <w:szCs w:val="24"/>
        </w:rPr>
        <w:t xml:space="preserve">w zakresie swojej </w:t>
      </w:r>
      <w:r w:rsidRPr="006C034B">
        <w:rPr>
          <w:rFonts w:cs="Times New Roman"/>
          <w:szCs w:val="24"/>
        </w:rPr>
        <w:t>regulacji służy stosowaniu rozporządzenia EMD;</w:t>
      </w:r>
    </w:p>
    <w:p w14:paraId="549551A3" w14:textId="1B3878EE" w:rsidR="00960F64" w:rsidRPr="006C034B" w:rsidRDefault="00960F64"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2 wprowadzono w art. 2 ustawy o rynku mocy definicję aukcji uzupełniającej</w:t>
      </w:r>
      <w:r w:rsidR="00ED13A4" w:rsidRPr="006C034B">
        <w:rPr>
          <w:rFonts w:cs="Times New Roman"/>
          <w:szCs w:val="24"/>
        </w:rPr>
        <w:t>, określając</w:t>
      </w:r>
      <w:r w:rsidR="00D50229" w:rsidRPr="006C034B">
        <w:rPr>
          <w:rFonts w:cs="Times New Roman"/>
          <w:szCs w:val="24"/>
        </w:rPr>
        <w:t>,</w:t>
      </w:r>
      <w:r w:rsidR="00ED13A4" w:rsidRPr="006C034B">
        <w:rPr>
          <w:rFonts w:cs="Times New Roman"/>
          <w:szCs w:val="24"/>
        </w:rPr>
        <w:t xml:space="preserve"> że jest to aukcja mocy przeprowadzana na okresy dostaw</w:t>
      </w:r>
      <w:r w:rsidR="00EF371E" w:rsidRPr="006C034B">
        <w:rPr>
          <w:rFonts w:cs="Times New Roman"/>
          <w:szCs w:val="24"/>
        </w:rPr>
        <w:t>:</w:t>
      </w:r>
      <w:r w:rsidR="00ED13A4" w:rsidRPr="006C034B">
        <w:rPr>
          <w:rFonts w:cs="Times New Roman"/>
          <w:szCs w:val="24"/>
        </w:rPr>
        <w:t xml:space="preserve"> druga połowa 2025 r., 2026</w:t>
      </w:r>
      <w:r w:rsidR="009A7B99" w:rsidRPr="006C034B">
        <w:rPr>
          <w:rFonts w:cs="Times New Roman"/>
          <w:szCs w:val="24"/>
        </w:rPr>
        <w:t>–</w:t>
      </w:r>
      <w:r w:rsidR="00ED13A4" w:rsidRPr="006C034B">
        <w:rPr>
          <w:rFonts w:cs="Times New Roman"/>
          <w:szCs w:val="24"/>
        </w:rPr>
        <w:t>2028 r. (okresy roczne)</w:t>
      </w:r>
      <w:r w:rsidR="00167B8A" w:rsidRPr="006C034B">
        <w:rPr>
          <w:rFonts w:cs="Times New Roman"/>
          <w:szCs w:val="24"/>
        </w:rPr>
        <w:t>, a także zmodyfikowano definicję okresu dostaw, tak aby było jasne, że okresem dostaw jest rok kalendarzowy (właściwy dla aukcji głównej), albo kwartał (właściwy dla aukcji dodatkowych)</w:t>
      </w:r>
      <w:r w:rsidR="009A7B99" w:rsidRPr="006C034B">
        <w:rPr>
          <w:rFonts w:cs="Times New Roman"/>
          <w:szCs w:val="24"/>
        </w:rPr>
        <w:t>,</w:t>
      </w:r>
      <w:r w:rsidR="00167B8A" w:rsidRPr="006C034B">
        <w:rPr>
          <w:rFonts w:cs="Times New Roman"/>
          <w:szCs w:val="24"/>
        </w:rPr>
        <w:t xml:space="preserve"> albo okres, o którym mowa w definicji aukcji uzupełniającej (rok kalendarzowy (2026, 2027, 2028) lub pół roku (</w:t>
      </w:r>
      <w:r w:rsidR="00B540AF" w:rsidRPr="006C034B">
        <w:rPr>
          <w:rFonts w:cs="Times New Roman"/>
          <w:szCs w:val="24"/>
        </w:rPr>
        <w:t xml:space="preserve">druga połowa </w:t>
      </w:r>
      <w:r w:rsidR="00167B8A" w:rsidRPr="006C034B">
        <w:rPr>
          <w:rFonts w:cs="Times New Roman"/>
          <w:szCs w:val="24"/>
        </w:rPr>
        <w:t>2025 r.))</w:t>
      </w:r>
      <w:r w:rsidRPr="006C034B">
        <w:rPr>
          <w:rFonts w:cs="Times New Roman"/>
          <w:szCs w:val="24"/>
        </w:rPr>
        <w:t>;</w:t>
      </w:r>
    </w:p>
    <w:p w14:paraId="7F0BF14D" w14:textId="75E40A38" w:rsidR="00960F64" w:rsidRPr="006C034B" w:rsidRDefault="00960F64"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3 zmodyfikowano przepis</w:t>
      </w:r>
      <w:r w:rsidR="00D10381" w:rsidRPr="006C034B">
        <w:rPr>
          <w:rFonts w:cs="Times New Roman"/>
          <w:szCs w:val="24"/>
        </w:rPr>
        <w:t>y</w:t>
      </w:r>
      <w:r w:rsidRPr="006C034B">
        <w:rPr>
          <w:rFonts w:cs="Times New Roman"/>
          <w:szCs w:val="24"/>
        </w:rPr>
        <w:t xml:space="preserve"> art. </w:t>
      </w:r>
      <w:r w:rsidR="004378BA" w:rsidRPr="006C034B">
        <w:rPr>
          <w:rFonts w:cs="Times New Roman"/>
          <w:szCs w:val="24"/>
        </w:rPr>
        <w:t>3</w:t>
      </w:r>
      <w:r w:rsidRPr="006C034B">
        <w:rPr>
          <w:rFonts w:cs="Times New Roman"/>
          <w:szCs w:val="24"/>
        </w:rPr>
        <w:t xml:space="preserve"> ustawy o rynku mocy</w:t>
      </w:r>
      <w:r w:rsidR="00B7345B" w:rsidRPr="006C034B">
        <w:rPr>
          <w:rFonts w:cs="Times New Roman"/>
          <w:szCs w:val="24"/>
        </w:rPr>
        <w:t>,</w:t>
      </w:r>
      <w:r w:rsidRPr="006C034B">
        <w:rPr>
          <w:rFonts w:cs="Times New Roman"/>
          <w:szCs w:val="24"/>
        </w:rPr>
        <w:t xml:space="preserve"> wprowadzając certyfikację do aukcji uzupełniającej </w:t>
      </w:r>
      <w:r w:rsidR="00B56DA3" w:rsidRPr="006C034B">
        <w:rPr>
          <w:rFonts w:cs="Times New Roman"/>
          <w:szCs w:val="24"/>
        </w:rPr>
        <w:t xml:space="preserve">jako dodatkowy etap procesów aukcji uzupełniającej, niezbędny do jej przeprowadzenia, </w:t>
      </w:r>
      <w:r w:rsidRPr="006C034B">
        <w:rPr>
          <w:rFonts w:cs="Times New Roman"/>
          <w:szCs w:val="24"/>
        </w:rPr>
        <w:t>i określając czas jej trwania</w:t>
      </w:r>
      <w:r w:rsidR="00ED13A4" w:rsidRPr="006C034B">
        <w:rPr>
          <w:rFonts w:cs="Times New Roman"/>
          <w:szCs w:val="24"/>
        </w:rPr>
        <w:t xml:space="preserve"> (nie krócej niż </w:t>
      </w:r>
      <w:r w:rsidR="00B56DA3" w:rsidRPr="006C034B">
        <w:rPr>
          <w:rFonts w:cs="Times New Roman"/>
          <w:szCs w:val="24"/>
        </w:rPr>
        <w:t xml:space="preserve">4 </w:t>
      </w:r>
      <w:r w:rsidR="00ED13A4" w:rsidRPr="006C034B">
        <w:rPr>
          <w:rFonts w:cs="Times New Roman"/>
          <w:szCs w:val="24"/>
        </w:rPr>
        <w:t>tygodni</w:t>
      </w:r>
      <w:r w:rsidR="00B56DA3" w:rsidRPr="006C034B">
        <w:rPr>
          <w:rFonts w:cs="Times New Roman"/>
          <w:szCs w:val="24"/>
        </w:rPr>
        <w:t>e</w:t>
      </w:r>
      <w:r w:rsidR="00ED13A4" w:rsidRPr="006C034B">
        <w:rPr>
          <w:rFonts w:cs="Times New Roman"/>
          <w:szCs w:val="24"/>
        </w:rPr>
        <w:t>)</w:t>
      </w:r>
      <w:r w:rsidRPr="006C034B">
        <w:rPr>
          <w:rFonts w:cs="Times New Roman"/>
          <w:szCs w:val="24"/>
        </w:rPr>
        <w:t xml:space="preserve"> i moment rozpoczęcia</w:t>
      </w:r>
      <w:r w:rsidR="00ED13A4" w:rsidRPr="006C034B">
        <w:rPr>
          <w:rFonts w:cs="Times New Roman"/>
          <w:szCs w:val="24"/>
        </w:rPr>
        <w:t xml:space="preserve"> (nie wcześniej niż po ogłoszeniu ostatecznych wyników aukcji dodatkowych </w:t>
      </w:r>
      <w:r w:rsidR="00ED13A4" w:rsidRPr="006C034B">
        <w:rPr>
          <w:rFonts w:cs="Times New Roman"/>
          <w:szCs w:val="24"/>
        </w:rPr>
        <w:lastRenderedPageBreak/>
        <w:t>na dany rok dostaw)</w:t>
      </w:r>
      <w:r w:rsidR="00B56DA3" w:rsidRPr="006C034B">
        <w:rPr>
          <w:rFonts w:cs="Times New Roman"/>
          <w:szCs w:val="24"/>
        </w:rPr>
        <w:t xml:space="preserve"> i moment zakończenia </w:t>
      </w:r>
      <w:r w:rsidR="000261B2" w:rsidRPr="006C034B">
        <w:rPr>
          <w:rFonts w:cs="Times New Roman"/>
          <w:szCs w:val="24"/>
        </w:rPr>
        <w:t>–</w:t>
      </w:r>
      <w:r w:rsidR="00B56DA3" w:rsidRPr="006C034B">
        <w:rPr>
          <w:rFonts w:cs="Times New Roman"/>
          <w:szCs w:val="24"/>
        </w:rPr>
        <w:t xml:space="preserve"> </w:t>
      </w:r>
      <w:r w:rsidR="000261B2" w:rsidRPr="006C034B">
        <w:rPr>
          <w:rFonts w:cs="Times New Roman"/>
          <w:szCs w:val="24"/>
        </w:rPr>
        <w:t>10 dni przed rozpoczęciem aukcji uzupełniających</w:t>
      </w:r>
      <w:r w:rsidRPr="006C034B">
        <w:rPr>
          <w:rFonts w:cs="Times New Roman"/>
          <w:szCs w:val="24"/>
        </w:rPr>
        <w:t>;</w:t>
      </w:r>
    </w:p>
    <w:p w14:paraId="11687EE5" w14:textId="2DB97655" w:rsidR="00960F64" w:rsidRPr="006C034B" w:rsidRDefault="00960F64"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4 </w:t>
      </w:r>
      <w:r w:rsidR="003D04AF" w:rsidRPr="006C034B">
        <w:rPr>
          <w:rFonts w:cs="Times New Roman"/>
          <w:szCs w:val="24"/>
        </w:rPr>
        <w:t>z</w:t>
      </w:r>
      <w:r w:rsidRPr="006C034B">
        <w:rPr>
          <w:rFonts w:cs="Times New Roman"/>
          <w:szCs w:val="24"/>
        </w:rPr>
        <w:t>mieniono art. 4 ustawy o rynku mocy</w:t>
      </w:r>
      <w:r w:rsidR="00B7345B" w:rsidRPr="006C034B">
        <w:rPr>
          <w:rFonts w:cs="Times New Roman"/>
          <w:szCs w:val="24"/>
        </w:rPr>
        <w:t>,</w:t>
      </w:r>
      <w:r w:rsidRPr="006C034B">
        <w:rPr>
          <w:rFonts w:cs="Times New Roman"/>
          <w:szCs w:val="24"/>
        </w:rPr>
        <w:t xml:space="preserve"> </w:t>
      </w:r>
      <w:r w:rsidR="00B56DA3" w:rsidRPr="006C034B">
        <w:rPr>
          <w:rFonts w:cs="Times New Roman"/>
          <w:szCs w:val="24"/>
        </w:rPr>
        <w:t xml:space="preserve">wprowadzając poza aukcjami wstępnymi do aukcji głównej i akcji dodatkowych również aukcje wstępne do aukcji uzupełniającej, które przeprowadza się po ogłoszeniu parametrów aukcji uzupełniającej, jednak nie później niż przed rozpoczęciem certyfikacji do aukcji uzupełniającej, a także </w:t>
      </w:r>
      <w:r w:rsidR="003D04AF" w:rsidRPr="006C034B">
        <w:rPr>
          <w:rFonts w:cs="Times New Roman"/>
          <w:szCs w:val="24"/>
        </w:rPr>
        <w:t>określając, że aukcję uzupełniającą prowadzi się w postaci elektronicznej za pomocą dedykowanego systemu teleinformatycznego, o terminie jej przeprowadzenia informuje się na stronie internetowej, a oferty i oświadczenia składane w jej trakcie opatruje się podpisem kwalifikowanym;</w:t>
      </w:r>
    </w:p>
    <w:p w14:paraId="1DEEBBBE" w14:textId="26A3BFDA" w:rsidR="00B56DA3" w:rsidRPr="006C034B" w:rsidRDefault="00B56DA3"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5 </w:t>
      </w:r>
      <w:r w:rsidR="00D51F89" w:rsidRPr="006C034B">
        <w:rPr>
          <w:rFonts w:cs="Times New Roman"/>
          <w:szCs w:val="24"/>
        </w:rPr>
        <w:t>zmieniono art. 7 ustawy o rynku mocy</w:t>
      </w:r>
      <w:r w:rsidR="00B7345B" w:rsidRPr="006C034B">
        <w:rPr>
          <w:rFonts w:cs="Times New Roman"/>
          <w:szCs w:val="24"/>
        </w:rPr>
        <w:t>,</w:t>
      </w:r>
      <w:r w:rsidR="00D51F89" w:rsidRPr="006C034B">
        <w:rPr>
          <w:rFonts w:cs="Times New Roman"/>
          <w:szCs w:val="24"/>
        </w:rPr>
        <w:t xml:space="preserve"> określając zasady wyboru ofert na aukcji wstępnej do aukcji uzupełniającej;</w:t>
      </w:r>
    </w:p>
    <w:p w14:paraId="110BFBD3" w14:textId="0F65B21F"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D51F89" w:rsidRPr="006C034B">
        <w:rPr>
          <w:rFonts w:cs="Times New Roman"/>
          <w:szCs w:val="24"/>
        </w:rPr>
        <w:t>6</w:t>
      </w:r>
      <w:r w:rsidRPr="006C034B">
        <w:rPr>
          <w:rFonts w:cs="Times New Roman"/>
          <w:szCs w:val="24"/>
        </w:rPr>
        <w:t xml:space="preserve"> zmieniono art. 9 ustawy o rynku mocy wprowadzając zmianę w ust. 7</w:t>
      </w:r>
      <w:r w:rsidR="00D51F89" w:rsidRPr="006C034B">
        <w:rPr>
          <w:rFonts w:cs="Times New Roman"/>
          <w:szCs w:val="24"/>
        </w:rPr>
        <w:t xml:space="preserve"> </w:t>
      </w:r>
      <w:r w:rsidR="009A7B99" w:rsidRPr="006C034B">
        <w:rPr>
          <w:rFonts w:cs="Times New Roman"/>
          <w:szCs w:val="24"/>
        </w:rPr>
        <w:t>–</w:t>
      </w:r>
      <w:r w:rsidR="00D51F89" w:rsidRPr="006C034B">
        <w:rPr>
          <w:rFonts w:cs="Times New Roman"/>
          <w:szCs w:val="24"/>
        </w:rPr>
        <w:t>uzupełniając przepisy o rozwiązania dot</w:t>
      </w:r>
      <w:r w:rsidR="009A7B99" w:rsidRPr="006C034B">
        <w:rPr>
          <w:rFonts w:cs="Times New Roman"/>
          <w:szCs w:val="24"/>
        </w:rPr>
        <w:t>yczące</w:t>
      </w:r>
      <w:r w:rsidR="00D51F89" w:rsidRPr="006C034B">
        <w:rPr>
          <w:rFonts w:cs="Times New Roman"/>
          <w:szCs w:val="24"/>
        </w:rPr>
        <w:t xml:space="preserve"> aukcji wstępnej do</w:t>
      </w:r>
      <w:r w:rsidR="00F61DF9" w:rsidRPr="006C034B">
        <w:rPr>
          <w:rFonts w:cs="Times New Roman"/>
          <w:szCs w:val="24"/>
        </w:rPr>
        <w:t xml:space="preserve"> aukcji uzupełniającej</w:t>
      </w:r>
      <w:r w:rsidRPr="006C034B">
        <w:rPr>
          <w:rFonts w:cs="Times New Roman"/>
          <w:szCs w:val="24"/>
        </w:rPr>
        <w:t>;</w:t>
      </w:r>
    </w:p>
    <w:p w14:paraId="3A022AFF" w14:textId="1C2E8B9F"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F61DF9" w:rsidRPr="006C034B">
        <w:rPr>
          <w:rFonts w:cs="Times New Roman"/>
          <w:szCs w:val="24"/>
        </w:rPr>
        <w:t>7</w:t>
      </w:r>
      <w:r w:rsidRPr="006C034B">
        <w:rPr>
          <w:rFonts w:cs="Times New Roman"/>
          <w:szCs w:val="24"/>
        </w:rPr>
        <w:t xml:space="preserve"> zmieniono art. 12 ustawy o rynku mocy</w:t>
      </w:r>
      <w:r w:rsidR="00B7345B" w:rsidRPr="006C034B">
        <w:rPr>
          <w:rFonts w:cs="Times New Roman"/>
          <w:szCs w:val="24"/>
        </w:rPr>
        <w:t>,</w:t>
      </w:r>
      <w:r w:rsidRPr="006C034B">
        <w:rPr>
          <w:rFonts w:cs="Times New Roman"/>
          <w:szCs w:val="24"/>
        </w:rPr>
        <w:t xml:space="preserve"> ograniczając zakres przedmiotowy wniosku o rejestrację</w:t>
      </w:r>
      <w:r w:rsidR="00D10381" w:rsidRPr="006C034B">
        <w:rPr>
          <w:rFonts w:cs="Times New Roman"/>
          <w:szCs w:val="24"/>
        </w:rPr>
        <w:t>,</w:t>
      </w:r>
      <w:r w:rsidRPr="006C034B">
        <w:rPr>
          <w:rFonts w:cs="Times New Roman"/>
          <w:szCs w:val="24"/>
        </w:rPr>
        <w:t xml:space="preserve"> zmieniając zakres wniosku o rejestrację jednostki redukcji zapotrzebowania </w:t>
      </w:r>
      <w:proofErr w:type="gramStart"/>
      <w:r w:rsidRPr="006C034B">
        <w:rPr>
          <w:rFonts w:cs="Times New Roman"/>
          <w:szCs w:val="24"/>
        </w:rPr>
        <w:t>planowanej,</w:t>
      </w:r>
      <w:proofErr w:type="gramEnd"/>
      <w:r w:rsidRPr="006C034B">
        <w:rPr>
          <w:rFonts w:cs="Times New Roman"/>
          <w:szCs w:val="24"/>
        </w:rPr>
        <w:t xml:space="preserve"> </w:t>
      </w:r>
      <w:r w:rsidR="00D10381" w:rsidRPr="006C034B">
        <w:rPr>
          <w:rFonts w:cs="Times New Roman"/>
          <w:szCs w:val="24"/>
        </w:rPr>
        <w:t xml:space="preserve">oraz </w:t>
      </w:r>
      <w:r w:rsidRPr="006C034B">
        <w:rPr>
          <w:rFonts w:cs="Times New Roman"/>
          <w:szCs w:val="24"/>
        </w:rPr>
        <w:t>zakres uprawnień jednost</w:t>
      </w:r>
      <w:r w:rsidR="00D10381" w:rsidRPr="006C034B">
        <w:rPr>
          <w:rFonts w:cs="Times New Roman"/>
          <w:szCs w:val="24"/>
        </w:rPr>
        <w:t>ek</w:t>
      </w:r>
      <w:r w:rsidRPr="006C034B">
        <w:rPr>
          <w:rFonts w:cs="Times New Roman"/>
          <w:szCs w:val="24"/>
        </w:rPr>
        <w:t xml:space="preserve"> wynikających z</w:t>
      </w:r>
      <w:r w:rsidR="00796F5E" w:rsidRPr="006C034B">
        <w:rPr>
          <w:rFonts w:cs="Times New Roman"/>
          <w:szCs w:val="24"/>
        </w:rPr>
        <w:t> </w:t>
      </w:r>
      <w:r w:rsidRPr="006C034B">
        <w:rPr>
          <w:rFonts w:cs="Times New Roman"/>
          <w:szCs w:val="24"/>
        </w:rPr>
        <w:t>uzyskania wpisu do rejestru</w:t>
      </w:r>
      <w:r w:rsidR="000B5663" w:rsidRPr="006C034B">
        <w:rPr>
          <w:rFonts w:cs="Times New Roman"/>
          <w:szCs w:val="24"/>
        </w:rPr>
        <w:t>. Ograniczenie informacji zawartych we wniosku o rejestrację przez usunięcie informacji o planach pracy na najbliższe 5 lat kalendarzowych (dla jednostek fizycznych), zgłoszenia danej jednostki fizycznej do udziału w najbliższej aukcji główne</w:t>
      </w:r>
      <w:r w:rsidR="009A446E">
        <w:rPr>
          <w:rFonts w:cs="Times New Roman"/>
          <w:szCs w:val="24"/>
        </w:rPr>
        <w:t>j</w:t>
      </w:r>
      <w:r w:rsidR="000B5663" w:rsidRPr="006C034B">
        <w:rPr>
          <w:rFonts w:cs="Times New Roman"/>
          <w:szCs w:val="24"/>
        </w:rPr>
        <w:t xml:space="preserve"> i aukcjach dodatkowych oraz planowanego terminu aukcji głównej, do której zgłosi się jednostka fizyczna wytwórcza planowana pozwala na ograniczenie obciążeń informacyjnych nałożonych na podmioty składające wniosek</w:t>
      </w:r>
      <w:r w:rsidR="002C2D66" w:rsidRPr="006C034B">
        <w:rPr>
          <w:rFonts w:cs="Times New Roman"/>
          <w:szCs w:val="24"/>
        </w:rPr>
        <w:t xml:space="preserve"> oraz operatora. Informacje te były przekazywane tylko fakultatywnie i nie były zobowiązujące dla uczestników rynku mocy. Stąd przekazywanie ich jest jedynie dodatkowym obciążeniem bez wpływu dla dalszych procesów rynku mocy. Zmiana w ust. 3 stanowi doprecyzowanie, że uzupełnienie lub zmiana informacji odnosi się do informacji zawartych w rejestrze. Zmiana w ust. 5 odnosi się do zakresu informacji przekazywanych w odniesieniu do jednostki redukcji zapotrzebowania planowan</w:t>
      </w:r>
      <w:r w:rsidR="00422CB7" w:rsidRPr="006C034B">
        <w:rPr>
          <w:rFonts w:cs="Times New Roman"/>
          <w:szCs w:val="24"/>
        </w:rPr>
        <w:t>ej</w:t>
      </w:r>
      <w:r w:rsidR="009A446E">
        <w:rPr>
          <w:rFonts w:cs="Times New Roman"/>
          <w:szCs w:val="24"/>
        </w:rPr>
        <w:t>,</w:t>
      </w:r>
      <w:r w:rsidR="00422CB7" w:rsidRPr="006C034B">
        <w:rPr>
          <w:rFonts w:cs="Times New Roman"/>
          <w:szCs w:val="24"/>
        </w:rPr>
        <w:t xml:space="preserve"> zapewniając spójność zakresu zgodnie </w:t>
      </w:r>
      <w:r w:rsidR="009A446E">
        <w:rPr>
          <w:rFonts w:cs="Times New Roman"/>
          <w:szCs w:val="24"/>
        </w:rPr>
        <w:t xml:space="preserve">z </w:t>
      </w:r>
      <w:r w:rsidR="00422CB7" w:rsidRPr="006C034B">
        <w:rPr>
          <w:rFonts w:cs="Times New Roman"/>
          <w:szCs w:val="24"/>
        </w:rPr>
        <w:t xml:space="preserve">wcześniejszymi zmianami w ust. 2 oraz usuwając plan działalności, który również miał znaczenie głównie informacyjne. Oznacza to ograniczenie obciążeń administracyjnych dla jednostek redukcji zapotrzebowania planowanych i ma pozytywny wpływ na efektywność procesów rynku mocy. W ust. 6 doprecyzowano, że wpis do rejestru jednostki fizycznej lub jednostki redukcji zapotrzebowania planowanej uprawnia tę jednostkę do udziału w najbliższej </w:t>
      </w:r>
      <w:r w:rsidR="00422CB7" w:rsidRPr="006C034B">
        <w:rPr>
          <w:rFonts w:cs="Times New Roman"/>
          <w:szCs w:val="24"/>
        </w:rPr>
        <w:lastRenderedPageBreak/>
        <w:t>certyfikacji do aukcji głównej, najbliższej certyfikacji do aukcji dodatkowych oraz najbliższej certyfikacji do aukcji uzupełniającej. Uzupełnienie zakresu o certyfikację do aukcji uzupełniającej wynika z potrzeby uzupełnienia procesów pierwotnych rynku mocy (aukcji głównej i aukcji dodatkowych) o aukcję uzupełniającą</w:t>
      </w:r>
      <w:r w:rsidRPr="006C034B">
        <w:rPr>
          <w:rFonts w:cs="Times New Roman"/>
          <w:szCs w:val="24"/>
        </w:rPr>
        <w:t>;</w:t>
      </w:r>
    </w:p>
    <w:p w14:paraId="702EEE43" w14:textId="13B6E5D5" w:rsidR="00FA7418" w:rsidRPr="006C034B" w:rsidRDefault="00F61DF9"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8 </w:t>
      </w:r>
      <w:r w:rsidR="00FA7418" w:rsidRPr="006C034B">
        <w:rPr>
          <w:rFonts w:cs="Times New Roman"/>
          <w:szCs w:val="24"/>
        </w:rPr>
        <w:t xml:space="preserve">zmieniono </w:t>
      </w:r>
      <w:r w:rsidR="006734F3" w:rsidRPr="006C034B">
        <w:rPr>
          <w:rFonts w:cs="Times New Roman"/>
          <w:szCs w:val="24"/>
        </w:rPr>
        <w:t xml:space="preserve">w </w:t>
      </w:r>
      <w:r w:rsidR="00FA7418" w:rsidRPr="006C034B">
        <w:rPr>
          <w:rFonts w:cs="Times New Roman"/>
          <w:szCs w:val="24"/>
        </w:rPr>
        <w:t>art. 14</w:t>
      </w:r>
      <w:r w:rsidR="006734F3" w:rsidRPr="006C034B">
        <w:rPr>
          <w:rFonts w:cs="Times New Roman"/>
          <w:szCs w:val="24"/>
        </w:rPr>
        <w:t xml:space="preserve"> w ust. 1 pkt 1</w:t>
      </w:r>
      <w:r w:rsidR="00FA7418" w:rsidRPr="006C034B">
        <w:rPr>
          <w:rFonts w:cs="Times New Roman"/>
          <w:szCs w:val="24"/>
        </w:rPr>
        <w:t xml:space="preserve"> ustawy o rynku mocy</w:t>
      </w:r>
      <w:r w:rsidR="00B7345B" w:rsidRPr="006C034B">
        <w:rPr>
          <w:rFonts w:cs="Times New Roman"/>
          <w:szCs w:val="24"/>
        </w:rPr>
        <w:t>,</w:t>
      </w:r>
      <w:r w:rsidR="00FA7418" w:rsidRPr="006C034B">
        <w:rPr>
          <w:rFonts w:cs="Times New Roman"/>
          <w:szCs w:val="24"/>
        </w:rPr>
        <w:t xml:space="preserve"> nadając nowe brzmienie </w:t>
      </w:r>
      <w:r w:rsidR="000159A6" w:rsidRPr="006C034B">
        <w:rPr>
          <w:rFonts w:cs="Times New Roman"/>
          <w:szCs w:val="24"/>
        </w:rPr>
        <w:t xml:space="preserve">oraz </w:t>
      </w:r>
      <w:r w:rsidR="009A7B99" w:rsidRPr="006C034B">
        <w:rPr>
          <w:rFonts w:cs="Times New Roman"/>
          <w:szCs w:val="24"/>
        </w:rPr>
        <w:t>zaproponowano</w:t>
      </w:r>
      <w:r w:rsidR="000159A6" w:rsidRPr="006C034B">
        <w:rPr>
          <w:rFonts w:cs="Times New Roman"/>
          <w:szCs w:val="24"/>
        </w:rPr>
        <w:t xml:space="preserve"> uchylenie pkt 2 i 3. Ogranicza się </w:t>
      </w:r>
      <w:r w:rsidR="00FA7418" w:rsidRPr="006C034B">
        <w:rPr>
          <w:rFonts w:cs="Times New Roman"/>
          <w:szCs w:val="24"/>
        </w:rPr>
        <w:t xml:space="preserve">tym samym zakres informacji przekazywanych przez operatora do </w:t>
      </w:r>
      <w:r w:rsidR="000159A6" w:rsidRPr="006C034B">
        <w:rPr>
          <w:rFonts w:cs="Times New Roman"/>
          <w:szCs w:val="24"/>
        </w:rPr>
        <w:t xml:space="preserve">Prezesa </w:t>
      </w:r>
      <w:r w:rsidR="00FA7418" w:rsidRPr="006C034B">
        <w:rPr>
          <w:rFonts w:cs="Times New Roman"/>
          <w:szCs w:val="24"/>
        </w:rPr>
        <w:t>U</w:t>
      </w:r>
      <w:r w:rsidR="000159A6" w:rsidRPr="006C034B">
        <w:rPr>
          <w:rFonts w:cs="Times New Roman"/>
          <w:szCs w:val="24"/>
        </w:rPr>
        <w:t xml:space="preserve">rzędu </w:t>
      </w:r>
      <w:r w:rsidR="00FA7418" w:rsidRPr="006C034B">
        <w:rPr>
          <w:rFonts w:cs="Times New Roman"/>
          <w:szCs w:val="24"/>
        </w:rPr>
        <w:t>R</w:t>
      </w:r>
      <w:r w:rsidR="000159A6" w:rsidRPr="006C034B">
        <w:rPr>
          <w:rFonts w:cs="Times New Roman"/>
          <w:szCs w:val="24"/>
        </w:rPr>
        <w:t xml:space="preserve">egulacji </w:t>
      </w:r>
      <w:r w:rsidR="00FA7418" w:rsidRPr="006C034B">
        <w:rPr>
          <w:rFonts w:cs="Times New Roman"/>
          <w:szCs w:val="24"/>
        </w:rPr>
        <w:t>E</w:t>
      </w:r>
      <w:r w:rsidR="000159A6" w:rsidRPr="006C034B">
        <w:rPr>
          <w:rFonts w:cs="Times New Roman"/>
          <w:szCs w:val="24"/>
        </w:rPr>
        <w:t>nergetyki, zwanego dalej</w:t>
      </w:r>
      <w:r w:rsidR="009A7B99" w:rsidRPr="006C034B">
        <w:rPr>
          <w:rFonts w:cs="Times New Roman"/>
          <w:szCs w:val="24"/>
        </w:rPr>
        <w:t xml:space="preserve"> „</w:t>
      </w:r>
      <w:r w:rsidR="000159A6" w:rsidRPr="006C034B">
        <w:rPr>
          <w:rFonts w:cs="Times New Roman"/>
          <w:szCs w:val="24"/>
        </w:rPr>
        <w:t>Prezesem URE</w:t>
      </w:r>
      <w:r w:rsidR="009A7B99" w:rsidRPr="006C034B">
        <w:rPr>
          <w:rFonts w:cs="Times New Roman"/>
          <w:szCs w:val="24"/>
        </w:rPr>
        <w:t>”</w:t>
      </w:r>
      <w:r w:rsidR="000159A6" w:rsidRPr="006C034B">
        <w:rPr>
          <w:rFonts w:cs="Times New Roman"/>
          <w:szCs w:val="24"/>
        </w:rPr>
        <w:t>,</w:t>
      </w:r>
      <w:r w:rsidR="00FA7418" w:rsidRPr="006C034B">
        <w:rPr>
          <w:rFonts w:cs="Times New Roman"/>
          <w:szCs w:val="24"/>
        </w:rPr>
        <w:t xml:space="preserve"> po zakończeniu certyfikacji ogólnej. Takie działanie </w:t>
      </w:r>
      <w:r w:rsidR="00C800E1" w:rsidRPr="006C034B">
        <w:rPr>
          <w:rFonts w:cs="Times New Roman"/>
          <w:szCs w:val="24"/>
        </w:rPr>
        <w:t>nie wpływa na efektywność prowadzonych analiz, a ma wpływ na operatora</w:t>
      </w:r>
      <w:r w:rsidR="009A446E">
        <w:rPr>
          <w:rFonts w:cs="Times New Roman"/>
          <w:szCs w:val="24"/>
        </w:rPr>
        <w:t>,</w:t>
      </w:r>
      <w:r w:rsidR="00C800E1" w:rsidRPr="006C034B">
        <w:rPr>
          <w:rFonts w:cs="Times New Roman"/>
          <w:szCs w:val="24"/>
        </w:rPr>
        <w:t xml:space="preserve"> ograniczając obciążenia administracyjne</w:t>
      </w:r>
      <w:r w:rsidR="009A7B99" w:rsidRPr="006C034B">
        <w:rPr>
          <w:rFonts w:cs="Times New Roman"/>
          <w:szCs w:val="24"/>
        </w:rPr>
        <w:t>,</w:t>
      </w:r>
      <w:r w:rsidR="00C800E1" w:rsidRPr="006C034B">
        <w:rPr>
          <w:rFonts w:cs="Times New Roman"/>
          <w:szCs w:val="24"/>
        </w:rPr>
        <w:t xml:space="preserve"> co ułatwi mu prace na</w:t>
      </w:r>
      <w:r w:rsidR="009A7B99" w:rsidRPr="006C034B">
        <w:rPr>
          <w:rFonts w:cs="Times New Roman"/>
          <w:szCs w:val="24"/>
        </w:rPr>
        <w:t>d</w:t>
      </w:r>
      <w:r w:rsidR="00C800E1" w:rsidRPr="006C034B">
        <w:rPr>
          <w:rFonts w:cs="Times New Roman"/>
          <w:szCs w:val="24"/>
        </w:rPr>
        <w:t xml:space="preserve"> zwiększoną ilością procesów rynku mocy. W pkt 1 wykreślono</w:t>
      </w:r>
      <w:r w:rsidR="009A7B99" w:rsidRPr="006C034B">
        <w:rPr>
          <w:rFonts w:cs="Times New Roman"/>
          <w:szCs w:val="24"/>
        </w:rPr>
        <w:t xml:space="preserve"> wyrazy „</w:t>
      </w:r>
      <w:r w:rsidR="00C800E1" w:rsidRPr="006C034B">
        <w:rPr>
          <w:rFonts w:cs="Times New Roman"/>
          <w:szCs w:val="24"/>
        </w:rPr>
        <w:t>oraz jednostki fizyczne zagraniczne</w:t>
      </w:r>
      <w:r w:rsidR="009A7B99" w:rsidRPr="006C034B">
        <w:rPr>
          <w:rFonts w:cs="Times New Roman"/>
          <w:szCs w:val="24"/>
        </w:rPr>
        <w:t>”</w:t>
      </w:r>
      <w:r w:rsidR="009A446E">
        <w:rPr>
          <w:rFonts w:cs="Times New Roman"/>
          <w:szCs w:val="24"/>
        </w:rPr>
        <w:t>,</w:t>
      </w:r>
      <w:r w:rsidR="009A7B99" w:rsidRPr="006C034B">
        <w:rPr>
          <w:rFonts w:cs="Times New Roman"/>
          <w:szCs w:val="24"/>
        </w:rPr>
        <w:t xml:space="preserve"> </w:t>
      </w:r>
      <w:r w:rsidR="00C800E1" w:rsidRPr="006C034B">
        <w:rPr>
          <w:rFonts w:cs="Times New Roman"/>
          <w:szCs w:val="24"/>
        </w:rPr>
        <w:t>ponieważ w certyfikacji ogólnej jednostki te nie uczestniczą, stąd informacja zgłaszana w tym zakresie przez operatora jest zbędna</w:t>
      </w:r>
      <w:r w:rsidR="00FA7418" w:rsidRPr="006C034B">
        <w:rPr>
          <w:rFonts w:cs="Times New Roman"/>
          <w:szCs w:val="24"/>
        </w:rPr>
        <w:t>;</w:t>
      </w:r>
    </w:p>
    <w:p w14:paraId="22B9C385" w14:textId="664FA1A1" w:rsidR="00F61DF9" w:rsidRPr="006C034B" w:rsidRDefault="00FA7418"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9 nadano nowy tytuł rozdziału 4</w:t>
      </w:r>
      <w:r w:rsidR="00B7345B" w:rsidRPr="006C034B">
        <w:rPr>
          <w:rFonts w:cs="Times New Roman"/>
          <w:szCs w:val="24"/>
        </w:rPr>
        <w:t>,</w:t>
      </w:r>
      <w:r w:rsidRPr="006C034B">
        <w:rPr>
          <w:rFonts w:cs="Times New Roman"/>
          <w:szCs w:val="24"/>
        </w:rPr>
        <w:t xml:space="preserve"> ponieważ zakres certyfikacji do aukcji obejmuje teraz nie tylko aukcje główne i dodatkowe, ale również aukcje uzupełniające;</w:t>
      </w:r>
    </w:p>
    <w:p w14:paraId="4C5C2036" w14:textId="40AF1BF8"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FA7418" w:rsidRPr="006C034B">
        <w:rPr>
          <w:rFonts w:cs="Times New Roman"/>
          <w:szCs w:val="24"/>
        </w:rPr>
        <w:t>10</w:t>
      </w:r>
      <w:r w:rsidRPr="006C034B">
        <w:rPr>
          <w:rFonts w:cs="Times New Roman"/>
          <w:szCs w:val="24"/>
        </w:rPr>
        <w:t xml:space="preserve"> zmieniono art. 15 ustawy o rynku moc</w:t>
      </w:r>
      <w:r w:rsidR="00933C8A" w:rsidRPr="006C034B">
        <w:rPr>
          <w:rFonts w:cs="Times New Roman"/>
          <w:szCs w:val="24"/>
        </w:rPr>
        <w:t>y</w:t>
      </w:r>
      <w:r w:rsidR="00B7345B" w:rsidRPr="006C034B">
        <w:rPr>
          <w:rFonts w:cs="Times New Roman"/>
          <w:szCs w:val="24"/>
        </w:rPr>
        <w:t>,</w:t>
      </w:r>
      <w:r w:rsidR="00933C8A" w:rsidRPr="006C034B">
        <w:rPr>
          <w:rFonts w:cs="Times New Roman"/>
          <w:szCs w:val="24"/>
        </w:rPr>
        <w:t xml:space="preserve"> uwzględniając aukcje </w:t>
      </w:r>
      <w:r w:rsidR="00D10381" w:rsidRPr="006C034B">
        <w:rPr>
          <w:rFonts w:cs="Times New Roman"/>
          <w:szCs w:val="24"/>
        </w:rPr>
        <w:t xml:space="preserve">uzupełniające </w:t>
      </w:r>
      <w:r w:rsidR="00933C8A" w:rsidRPr="006C034B">
        <w:rPr>
          <w:rFonts w:cs="Times New Roman"/>
          <w:szCs w:val="24"/>
        </w:rPr>
        <w:t>w ust</w:t>
      </w:r>
      <w:r w:rsidR="00146DD9" w:rsidRPr="006C034B">
        <w:rPr>
          <w:rFonts w:cs="Times New Roman"/>
          <w:szCs w:val="24"/>
        </w:rPr>
        <w:t>.</w:t>
      </w:r>
      <w:r w:rsidR="00933C8A" w:rsidRPr="006C034B">
        <w:rPr>
          <w:rFonts w:cs="Times New Roman"/>
          <w:szCs w:val="24"/>
        </w:rPr>
        <w:t xml:space="preserve"> </w:t>
      </w:r>
      <w:r w:rsidR="00146DD9" w:rsidRPr="006C034B">
        <w:rPr>
          <w:rFonts w:cs="Times New Roman"/>
          <w:szCs w:val="24"/>
        </w:rPr>
        <w:t xml:space="preserve">1 (wprowadzenie do wyliczenia oraz pkt </w:t>
      </w:r>
      <w:r w:rsidR="00BA3710" w:rsidRPr="006C034B">
        <w:rPr>
          <w:rFonts w:cs="Times New Roman"/>
          <w:szCs w:val="24"/>
        </w:rPr>
        <w:t>1</w:t>
      </w:r>
      <w:r w:rsidR="00146DD9" w:rsidRPr="006C034B">
        <w:rPr>
          <w:rFonts w:cs="Times New Roman"/>
          <w:szCs w:val="24"/>
        </w:rPr>
        <w:t>), ust. 2 i ust</w:t>
      </w:r>
      <w:r w:rsidR="009A7B99" w:rsidRPr="006C034B">
        <w:rPr>
          <w:rFonts w:cs="Times New Roman"/>
          <w:szCs w:val="24"/>
        </w:rPr>
        <w:t>.</w:t>
      </w:r>
      <w:r w:rsidR="00146DD9" w:rsidRPr="006C034B">
        <w:rPr>
          <w:rFonts w:cs="Times New Roman"/>
          <w:szCs w:val="24"/>
        </w:rPr>
        <w:t xml:space="preserve"> 4 w przepisach regulujących kwestię wniosku o certyfikację do aukcji mocy (głównej, dodatkowych i uzupełniającej), a także dodając nowy pkt 3 w ust. 1 umożliwiający dopuszczenie do aukcji uzupełniającej jednostki rynku mocy utworzonej w certyfikacji do aukcji głównej na ten sam rok dostaw, nadając nowe brzmienie ust. 7 i dodając nowy ust. 7a</w:t>
      </w:r>
      <w:r w:rsidR="009A446E">
        <w:rPr>
          <w:rFonts w:cs="Times New Roman"/>
          <w:szCs w:val="24"/>
        </w:rPr>
        <w:t>,</w:t>
      </w:r>
      <w:r w:rsidR="00146DD9" w:rsidRPr="006C034B">
        <w:rPr>
          <w:rFonts w:cs="Times New Roman"/>
          <w:szCs w:val="24"/>
        </w:rPr>
        <w:t xml:space="preserve"> regulując kwestię możliwości udziału jednostek wytwórczych, o których mowa w ust. </w:t>
      </w:r>
      <w:r w:rsidR="00285E30" w:rsidRPr="006C034B">
        <w:rPr>
          <w:rFonts w:cs="Times New Roman"/>
          <w:szCs w:val="24"/>
        </w:rPr>
        <w:t>7</w:t>
      </w:r>
      <w:r w:rsidR="00B540AF" w:rsidRPr="006C034B">
        <w:rPr>
          <w:rFonts w:cs="Times New Roman"/>
          <w:szCs w:val="24"/>
        </w:rPr>
        <w:t>,</w:t>
      </w:r>
      <w:r w:rsidR="00146DD9" w:rsidRPr="006C034B">
        <w:rPr>
          <w:rFonts w:cs="Times New Roman"/>
          <w:szCs w:val="24"/>
        </w:rPr>
        <w:t xml:space="preserve"> i które rozpoczęły produkcję komercyjną </w:t>
      </w:r>
      <w:r w:rsidR="00285E30" w:rsidRPr="006C034B">
        <w:rPr>
          <w:rFonts w:cs="Times New Roman"/>
          <w:szCs w:val="24"/>
        </w:rPr>
        <w:t xml:space="preserve">do </w:t>
      </w:r>
      <w:r w:rsidR="00146DD9" w:rsidRPr="006C034B">
        <w:rPr>
          <w:rFonts w:cs="Times New Roman"/>
          <w:szCs w:val="24"/>
        </w:rPr>
        <w:t>dni</w:t>
      </w:r>
      <w:r w:rsidR="00285E30" w:rsidRPr="006C034B">
        <w:rPr>
          <w:rFonts w:cs="Times New Roman"/>
          <w:szCs w:val="24"/>
        </w:rPr>
        <w:t>a</w:t>
      </w:r>
      <w:r w:rsidR="00146DD9" w:rsidRPr="006C034B">
        <w:rPr>
          <w:rFonts w:cs="Times New Roman"/>
          <w:szCs w:val="24"/>
        </w:rPr>
        <w:t xml:space="preserve"> 4 lipca 2019 r. jedynie w rynku wtórnym – w odniesieniu do aukcji głównej i aukcji dodatkowych, a także do certyfikacji do aukcji uzupełniającej</w:t>
      </w:r>
      <w:r w:rsidR="00425A8A" w:rsidRPr="006C034B">
        <w:rPr>
          <w:rFonts w:cs="Times New Roman"/>
          <w:szCs w:val="24"/>
        </w:rPr>
        <w:t xml:space="preserve"> w pełnym zakresie</w:t>
      </w:r>
      <w:r w:rsidR="00FA7418" w:rsidRPr="006C034B">
        <w:rPr>
          <w:rFonts w:cs="Times New Roman"/>
          <w:szCs w:val="24"/>
        </w:rPr>
        <w:t xml:space="preserve">. Dodatkowo wprowadzono przepisy zapewniające </w:t>
      </w:r>
      <w:r w:rsidR="00285E30" w:rsidRPr="006C034B">
        <w:rPr>
          <w:rFonts w:cs="Times New Roman"/>
          <w:szCs w:val="24"/>
        </w:rPr>
        <w:t>możliwość udziału w wielu akcjach rynku mocy na ten sam okres, ale równocześnie zapobiegnie możliwości uzyskiwania obowiązku mocowego w kolejnych aukcjach rynku mocy na ten sam okres dostaw przez te same zasoby (ryzyko dublowania się lub potrajania obowiązków mocowych względem pojedynczego zasobu)</w:t>
      </w:r>
      <w:r w:rsidR="00146DD9" w:rsidRPr="006C034B">
        <w:rPr>
          <w:rFonts w:cs="Times New Roman"/>
          <w:szCs w:val="24"/>
        </w:rPr>
        <w:t xml:space="preserve">; </w:t>
      </w:r>
    </w:p>
    <w:p w14:paraId="1F2A41BF" w14:textId="2DB330D7" w:rsidR="00285E30" w:rsidRPr="006C034B" w:rsidRDefault="00285E30"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11 zmieniono </w:t>
      </w:r>
      <w:r w:rsidR="000159A6" w:rsidRPr="006C034B">
        <w:rPr>
          <w:rFonts w:cs="Times New Roman"/>
          <w:szCs w:val="24"/>
        </w:rPr>
        <w:t xml:space="preserve">w </w:t>
      </w:r>
      <w:r w:rsidRPr="006C034B">
        <w:rPr>
          <w:rFonts w:cs="Times New Roman"/>
          <w:szCs w:val="24"/>
        </w:rPr>
        <w:t xml:space="preserve">art. 16 </w:t>
      </w:r>
      <w:r w:rsidR="000159A6" w:rsidRPr="006C034B">
        <w:rPr>
          <w:rFonts w:cs="Times New Roman"/>
          <w:szCs w:val="24"/>
        </w:rPr>
        <w:t xml:space="preserve">w ust. 2 pkt 4a </w:t>
      </w:r>
      <w:r w:rsidRPr="006C034B">
        <w:rPr>
          <w:rFonts w:cs="Times New Roman"/>
          <w:szCs w:val="24"/>
        </w:rPr>
        <w:t>ustawy o rynku mocy</w:t>
      </w:r>
      <w:r w:rsidR="00B7345B" w:rsidRPr="006C034B">
        <w:rPr>
          <w:rFonts w:cs="Times New Roman"/>
          <w:szCs w:val="24"/>
        </w:rPr>
        <w:t>,</w:t>
      </w:r>
      <w:r w:rsidRPr="006C034B">
        <w:rPr>
          <w:rFonts w:cs="Times New Roman"/>
          <w:szCs w:val="24"/>
        </w:rPr>
        <w:t xml:space="preserve"> nadając </w:t>
      </w:r>
      <w:r w:rsidR="000159A6" w:rsidRPr="006C034B">
        <w:rPr>
          <w:rFonts w:cs="Times New Roman"/>
          <w:szCs w:val="24"/>
        </w:rPr>
        <w:t xml:space="preserve">mu </w:t>
      </w:r>
      <w:r w:rsidRPr="006C034B">
        <w:rPr>
          <w:rFonts w:cs="Times New Roman"/>
          <w:szCs w:val="24"/>
        </w:rPr>
        <w:t>nowe brzmienie</w:t>
      </w:r>
      <w:r w:rsidR="000159A6" w:rsidRPr="006C034B">
        <w:rPr>
          <w:rFonts w:cs="Times New Roman"/>
          <w:szCs w:val="24"/>
        </w:rPr>
        <w:t>.</w:t>
      </w:r>
      <w:r w:rsidRPr="006C034B">
        <w:rPr>
          <w:rFonts w:cs="Times New Roman"/>
          <w:szCs w:val="24"/>
        </w:rPr>
        <w:t xml:space="preserve"> </w:t>
      </w:r>
      <w:r w:rsidR="000159A6" w:rsidRPr="006C034B">
        <w:rPr>
          <w:rFonts w:cs="Times New Roman"/>
          <w:szCs w:val="24"/>
        </w:rPr>
        <w:t>Doprecyzowano</w:t>
      </w:r>
      <w:r w:rsidR="009A446E">
        <w:rPr>
          <w:rFonts w:cs="Times New Roman"/>
          <w:szCs w:val="24"/>
        </w:rPr>
        <w:t>,</w:t>
      </w:r>
      <w:r w:rsidR="000159A6" w:rsidRPr="006C034B">
        <w:rPr>
          <w:rFonts w:cs="Times New Roman"/>
          <w:szCs w:val="24"/>
        </w:rPr>
        <w:t xml:space="preserve"> </w:t>
      </w:r>
      <w:r w:rsidRPr="006C034B">
        <w:rPr>
          <w:rFonts w:cs="Times New Roman"/>
          <w:szCs w:val="24"/>
        </w:rPr>
        <w:t>jakie jednostki będą mogły wchodzić w skład jednostki rynku mocy</w:t>
      </w:r>
      <w:r w:rsidR="00B540AF" w:rsidRPr="006C034B">
        <w:rPr>
          <w:rFonts w:cs="Times New Roman"/>
          <w:szCs w:val="24"/>
        </w:rPr>
        <w:t>,</w:t>
      </w:r>
      <w:r w:rsidRPr="006C034B">
        <w:rPr>
          <w:rFonts w:cs="Times New Roman"/>
          <w:szCs w:val="24"/>
        </w:rPr>
        <w:t xml:space="preserve"> określając relację do limitu emisji i momentu rozpoczęcia produkcji komercyjne</w:t>
      </w:r>
      <w:r w:rsidR="00B540AF" w:rsidRPr="006C034B">
        <w:rPr>
          <w:rFonts w:cs="Times New Roman"/>
          <w:szCs w:val="24"/>
        </w:rPr>
        <w:t>j</w:t>
      </w:r>
      <w:r w:rsidR="004660FA" w:rsidRPr="006C034B">
        <w:rPr>
          <w:rFonts w:cs="Times New Roman"/>
          <w:szCs w:val="24"/>
        </w:rPr>
        <w:t>;</w:t>
      </w:r>
    </w:p>
    <w:p w14:paraId="29480297" w14:textId="2CC37C64"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285E30" w:rsidRPr="006C034B">
        <w:rPr>
          <w:rFonts w:cs="Times New Roman"/>
          <w:szCs w:val="24"/>
        </w:rPr>
        <w:t>12</w:t>
      </w:r>
      <w:r w:rsidRPr="006C034B">
        <w:rPr>
          <w:rFonts w:cs="Times New Roman"/>
          <w:szCs w:val="24"/>
        </w:rPr>
        <w:t xml:space="preserve"> zmieniono</w:t>
      </w:r>
      <w:r w:rsidR="000159A6" w:rsidRPr="006C034B">
        <w:rPr>
          <w:rFonts w:cs="Times New Roman"/>
          <w:szCs w:val="24"/>
        </w:rPr>
        <w:t xml:space="preserve"> w</w:t>
      </w:r>
      <w:r w:rsidRPr="006C034B">
        <w:rPr>
          <w:rFonts w:cs="Times New Roman"/>
          <w:szCs w:val="24"/>
        </w:rPr>
        <w:t xml:space="preserve"> art. 1</w:t>
      </w:r>
      <w:r w:rsidR="00933C8A" w:rsidRPr="006C034B">
        <w:rPr>
          <w:rFonts w:cs="Times New Roman"/>
          <w:szCs w:val="24"/>
        </w:rPr>
        <w:t xml:space="preserve">9 w ust. 1 pkt 9 </w:t>
      </w:r>
      <w:r w:rsidRPr="006C034B">
        <w:rPr>
          <w:rFonts w:cs="Times New Roman"/>
          <w:szCs w:val="24"/>
        </w:rPr>
        <w:t>ustawy o rynku mocy</w:t>
      </w:r>
      <w:r w:rsidR="00B7345B" w:rsidRPr="006C034B">
        <w:rPr>
          <w:rFonts w:cs="Times New Roman"/>
          <w:szCs w:val="24"/>
        </w:rPr>
        <w:t>,</w:t>
      </w:r>
      <w:r w:rsidRPr="006C034B">
        <w:rPr>
          <w:rFonts w:cs="Times New Roman"/>
          <w:szCs w:val="24"/>
        </w:rPr>
        <w:t xml:space="preserve"> </w:t>
      </w:r>
      <w:r w:rsidR="00933C8A" w:rsidRPr="006C034B">
        <w:rPr>
          <w:rFonts w:cs="Times New Roman"/>
          <w:szCs w:val="24"/>
        </w:rPr>
        <w:t>uzupełniając zakres przypadków, w których zachodzi brak spełni</w:t>
      </w:r>
      <w:r w:rsidR="002C07EA" w:rsidRPr="006C034B">
        <w:rPr>
          <w:rFonts w:cs="Times New Roman"/>
          <w:szCs w:val="24"/>
        </w:rPr>
        <w:t>e</w:t>
      </w:r>
      <w:r w:rsidR="00933C8A" w:rsidRPr="006C034B">
        <w:rPr>
          <w:rFonts w:cs="Times New Roman"/>
          <w:szCs w:val="24"/>
        </w:rPr>
        <w:t xml:space="preserve">nia limitu emisji, o przypadek przewidziany </w:t>
      </w:r>
      <w:r w:rsidR="00933C8A" w:rsidRPr="006C034B">
        <w:rPr>
          <w:rFonts w:cs="Times New Roman"/>
          <w:szCs w:val="24"/>
        </w:rPr>
        <w:lastRenderedPageBreak/>
        <w:t>w art. 15 ust. 7a</w:t>
      </w:r>
      <w:r w:rsidR="00D50229" w:rsidRPr="006C034B">
        <w:rPr>
          <w:rFonts w:cs="Times New Roman"/>
          <w:szCs w:val="24"/>
        </w:rPr>
        <w:t>,</w:t>
      </w:r>
      <w:r w:rsidR="006F21D1" w:rsidRPr="006C034B">
        <w:rPr>
          <w:rFonts w:cs="Times New Roman"/>
          <w:szCs w:val="24"/>
        </w:rPr>
        <w:t xml:space="preserve"> czyli przypadek jednostki wytwórczej niespełniającej limit</w:t>
      </w:r>
      <w:r w:rsidR="002C07EA" w:rsidRPr="006C034B">
        <w:rPr>
          <w:rFonts w:cs="Times New Roman"/>
          <w:szCs w:val="24"/>
        </w:rPr>
        <w:t>u</w:t>
      </w:r>
      <w:r w:rsidR="006F21D1" w:rsidRPr="006C034B">
        <w:rPr>
          <w:rFonts w:cs="Times New Roman"/>
          <w:szCs w:val="24"/>
        </w:rPr>
        <w:t xml:space="preserve"> emisji, która rozpoczęła produkcję komercyjną </w:t>
      </w:r>
      <w:r w:rsidR="00070686" w:rsidRPr="006C034B">
        <w:rPr>
          <w:rFonts w:cs="Times New Roman"/>
          <w:szCs w:val="24"/>
        </w:rPr>
        <w:t xml:space="preserve">do </w:t>
      </w:r>
      <w:r w:rsidR="006F21D1" w:rsidRPr="006C034B">
        <w:rPr>
          <w:rFonts w:cs="Times New Roman"/>
          <w:szCs w:val="24"/>
        </w:rPr>
        <w:t>dni</w:t>
      </w:r>
      <w:r w:rsidR="00070686" w:rsidRPr="006C034B">
        <w:rPr>
          <w:rFonts w:cs="Times New Roman"/>
          <w:szCs w:val="24"/>
        </w:rPr>
        <w:t>a</w:t>
      </w:r>
      <w:r w:rsidR="006F21D1" w:rsidRPr="006C034B">
        <w:rPr>
          <w:rFonts w:cs="Times New Roman"/>
          <w:szCs w:val="24"/>
        </w:rPr>
        <w:t xml:space="preserve"> 4 lipca 2019 r.</w:t>
      </w:r>
      <w:r w:rsidR="00070686" w:rsidRPr="006C034B">
        <w:rPr>
          <w:rFonts w:cs="Times New Roman"/>
          <w:szCs w:val="24"/>
        </w:rPr>
        <w:t xml:space="preserve"> Dodatkowo</w:t>
      </w:r>
      <w:r w:rsidR="009858E4" w:rsidRPr="006C034B">
        <w:rPr>
          <w:rFonts w:cs="Times New Roman"/>
          <w:szCs w:val="24"/>
        </w:rPr>
        <w:t>,</w:t>
      </w:r>
      <w:r w:rsidR="00070686" w:rsidRPr="006C034B">
        <w:rPr>
          <w:rFonts w:cs="Times New Roman"/>
          <w:szCs w:val="24"/>
        </w:rPr>
        <w:t xml:space="preserve"> </w:t>
      </w:r>
      <w:r w:rsidR="00C800E1" w:rsidRPr="006C034B">
        <w:rPr>
          <w:rFonts w:cs="Times New Roman"/>
          <w:szCs w:val="24"/>
        </w:rPr>
        <w:t xml:space="preserve">zmieniając w ust. 1 pkt 6 uchylając </w:t>
      </w:r>
      <w:r w:rsidR="00B540AF" w:rsidRPr="006C034B">
        <w:rPr>
          <w:rFonts w:cs="Times New Roman"/>
          <w:szCs w:val="24"/>
        </w:rPr>
        <w:t xml:space="preserve">lit. </w:t>
      </w:r>
      <w:r w:rsidR="00C800E1" w:rsidRPr="006C034B">
        <w:rPr>
          <w:rFonts w:cs="Times New Roman"/>
          <w:szCs w:val="24"/>
        </w:rPr>
        <w:t>a</w:t>
      </w:r>
      <w:r w:rsidR="00B540AF" w:rsidRPr="006C034B">
        <w:rPr>
          <w:rFonts w:cs="Times New Roman"/>
          <w:szCs w:val="24"/>
        </w:rPr>
        <w:t>–</w:t>
      </w:r>
      <w:r w:rsidR="00C800E1" w:rsidRPr="006C034B">
        <w:rPr>
          <w:rFonts w:cs="Times New Roman"/>
          <w:szCs w:val="24"/>
        </w:rPr>
        <w:t>c oraz e, a także zmieniając brzmienie lit</w:t>
      </w:r>
      <w:r w:rsidR="00B540AF" w:rsidRPr="006C034B">
        <w:rPr>
          <w:rFonts w:cs="Times New Roman"/>
          <w:szCs w:val="24"/>
        </w:rPr>
        <w:t>.</w:t>
      </w:r>
      <w:r w:rsidR="00C800E1" w:rsidRPr="006C034B">
        <w:rPr>
          <w:rFonts w:cs="Times New Roman"/>
          <w:szCs w:val="24"/>
        </w:rPr>
        <w:t xml:space="preserve"> d</w:t>
      </w:r>
      <w:r w:rsidR="009A446E">
        <w:rPr>
          <w:rFonts w:cs="Times New Roman"/>
          <w:szCs w:val="24"/>
        </w:rPr>
        <w:t>,</w:t>
      </w:r>
      <w:r w:rsidR="00C800E1" w:rsidRPr="006C034B">
        <w:rPr>
          <w:rFonts w:cs="Times New Roman"/>
          <w:szCs w:val="24"/>
        </w:rPr>
        <w:t xml:space="preserve"> </w:t>
      </w:r>
      <w:r w:rsidR="00070686" w:rsidRPr="006C034B">
        <w:rPr>
          <w:rFonts w:cs="Times New Roman"/>
          <w:szCs w:val="24"/>
        </w:rPr>
        <w:t>ograniczono zakres informacji przekazywanych w ramach certyfikacji</w:t>
      </w:r>
      <w:r w:rsidR="00C800E1" w:rsidRPr="006C034B">
        <w:rPr>
          <w:rFonts w:cs="Times New Roman"/>
          <w:szCs w:val="24"/>
        </w:rPr>
        <w:t xml:space="preserve"> jedynie do informacji o jednostkowych wskaźnikach emisji CO</w:t>
      </w:r>
      <w:r w:rsidR="00C800E1" w:rsidRPr="006C034B">
        <w:rPr>
          <w:rFonts w:cs="Times New Roman"/>
          <w:szCs w:val="24"/>
          <w:vertAlign w:val="subscript"/>
        </w:rPr>
        <w:t>2</w:t>
      </w:r>
      <w:r w:rsidR="00C800E1" w:rsidRPr="006C034B">
        <w:rPr>
          <w:rFonts w:cs="Times New Roman"/>
          <w:szCs w:val="24"/>
        </w:rPr>
        <w:t xml:space="preserve"> tak,</w:t>
      </w:r>
      <w:r w:rsidR="00070686" w:rsidRPr="006C034B">
        <w:rPr>
          <w:rFonts w:cs="Times New Roman"/>
          <w:szCs w:val="24"/>
        </w:rPr>
        <w:t xml:space="preserve"> aby ograniczyć obciążenia administracyjne nałożone na podmioty podlegające certyfikacji, co przyspieszy procesy rynku mocy</w:t>
      </w:r>
      <w:r w:rsidR="00C800E1" w:rsidRPr="006C034B">
        <w:rPr>
          <w:rFonts w:cs="Times New Roman"/>
          <w:szCs w:val="24"/>
        </w:rPr>
        <w:t xml:space="preserve"> zarówno dla uczestników certyfikacji</w:t>
      </w:r>
      <w:r w:rsidR="00B540AF" w:rsidRPr="006C034B">
        <w:rPr>
          <w:rFonts w:cs="Times New Roman"/>
          <w:szCs w:val="24"/>
        </w:rPr>
        <w:t>,</w:t>
      </w:r>
      <w:r w:rsidR="00C800E1" w:rsidRPr="006C034B">
        <w:rPr>
          <w:rFonts w:cs="Times New Roman"/>
          <w:szCs w:val="24"/>
        </w:rPr>
        <w:t xml:space="preserve"> jak i dla operatora, który prowadzi ten proces</w:t>
      </w:r>
      <w:r w:rsidR="00933C8A" w:rsidRPr="006C034B">
        <w:rPr>
          <w:rFonts w:cs="Times New Roman"/>
          <w:szCs w:val="24"/>
        </w:rPr>
        <w:t>;</w:t>
      </w:r>
      <w:r w:rsidR="00070686" w:rsidRPr="006C034B">
        <w:rPr>
          <w:rFonts w:cs="Times New Roman"/>
          <w:szCs w:val="24"/>
        </w:rPr>
        <w:t xml:space="preserve"> </w:t>
      </w:r>
    </w:p>
    <w:p w14:paraId="4A982482" w14:textId="65D882A4"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1</w:t>
      </w:r>
      <w:r w:rsidR="00070686" w:rsidRPr="006C034B">
        <w:rPr>
          <w:rFonts w:cs="Times New Roman"/>
          <w:szCs w:val="24"/>
        </w:rPr>
        <w:t>3</w:t>
      </w:r>
      <w:r w:rsidRPr="006C034B">
        <w:rPr>
          <w:rFonts w:cs="Times New Roman"/>
          <w:szCs w:val="24"/>
        </w:rPr>
        <w:t xml:space="preserve"> zmieniono art. </w:t>
      </w:r>
      <w:r w:rsidR="00933C8A" w:rsidRPr="006C034B">
        <w:rPr>
          <w:rFonts w:cs="Times New Roman"/>
          <w:szCs w:val="24"/>
        </w:rPr>
        <w:t>2</w:t>
      </w:r>
      <w:r w:rsidRPr="006C034B">
        <w:rPr>
          <w:rFonts w:cs="Times New Roman"/>
          <w:szCs w:val="24"/>
        </w:rPr>
        <w:t>1 ustawy o rynku mocy</w:t>
      </w:r>
      <w:r w:rsidR="00B7345B" w:rsidRPr="006C034B">
        <w:rPr>
          <w:rFonts w:cs="Times New Roman"/>
          <w:szCs w:val="24"/>
        </w:rPr>
        <w:t>,</w:t>
      </w:r>
      <w:r w:rsidRPr="006C034B">
        <w:rPr>
          <w:rFonts w:cs="Times New Roman"/>
          <w:szCs w:val="24"/>
        </w:rPr>
        <w:t xml:space="preserve"> </w:t>
      </w:r>
      <w:r w:rsidR="00933C8A" w:rsidRPr="006C034B">
        <w:rPr>
          <w:rFonts w:cs="Times New Roman"/>
          <w:szCs w:val="24"/>
        </w:rPr>
        <w:t>nadając nowe brzmienie przepisu tak, aby doprecyzować, że dostawca mocy, składając wniosek o utworzenie jednostki rynku mocy uprzednio certyfikowanej w ramach aukcji mocy (głównej, dodatkowych i</w:t>
      </w:r>
      <w:r w:rsidR="00146DD9" w:rsidRPr="006C034B">
        <w:rPr>
          <w:rFonts w:cs="Times New Roman"/>
          <w:szCs w:val="24"/>
        </w:rPr>
        <w:t> </w:t>
      </w:r>
      <w:r w:rsidR="00933C8A" w:rsidRPr="006C034B">
        <w:rPr>
          <w:rFonts w:cs="Times New Roman"/>
          <w:szCs w:val="24"/>
        </w:rPr>
        <w:t xml:space="preserve">uzupełniającej), może złożyć wniosek o certyfikację </w:t>
      </w:r>
      <w:r w:rsidR="00BC6538" w:rsidRPr="006C034B">
        <w:rPr>
          <w:rFonts w:cs="Times New Roman"/>
          <w:szCs w:val="24"/>
        </w:rPr>
        <w:t xml:space="preserve">zawierający </w:t>
      </w:r>
      <w:r w:rsidR="004378BA" w:rsidRPr="006C034B">
        <w:rPr>
          <w:rFonts w:cs="Times New Roman"/>
          <w:szCs w:val="24"/>
        </w:rPr>
        <w:t xml:space="preserve">jedynie </w:t>
      </w:r>
      <w:r w:rsidR="00933C8A" w:rsidRPr="006C034B">
        <w:rPr>
          <w:rFonts w:cs="Times New Roman"/>
          <w:szCs w:val="24"/>
        </w:rPr>
        <w:t>uzupełni</w:t>
      </w:r>
      <w:r w:rsidR="002C07EA" w:rsidRPr="006C034B">
        <w:rPr>
          <w:rFonts w:cs="Times New Roman"/>
          <w:szCs w:val="24"/>
        </w:rPr>
        <w:t>e</w:t>
      </w:r>
      <w:r w:rsidR="00933C8A" w:rsidRPr="006C034B">
        <w:rPr>
          <w:rFonts w:cs="Times New Roman"/>
          <w:szCs w:val="24"/>
        </w:rPr>
        <w:t>ni</w:t>
      </w:r>
      <w:r w:rsidR="002C07EA" w:rsidRPr="006C034B">
        <w:rPr>
          <w:rFonts w:cs="Times New Roman"/>
          <w:szCs w:val="24"/>
        </w:rPr>
        <w:t>e</w:t>
      </w:r>
      <w:r w:rsidR="00933C8A" w:rsidRPr="006C034B">
        <w:rPr>
          <w:rFonts w:cs="Times New Roman"/>
          <w:szCs w:val="24"/>
        </w:rPr>
        <w:t xml:space="preserve"> lub zmianę informacji przekazanych uprzednio</w:t>
      </w:r>
      <w:r w:rsidR="006F21D1" w:rsidRPr="006C034B">
        <w:rPr>
          <w:rFonts w:cs="Times New Roman"/>
          <w:szCs w:val="24"/>
        </w:rPr>
        <w:t xml:space="preserve">; takie ukształtowanie przepisu pozwoli na aktualizację danych przy jednoczesnym ograniczeniu </w:t>
      </w:r>
      <w:r w:rsidR="009217EC" w:rsidRPr="006C034B">
        <w:rPr>
          <w:rFonts w:cs="Times New Roman"/>
          <w:szCs w:val="24"/>
        </w:rPr>
        <w:t>konieczności powtórnego przekazania danych aktualnych</w:t>
      </w:r>
      <w:r w:rsidR="004660FA" w:rsidRPr="006C034B">
        <w:rPr>
          <w:rFonts w:cs="Times New Roman"/>
          <w:szCs w:val="24"/>
        </w:rPr>
        <w:t>;</w:t>
      </w:r>
    </w:p>
    <w:p w14:paraId="49BD7E45" w14:textId="0F218DC2"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0159A6" w:rsidRPr="006C034B">
        <w:rPr>
          <w:rFonts w:cs="Times New Roman"/>
          <w:szCs w:val="24"/>
        </w:rPr>
        <w:t xml:space="preserve">14 </w:t>
      </w:r>
      <w:r w:rsidR="00070686" w:rsidRPr="006C034B">
        <w:rPr>
          <w:rFonts w:cs="Times New Roman"/>
          <w:szCs w:val="24"/>
        </w:rPr>
        <w:t xml:space="preserve">nadano nowe brzmienie </w:t>
      </w:r>
      <w:r w:rsidR="000159A6" w:rsidRPr="006C034B">
        <w:rPr>
          <w:rFonts w:cs="Times New Roman"/>
          <w:szCs w:val="24"/>
        </w:rPr>
        <w:t xml:space="preserve">w </w:t>
      </w:r>
      <w:r w:rsidRPr="006C034B">
        <w:rPr>
          <w:rFonts w:cs="Times New Roman"/>
          <w:szCs w:val="24"/>
        </w:rPr>
        <w:t xml:space="preserve">art. </w:t>
      </w:r>
      <w:r w:rsidR="00267E96" w:rsidRPr="006C034B">
        <w:rPr>
          <w:rFonts w:cs="Times New Roman"/>
          <w:szCs w:val="24"/>
        </w:rPr>
        <w:t>23</w:t>
      </w:r>
      <w:r w:rsidR="008C2C0A" w:rsidRPr="006C034B">
        <w:rPr>
          <w:rFonts w:cs="Times New Roman"/>
          <w:szCs w:val="24"/>
        </w:rPr>
        <w:t xml:space="preserve"> </w:t>
      </w:r>
      <w:r w:rsidR="000159A6" w:rsidRPr="006C034B">
        <w:rPr>
          <w:rFonts w:cs="Times New Roman"/>
          <w:szCs w:val="24"/>
        </w:rPr>
        <w:t xml:space="preserve">pkt 1 </w:t>
      </w:r>
      <w:r w:rsidR="008C2C0A" w:rsidRPr="006C034B">
        <w:rPr>
          <w:rFonts w:cs="Times New Roman"/>
          <w:szCs w:val="24"/>
        </w:rPr>
        <w:t>ustawy o rynku mocy</w:t>
      </w:r>
      <w:r w:rsidR="00B7345B" w:rsidRPr="006C034B">
        <w:rPr>
          <w:rFonts w:cs="Times New Roman"/>
          <w:szCs w:val="24"/>
        </w:rPr>
        <w:t>,</w:t>
      </w:r>
      <w:r w:rsidR="008C2C0A" w:rsidRPr="006C034B">
        <w:rPr>
          <w:rFonts w:cs="Times New Roman"/>
          <w:szCs w:val="24"/>
        </w:rPr>
        <w:t xml:space="preserve"> określając, że operator wydaje certyfikat potwierdzający utworzenie jednostki rynku mocy dopuszczający również do udziału w aukcji uzupełniającej; </w:t>
      </w:r>
    </w:p>
    <w:p w14:paraId="32A3A748" w14:textId="0673780A"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1</w:t>
      </w:r>
      <w:r w:rsidR="00070686" w:rsidRPr="006C034B">
        <w:rPr>
          <w:rFonts w:cs="Times New Roman"/>
          <w:szCs w:val="24"/>
        </w:rPr>
        <w:t>5</w:t>
      </w:r>
      <w:r w:rsidRPr="006C034B">
        <w:rPr>
          <w:rFonts w:cs="Times New Roman"/>
          <w:szCs w:val="24"/>
        </w:rPr>
        <w:t xml:space="preserve"> zmieniono art. 2</w:t>
      </w:r>
      <w:r w:rsidR="00413DA1" w:rsidRPr="006C034B">
        <w:rPr>
          <w:rFonts w:cs="Times New Roman"/>
          <w:szCs w:val="24"/>
        </w:rPr>
        <w:t>5</w:t>
      </w:r>
      <w:r w:rsidRPr="006C034B">
        <w:rPr>
          <w:rFonts w:cs="Times New Roman"/>
          <w:szCs w:val="24"/>
        </w:rPr>
        <w:t xml:space="preserve"> ustawy o rynku mocy</w:t>
      </w:r>
      <w:r w:rsidR="00B7345B" w:rsidRPr="006C034B">
        <w:rPr>
          <w:rFonts w:cs="Times New Roman"/>
          <w:szCs w:val="24"/>
        </w:rPr>
        <w:t>,</w:t>
      </w:r>
      <w:r w:rsidRPr="006C034B">
        <w:rPr>
          <w:rFonts w:cs="Times New Roman"/>
          <w:szCs w:val="24"/>
        </w:rPr>
        <w:t xml:space="preserve"> </w:t>
      </w:r>
      <w:r w:rsidR="00413DA1" w:rsidRPr="006C034B">
        <w:rPr>
          <w:rFonts w:cs="Times New Roman"/>
          <w:szCs w:val="24"/>
        </w:rPr>
        <w:t>uzupełniając ust. 2</w:t>
      </w:r>
      <w:r w:rsidR="00146DD9" w:rsidRPr="006C034B">
        <w:rPr>
          <w:rFonts w:cs="Times New Roman"/>
          <w:szCs w:val="24"/>
        </w:rPr>
        <w:t>–</w:t>
      </w:r>
      <w:r w:rsidR="00413DA1" w:rsidRPr="006C034B">
        <w:rPr>
          <w:rFonts w:cs="Times New Roman"/>
          <w:szCs w:val="24"/>
        </w:rPr>
        <w:t>3 oraz ust. 4 pkt 4</w:t>
      </w:r>
      <w:r w:rsidR="00267E96" w:rsidRPr="006C034B">
        <w:rPr>
          <w:rFonts w:cs="Times New Roman"/>
          <w:szCs w:val="24"/>
        </w:rPr>
        <w:t>, tj. przepisy regulujące kwesti</w:t>
      </w:r>
      <w:r w:rsidR="004378BA" w:rsidRPr="006C034B">
        <w:rPr>
          <w:rFonts w:cs="Times New Roman"/>
          <w:szCs w:val="24"/>
        </w:rPr>
        <w:t>ę</w:t>
      </w:r>
      <w:r w:rsidR="00267E96" w:rsidRPr="006C034B">
        <w:rPr>
          <w:rFonts w:cs="Times New Roman"/>
          <w:szCs w:val="24"/>
        </w:rPr>
        <w:t xml:space="preserve"> wydawania certyfikatów do aukcji mocy i zakres uprawnień z nich wynikających, </w:t>
      </w:r>
      <w:r w:rsidR="00413DA1" w:rsidRPr="006C034B">
        <w:rPr>
          <w:rFonts w:cs="Times New Roman"/>
          <w:szCs w:val="24"/>
        </w:rPr>
        <w:t xml:space="preserve">o aukcję uzupełniającą, a także dodając ust. 8 określający </w:t>
      </w:r>
      <w:r w:rsidR="00267E96" w:rsidRPr="006C034B">
        <w:rPr>
          <w:rFonts w:cs="Times New Roman"/>
          <w:szCs w:val="24"/>
        </w:rPr>
        <w:t>status cenotwórców i cenobiorców w ramach aukcji uzupełniającej</w:t>
      </w:r>
      <w:r w:rsidR="00B83A28" w:rsidRPr="006C034B">
        <w:rPr>
          <w:rFonts w:cs="Times New Roman"/>
          <w:szCs w:val="24"/>
        </w:rPr>
        <w:t>, które to statusy są zbieżne ze statusami w ramach aukcji dodatkowej</w:t>
      </w:r>
      <w:r w:rsidR="00267E96" w:rsidRPr="006C034B">
        <w:rPr>
          <w:rFonts w:cs="Times New Roman"/>
          <w:szCs w:val="24"/>
        </w:rPr>
        <w:t>;</w:t>
      </w:r>
    </w:p>
    <w:p w14:paraId="4B553A51" w14:textId="4031CC4C"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1</w:t>
      </w:r>
      <w:r w:rsidR="00070686" w:rsidRPr="006C034B">
        <w:rPr>
          <w:rFonts w:cs="Times New Roman"/>
          <w:szCs w:val="24"/>
        </w:rPr>
        <w:t>6</w:t>
      </w:r>
      <w:r w:rsidRPr="006C034B">
        <w:rPr>
          <w:rFonts w:cs="Times New Roman"/>
          <w:szCs w:val="24"/>
        </w:rPr>
        <w:t xml:space="preserve"> zmieniono art. 2</w:t>
      </w:r>
      <w:r w:rsidR="00413DA1" w:rsidRPr="006C034B">
        <w:rPr>
          <w:rFonts w:cs="Times New Roman"/>
          <w:szCs w:val="24"/>
        </w:rPr>
        <w:t xml:space="preserve">6 ust. 3 </w:t>
      </w:r>
      <w:r w:rsidRPr="006C034B">
        <w:rPr>
          <w:rFonts w:cs="Times New Roman"/>
          <w:szCs w:val="24"/>
        </w:rPr>
        <w:t>ustawy o rynku mocy</w:t>
      </w:r>
      <w:r w:rsidR="00103F40" w:rsidRPr="006C034B">
        <w:rPr>
          <w:rFonts w:cs="Times New Roman"/>
          <w:szCs w:val="24"/>
        </w:rPr>
        <w:t>,</w:t>
      </w:r>
      <w:r w:rsidRPr="006C034B">
        <w:rPr>
          <w:rFonts w:cs="Times New Roman"/>
          <w:szCs w:val="24"/>
        </w:rPr>
        <w:t xml:space="preserve"> </w:t>
      </w:r>
      <w:r w:rsidR="00413DA1" w:rsidRPr="006C034B">
        <w:rPr>
          <w:rFonts w:cs="Times New Roman"/>
          <w:szCs w:val="24"/>
        </w:rPr>
        <w:t>uzupełniając zakres certyfikatu wydawanego przez operatora o możliwość udziału w aukcji uzupełniającej;</w:t>
      </w:r>
    </w:p>
    <w:p w14:paraId="35C391A7" w14:textId="27B0AEE2" w:rsidR="00070686" w:rsidRPr="006C034B" w:rsidRDefault="00070686"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17 zmieniono art. 27 ustawy o rynku mocy</w:t>
      </w:r>
      <w:r w:rsidR="00103F40" w:rsidRPr="006C034B">
        <w:rPr>
          <w:rFonts w:cs="Times New Roman"/>
          <w:szCs w:val="24"/>
        </w:rPr>
        <w:t>,</w:t>
      </w:r>
      <w:r w:rsidRPr="006C034B">
        <w:rPr>
          <w:rFonts w:cs="Times New Roman"/>
          <w:szCs w:val="24"/>
        </w:rPr>
        <w:t xml:space="preserve"> uchylając pkt 2, 4 i 5</w:t>
      </w:r>
      <w:r w:rsidR="00103F40" w:rsidRPr="006C034B">
        <w:rPr>
          <w:rFonts w:cs="Times New Roman"/>
          <w:szCs w:val="24"/>
        </w:rPr>
        <w:t>,</w:t>
      </w:r>
      <w:r w:rsidRPr="006C034B">
        <w:rPr>
          <w:rFonts w:cs="Times New Roman"/>
          <w:szCs w:val="24"/>
        </w:rPr>
        <w:t xml:space="preserve"> ograniczając tym samym zakres informacji przekazywany przez operatora Prezesowi URE i ministrowi właściwemu </w:t>
      </w:r>
      <w:r w:rsidR="000159A6" w:rsidRPr="006C034B">
        <w:rPr>
          <w:rFonts w:cs="Times New Roman"/>
          <w:szCs w:val="24"/>
        </w:rPr>
        <w:t>do spraw</w:t>
      </w:r>
      <w:r w:rsidRPr="006C034B">
        <w:rPr>
          <w:rFonts w:cs="Times New Roman"/>
          <w:szCs w:val="24"/>
        </w:rPr>
        <w:t xml:space="preserve"> </w:t>
      </w:r>
      <w:r w:rsidR="00786B30" w:rsidRPr="006C034B">
        <w:rPr>
          <w:rFonts w:cs="Times New Roman"/>
          <w:szCs w:val="24"/>
        </w:rPr>
        <w:t>energii w zakresie przebiegu certyfikacji do aukcji głównej. Dzięki temu procesy rynku mocy będą mogły być przeprowadzone szybciej i zmniejszy się obciążenie administracyjne po stronie operatora;</w:t>
      </w:r>
    </w:p>
    <w:p w14:paraId="793E4DDE" w14:textId="7D1B8438" w:rsidR="00070686" w:rsidRPr="006C034B" w:rsidRDefault="00070686"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18 zmieniono art. 28 ustawy o rynku mocy</w:t>
      </w:r>
      <w:r w:rsidR="00B7345B" w:rsidRPr="006C034B">
        <w:rPr>
          <w:rFonts w:cs="Times New Roman"/>
          <w:szCs w:val="24"/>
        </w:rPr>
        <w:t>,</w:t>
      </w:r>
      <w:r w:rsidRPr="006C034B">
        <w:rPr>
          <w:rFonts w:cs="Times New Roman"/>
          <w:szCs w:val="24"/>
        </w:rPr>
        <w:t xml:space="preserve"> uchylając pkt 3</w:t>
      </w:r>
      <w:r w:rsidR="00103F40" w:rsidRPr="006C034B">
        <w:rPr>
          <w:rFonts w:cs="Times New Roman"/>
          <w:szCs w:val="24"/>
        </w:rPr>
        <w:t>,</w:t>
      </w:r>
      <w:r w:rsidR="00786B30" w:rsidRPr="006C034B">
        <w:rPr>
          <w:rFonts w:cs="Times New Roman"/>
          <w:szCs w:val="24"/>
        </w:rPr>
        <w:t xml:space="preserve"> ograniczając tym samym zakres informacji przekazywany</w:t>
      </w:r>
      <w:r w:rsidR="00103F40" w:rsidRPr="006C034B">
        <w:rPr>
          <w:rFonts w:cs="Times New Roman"/>
          <w:szCs w:val="24"/>
        </w:rPr>
        <w:t>ch</w:t>
      </w:r>
      <w:r w:rsidR="00786B30" w:rsidRPr="006C034B">
        <w:rPr>
          <w:rFonts w:cs="Times New Roman"/>
          <w:szCs w:val="24"/>
        </w:rPr>
        <w:t xml:space="preserve"> przez operatora Prezesowi URE i ministrowi właściwemu </w:t>
      </w:r>
      <w:r w:rsidR="000159A6" w:rsidRPr="006C034B">
        <w:rPr>
          <w:rFonts w:cs="Times New Roman"/>
          <w:szCs w:val="24"/>
        </w:rPr>
        <w:t>do spraw</w:t>
      </w:r>
      <w:r w:rsidR="00786B30" w:rsidRPr="006C034B">
        <w:rPr>
          <w:rFonts w:cs="Times New Roman"/>
          <w:szCs w:val="24"/>
        </w:rPr>
        <w:t xml:space="preserve"> energii w zakresie przebiegu certyfikacji do aukcji dodatkowej. Dzięki temu procesy rynku mocy będą mogły być przeprowadzone szybciej i zmniejszy się obciążenie administracyjne po stronie operatora;</w:t>
      </w:r>
    </w:p>
    <w:p w14:paraId="1FAB0201" w14:textId="1547F1EB"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lastRenderedPageBreak/>
        <w:t>w pkt 1</w:t>
      </w:r>
      <w:r w:rsidR="00786B30" w:rsidRPr="006C034B">
        <w:rPr>
          <w:rFonts w:cs="Times New Roman"/>
          <w:szCs w:val="24"/>
        </w:rPr>
        <w:t>9</w:t>
      </w:r>
      <w:r w:rsidRPr="006C034B">
        <w:rPr>
          <w:rFonts w:cs="Times New Roman"/>
          <w:szCs w:val="24"/>
        </w:rPr>
        <w:t xml:space="preserve"> </w:t>
      </w:r>
      <w:r w:rsidR="00413DA1" w:rsidRPr="006C034B">
        <w:rPr>
          <w:rFonts w:cs="Times New Roman"/>
          <w:szCs w:val="24"/>
        </w:rPr>
        <w:t>dodano nowy</w:t>
      </w:r>
      <w:r w:rsidRPr="006C034B">
        <w:rPr>
          <w:rFonts w:cs="Times New Roman"/>
          <w:szCs w:val="24"/>
        </w:rPr>
        <w:t xml:space="preserve"> art.</w:t>
      </w:r>
      <w:r w:rsidR="00413DA1" w:rsidRPr="006C034B">
        <w:rPr>
          <w:rFonts w:cs="Times New Roman"/>
          <w:szCs w:val="24"/>
        </w:rPr>
        <w:t xml:space="preserve"> 28a</w:t>
      </w:r>
      <w:r w:rsidRPr="006C034B">
        <w:rPr>
          <w:rFonts w:cs="Times New Roman"/>
          <w:szCs w:val="24"/>
        </w:rPr>
        <w:t xml:space="preserve"> ustawy o rynku mocy</w:t>
      </w:r>
      <w:r w:rsidR="00B7345B" w:rsidRPr="006C034B">
        <w:rPr>
          <w:rFonts w:cs="Times New Roman"/>
          <w:szCs w:val="24"/>
        </w:rPr>
        <w:t>,</w:t>
      </w:r>
      <w:r w:rsidRPr="006C034B">
        <w:rPr>
          <w:rFonts w:cs="Times New Roman"/>
          <w:szCs w:val="24"/>
        </w:rPr>
        <w:t xml:space="preserve"> </w:t>
      </w:r>
      <w:r w:rsidR="00413DA1" w:rsidRPr="006C034B">
        <w:rPr>
          <w:rFonts w:cs="Times New Roman"/>
          <w:szCs w:val="24"/>
        </w:rPr>
        <w:t>określając, że operator w terminie 10 dni po zakończeniu certyfikacji do aukcji uzupełniającej przedkłada Prezesowi URE i ministrowi właściwemu do spraw energii informację o przebiegu tej certyfikacji wraz z określeniem zakresu przedmiotowego informacji;</w:t>
      </w:r>
      <w:r w:rsidR="00B83A28" w:rsidRPr="006C034B">
        <w:rPr>
          <w:rFonts w:cs="Times New Roman"/>
          <w:szCs w:val="24"/>
        </w:rPr>
        <w:t xml:space="preserve"> informacja ta jest zbieżna z</w:t>
      </w:r>
      <w:r w:rsidR="00796F5E" w:rsidRPr="006C034B">
        <w:rPr>
          <w:rFonts w:cs="Times New Roman"/>
          <w:szCs w:val="24"/>
        </w:rPr>
        <w:t> </w:t>
      </w:r>
      <w:r w:rsidR="00B83A28" w:rsidRPr="006C034B">
        <w:rPr>
          <w:rFonts w:cs="Times New Roman"/>
          <w:szCs w:val="24"/>
        </w:rPr>
        <w:t xml:space="preserve">informacjami przekazywanymi przez operatora do Prezesa URE i ministra właściwego </w:t>
      </w:r>
      <w:r w:rsidR="00187EF8" w:rsidRPr="006C034B">
        <w:rPr>
          <w:rFonts w:cs="Times New Roman"/>
          <w:szCs w:val="24"/>
        </w:rPr>
        <w:t>do spraw</w:t>
      </w:r>
      <w:r w:rsidR="00B83A28" w:rsidRPr="006C034B">
        <w:rPr>
          <w:rFonts w:cs="Times New Roman"/>
          <w:szCs w:val="24"/>
        </w:rPr>
        <w:t xml:space="preserve"> energii na etapie zakończenia certyfikacji do aukcji dodatkowych;</w:t>
      </w:r>
    </w:p>
    <w:p w14:paraId="7E78AC43" w14:textId="1D3FAD06"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786B30" w:rsidRPr="006C034B">
        <w:rPr>
          <w:rFonts w:cs="Times New Roman"/>
          <w:szCs w:val="24"/>
        </w:rPr>
        <w:t>20</w:t>
      </w:r>
      <w:r w:rsidRPr="006C034B">
        <w:rPr>
          <w:rFonts w:cs="Times New Roman"/>
          <w:szCs w:val="24"/>
        </w:rPr>
        <w:t xml:space="preserve"> zmieniono art. 2</w:t>
      </w:r>
      <w:r w:rsidR="00413DA1" w:rsidRPr="006C034B">
        <w:rPr>
          <w:rFonts w:cs="Times New Roman"/>
          <w:szCs w:val="24"/>
        </w:rPr>
        <w:t>9</w:t>
      </w:r>
      <w:r w:rsidRPr="006C034B">
        <w:rPr>
          <w:rFonts w:cs="Times New Roman"/>
          <w:szCs w:val="24"/>
        </w:rPr>
        <w:t xml:space="preserve"> ustawy o rynku mocy</w:t>
      </w:r>
      <w:r w:rsidR="009A446E">
        <w:rPr>
          <w:rFonts w:cs="Times New Roman"/>
          <w:szCs w:val="24"/>
        </w:rPr>
        <w:t>,</w:t>
      </w:r>
      <w:r w:rsidRPr="006C034B">
        <w:rPr>
          <w:rFonts w:cs="Times New Roman"/>
          <w:szCs w:val="24"/>
        </w:rPr>
        <w:t xml:space="preserve"> </w:t>
      </w:r>
      <w:r w:rsidR="00413DA1" w:rsidRPr="006C034B">
        <w:rPr>
          <w:rFonts w:cs="Times New Roman"/>
          <w:szCs w:val="24"/>
        </w:rPr>
        <w:t>dodając nowe ust. 2a oraz ust. 5</w:t>
      </w:r>
      <w:r w:rsidR="00146DD9" w:rsidRPr="006C034B">
        <w:rPr>
          <w:rFonts w:cs="Times New Roman"/>
          <w:szCs w:val="24"/>
        </w:rPr>
        <w:t>–</w:t>
      </w:r>
      <w:r w:rsidR="00413DA1" w:rsidRPr="006C034B">
        <w:rPr>
          <w:rFonts w:cs="Times New Roman"/>
          <w:szCs w:val="24"/>
        </w:rPr>
        <w:t>6</w:t>
      </w:r>
      <w:r w:rsidR="001A6ED7" w:rsidRPr="006C034B">
        <w:rPr>
          <w:rFonts w:cs="Times New Roman"/>
          <w:szCs w:val="24"/>
        </w:rPr>
        <w:t>. W nowym ust. 2a</w:t>
      </w:r>
      <w:r w:rsidR="00413DA1" w:rsidRPr="006C034B">
        <w:rPr>
          <w:rFonts w:cs="Times New Roman"/>
          <w:szCs w:val="24"/>
        </w:rPr>
        <w:t xml:space="preserve"> określ</w:t>
      </w:r>
      <w:r w:rsidR="001A6ED7" w:rsidRPr="006C034B">
        <w:rPr>
          <w:rFonts w:cs="Times New Roman"/>
          <w:szCs w:val="24"/>
        </w:rPr>
        <w:t xml:space="preserve">ono, że operator w terminie do </w:t>
      </w:r>
      <w:r w:rsidR="00103F40" w:rsidRPr="006C034B">
        <w:rPr>
          <w:rFonts w:cs="Times New Roman"/>
          <w:szCs w:val="24"/>
        </w:rPr>
        <w:t xml:space="preserve">dnia </w:t>
      </w:r>
      <w:r w:rsidR="001A6ED7" w:rsidRPr="006C034B">
        <w:rPr>
          <w:rFonts w:cs="Times New Roman"/>
          <w:szCs w:val="24"/>
        </w:rPr>
        <w:t>30 kwietnia roku poprzedzającego okres dostaw ogłasza datę przeprowadzenia aukcji uzupełni</w:t>
      </w:r>
      <w:r w:rsidR="00702A85" w:rsidRPr="006C034B">
        <w:rPr>
          <w:rFonts w:cs="Times New Roman"/>
          <w:szCs w:val="24"/>
        </w:rPr>
        <w:t>a</w:t>
      </w:r>
      <w:r w:rsidR="001A6ED7" w:rsidRPr="006C034B">
        <w:rPr>
          <w:rFonts w:cs="Times New Roman"/>
          <w:szCs w:val="24"/>
        </w:rPr>
        <w:t xml:space="preserve">jącej </w:t>
      </w:r>
      <w:proofErr w:type="gramStart"/>
      <w:r w:rsidR="001A6ED7" w:rsidRPr="006C034B">
        <w:rPr>
          <w:rFonts w:cs="Times New Roman"/>
          <w:szCs w:val="24"/>
        </w:rPr>
        <w:t>lub,</w:t>
      </w:r>
      <w:proofErr w:type="gramEnd"/>
      <w:r w:rsidR="001A6ED7" w:rsidRPr="006C034B">
        <w:rPr>
          <w:rFonts w:cs="Times New Roman"/>
          <w:szCs w:val="24"/>
        </w:rPr>
        <w:t xml:space="preserve"> w przypadku braku potwierdzenia wystąpienia luki mocowej (na podstawie krajowej analizy wystarczalności zasobów (art. 29 ust. 5 pkt 2)</w:t>
      </w:r>
      <w:r w:rsidR="00C04115" w:rsidRPr="006C034B">
        <w:rPr>
          <w:rFonts w:cs="Times New Roman"/>
          <w:szCs w:val="24"/>
        </w:rPr>
        <w:t xml:space="preserve"> albo jej aktualizacji</w:t>
      </w:r>
      <w:r w:rsidR="001A6ED7" w:rsidRPr="006C034B">
        <w:rPr>
          <w:rFonts w:cs="Times New Roman"/>
          <w:szCs w:val="24"/>
        </w:rPr>
        <w:t>), informację o braku organizacji aukcji uzupełniającej na dany okres dostaw</w:t>
      </w:r>
      <w:r w:rsidR="00182354" w:rsidRPr="006C034B">
        <w:rPr>
          <w:rFonts w:cs="Times New Roman"/>
          <w:szCs w:val="24"/>
        </w:rPr>
        <w:t xml:space="preserve">. W dodawanym ust. 5 i 6 określono </w:t>
      </w:r>
      <w:r w:rsidR="00413DA1" w:rsidRPr="006C034B">
        <w:rPr>
          <w:rFonts w:cs="Times New Roman"/>
          <w:szCs w:val="24"/>
        </w:rPr>
        <w:t>przesłan</w:t>
      </w:r>
      <w:r w:rsidR="004378BA" w:rsidRPr="006C034B">
        <w:rPr>
          <w:rFonts w:cs="Times New Roman"/>
          <w:szCs w:val="24"/>
        </w:rPr>
        <w:t>ki</w:t>
      </w:r>
      <w:r w:rsidR="00413DA1" w:rsidRPr="006C034B">
        <w:rPr>
          <w:rFonts w:cs="Times New Roman"/>
          <w:szCs w:val="24"/>
        </w:rPr>
        <w:t xml:space="preserve"> do przeprowadzenia</w:t>
      </w:r>
      <w:r w:rsidR="00786B30" w:rsidRPr="006C034B">
        <w:rPr>
          <w:rFonts w:cs="Times New Roman"/>
          <w:szCs w:val="24"/>
        </w:rPr>
        <w:t xml:space="preserve"> </w:t>
      </w:r>
      <w:r w:rsidR="00182354" w:rsidRPr="006C034B">
        <w:rPr>
          <w:rFonts w:cs="Times New Roman"/>
          <w:szCs w:val="24"/>
        </w:rPr>
        <w:t>(</w:t>
      </w:r>
      <w:r w:rsidR="00786B30" w:rsidRPr="006C034B">
        <w:rPr>
          <w:rFonts w:cs="Times New Roman"/>
          <w:szCs w:val="24"/>
        </w:rPr>
        <w:t>lub braku przeprowadzenia</w:t>
      </w:r>
      <w:r w:rsidR="00413DA1" w:rsidRPr="006C034B">
        <w:rPr>
          <w:rFonts w:cs="Times New Roman"/>
          <w:szCs w:val="24"/>
        </w:rPr>
        <w:t xml:space="preserve"> aukcji uzupełniającej</w:t>
      </w:r>
      <w:r w:rsidR="00182354" w:rsidRPr="006C034B">
        <w:rPr>
          <w:rFonts w:cs="Times New Roman"/>
          <w:szCs w:val="24"/>
        </w:rPr>
        <w:t>)</w:t>
      </w:r>
      <w:r w:rsidR="00413DA1" w:rsidRPr="006C034B">
        <w:rPr>
          <w:rFonts w:cs="Times New Roman"/>
          <w:szCs w:val="24"/>
        </w:rPr>
        <w:t xml:space="preserve"> na dany okres dostaw</w:t>
      </w:r>
      <w:r w:rsidR="00BC24F0" w:rsidRPr="006C034B">
        <w:rPr>
          <w:rFonts w:cs="Times New Roman"/>
          <w:szCs w:val="24"/>
        </w:rPr>
        <w:t xml:space="preserve">, </w:t>
      </w:r>
      <w:r w:rsidR="00182354" w:rsidRPr="006C034B">
        <w:rPr>
          <w:rFonts w:cs="Times New Roman"/>
          <w:szCs w:val="24"/>
        </w:rPr>
        <w:t>tj.</w:t>
      </w:r>
      <w:r w:rsidR="00BC24F0" w:rsidRPr="006C034B">
        <w:rPr>
          <w:rFonts w:cs="Times New Roman"/>
          <w:szCs w:val="24"/>
        </w:rPr>
        <w:t xml:space="preserve">: </w:t>
      </w:r>
      <w:r w:rsidR="00182354" w:rsidRPr="006C034B">
        <w:rPr>
          <w:rFonts w:cs="Times New Roman"/>
          <w:szCs w:val="24"/>
        </w:rPr>
        <w:t xml:space="preserve">1) </w:t>
      </w:r>
      <w:r w:rsidR="00BC24F0" w:rsidRPr="006C034B">
        <w:rPr>
          <w:rFonts w:cs="Times New Roman"/>
          <w:szCs w:val="24"/>
        </w:rPr>
        <w:t xml:space="preserve">zakończenie aukcji dodatkowych na dany rok dostaw oraz </w:t>
      </w:r>
      <w:r w:rsidR="00182354" w:rsidRPr="006C034B">
        <w:rPr>
          <w:rFonts w:cs="Times New Roman"/>
          <w:szCs w:val="24"/>
        </w:rPr>
        <w:t xml:space="preserve">2) wystąpienie okoliczności, którą jest brak pokrycia luki mocowej w </w:t>
      </w:r>
      <w:r w:rsidR="00BC24F0" w:rsidRPr="006C034B">
        <w:rPr>
          <w:rFonts w:cs="Times New Roman"/>
          <w:szCs w:val="24"/>
        </w:rPr>
        <w:t>proces</w:t>
      </w:r>
      <w:r w:rsidR="00182354" w:rsidRPr="006C034B">
        <w:rPr>
          <w:rFonts w:cs="Times New Roman"/>
          <w:szCs w:val="24"/>
        </w:rPr>
        <w:t xml:space="preserve">ach </w:t>
      </w:r>
      <w:r w:rsidR="00BC24F0" w:rsidRPr="006C034B">
        <w:rPr>
          <w:rFonts w:cs="Times New Roman"/>
          <w:szCs w:val="24"/>
        </w:rPr>
        <w:t xml:space="preserve">aukcji głównej i aukcji dodatkowych na dany rok dostaw, </w:t>
      </w:r>
      <w:r w:rsidR="00182354" w:rsidRPr="006C034B">
        <w:rPr>
          <w:rFonts w:cs="Times New Roman"/>
          <w:szCs w:val="24"/>
        </w:rPr>
        <w:t xml:space="preserve">co nie pozwala </w:t>
      </w:r>
      <w:r w:rsidR="00BC24F0" w:rsidRPr="006C034B">
        <w:rPr>
          <w:rFonts w:cs="Times New Roman"/>
          <w:szCs w:val="24"/>
        </w:rPr>
        <w:t>rozwiązać problem</w:t>
      </w:r>
      <w:r w:rsidR="00182354" w:rsidRPr="006C034B">
        <w:rPr>
          <w:rFonts w:cs="Times New Roman"/>
          <w:szCs w:val="24"/>
        </w:rPr>
        <w:t>u</w:t>
      </w:r>
      <w:r w:rsidR="00BC24F0" w:rsidRPr="006C034B">
        <w:rPr>
          <w:rFonts w:cs="Times New Roman"/>
          <w:szCs w:val="24"/>
        </w:rPr>
        <w:t xml:space="preserve"> związan</w:t>
      </w:r>
      <w:r w:rsidR="00182354" w:rsidRPr="006C034B">
        <w:rPr>
          <w:rFonts w:cs="Times New Roman"/>
          <w:szCs w:val="24"/>
        </w:rPr>
        <w:t>ego</w:t>
      </w:r>
      <w:r w:rsidR="00BC24F0" w:rsidRPr="006C034B">
        <w:rPr>
          <w:rFonts w:cs="Times New Roman"/>
          <w:szCs w:val="24"/>
        </w:rPr>
        <w:t xml:space="preserve"> z wystarczalnością, stwierdzon</w:t>
      </w:r>
      <w:r w:rsidR="00182354" w:rsidRPr="006C034B">
        <w:rPr>
          <w:rFonts w:cs="Times New Roman"/>
          <w:szCs w:val="24"/>
        </w:rPr>
        <w:t>ego</w:t>
      </w:r>
      <w:r w:rsidR="00BC24F0" w:rsidRPr="006C034B">
        <w:rPr>
          <w:rFonts w:cs="Times New Roman"/>
          <w:szCs w:val="24"/>
        </w:rPr>
        <w:t xml:space="preserve"> na podstawie art. 20 ust. 1 rozporządzenia rynkowego</w:t>
      </w:r>
      <w:r w:rsidR="00413DA1" w:rsidRPr="006C034B">
        <w:rPr>
          <w:rFonts w:cs="Times New Roman"/>
          <w:szCs w:val="24"/>
        </w:rPr>
        <w:t>;</w:t>
      </w:r>
      <w:r w:rsidR="00BC24F0" w:rsidRPr="006C034B">
        <w:rPr>
          <w:rFonts w:cs="Times New Roman"/>
          <w:szCs w:val="24"/>
        </w:rPr>
        <w:t xml:space="preserve"> są to warunki</w:t>
      </w:r>
      <w:r w:rsidR="002C07EA" w:rsidRPr="006C034B">
        <w:rPr>
          <w:rFonts w:cs="Times New Roman"/>
          <w:szCs w:val="24"/>
        </w:rPr>
        <w:t xml:space="preserve"> </w:t>
      </w:r>
      <w:r w:rsidR="00BC24F0" w:rsidRPr="006C034B">
        <w:rPr>
          <w:rFonts w:cs="Times New Roman"/>
          <w:szCs w:val="24"/>
        </w:rPr>
        <w:t>przewidziane w rozporządzeniu EMD;</w:t>
      </w:r>
    </w:p>
    <w:p w14:paraId="7675869D" w14:textId="6A3BAB7F"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EE6CE8" w:rsidRPr="006C034B">
        <w:rPr>
          <w:rFonts w:cs="Times New Roman"/>
          <w:szCs w:val="24"/>
        </w:rPr>
        <w:t>21</w:t>
      </w:r>
      <w:r w:rsidRPr="006C034B">
        <w:rPr>
          <w:rFonts w:cs="Times New Roman"/>
          <w:szCs w:val="24"/>
        </w:rPr>
        <w:t xml:space="preserve"> zmieniono art. </w:t>
      </w:r>
      <w:r w:rsidR="00B25207" w:rsidRPr="006C034B">
        <w:rPr>
          <w:rFonts w:cs="Times New Roman"/>
          <w:szCs w:val="24"/>
        </w:rPr>
        <w:t>3</w:t>
      </w:r>
      <w:r w:rsidRPr="006C034B">
        <w:rPr>
          <w:rFonts w:cs="Times New Roman"/>
          <w:szCs w:val="24"/>
        </w:rPr>
        <w:t>2 ustawy o rynku mocy</w:t>
      </w:r>
      <w:r w:rsidR="00B7345B" w:rsidRPr="006C034B">
        <w:rPr>
          <w:rFonts w:cs="Times New Roman"/>
          <w:szCs w:val="24"/>
        </w:rPr>
        <w:t>,</w:t>
      </w:r>
      <w:r w:rsidR="00786B30" w:rsidRPr="006C034B">
        <w:rPr>
          <w:rFonts w:cs="Times New Roman"/>
          <w:szCs w:val="24"/>
        </w:rPr>
        <w:t xml:space="preserve"> zmieniając brzmienie ust. 3</w:t>
      </w:r>
      <w:r w:rsidR="006F25A5" w:rsidRPr="006C034B">
        <w:rPr>
          <w:rFonts w:cs="Times New Roman"/>
          <w:szCs w:val="24"/>
        </w:rPr>
        <w:t xml:space="preserve"> przez dodanie zastrzeżenia, że na potrzeby aukcji wstępnych do tych aukcji dodatkowych, parametry, o których mowa w ust. 1 pkt 7, pomniejsza się o sumę obowiązków mocowych zakontraktowanych w toku aukcji głównej na dany rok dostaw, a także</w:t>
      </w:r>
      <w:r w:rsidRPr="006C034B">
        <w:rPr>
          <w:rFonts w:cs="Times New Roman"/>
          <w:szCs w:val="24"/>
        </w:rPr>
        <w:t xml:space="preserve"> </w:t>
      </w:r>
      <w:r w:rsidR="00B25207" w:rsidRPr="006C034B">
        <w:rPr>
          <w:rFonts w:cs="Times New Roman"/>
          <w:szCs w:val="24"/>
        </w:rPr>
        <w:t>dodając ust. 4 określający parametry aukcji uzupełniającej jako: a) wielkości wyznaczające popyt w aukcji, cenę maksymalną określoną dla cenobiorcy</w:t>
      </w:r>
      <w:r w:rsidR="00FE637A" w:rsidRPr="006C034B">
        <w:rPr>
          <w:rFonts w:cs="Times New Roman"/>
          <w:szCs w:val="24"/>
        </w:rPr>
        <w:t xml:space="preserve"> </w:t>
      </w:r>
      <w:r w:rsidR="00B25207" w:rsidRPr="006C034B">
        <w:rPr>
          <w:rFonts w:cs="Times New Roman"/>
          <w:szCs w:val="24"/>
        </w:rPr>
        <w:t>– ustalan</w:t>
      </w:r>
      <w:r w:rsidR="004378BA" w:rsidRPr="006C034B">
        <w:rPr>
          <w:rFonts w:cs="Times New Roman"/>
          <w:szCs w:val="24"/>
        </w:rPr>
        <w:t>ą</w:t>
      </w:r>
      <w:r w:rsidR="00B25207" w:rsidRPr="006C034B">
        <w:rPr>
          <w:rFonts w:cs="Times New Roman"/>
          <w:szCs w:val="24"/>
        </w:rPr>
        <w:t xml:space="preserve"> na okresy dostaw </w:t>
      </w:r>
      <w:r w:rsidR="00B540AF" w:rsidRPr="006C034B">
        <w:rPr>
          <w:rFonts w:cs="Times New Roman"/>
          <w:szCs w:val="24"/>
        </w:rPr>
        <w:t>w drugiej połowie</w:t>
      </w:r>
      <w:r w:rsidR="00B25207" w:rsidRPr="006C034B">
        <w:rPr>
          <w:rFonts w:cs="Times New Roman"/>
          <w:szCs w:val="24"/>
        </w:rPr>
        <w:t xml:space="preserve"> 2025 r. zgodnie z art. 2 niniejszej ustawy, na 2026 r. – zgodnie z</w:t>
      </w:r>
      <w:r w:rsidR="00146DD9" w:rsidRPr="006C034B">
        <w:rPr>
          <w:rFonts w:cs="Times New Roman"/>
          <w:szCs w:val="24"/>
        </w:rPr>
        <w:t> </w:t>
      </w:r>
      <w:r w:rsidR="00B25207" w:rsidRPr="006C034B">
        <w:rPr>
          <w:rFonts w:cs="Times New Roman"/>
          <w:szCs w:val="24"/>
        </w:rPr>
        <w:t>art. 3 niniejszej ustawy oraz na okresy dostaw 2027</w:t>
      </w:r>
      <w:r w:rsidR="00146DD9" w:rsidRPr="006C034B">
        <w:rPr>
          <w:rFonts w:cs="Times New Roman"/>
          <w:szCs w:val="24"/>
        </w:rPr>
        <w:t>–</w:t>
      </w:r>
      <w:r w:rsidR="00B25207" w:rsidRPr="006C034B">
        <w:rPr>
          <w:rFonts w:cs="Times New Roman"/>
          <w:szCs w:val="24"/>
        </w:rPr>
        <w:t xml:space="preserve">2028 – zgodnie z art. </w:t>
      </w:r>
      <w:r w:rsidR="00FE637A" w:rsidRPr="006C034B">
        <w:rPr>
          <w:rFonts w:cs="Times New Roman"/>
          <w:szCs w:val="24"/>
        </w:rPr>
        <w:t>3</w:t>
      </w:r>
      <w:r w:rsidR="00B25207" w:rsidRPr="006C034B">
        <w:rPr>
          <w:rFonts w:cs="Times New Roman"/>
          <w:szCs w:val="24"/>
        </w:rPr>
        <w:t>4 niniejszej ustawy; b) korekcyjne współczynniki dyspozycyjności dla poszczególnych grup technologii dla aukcji uzupełniającej</w:t>
      </w:r>
      <w:r w:rsidR="00FE637A" w:rsidRPr="006C034B">
        <w:rPr>
          <w:rFonts w:cs="Times New Roman"/>
          <w:szCs w:val="24"/>
        </w:rPr>
        <w:t xml:space="preserve"> i</w:t>
      </w:r>
      <w:r w:rsidR="00B25207" w:rsidRPr="006C034B">
        <w:rPr>
          <w:rFonts w:cs="Times New Roman"/>
          <w:szCs w:val="24"/>
        </w:rPr>
        <w:t xml:space="preserve"> </w:t>
      </w:r>
      <w:r w:rsidR="00FE637A" w:rsidRPr="006C034B">
        <w:rPr>
          <w:rFonts w:cs="Times New Roman"/>
          <w:szCs w:val="24"/>
        </w:rPr>
        <w:t xml:space="preserve">maksymalną liczbę rund aukcji </w:t>
      </w:r>
      <w:r w:rsidR="00B25207" w:rsidRPr="006C034B">
        <w:rPr>
          <w:rFonts w:cs="Times New Roman"/>
          <w:szCs w:val="24"/>
        </w:rPr>
        <w:t>zgodnie z wartościami określonymi w</w:t>
      </w:r>
      <w:r w:rsidR="00146DD9" w:rsidRPr="006C034B">
        <w:rPr>
          <w:rFonts w:cs="Times New Roman"/>
          <w:szCs w:val="24"/>
        </w:rPr>
        <w:t> </w:t>
      </w:r>
      <w:r w:rsidR="00B25207" w:rsidRPr="006C034B">
        <w:rPr>
          <w:rFonts w:cs="Times New Roman"/>
          <w:szCs w:val="24"/>
        </w:rPr>
        <w:t xml:space="preserve">rozporządzeniu wydanym na podstawie art. 34 ust. 1 </w:t>
      </w:r>
      <w:r w:rsidR="00144700" w:rsidRPr="006C034B">
        <w:rPr>
          <w:rFonts w:cs="Times New Roman"/>
          <w:szCs w:val="24"/>
        </w:rPr>
        <w:t>dla aukcji głównej dla tego samego okresu dostaw</w:t>
      </w:r>
      <w:r w:rsidR="004660FA" w:rsidRPr="006C034B">
        <w:rPr>
          <w:rFonts w:cs="Times New Roman"/>
          <w:szCs w:val="24"/>
        </w:rPr>
        <w:t>;</w:t>
      </w:r>
    </w:p>
    <w:p w14:paraId="2B410E86" w14:textId="18D0BE55" w:rsidR="00C2342F" w:rsidRPr="006C034B" w:rsidRDefault="00C2342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EE6CE8" w:rsidRPr="006C034B">
        <w:rPr>
          <w:rFonts w:cs="Times New Roman"/>
          <w:szCs w:val="24"/>
        </w:rPr>
        <w:t>22</w:t>
      </w:r>
      <w:r w:rsidRPr="006C034B">
        <w:rPr>
          <w:rFonts w:cs="Times New Roman"/>
          <w:szCs w:val="24"/>
        </w:rPr>
        <w:t xml:space="preserve"> dodano nowe art. 34a i </w:t>
      </w:r>
      <w:r w:rsidR="00592092" w:rsidRPr="006C034B">
        <w:rPr>
          <w:rFonts w:cs="Times New Roman"/>
          <w:szCs w:val="24"/>
        </w:rPr>
        <w:t xml:space="preserve">art. </w:t>
      </w:r>
      <w:r w:rsidRPr="006C034B">
        <w:rPr>
          <w:rFonts w:cs="Times New Roman"/>
          <w:szCs w:val="24"/>
        </w:rPr>
        <w:t xml:space="preserve">34b regulujące sposób i tryb określania oraz publikacji parametrów aukcji uzupełniających. Określono sposób wyznaczania zapotrzebowania na moc w aukcji uzupełniającej na podstawie wymaganej wielkości obowiązków mocowych niezbędnej dla zapewnienia spełnienia standardu bezpieczeństwa dostaw energii </w:t>
      </w:r>
      <w:r w:rsidRPr="006C034B">
        <w:rPr>
          <w:rFonts w:cs="Times New Roman"/>
          <w:szCs w:val="24"/>
        </w:rPr>
        <w:lastRenderedPageBreak/>
        <w:t>elektrycznej do odbiorców końcowych, określonej w</w:t>
      </w:r>
      <w:r w:rsidR="00796F5E" w:rsidRPr="006C034B">
        <w:rPr>
          <w:rFonts w:cs="Times New Roman"/>
          <w:szCs w:val="24"/>
        </w:rPr>
        <w:t> </w:t>
      </w:r>
      <w:r w:rsidRPr="006C034B">
        <w:rPr>
          <w:rFonts w:cs="Times New Roman"/>
          <w:szCs w:val="24"/>
        </w:rPr>
        <w:t xml:space="preserve">ocenie wystarczalności zasobów, pomniejszonej o sumę aktywnych obowiązków mocowych dotyczących danego okresu dostaw, wynikających z przeprowadzonych aukcji głównych oraz o </w:t>
      </w:r>
      <w:r w:rsidR="004C603C" w:rsidRPr="006C034B">
        <w:rPr>
          <w:rFonts w:cs="Times New Roman"/>
          <w:szCs w:val="24"/>
        </w:rPr>
        <w:t xml:space="preserve">najmniejszą </w:t>
      </w:r>
      <w:r w:rsidRPr="006C034B">
        <w:rPr>
          <w:rFonts w:cs="Times New Roman"/>
          <w:szCs w:val="24"/>
        </w:rPr>
        <w:t>wielkość aktywnych obowiązków mocowych dotyczących danego okresu dostaw, wynikających z przeprowadzonych aukcji dodatkowych.</w:t>
      </w:r>
      <w:r w:rsidR="00EE6CE8" w:rsidRPr="006C034B">
        <w:rPr>
          <w:rFonts w:cs="Times New Roman"/>
          <w:szCs w:val="24"/>
        </w:rPr>
        <w:t xml:space="preserve"> </w:t>
      </w:r>
      <w:r w:rsidR="001031AF" w:rsidRPr="006C034B">
        <w:rPr>
          <w:rFonts w:cs="Times New Roman"/>
          <w:szCs w:val="24"/>
        </w:rPr>
        <w:t xml:space="preserve">W zakresie aukcji dodatkowych jako referencyjny kwartał przyjęto kwartał o najniższym wolumenie obowiązków mocowych zakontraktowanych w aukcjach dodatkowych. Jest to zasadne z punktu widzenia zapewnienia bezpieczeństwa dostaw energii elektrycznej w każdym dniu, niezależnie od zmienności sezonowej poziomu zapotrzebowania na moc oraz energię elektryczną w systemie, a także od zmiennej sezonowo dostępności zasobów wytwórczych i redukcji zapotrzebowania. Przyjęcie takiej wartości jest uzasadnione wynikami oceny wystarczalności zasobów wytwórczych na poziomie krajowym (NRAA) oraz mechaniką działania aukcji mocy oraz nie narusza warunku przyznania odstępstwa, którym jest minimalizacja nabywanego wolumenu. </w:t>
      </w:r>
      <w:r w:rsidR="00EE6CE8" w:rsidRPr="006C034B">
        <w:rPr>
          <w:rFonts w:cs="Times New Roman"/>
          <w:szCs w:val="24"/>
        </w:rPr>
        <w:t>Ponadto</w:t>
      </w:r>
      <w:r w:rsidR="009A446E">
        <w:rPr>
          <w:rFonts w:cs="Times New Roman"/>
          <w:szCs w:val="24"/>
        </w:rPr>
        <w:t>,</w:t>
      </w:r>
      <w:r w:rsidR="00EE6CE8" w:rsidRPr="006C034B">
        <w:rPr>
          <w:rFonts w:cs="Times New Roman"/>
          <w:szCs w:val="24"/>
        </w:rPr>
        <w:t xml:space="preserve"> obliczając wielkość zapotrzebowania</w:t>
      </w:r>
      <w:r w:rsidRPr="006C034B">
        <w:rPr>
          <w:rFonts w:cs="Times New Roman"/>
          <w:szCs w:val="24"/>
        </w:rPr>
        <w:t xml:space="preserve"> </w:t>
      </w:r>
      <w:r w:rsidR="00EE6CE8" w:rsidRPr="006C034B">
        <w:rPr>
          <w:rFonts w:cs="Times New Roman"/>
          <w:szCs w:val="24"/>
        </w:rPr>
        <w:t>na moc w aukcji uzupełniającej</w:t>
      </w:r>
      <w:r w:rsidR="009A446E">
        <w:rPr>
          <w:rFonts w:cs="Times New Roman"/>
          <w:szCs w:val="24"/>
        </w:rPr>
        <w:t>,</w:t>
      </w:r>
      <w:r w:rsidR="00EE6CE8" w:rsidRPr="006C034B">
        <w:rPr>
          <w:rFonts w:cs="Times New Roman"/>
          <w:szCs w:val="24"/>
        </w:rPr>
        <w:t xml:space="preserve"> uwzględniono wpływ wolumenów zarezerwowanych dla wymiany transgranicznej dla poszczególnych obszarów rynkowych (przekrój synchroniczny, Litwa, Szwecja), zapewniając jednostkom zagranicznym możliwość niedyskryminacyjnego udziału w polskim rynku mocy. </w:t>
      </w:r>
      <w:r w:rsidRPr="006C034B">
        <w:rPr>
          <w:rFonts w:cs="Times New Roman"/>
          <w:szCs w:val="24"/>
        </w:rPr>
        <w:t>W ten sposób zapewniono spełnienie warunków określonych w</w:t>
      </w:r>
      <w:r w:rsidR="00796F5E" w:rsidRPr="006C034B">
        <w:rPr>
          <w:rFonts w:cs="Times New Roman"/>
          <w:szCs w:val="24"/>
        </w:rPr>
        <w:t> </w:t>
      </w:r>
      <w:r w:rsidRPr="006C034B">
        <w:rPr>
          <w:rFonts w:cs="Times New Roman"/>
          <w:szCs w:val="24"/>
        </w:rPr>
        <w:t>rozporządzeniu EMD wskazujących, że proces aukcji realizowanych w ramach derogacji może dotyczyć wyłącznie wolumenu zdolności niezbędnego do zaadresowania problemów związanych z wystarczalnością zasobów wytwórczych. Określono również wartości parametru wyznaczającego wielkość mocy poniżej zapotrzebowania na moc w aukcji uzupełniającej, dla której cena osiąga wartość maksymalną</w:t>
      </w:r>
      <w:r w:rsidR="00103F40" w:rsidRPr="006C034B">
        <w:rPr>
          <w:rFonts w:cs="Times New Roman"/>
          <w:szCs w:val="24"/>
        </w:rPr>
        <w:t>,</w:t>
      </w:r>
      <w:r w:rsidRPr="006C034B">
        <w:rPr>
          <w:rFonts w:cs="Times New Roman"/>
          <w:szCs w:val="24"/>
        </w:rPr>
        <w:t xml:space="preserve"> oraz parametru wyznaczającego wielkość mocy ponad zapotrzebowanie na moc w aukcji uzupełniającej, dla której cena osiąga wartość minimalną</w:t>
      </w:r>
      <w:r w:rsidR="00FE637A" w:rsidRPr="006C034B">
        <w:rPr>
          <w:rFonts w:cs="Times New Roman"/>
          <w:szCs w:val="24"/>
        </w:rPr>
        <w:t>, wartość maksymalnych wolumenów obowiązków mocowych dla zagranicy oraz ceny maksymalnej określonej dla cenobiorcy</w:t>
      </w:r>
      <w:r w:rsidRPr="006C034B">
        <w:rPr>
          <w:rFonts w:cs="Times New Roman"/>
          <w:szCs w:val="24"/>
        </w:rPr>
        <w:t>.</w:t>
      </w:r>
      <w:r w:rsidR="00FE637A" w:rsidRPr="006C034B">
        <w:rPr>
          <w:rFonts w:cs="Times New Roman"/>
          <w:szCs w:val="24"/>
        </w:rPr>
        <w:t xml:space="preserve"> W zakresie ceny cenobiorcy należy wskazać, że zgodnie z motywem 48 decyzji Komisji Europejskiej o zgodności pomocy publicznej przewidzianej w art. 60 ust. 1 z rynkiem wewnętrznym (State aid No. SA.46100 (2017/N) – Poland – Planned Polish capacity mechanism (</w:t>
      </w:r>
      <w:proofErr w:type="gramStart"/>
      <w:r w:rsidR="00FE637A" w:rsidRPr="006C034B">
        <w:rPr>
          <w:rFonts w:cs="Times New Roman"/>
          <w:szCs w:val="24"/>
        </w:rPr>
        <w:t>C(</w:t>
      </w:r>
      <w:proofErr w:type="gramEnd"/>
      <w:r w:rsidR="00FE637A" w:rsidRPr="006C034B">
        <w:rPr>
          <w:rFonts w:cs="Times New Roman"/>
          <w:szCs w:val="24"/>
        </w:rPr>
        <w:t xml:space="preserve">2018) 601 final)) cena dla cenobiorców powinna być wyznaczona na poziomie, który pozwala objąć większość istniejących jednostek. Mając na względzie, że cena dla cenobiorców w aukcjach dodatkowych dla lat 2025 i 2026 była wyznaczana dla jednostek gazowych, przyjęto możliwość aktualizacji parametru aukcji określającego cenę maksymalną cenobiorcy z uwzględnieniem </w:t>
      </w:r>
      <w:r w:rsidR="00FE637A" w:rsidRPr="006C034B">
        <w:rPr>
          <w:rFonts w:cs="Times New Roman"/>
          <w:szCs w:val="24"/>
        </w:rPr>
        <w:lastRenderedPageBreak/>
        <w:t>aktualnych, rzeczywistych, kosztów kapitałowych i operacyjnych jednostek obecnych na krajowym rynku, z wyłączeniem jednostek, które nie będą uprawnione do udziału w danej aukcji uzupełniającej, ze względu na objęcie umowami mocowymi w toku poprzednich aukcji. Jednocześnie</w:t>
      </w:r>
      <w:r w:rsidR="00BB34F3">
        <w:rPr>
          <w:rFonts w:cs="Times New Roman"/>
          <w:szCs w:val="24"/>
        </w:rPr>
        <w:t>,</w:t>
      </w:r>
      <w:r w:rsidR="00FE637A" w:rsidRPr="006C034B">
        <w:rPr>
          <w:rFonts w:cs="Times New Roman"/>
          <w:szCs w:val="24"/>
        </w:rPr>
        <w:t xml:space="preserve"> mając na względzie wskazanie w tym samym punkcie decyzji szacowanej wysokości ceny dla cenobiorców (ok. 45 EUR/kW/rok)</w:t>
      </w:r>
      <w:r w:rsidR="00BB34F3">
        <w:rPr>
          <w:rFonts w:cs="Times New Roman"/>
          <w:szCs w:val="24"/>
        </w:rPr>
        <w:t>,</w:t>
      </w:r>
      <w:r w:rsidR="00FE637A" w:rsidRPr="006C034B">
        <w:rPr>
          <w:rFonts w:cs="Times New Roman"/>
          <w:szCs w:val="24"/>
        </w:rPr>
        <w:t xml:space="preserve"> </w:t>
      </w:r>
      <w:r w:rsidR="00CA0325" w:rsidRPr="006C034B">
        <w:rPr>
          <w:rFonts w:cs="Times New Roman"/>
          <w:szCs w:val="24"/>
        </w:rPr>
        <w:t xml:space="preserve">jest </w:t>
      </w:r>
      <w:r w:rsidR="00FE637A" w:rsidRPr="006C034B">
        <w:rPr>
          <w:rFonts w:cs="Times New Roman"/>
          <w:szCs w:val="24"/>
        </w:rPr>
        <w:t>konieczne ograniczenie maksymalnej ceny dla cenobiorców, aby pozostać w zgodności z decyzją notyfikacyjną. Od czasu przeprowadzenia pierwszej aukcji mocy, na rok dostaw 2021 w 2018 r. do aukcji dodatkowych na poszczególne kwartały roku dostaw 2026, która zostanie przeprowadzona w pierwszym kwartale 2025 r., cena wejścia na rynek nowej jednostki wzrosła o około 60</w:t>
      </w:r>
      <w:r w:rsidR="00CA0325">
        <w:rPr>
          <w:rFonts w:cs="Times New Roman"/>
          <w:szCs w:val="24"/>
        </w:rPr>
        <w:t xml:space="preserve"> </w:t>
      </w:r>
      <w:r w:rsidR="00FE637A" w:rsidRPr="006C034B">
        <w:rPr>
          <w:rFonts w:cs="Times New Roman"/>
          <w:szCs w:val="24"/>
        </w:rPr>
        <w:t>%. W związku z powyższym przyjęto również maksymalny wzrost ceny dla cenobiorców również na poziomie 60</w:t>
      </w:r>
      <w:r w:rsidR="00CA0325">
        <w:rPr>
          <w:rFonts w:cs="Times New Roman"/>
          <w:szCs w:val="24"/>
        </w:rPr>
        <w:t xml:space="preserve"> </w:t>
      </w:r>
      <w:r w:rsidR="00FE637A" w:rsidRPr="006C034B">
        <w:rPr>
          <w:rFonts w:cs="Times New Roman"/>
          <w:szCs w:val="24"/>
        </w:rPr>
        <w:t>%. Następnie, zgodnie z ust. 5, wyrażona w euro wartość parametru maksymalnej ceny dla cenobiorcy jest przeliczana na złote zgodnie ze średnim kursem euro ogłaszanym przez Narodowy Bank Polski z dnia przedłożenia przez operatora proponowanych parametrów aukcji na dany okres dostaw.</w:t>
      </w:r>
      <w:r w:rsidR="00FE637A" w:rsidRPr="006C034B" w:rsidDel="00B84993">
        <w:rPr>
          <w:rFonts w:cs="Times New Roman"/>
          <w:szCs w:val="24"/>
        </w:rPr>
        <w:t xml:space="preserve"> </w:t>
      </w:r>
      <w:r w:rsidR="00FE637A" w:rsidRPr="006C034B">
        <w:rPr>
          <w:rFonts w:cs="Times New Roman"/>
          <w:szCs w:val="24"/>
        </w:rPr>
        <w:t>Ponadto nałożono na operatora obowiązek terminowego opracowania albo aktualizacji oceny wystarczalności zasobów i jej publikacji.</w:t>
      </w:r>
    </w:p>
    <w:p w14:paraId="57EA30E4" w14:textId="716B5896" w:rsidR="00C2342F" w:rsidRPr="006C034B" w:rsidRDefault="00C2342F" w:rsidP="0065692C">
      <w:pPr>
        <w:pStyle w:val="Akapitzlist"/>
        <w:ind w:left="425" w:firstLine="1"/>
        <w:contextualSpacing w:val="0"/>
        <w:jc w:val="both"/>
        <w:rPr>
          <w:rFonts w:cs="Times New Roman"/>
          <w:szCs w:val="24"/>
        </w:rPr>
      </w:pPr>
      <w:r w:rsidRPr="006C034B">
        <w:rPr>
          <w:rFonts w:cs="Times New Roman"/>
          <w:szCs w:val="24"/>
        </w:rPr>
        <w:t xml:space="preserve">Ponadto wskazano, że pozostałe parametry aukcji </w:t>
      </w:r>
      <w:r w:rsidR="00592092" w:rsidRPr="006C034B">
        <w:rPr>
          <w:rFonts w:cs="Times New Roman"/>
          <w:szCs w:val="24"/>
        </w:rPr>
        <w:t xml:space="preserve">są </w:t>
      </w:r>
      <w:r w:rsidRPr="006C034B">
        <w:rPr>
          <w:rFonts w:cs="Times New Roman"/>
          <w:szCs w:val="24"/>
        </w:rPr>
        <w:t xml:space="preserve">przyjmowane na podstawie parametrów aukcji dodatkowych </w:t>
      </w:r>
      <w:r w:rsidR="00EE6CE8" w:rsidRPr="006C034B">
        <w:rPr>
          <w:rFonts w:cs="Times New Roman"/>
          <w:szCs w:val="24"/>
        </w:rPr>
        <w:t xml:space="preserve">obejmujących </w:t>
      </w:r>
      <w:r w:rsidRPr="006C034B">
        <w:rPr>
          <w:rFonts w:cs="Times New Roman"/>
          <w:szCs w:val="24"/>
        </w:rPr>
        <w:t>okres</w:t>
      </w:r>
      <w:r w:rsidR="00EE6CE8" w:rsidRPr="006C034B">
        <w:rPr>
          <w:rFonts w:cs="Times New Roman"/>
          <w:szCs w:val="24"/>
        </w:rPr>
        <w:t>y</w:t>
      </w:r>
      <w:r w:rsidRPr="006C034B">
        <w:rPr>
          <w:rFonts w:cs="Times New Roman"/>
          <w:szCs w:val="24"/>
        </w:rPr>
        <w:t xml:space="preserve"> dostaw</w:t>
      </w:r>
      <w:r w:rsidR="00EE6CE8" w:rsidRPr="006C034B">
        <w:rPr>
          <w:rFonts w:cs="Times New Roman"/>
          <w:szCs w:val="24"/>
        </w:rPr>
        <w:t xml:space="preserve"> pokrywające się z okresem dostaw, na który </w:t>
      </w:r>
      <w:r w:rsidR="00103F40" w:rsidRPr="006C034B">
        <w:rPr>
          <w:rFonts w:cs="Times New Roman"/>
          <w:szCs w:val="24"/>
        </w:rPr>
        <w:t xml:space="preserve">jest </w:t>
      </w:r>
      <w:r w:rsidR="00EE6CE8" w:rsidRPr="006C034B">
        <w:rPr>
          <w:rFonts w:cs="Times New Roman"/>
          <w:szCs w:val="24"/>
        </w:rPr>
        <w:t>przeprowadzana aukcja uzupełniająca</w:t>
      </w:r>
      <w:r w:rsidR="00103F40" w:rsidRPr="006C034B">
        <w:rPr>
          <w:rFonts w:cs="Times New Roman"/>
          <w:szCs w:val="24"/>
        </w:rPr>
        <w:t xml:space="preserve">. </w:t>
      </w:r>
      <w:r w:rsidR="00EE6CE8" w:rsidRPr="006C034B">
        <w:rPr>
          <w:rFonts w:cs="Times New Roman"/>
          <w:szCs w:val="24"/>
        </w:rPr>
        <w:t xml:space="preserve">Wartości te zostały lub zostaną określone dla poszczególnych okresów dostaw w akcie wykonawczym </w:t>
      </w:r>
      <w:r w:rsidRPr="006C034B">
        <w:rPr>
          <w:rFonts w:cs="Times New Roman"/>
          <w:szCs w:val="24"/>
        </w:rPr>
        <w:t>wyda</w:t>
      </w:r>
      <w:r w:rsidR="00103F40" w:rsidRPr="006C034B">
        <w:rPr>
          <w:rFonts w:cs="Times New Roman"/>
          <w:szCs w:val="24"/>
        </w:rPr>
        <w:t>wa</w:t>
      </w:r>
      <w:r w:rsidRPr="006C034B">
        <w:rPr>
          <w:rFonts w:cs="Times New Roman"/>
          <w:szCs w:val="24"/>
        </w:rPr>
        <w:t>nym na podstawie art. 34 ust. 1</w:t>
      </w:r>
      <w:r w:rsidR="00EE6CE8" w:rsidRPr="006C034B">
        <w:rPr>
          <w:rFonts w:cs="Times New Roman"/>
          <w:szCs w:val="24"/>
        </w:rPr>
        <w:t xml:space="preserve"> i zostaną wykorzystane na potrzeby aukcji uzupełniającej na ten sam okres dostaw</w:t>
      </w:r>
      <w:r w:rsidRPr="006C034B">
        <w:rPr>
          <w:rFonts w:cs="Times New Roman"/>
          <w:szCs w:val="24"/>
        </w:rPr>
        <w:t>.</w:t>
      </w:r>
    </w:p>
    <w:p w14:paraId="2054A019" w14:textId="1B227010" w:rsidR="00E3143E" w:rsidRPr="006C034B" w:rsidRDefault="00E3143E" w:rsidP="0065692C">
      <w:pPr>
        <w:pStyle w:val="Akapitzlist"/>
        <w:ind w:left="425" w:firstLine="1"/>
        <w:contextualSpacing w:val="0"/>
        <w:jc w:val="both"/>
        <w:rPr>
          <w:rFonts w:cs="Times New Roman"/>
          <w:szCs w:val="24"/>
        </w:rPr>
      </w:pPr>
      <w:r w:rsidRPr="006C034B">
        <w:rPr>
          <w:rFonts w:cs="Times New Roman"/>
          <w:szCs w:val="24"/>
        </w:rPr>
        <w:t xml:space="preserve">Ogłoszenie parametrów aukcji uzupełniającej rynku mocy </w:t>
      </w:r>
      <w:r w:rsidR="00187EF8" w:rsidRPr="006C034B">
        <w:rPr>
          <w:rFonts w:cs="Times New Roman"/>
          <w:szCs w:val="24"/>
        </w:rPr>
        <w:t xml:space="preserve">w </w:t>
      </w:r>
      <w:r w:rsidRPr="006C034B">
        <w:rPr>
          <w:rFonts w:cs="Times New Roman"/>
          <w:szCs w:val="24"/>
        </w:rPr>
        <w:t xml:space="preserve">drodze obwieszczenia ministra właściwego </w:t>
      </w:r>
      <w:r w:rsidR="00187EF8" w:rsidRPr="006C034B">
        <w:rPr>
          <w:rFonts w:cs="Times New Roman"/>
          <w:szCs w:val="24"/>
        </w:rPr>
        <w:t>do spraw</w:t>
      </w:r>
      <w:r w:rsidRPr="006C034B">
        <w:rPr>
          <w:rFonts w:cs="Times New Roman"/>
          <w:szCs w:val="24"/>
        </w:rPr>
        <w:t xml:space="preserve"> energii zostało przyjęte przez projektodawcę, ponieważ w</w:t>
      </w:r>
      <w:r w:rsidR="00796F5E" w:rsidRPr="006C034B">
        <w:rPr>
          <w:rFonts w:cs="Times New Roman"/>
          <w:szCs w:val="24"/>
        </w:rPr>
        <w:t> </w:t>
      </w:r>
      <w:r w:rsidRPr="006C034B">
        <w:rPr>
          <w:rFonts w:cs="Times New Roman"/>
          <w:szCs w:val="24"/>
        </w:rPr>
        <w:t>przeciwieństwie do aukcji głównej i dodatkowej, aukcja uzupełniającą ma na celu zapewnienie możliwości nabycia ściśle określonego wolumenu mocy</w:t>
      </w:r>
      <w:r w:rsidR="00C428BD" w:rsidRPr="006C034B">
        <w:rPr>
          <w:rFonts w:cs="Times New Roman"/>
          <w:szCs w:val="24"/>
        </w:rPr>
        <w:t xml:space="preserve">, którego nie udało się nabyć w pierwotnych procesach rynku mocy. Zarówno wolumen, jak i pozostałe parametry zostały jasno określone w ustawie w art. 34a, a operator za każdym razem będzie obliczał i przedstawiał parametry po wykonaniu oceny wystarczalności zasobów </w:t>
      </w:r>
      <w:r w:rsidR="00C04115" w:rsidRPr="006C034B">
        <w:rPr>
          <w:rFonts w:cs="Times New Roman"/>
          <w:szCs w:val="24"/>
        </w:rPr>
        <w:t xml:space="preserve">wytwórczych na poziomie krajowym </w:t>
      </w:r>
      <w:r w:rsidR="00C428BD" w:rsidRPr="006C034B">
        <w:rPr>
          <w:rFonts w:cs="Times New Roman"/>
          <w:szCs w:val="24"/>
        </w:rPr>
        <w:t>(</w:t>
      </w:r>
      <w:r w:rsidR="00C04115" w:rsidRPr="006C034B">
        <w:rPr>
          <w:rFonts w:cs="Times New Roman"/>
          <w:szCs w:val="24"/>
        </w:rPr>
        <w:t xml:space="preserve">albo </w:t>
      </w:r>
      <w:r w:rsidR="00C428BD" w:rsidRPr="006C034B">
        <w:rPr>
          <w:rFonts w:cs="Times New Roman"/>
          <w:szCs w:val="24"/>
        </w:rPr>
        <w:t>jej aktualizacji). Sposób wykonania tej analizy jest ściśle określony przepisami prawa U</w:t>
      </w:r>
      <w:r w:rsidR="00103F40" w:rsidRPr="006C034B">
        <w:rPr>
          <w:rFonts w:cs="Times New Roman"/>
          <w:szCs w:val="24"/>
        </w:rPr>
        <w:t xml:space="preserve">nii </w:t>
      </w:r>
      <w:r w:rsidR="00C428BD" w:rsidRPr="006C034B">
        <w:rPr>
          <w:rFonts w:cs="Times New Roman"/>
          <w:szCs w:val="24"/>
        </w:rPr>
        <w:t>E</w:t>
      </w:r>
      <w:r w:rsidR="00103F40" w:rsidRPr="006C034B">
        <w:rPr>
          <w:rFonts w:cs="Times New Roman"/>
          <w:szCs w:val="24"/>
        </w:rPr>
        <w:t>uropejskiej</w:t>
      </w:r>
      <w:r w:rsidR="00C428BD" w:rsidRPr="006C034B">
        <w:rPr>
          <w:rFonts w:cs="Times New Roman"/>
          <w:szCs w:val="24"/>
        </w:rPr>
        <w:t xml:space="preserve"> oraz odpowiednimi dokumentami ACER (Agencji współpracy regulatorów energetyki). Stąd operator po wykonaniu analizy dokona kalkulacji w ściśle określonych ustawą ramach i przedłoży ministrowi właściwemu </w:t>
      </w:r>
      <w:r w:rsidR="00187EF8" w:rsidRPr="006C034B">
        <w:rPr>
          <w:rFonts w:cs="Times New Roman"/>
          <w:szCs w:val="24"/>
        </w:rPr>
        <w:t>do spraw</w:t>
      </w:r>
      <w:r w:rsidR="00C428BD" w:rsidRPr="006C034B">
        <w:rPr>
          <w:rFonts w:cs="Times New Roman"/>
          <w:szCs w:val="24"/>
        </w:rPr>
        <w:t xml:space="preserve"> energii propozycję parametrów, która zostanie ogłoszona </w:t>
      </w:r>
      <w:r w:rsidR="00187EF8" w:rsidRPr="006C034B">
        <w:rPr>
          <w:rFonts w:cs="Times New Roman"/>
          <w:szCs w:val="24"/>
        </w:rPr>
        <w:t xml:space="preserve">w </w:t>
      </w:r>
      <w:r w:rsidR="00C428BD" w:rsidRPr="006C034B">
        <w:rPr>
          <w:rFonts w:cs="Times New Roman"/>
          <w:szCs w:val="24"/>
        </w:rPr>
        <w:t xml:space="preserve">drodze </w:t>
      </w:r>
      <w:r w:rsidR="00C428BD" w:rsidRPr="006C034B">
        <w:rPr>
          <w:rFonts w:cs="Times New Roman"/>
          <w:szCs w:val="24"/>
        </w:rPr>
        <w:lastRenderedPageBreak/>
        <w:t>obwieszczenia.</w:t>
      </w:r>
      <w:r w:rsidR="00AE3D0A" w:rsidRPr="006C034B">
        <w:rPr>
          <w:rFonts w:cs="Times New Roman"/>
          <w:szCs w:val="24"/>
        </w:rPr>
        <w:t xml:space="preserve"> Ponadto delegacja do wydania obwieszczenia została uzupełniona o </w:t>
      </w:r>
      <w:r w:rsidR="002C5D9D" w:rsidRPr="006C034B">
        <w:rPr>
          <w:rFonts w:cs="Times New Roman"/>
          <w:szCs w:val="24"/>
        </w:rPr>
        <w:t>wytyczne</w:t>
      </w:r>
      <w:r w:rsidR="00103F40" w:rsidRPr="006C034B">
        <w:rPr>
          <w:rFonts w:cs="Times New Roman"/>
          <w:szCs w:val="24"/>
        </w:rPr>
        <w:t>,</w:t>
      </w:r>
      <w:r w:rsidR="00AE3D0A" w:rsidRPr="006C034B">
        <w:rPr>
          <w:rFonts w:cs="Times New Roman"/>
          <w:szCs w:val="24"/>
        </w:rPr>
        <w:t xml:space="preserve"> jak</w:t>
      </w:r>
      <w:r w:rsidR="002C5D9D" w:rsidRPr="006C034B">
        <w:rPr>
          <w:rFonts w:cs="Times New Roman"/>
          <w:szCs w:val="24"/>
        </w:rPr>
        <w:t>imi</w:t>
      </w:r>
      <w:r w:rsidR="00AE3D0A" w:rsidRPr="006C034B">
        <w:rPr>
          <w:rFonts w:cs="Times New Roman"/>
          <w:szCs w:val="24"/>
        </w:rPr>
        <w:t xml:space="preserve"> powinien się kierować wydający obwieszczenie </w:t>
      </w:r>
      <w:r w:rsidR="002C5D9D" w:rsidRPr="006C034B">
        <w:rPr>
          <w:rFonts w:cs="Times New Roman"/>
          <w:szCs w:val="24"/>
        </w:rPr>
        <w:t>w sprawie</w:t>
      </w:r>
      <w:r w:rsidR="00AE3D0A" w:rsidRPr="006C034B">
        <w:rPr>
          <w:rFonts w:cs="Times New Roman"/>
          <w:szCs w:val="24"/>
        </w:rPr>
        <w:t xml:space="preserve"> parametr</w:t>
      </w:r>
      <w:r w:rsidR="002C5D9D" w:rsidRPr="006C034B">
        <w:rPr>
          <w:rFonts w:cs="Times New Roman"/>
          <w:szCs w:val="24"/>
        </w:rPr>
        <w:t>ów</w:t>
      </w:r>
      <w:r w:rsidR="00AE3D0A" w:rsidRPr="006C034B">
        <w:rPr>
          <w:rFonts w:cs="Times New Roman"/>
          <w:szCs w:val="24"/>
        </w:rPr>
        <w:t xml:space="preserve"> aukcji uzupełniając</w:t>
      </w:r>
      <w:r w:rsidR="002C5D9D" w:rsidRPr="006C034B">
        <w:rPr>
          <w:rFonts w:cs="Times New Roman"/>
          <w:szCs w:val="24"/>
        </w:rPr>
        <w:t>ej</w:t>
      </w:r>
      <w:r w:rsidR="00AE3D0A" w:rsidRPr="006C034B">
        <w:rPr>
          <w:rFonts w:cs="Times New Roman"/>
          <w:szCs w:val="24"/>
        </w:rPr>
        <w:t xml:space="preserve">. Ogłoszenie </w:t>
      </w:r>
      <w:r w:rsidR="002C5D9D" w:rsidRPr="006C034B">
        <w:rPr>
          <w:rFonts w:cs="Times New Roman"/>
          <w:szCs w:val="24"/>
        </w:rPr>
        <w:t>w</w:t>
      </w:r>
      <w:r w:rsidR="00AE3D0A" w:rsidRPr="006C034B">
        <w:rPr>
          <w:rFonts w:cs="Times New Roman"/>
          <w:szCs w:val="24"/>
        </w:rPr>
        <w:t xml:space="preserve"> drodze obwieszczenia parametrów aukcji uzupełniającej powinno zostać dokonane</w:t>
      </w:r>
      <w:r w:rsidR="009A446E">
        <w:rPr>
          <w:rFonts w:cs="Times New Roman"/>
          <w:szCs w:val="24"/>
        </w:rPr>
        <w:t>,</w:t>
      </w:r>
      <w:r w:rsidR="00AE3D0A" w:rsidRPr="006C034B">
        <w:rPr>
          <w:rFonts w:cs="Times New Roman"/>
          <w:szCs w:val="24"/>
        </w:rPr>
        <w:t xml:space="preserve"> biorąc pod uwagę wyniki oceny wystarczalności zasobów</w:t>
      </w:r>
      <w:r w:rsidR="00C04115" w:rsidRPr="006C034B">
        <w:rPr>
          <w:rFonts w:cs="Times New Roman"/>
          <w:szCs w:val="24"/>
        </w:rPr>
        <w:t xml:space="preserve"> wytwórczych</w:t>
      </w:r>
      <w:r w:rsidR="00AE3D0A" w:rsidRPr="006C034B">
        <w:rPr>
          <w:rFonts w:cs="Times New Roman"/>
          <w:szCs w:val="24"/>
        </w:rPr>
        <w:t xml:space="preserve"> na poziomie krajowy</w:t>
      </w:r>
      <w:r w:rsidR="002C5D9D" w:rsidRPr="006C034B">
        <w:rPr>
          <w:rFonts w:cs="Times New Roman"/>
          <w:szCs w:val="24"/>
        </w:rPr>
        <w:t>m</w:t>
      </w:r>
      <w:r w:rsidR="00AE3D0A" w:rsidRPr="006C034B">
        <w:rPr>
          <w:rFonts w:cs="Times New Roman"/>
          <w:szCs w:val="24"/>
        </w:rPr>
        <w:t xml:space="preserve"> opublikowan</w:t>
      </w:r>
      <w:r w:rsidR="002C5D9D" w:rsidRPr="006C034B">
        <w:rPr>
          <w:rFonts w:cs="Times New Roman"/>
          <w:szCs w:val="24"/>
        </w:rPr>
        <w:t>ej</w:t>
      </w:r>
      <w:r w:rsidR="00AE3D0A" w:rsidRPr="006C034B">
        <w:rPr>
          <w:rFonts w:cs="Times New Roman"/>
          <w:szCs w:val="24"/>
        </w:rPr>
        <w:t xml:space="preserve"> przez operatora zgodnie z art. 32a ust. 4</w:t>
      </w:r>
      <w:r w:rsidR="00C04115" w:rsidRPr="006C034B">
        <w:rPr>
          <w:rFonts w:cs="Times New Roman"/>
          <w:szCs w:val="24"/>
        </w:rPr>
        <w:t xml:space="preserve"> albo jej aktualizacji</w:t>
      </w:r>
      <w:r w:rsidR="00AE3D0A" w:rsidRPr="006C034B">
        <w:rPr>
          <w:rFonts w:cs="Times New Roman"/>
          <w:szCs w:val="24"/>
        </w:rPr>
        <w:t xml:space="preserve">. Wzięcie pod uwagę </w:t>
      </w:r>
      <w:r w:rsidR="00943701" w:rsidRPr="006C034B">
        <w:rPr>
          <w:rFonts w:cs="Times New Roman"/>
          <w:szCs w:val="24"/>
        </w:rPr>
        <w:t xml:space="preserve">wyników oceny wystarczalności zasobów </w:t>
      </w:r>
      <w:r w:rsidR="00C04115" w:rsidRPr="006C034B">
        <w:rPr>
          <w:rFonts w:cs="Times New Roman"/>
          <w:szCs w:val="24"/>
        </w:rPr>
        <w:t xml:space="preserve">wytwórczych </w:t>
      </w:r>
      <w:r w:rsidR="00943701" w:rsidRPr="006C034B">
        <w:rPr>
          <w:rFonts w:cs="Times New Roman"/>
          <w:szCs w:val="24"/>
        </w:rPr>
        <w:t xml:space="preserve">na poziomie krajowym </w:t>
      </w:r>
      <w:r w:rsidR="00C04115" w:rsidRPr="006C034B">
        <w:rPr>
          <w:rFonts w:cs="Times New Roman"/>
          <w:szCs w:val="24"/>
        </w:rPr>
        <w:t xml:space="preserve">albo jej aktualizacji </w:t>
      </w:r>
      <w:r w:rsidR="00943701" w:rsidRPr="006C034B">
        <w:rPr>
          <w:rFonts w:cs="Times New Roman"/>
          <w:szCs w:val="24"/>
        </w:rPr>
        <w:t>jest niezbędne</w:t>
      </w:r>
      <w:r w:rsidR="00B13945" w:rsidRPr="006C034B">
        <w:rPr>
          <w:rFonts w:cs="Times New Roman"/>
          <w:szCs w:val="24"/>
        </w:rPr>
        <w:t>,</w:t>
      </w:r>
      <w:r w:rsidR="00943701" w:rsidRPr="006C034B">
        <w:rPr>
          <w:rFonts w:cs="Times New Roman"/>
          <w:szCs w:val="24"/>
        </w:rPr>
        <w:t xml:space="preserve"> aby parametry aukcji uzupełniające</w:t>
      </w:r>
      <w:r w:rsidR="00103F40" w:rsidRPr="006C034B">
        <w:rPr>
          <w:rFonts w:cs="Times New Roman"/>
          <w:szCs w:val="24"/>
        </w:rPr>
        <w:t>j</w:t>
      </w:r>
      <w:r w:rsidR="00943701" w:rsidRPr="006C034B">
        <w:rPr>
          <w:rFonts w:cs="Times New Roman"/>
          <w:szCs w:val="24"/>
        </w:rPr>
        <w:t xml:space="preserve"> zostały określone </w:t>
      </w:r>
      <w:r w:rsidR="002C5D9D" w:rsidRPr="006C034B">
        <w:rPr>
          <w:rFonts w:cs="Times New Roman"/>
          <w:szCs w:val="24"/>
        </w:rPr>
        <w:t>na</w:t>
      </w:r>
      <w:r w:rsidR="00943701" w:rsidRPr="006C034B">
        <w:rPr>
          <w:rFonts w:cs="Times New Roman"/>
          <w:szCs w:val="24"/>
        </w:rPr>
        <w:t xml:space="preserve"> odpowiedni</w:t>
      </w:r>
      <w:r w:rsidR="002C5D9D" w:rsidRPr="006C034B">
        <w:rPr>
          <w:rFonts w:cs="Times New Roman"/>
          <w:szCs w:val="24"/>
        </w:rPr>
        <w:t>m</w:t>
      </w:r>
      <w:r w:rsidR="00943701" w:rsidRPr="006C034B">
        <w:rPr>
          <w:rFonts w:cs="Times New Roman"/>
          <w:szCs w:val="24"/>
        </w:rPr>
        <w:t xml:space="preserve"> poziom</w:t>
      </w:r>
      <w:r w:rsidR="002C5D9D" w:rsidRPr="006C034B">
        <w:rPr>
          <w:rFonts w:cs="Times New Roman"/>
          <w:szCs w:val="24"/>
        </w:rPr>
        <w:t>ie</w:t>
      </w:r>
      <w:r w:rsidR="00943701" w:rsidRPr="006C034B">
        <w:rPr>
          <w:rFonts w:cs="Times New Roman"/>
          <w:szCs w:val="24"/>
        </w:rPr>
        <w:t>, zapewniający</w:t>
      </w:r>
      <w:r w:rsidR="002C5D9D" w:rsidRPr="006C034B">
        <w:rPr>
          <w:rFonts w:cs="Times New Roman"/>
          <w:szCs w:val="24"/>
        </w:rPr>
        <w:t>m</w:t>
      </w:r>
      <w:r w:rsidR="00943701" w:rsidRPr="006C034B">
        <w:rPr>
          <w:rFonts w:cs="Times New Roman"/>
          <w:szCs w:val="24"/>
        </w:rPr>
        <w:t xml:space="preserve"> jednocześnie pokrycie luki mocowej</w:t>
      </w:r>
      <w:r w:rsidR="00103F40" w:rsidRPr="006C034B">
        <w:rPr>
          <w:rFonts w:cs="Times New Roman"/>
          <w:szCs w:val="24"/>
        </w:rPr>
        <w:t>,</w:t>
      </w:r>
      <w:r w:rsidR="00943701" w:rsidRPr="006C034B">
        <w:rPr>
          <w:rFonts w:cs="Times New Roman"/>
          <w:szCs w:val="24"/>
        </w:rPr>
        <w:t xml:space="preserve"> jak i realizując</w:t>
      </w:r>
      <w:r w:rsidR="002C5D9D" w:rsidRPr="006C034B">
        <w:rPr>
          <w:rFonts w:cs="Times New Roman"/>
          <w:szCs w:val="24"/>
        </w:rPr>
        <w:t>ym</w:t>
      </w:r>
      <w:r w:rsidR="00943701" w:rsidRPr="006C034B">
        <w:rPr>
          <w:rFonts w:cs="Times New Roman"/>
          <w:szCs w:val="24"/>
        </w:rPr>
        <w:t xml:space="preserve"> wymogi rozporządzenia EMD</w:t>
      </w:r>
      <w:r w:rsidR="004660FA" w:rsidRPr="006C034B">
        <w:rPr>
          <w:rFonts w:cs="Times New Roman"/>
          <w:szCs w:val="24"/>
        </w:rPr>
        <w:t>;</w:t>
      </w:r>
    </w:p>
    <w:p w14:paraId="236B38FA" w14:textId="2BE263BE"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187EF8" w:rsidRPr="006C034B">
        <w:rPr>
          <w:rFonts w:cs="Times New Roman"/>
          <w:szCs w:val="24"/>
        </w:rPr>
        <w:t>2</w:t>
      </w:r>
      <w:r w:rsidR="00563F52" w:rsidRPr="006C034B">
        <w:rPr>
          <w:rFonts w:cs="Times New Roman"/>
          <w:szCs w:val="24"/>
        </w:rPr>
        <w:t>3</w:t>
      </w:r>
      <w:r w:rsidR="00187EF8" w:rsidRPr="006C034B">
        <w:rPr>
          <w:rFonts w:cs="Times New Roman"/>
          <w:szCs w:val="24"/>
        </w:rPr>
        <w:t xml:space="preserve"> </w:t>
      </w:r>
      <w:r w:rsidRPr="006C034B">
        <w:rPr>
          <w:rFonts w:cs="Times New Roman"/>
          <w:szCs w:val="24"/>
        </w:rPr>
        <w:t>zmieniono art. 49a ustawy o rynku mocy</w:t>
      </w:r>
      <w:r w:rsidR="00B7345B" w:rsidRPr="006C034B">
        <w:rPr>
          <w:rFonts w:cs="Times New Roman"/>
          <w:szCs w:val="24"/>
        </w:rPr>
        <w:t>,</w:t>
      </w:r>
      <w:r w:rsidRPr="006C034B">
        <w:rPr>
          <w:rFonts w:cs="Times New Roman"/>
          <w:szCs w:val="24"/>
        </w:rPr>
        <w:t xml:space="preserve"> dodając pkt 3</w:t>
      </w:r>
      <w:r w:rsidR="00A7196D" w:rsidRPr="006C034B">
        <w:rPr>
          <w:rFonts w:cs="Times New Roman"/>
          <w:szCs w:val="24"/>
        </w:rPr>
        <w:t xml:space="preserve"> określający, że przepis</w:t>
      </w:r>
      <w:r w:rsidR="00592092" w:rsidRPr="006C034B">
        <w:rPr>
          <w:rFonts w:cs="Times New Roman"/>
          <w:szCs w:val="24"/>
        </w:rPr>
        <w:t>u</w:t>
      </w:r>
      <w:r w:rsidR="00A7196D" w:rsidRPr="006C034B">
        <w:rPr>
          <w:rFonts w:cs="Times New Roman"/>
          <w:szCs w:val="24"/>
        </w:rPr>
        <w:t xml:space="preserve"> art. 48 ust. 2 pkt 2 lit. f nie stosuje się w odniesieniu do obowiązku mocowego, który powstał w wyniku zawarcia umowy mocowej w ramach aukcji uzupełniającej, również w przypadku, gdy ten obowiązek mocowy został przeniesiony, w całości lub w części, na inną jednostkę rynku mocy w wyniku transakcji na rynku wtórnym, niezależnie od liczby transakcji, którym podlegał;</w:t>
      </w:r>
    </w:p>
    <w:p w14:paraId="6375A463" w14:textId="42C892E5"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187EF8" w:rsidRPr="006C034B">
        <w:rPr>
          <w:rFonts w:cs="Times New Roman"/>
          <w:szCs w:val="24"/>
        </w:rPr>
        <w:t>2</w:t>
      </w:r>
      <w:r w:rsidR="00563F52" w:rsidRPr="006C034B">
        <w:rPr>
          <w:rFonts w:cs="Times New Roman"/>
          <w:szCs w:val="24"/>
        </w:rPr>
        <w:t>4</w:t>
      </w:r>
      <w:r w:rsidR="00187EF8" w:rsidRPr="006C034B">
        <w:rPr>
          <w:rFonts w:cs="Times New Roman"/>
          <w:szCs w:val="24"/>
        </w:rPr>
        <w:t xml:space="preserve"> </w:t>
      </w:r>
      <w:r w:rsidRPr="006C034B">
        <w:rPr>
          <w:rFonts w:cs="Times New Roman"/>
          <w:szCs w:val="24"/>
        </w:rPr>
        <w:t>zmieniono art. 53a ustawy o rynku mocy</w:t>
      </w:r>
      <w:r w:rsidR="00B7345B" w:rsidRPr="006C034B">
        <w:rPr>
          <w:rFonts w:cs="Times New Roman"/>
          <w:szCs w:val="24"/>
        </w:rPr>
        <w:t>,</w:t>
      </w:r>
      <w:r w:rsidRPr="006C034B">
        <w:rPr>
          <w:rFonts w:cs="Times New Roman"/>
          <w:szCs w:val="24"/>
        </w:rPr>
        <w:t xml:space="preserve"> nadając nowe brzmienie przepisu i</w:t>
      </w:r>
      <w:r w:rsidR="00146DD9" w:rsidRPr="006C034B">
        <w:rPr>
          <w:rFonts w:cs="Times New Roman"/>
          <w:szCs w:val="24"/>
        </w:rPr>
        <w:t> </w:t>
      </w:r>
      <w:r w:rsidRPr="006C034B">
        <w:rPr>
          <w:rFonts w:cs="Times New Roman"/>
          <w:szCs w:val="24"/>
        </w:rPr>
        <w:t xml:space="preserve">tym samym </w:t>
      </w:r>
      <w:r w:rsidR="00A7196D" w:rsidRPr="006C034B">
        <w:rPr>
          <w:rFonts w:cs="Times New Roman"/>
          <w:szCs w:val="24"/>
        </w:rPr>
        <w:t>regulując kwestię zastępowania jednostek redukcji zapotrzebowania planowanych wchodzących w skład jednostki rynku mocy redukcji zapotrzebowania i</w:t>
      </w:r>
      <w:r w:rsidR="00146DD9" w:rsidRPr="006C034B">
        <w:rPr>
          <w:rFonts w:cs="Times New Roman"/>
          <w:szCs w:val="24"/>
        </w:rPr>
        <w:t> </w:t>
      </w:r>
      <w:r w:rsidR="00A7196D" w:rsidRPr="006C034B">
        <w:rPr>
          <w:rFonts w:cs="Times New Roman"/>
          <w:szCs w:val="24"/>
        </w:rPr>
        <w:t>wpływu procesu zastąpienia na spełnienie wymogów dot</w:t>
      </w:r>
      <w:r w:rsidR="00592092" w:rsidRPr="006C034B">
        <w:rPr>
          <w:rFonts w:cs="Times New Roman"/>
          <w:szCs w:val="24"/>
        </w:rPr>
        <w:t xml:space="preserve">yczących </w:t>
      </w:r>
      <w:r w:rsidR="00A7196D" w:rsidRPr="006C034B">
        <w:rPr>
          <w:rFonts w:cs="Times New Roman"/>
          <w:szCs w:val="24"/>
        </w:rPr>
        <w:t>limitu emisji</w:t>
      </w:r>
      <w:r w:rsidR="004660FA" w:rsidRPr="006C034B">
        <w:rPr>
          <w:rFonts w:cs="Times New Roman"/>
          <w:szCs w:val="24"/>
        </w:rPr>
        <w:t>;</w:t>
      </w:r>
    </w:p>
    <w:p w14:paraId="44C1994A" w14:textId="38EB4417" w:rsidR="00386473" w:rsidRPr="006C034B" w:rsidRDefault="00386473"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187EF8" w:rsidRPr="006C034B">
        <w:rPr>
          <w:rFonts w:cs="Times New Roman"/>
          <w:szCs w:val="24"/>
        </w:rPr>
        <w:t>2</w:t>
      </w:r>
      <w:r w:rsidR="00563F52" w:rsidRPr="006C034B">
        <w:rPr>
          <w:rFonts w:cs="Times New Roman"/>
          <w:szCs w:val="24"/>
        </w:rPr>
        <w:t>5</w:t>
      </w:r>
      <w:r w:rsidR="00187EF8" w:rsidRPr="006C034B">
        <w:rPr>
          <w:rFonts w:cs="Times New Roman"/>
          <w:szCs w:val="24"/>
        </w:rPr>
        <w:t xml:space="preserve"> </w:t>
      </w:r>
      <w:r w:rsidRPr="006C034B">
        <w:rPr>
          <w:rFonts w:cs="Times New Roman"/>
          <w:szCs w:val="24"/>
        </w:rPr>
        <w:t>zmieniono w art. 55 ust. 4. Jest to zmiana wynikowa w związku z</w:t>
      </w:r>
      <w:r w:rsidR="00796F5E" w:rsidRPr="006C034B">
        <w:rPr>
          <w:rFonts w:cs="Times New Roman"/>
          <w:szCs w:val="24"/>
        </w:rPr>
        <w:t> </w:t>
      </w:r>
      <w:r w:rsidRPr="006C034B">
        <w:rPr>
          <w:rFonts w:cs="Times New Roman"/>
          <w:szCs w:val="24"/>
        </w:rPr>
        <w:t>uchyleniem w art. 12 w ust. 2 pkt 5–7;</w:t>
      </w:r>
    </w:p>
    <w:p w14:paraId="1DCC078C" w14:textId="2BE8EF49"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187EF8" w:rsidRPr="006C034B">
        <w:rPr>
          <w:rFonts w:cs="Times New Roman"/>
          <w:szCs w:val="24"/>
        </w:rPr>
        <w:t>2</w:t>
      </w:r>
      <w:r w:rsidR="00563F52" w:rsidRPr="006C034B">
        <w:rPr>
          <w:rFonts w:cs="Times New Roman"/>
          <w:szCs w:val="24"/>
        </w:rPr>
        <w:t>6</w:t>
      </w:r>
      <w:r w:rsidR="00187EF8" w:rsidRPr="006C034B">
        <w:rPr>
          <w:rFonts w:cs="Times New Roman"/>
          <w:szCs w:val="24"/>
        </w:rPr>
        <w:t xml:space="preserve"> </w:t>
      </w:r>
      <w:r w:rsidRPr="006C034B">
        <w:rPr>
          <w:rFonts w:cs="Times New Roman"/>
          <w:szCs w:val="24"/>
        </w:rPr>
        <w:t>zmieniono art. 60 ust. 3 ustawy o rynku mocy</w:t>
      </w:r>
      <w:r w:rsidR="00B7345B" w:rsidRPr="006C034B">
        <w:rPr>
          <w:rFonts w:cs="Times New Roman"/>
          <w:szCs w:val="24"/>
        </w:rPr>
        <w:t>,</w:t>
      </w:r>
      <w:r w:rsidRPr="006C034B">
        <w:rPr>
          <w:rFonts w:cs="Times New Roman"/>
          <w:szCs w:val="24"/>
        </w:rPr>
        <w:t xml:space="preserve"> uzupełniając </w:t>
      </w:r>
      <w:r w:rsidR="002C5FFB" w:rsidRPr="006C034B">
        <w:rPr>
          <w:rFonts w:cs="Times New Roman"/>
          <w:szCs w:val="24"/>
        </w:rPr>
        <w:t xml:space="preserve">katalog </w:t>
      </w:r>
      <w:r w:rsidRPr="006C034B">
        <w:rPr>
          <w:rFonts w:cs="Times New Roman"/>
          <w:szCs w:val="24"/>
        </w:rPr>
        <w:t>cen obowiązku mocowego określon</w:t>
      </w:r>
      <w:r w:rsidR="002C5FFB" w:rsidRPr="006C034B">
        <w:rPr>
          <w:rFonts w:cs="Times New Roman"/>
          <w:szCs w:val="24"/>
        </w:rPr>
        <w:t>ych</w:t>
      </w:r>
      <w:r w:rsidRPr="006C034B">
        <w:rPr>
          <w:rFonts w:cs="Times New Roman"/>
          <w:szCs w:val="24"/>
        </w:rPr>
        <w:t xml:space="preserve"> w umowie mocowej również o cenę zamknięcia aukcji uzupełniającej;</w:t>
      </w:r>
    </w:p>
    <w:p w14:paraId="6ACA78C6" w14:textId="1916F74C" w:rsidR="00182354" w:rsidRPr="006C034B" w:rsidRDefault="00182354"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2</w:t>
      </w:r>
      <w:r w:rsidR="00563F52" w:rsidRPr="006C034B">
        <w:rPr>
          <w:rFonts w:cs="Times New Roman"/>
          <w:szCs w:val="24"/>
        </w:rPr>
        <w:t>7</w:t>
      </w:r>
      <w:r w:rsidRPr="006C034B">
        <w:rPr>
          <w:rFonts w:cs="Times New Roman"/>
          <w:szCs w:val="24"/>
        </w:rPr>
        <w:t xml:space="preserve"> zmieniono art. 64 pkt 1 ustawy o rynku mocy, w którym dokonano uzupełnienia przesłanki dot</w:t>
      </w:r>
      <w:r w:rsidR="00592092" w:rsidRPr="006C034B">
        <w:rPr>
          <w:rFonts w:cs="Times New Roman"/>
          <w:szCs w:val="24"/>
        </w:rPr>
        <w:t>yczące</w:t>
      </w:r>
      <w:r w:rsidR="009A446E">
        <w:rPr>
          <w:rFonts w:cs="Times New Roman"/>
          <w:szCs w:val="24"/>
        </w:rPr>
        <w:t>j</w:t>
      </w:r>
      <w:r w:rsidRPr="006C034B">
        <w:rPr>
          <w:rFonts w:cs="Times New Roman"/>
          <w:szCs w:val="24"/>
        </w:rPr>
        <w:t xml:space="preserve"> wypłaty wynagrodzenia na rzecz jednostki fizycznej zagranicznej</w:t>
      </w:r>
      <w:r w:rsidR="00521125" w:rsidRPr="006C034B">
        <w:rPr>
          <w:rFonts w:cs="Times New Roman"/>
          <w:szCs w:val="24"/>
        </w:rPr>
        <w:t>, gdzie operator pozyskał dane niezbędne do dokonania rozliczeń w odniesieniu do przepływu między strefami w wysokości większej lub równej sumie wszystkich wielkości skorygowanego obowiązku mocowego przynależnych do wykonania przez jednostki rynku mocy zlokalizowane w danej strefie;</w:t>
      </w:r>
    </w:p>
    <w:p w14:paraId="61B66013" w14:textId="4BD22E2C" w:rsidR="00182354" w:rsidRPr="006C034B" w:rsidRDefault="00182354"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2</w:t>
      </w:r>
      <w:r w:rsidR="00563F52" w:rsidRPr="006C034B">
        <w:rPr>
          <w:rFonts w:cs="Times New Roman"/>
          <w:szCs w:val="24"/>
        </w:rPr>
        <w:t>8</w:t>
      </w:r>
      <w:r w:rsidRPr="006C034B">
        <w:rPr>
          <w:rFonts w:cs="Times New Roman"/>
          <w:szCs w:val="24"/>
        </w:rPr>
        <w:t xml:space="preserve"> zmieniono art. 67 ustawy o rynku mocy</w:t>
      </w:r>
      <w:r w:rsidR="00B7345B" w:rsidRPr="006C034B">
        <w:rPr>
          <w:rFonts w:cs="Times New Roman"/>
          <w:szCs w:val="24"/>
        </w:rPr>
        <w:t>,</w:t>
      </w:r>
      <w:r w:rsidR="00521125" w:rsidRPr="0065692C">
        <w:rPr>
          <w:rFonts w:cs="Times New Roman"/>
          <w:szCs w:val="24"/>
        </w:rPr>
        <w:t xml:space="preserve"> </w:t>
      </w:r>
      <w:r w:rsidR="00521125" w:rsidRPr="006C034B">
        <w:rPr>
          <w:rFonts w:cs="Times New Roman"/>
          <w:szCs w:val="24"/>
        </w:rPr>
        <w:t>nadając nowe brzmienie pkt 1 w ust. 5, gdzie określono wysokość rekompensaty</w:t>
      </w:r>
      <w:r w:rsidR="00592092" w:rsidRPr="006C034B">
        <w:rPr>
          <w:rFonts w:cs="Times New Roman"/>
          <w:szCs w:val="24"/>
        </w:rPr>
        <w:t xml:space="preserve"> za</w:t>
      </w:r>
      <w:r w:rsidR="00521125" w:rsidRPr="006C034B">
        <w:rPr>
          <w:rFonts w:cs="Times New Roman"/>
          <w:szCs w:val="24"/>
        </w:rPr>
        <w:t xml:space="preserve"> wywiązanie się z obowiązku mocowego i uzyskanie pozytywnego wyniku testowego okresu przywołania na rynku mocy jako </w:t>
      </w:r>
      <w:r w:rsidR="00521125" w:rsidRPr="006C034B">
        <w:rPr>
          <w:rFonts w:cs="Times New Roman"/>
          <w:szCs w:val="24"/>
        </w:rPr>
        <w:lastRenderedPageBreak/>
        <w:t>równowartość wynagrodzenia dostawcy mocy należnego w odniesieniu do tej jednostki rynku mocy za dzień, w którym odbył się testowy okres przywołania, albo, w przypadku wykazania poniesienia uzasadnionych kosztów w wyższej wysokości, nie może być wyższa niż równowartość tygodniowego wynagrodzenia dostawcy mocy w odniesieniu do tej jednostki rynku mocy – w przypadku jednostki rynku mocy wytwórczej. Dodatkowo</w:t>
      </w:r>
      <w:r w:rsidR="00592092" w:rsidRPr="006C034B">
        <w:rPr>
          <w:rFonts w:cs="Times New Roman"/>
          <w:szCs w:val="24"/>
        </w:rPr>
        <w:t xml:space="preserve"> w tym artykule nadano nowe brzmienie</w:t>
      </w:r>
      <w:r w:rsidR="00521125" w:rsidRPr="006C034B">
        <w:rPr>
          <w:rFonts w:cs="Times New Roman"/>
          <w:szCs w:val="24"/>
        </w:rPr>
        <w:t xml:space="preserve"> ust. 9</w:t>
      </w:r>
      <w:r w:rsidR="004660FA" w:rsidRPr="006C034B">
        <w:rPr>
          <w:rFonts w:cs="Times New Roman"/>
          <w:szCs w:val="24"/>
        </w:rPr>
        <w:t>;</w:t>
      </w:r>
    </w:p>
    <w:p w14:paraId="0CD07280" w14:textId="722AD65A" w:rsidR="00EC12B5"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563F52" w:rsidRPr="006C034B">
        <w:rPr>
          <w:rFonts w:cs="Times New Roman"/>
          <w:szCs w:val="24"/>
        </w:rPr>
        <w:t>29</w:t>
      </w:r>
      <w:r w:rsidR="00187EF8" w:rsidRPr="006C034B">
        <w:rPr>
          <w:rFonts w:cs="Times New Roman"/>
          <w:szCs w:val="24"/>
        </w:rPr>
        <w:t xml:space="preserve"> </w:t>
      </w:r>
      <w:r w:rsidRPr="006C034B">
        <w:rPr>
          <w:rFonts w:cs="Times New Roman"/>
          <w:szCs w:val="24"/>
        </w:rPr>
        <w:t xml:space="preserve">zmieniono </w:t>
      </w:r>
      <w:r w:rsidR="00EC12B5" w:rsidRPr="006C034B">
        <w:rPr>
          <w:rFonts w:cs="Times New Roman"/>
          <w:szCs w:val="24"/>
        </w:rPr>
        <w:t>art. 67a ustawy</w:t>
      </w:r>
      <w:r w:rsidR="00B7345B" w:rsidRPr="006C034B">
        <w:rPr>
          <w:rFonts w:cs="Times New Roman"/>
          <w:szCs w:val="24"/>
        </w:rPr>
        <w:t>,</w:t>
      </w:r>
      <w:r w:rsidR="00EC12B5" w:rsidRPr="006C034B">
        <w:rPr>
          <w:rFonts w:cs="Times New Roman"/>
          <w:szCs w:val="24"/>
        </w:rPr>
        <w:t xml:space="preserve"> nadając nowe brzmienie ust. 9</w:t>
      </w:r>
      <w:r w:rsidR="00B7345B" w:rsidRPr="006C034B">
        <w:rPr>
          <w:rFonts w:cs="Times New Roman"/>
          <w:szCs w:val="24"/>
        </w:rPr>
        <w:t xml:space="preserve"> i</w:t>
      </w:r>
      <w:r w:rsidR="00EC12B5" w:rsidRPr="006C034B">
        <w:rPr>
          <w:rFonts w:cs="Times New Roman"/>
          <w:szCs w:val="24"/>
        </w:rPr>
        <w:t xml:space="preserve"> dookreślając, że przepisów dot</w:t>
      </w:r>
      <w:r w:rsidR="00592092" w:rsidRPr="006C034B">
        <w:rPr>
          <w:rFonts w:cs="Times New Roman"/>
          <w:szCs w:val="24"/>
        </w:rPr>
        <w:t>yczących</w:t>
      </w:r>
      <w:r w:rsidR="00EC12B5" w:rsidRPr="006C034B">
        <w:rPr>
          <w:rFonts w:cs="Times New Roman"/>
          <w:szCs w:val="24"/>
        </w:rPr>
        <w:t xml:space="preserve"> braku wynagrodzenia lub zwrotu wynagrodzenia za wykonanie obowiązku mocowego nie stosuje się w przypadku </w:t>
      </w:r>
      <w:r w:rsidR="00BD497B" w:rsidRPr="006C034B">
        <w:rPr>
          <w:rFonts w:cs="Times New Roman"/>
          <w:szCs w:val="24"/>
        </w:rPr>
        <w:t>wykonania obowiązku mocowego, który powstał nie później niż w 31 grudnia 2019 r. w wyniku aukcji mocy lub który powstał w wyniku aukcji uzupełniającej, również w przypadku, gdy ten obowiązek mocowy, w całości lub w części, został przeniesiony na inną jednostkę rynku mocy w wyniku transakcji na rynku wtórnym, niezależnie od liczby transakcji, którym podlegał;</w:t>
      </w:r>
    </w:p>
    <w:p w14:paraId="374A51D6" w14:textId="695FD8BD" w:rsidR="003D04AF" w:rsidRPr="006C034B" w:rsidRDefault="00EC12B5" w:rsidP="0065692C">
      <w:pPr>
        <w:pStyle w:val="Akapitzlist"/>
        <w:numPr>
          <w:ilvl w:val="0"/>
          <w:numId w:val="7"/>
        </w:numPr>
        <w:ind w:left="425" w:hanging="425"/>
        <w:contextualSpacing w:val="0"/>
        <w:jc w:val="both"/>
        <w:rPr>
          <w:rFonts w:cs="Times New Roman"/>
          <w:szCs w:val="24"/>
        </w:rPr>
      </w:pPr>
      <w:r w:rsidRPr="006C034B">
        <w:rPr>
          <w:rFonts w:cs="Times New Roman"/>
          <w:szCs w:val="24"/>
        </w:rPr>
        <w:t>w pkt 3</w:t>
      </w:r>
      <w:r w:rsidR="00563F52" w:rsidRPr="006C034B">
        <w:rPr>
          <w:rFonts w:cs="Times New Roman"/>
          <w:szCs w:val="24"/>
        </w:rPr>
        <w:t>0</w:t>
      </w:r>
      <w:r w:rsidRPr="006C034B">
        <w:rPr>
          <w:rFonts w:cs="Times New Roman"/>
          <w:szCs w:val="24"/>
        </w:rPr>
        <w:t xml:space="preserve"> zmieniono </w:t>
      </w:r>
      <w:r w:rsidR="003D04AF" w:rsidRPr="006C034B">
        <w:rPr>
          <w:rFonts w:cs="Times New Roman"/>
          <w:szCs w:val="24"/>
        </w:rPr>
        <w:t>art. 74 ustawy o rynku mocy</w:t>
      </w:r>
      <w:r w:rsidR="009A446E">
        <w:rPr>
          <w:rFonts w:cs="Times New Roman"/>
          <w:szCs w:val="24"/>
        </w:rPr>
        <w:t>,</w:t>
      </w:r>
      <w:r w:rsidR="003D04AF" w:rsidRPr="006C034B">
        <w:rPr>
          <w:rFonts w:cs="Times New Roman"/>
          <w:szCs w:val="24"/>
        </w:rPr>
        <w:t xml:space="preserve"> wprowadzając zmianę w </w:t>
      </w:r>
      <w:r w:rsidR="002C5FFB" w:rsidRPr="006C034B">
        <w:rPr>
          <w:rFonts w:cs="Times New Roman"/>
          <w:szCs w:val="24"/>
        </w:rPr>
        <w:t>sposobie</w:t>
      </w:r>
      <w:r w:rsidR="003D04AF" w:rsidRPr="006C034B">
        <w:rPr>
          <w:rFonts w:cs="Times New Roman"/>
          <w:szCs w:val="24"/>
        </w:rPr>
        <w:t xml:space="preserve"> obliczani</w:t>
      </w:r>
      <w:r w:rsidR="002C5FFB" w:rsidRPr="006C034B">
        <w:rPr>
          <w:rFonts w:cs="Times New Roman"/>
          <w:szCs w:val="24"/>
        </w:rPr>
        <w:t>a</w:t>
      </w:r>
      <w:r w:rsidR="003D04AF" w:rsidRPr="006C034B">
        <w:rPr>
          <w:rFonts w:cs="Times New Roman"/>
          <w:szCs w:val="24"/>
        </w:rPr>
        <w:t xml:space="preserve"> całkowitego kosztu rynku mocy w danym roku dostaw przez uwzględnienie dodatkowo corocznej waloryzacji cen obowiązku mocowego dla wieloletnich umów mocowych, a także doprecyzowując sposób dokonywania waloryzacji z</w:t>
      </w:r>
      <w:r w:rsidR="00146DD9" w:rsidRPr="006C034B">
        <w:rPr>
          <w:rFonts w:cs="Times New Roman"/>
          <w:szCs w:val="24"/>
        </w:rPr>
        <w:t> </w:t>
      </w:r>
      <w:r w:rsidR="003D04AF" w:rsidRPr="006C034B">
        <w:rPr>
          <w:rFonts w:cs="Times New Roman"/>
          <w:szCs w:val="24"/>
        </w:rPr>
        <w:t xml:space="preserve">wykorzystaniem średniorocznego wskaźnika cen towarów i usług konsumpcyjnych ogółem określonego w komunikacie Prezesa Głównego Urzędu Statystycznego, ogłoszonym w Dzienniku Urzędowym Rzeczypospolitej Polskiej </w:t>
      </w:r>
      <w:r w:rsidR="00AA3962" w:rsidRPr="006C034B">
        <w:rPr>
          <w:rFonts w:cs="Times New Roman"/>
          <w:szCs w:val="24"/>
        </w:rPr>
        <w:t>„</w:t>
      </w:r>
      <w:r w:rsidR="003D04AF" w:rsidRPr="006C034B">
        <w:rPr>
          <w:rFonts w:cs="Times New Roman"/>
          <w:szCs w:val="24"/>
        </w:rPr>
        <w:t>Monitor Polski</w:t>
      </w:r>
      <w:r w:rsidR="00AA3962" w:rsidRPr="006C034B">
        <w:rPr>
          <w:rFonts w:cs="Times New Roman"/>
          <w:szCs w:val="24"/>
        </w:rPr>
        <w:t>”</w:t>
      </w:r>
      <w:r w:rsidR="003D04AF" w:rsidRPr="006C034B">
        <w:rPr>
          <w:rFonts w:cs="Times New Roman"/>
          <w:szCs w:val="24"/>
        </w:rPr>
        <w:t xml:space="preserve"> dla roku poprzedzającego rok ustalania stawek opłaty mocowej. Dodatkowo doprecyzowano, że koszt rynku mocy dla odbiorców końcowych jest równy kosztowi całkowitemu rynku mocy, o którym mowa w ust. 1, z uwzględnieniem art. 5 ust. 1 i 3 niniejszej ustawy, tj. kosztu aukcji uzupełniających na </w:t>
      </w:r>
      <w:r w:rsidR="00592092" w:rsidRPr="006C034B">
        <w:rPr>
          <w:rFonts w:cs="Times New Roman"/>
          <w:szCs w:val="24"/>
        </w:rPr>
        <w:t>drugą połowę</w:t>
      </w:r>
      <w:r w:rsidR="003D04AF" w:rsidRPr="006C034B">
        <w:rPr>
          <w:rFonts w:cs="Times New Roman"/>
          <w:szCs w:val="24"/>
        </w:rPr>
        <w:t xml:space="preserve"> 2025 r. i lata 2026</w:t>
      </w:r>
      <w:r w:rsidR="00146DD9" w:rsidRPr="006C034B">
        <w:rPr>
          <w:rFonts w:cs="Times New Roman"/>
          <w:szCs w:val="24"/>
        </w:rPr>
        <w:t>–</w:t>
      </w:r>
      <w:r w:rsidR="003D04AF" w:rsidRPr="006C034B">
        <w:rPr>
          <w:rFonts w:cs="Times New Roman"/>
          <w:szCs w:val="24"/>
        </w:rPr>
        <w:t>2028;</w:t>
      </w:r>
    </w:p>
    <w:p w14:paraId="39325FA0" w14:textId="7A51CDB1" w:rsidR="003D04AF" w:rsidRPr="006C034B" w:rsidRDefault="003D04AF" w:rsidP="0065692C">
      <w:pPr>
        <w:pStyle w:val="Akapitzlist"/>
        <w:numPr>
          <w:ilvl w:val="0"/>
          <w:numId w:val="7"/>
        </w:numPr>
        <w:ind w:left="425" w:hanging="425"/>
        <w:contextualSpacing w:val="0"/>
        <w:jc w:val="both"/>
        <w:rPr>
          <w:rFonts w:cs="Times New Roman"/>
          <w:szCs w:val="24"/>
        </w:rPr>
      </w:pPr>
      <w:r w:rsidRPr="006C034B">
        <w:rPr>
          <w:rFonts w:cs="Times New Roman"/>
          <w:szCs w:val="24"/>
        </w:rPr>
        <w:t xml:space="preserve">w pkt </w:t>
      </w:r>
      <w:r w:rsidR="00187EF8" w:rsidRPr="006C034B">
        <w:rPr>
          <w:rFonts w:cs="Times New Roman"/>
          <w:szCs w:val="24"/>
        </w:rPr>
        <w:t>3</w:t>
      </w:r>
      <w:r w:rsidR="00563F52" w:rsidRPr="006C034B">
        <w:rPr>
          <w:rFonts w:cs="Times New Roman"/>
          <w:szCs w:val="24"/>
        </w:rPr>
        <w:t>1</w:t>
      </w:r>
      <w:r w:rsidR="00187EF8" w:rsidRPr="006C034B">
        <w:rPr>
          <w:rFonts w:cs="Times New Roman"/>
          <w:szCs w:val="24"/>
        </w:rPr>
        <w:t xml:space="preserve"> </w:t>
      </w:r>
      <w:r w:rsidRPr="006C034B">
        <w:rPr>
          <w:rFonts w:cs="Times New Roman"/>
          <w:szCs w:val="24"/>
        </w:rPr>
        <w:t>zmieniono art. 85 ust. 2 ustawy o rynku mocy</w:t>
      </w:r>
      <w:r w:rsidR="00B7345B" w:rsidRPr="006C034B">
        <w:rPr>
          <w:rFonts w:cs="Times New Roman"/>
          <w:szCs w:val="24"/>
        </w:rPr>
        <w:t>,</w:t>
      </w:r>
      <w:r w:rsidRPr="006C034B">
        <w:rPr>
          <w:rFonts w:cs="Times New Roman"/>
          <w:szCs w:val="24"/>
        </w:rPr>
        <w:t xml:space="preserve"> </w:t>
      </w:r>
      <w:r w:rsidR="00A7196D" w:rsidRPr="006C034B">
        <w:rPr>
          <w:rFonts w:cs="Times New Roman"/>
          <w:szCs w:val="24"/>
        </w:rPr>
        <w:t>uzupełniając przepisy karne dot</w:t>
      </w:r>
      <w:r w:rsidR="00592092" w:rsidRPr="006C034B">
        <w:rPr>
          <w:rFonts w:cs="Times New Roman"/>
          <w:szCs w:val="24"/>
        </w:rPr>
        <w:t xml:space="preserve">yczące </w:t>
      </w:r>
      <w:r w:rsidR="00E24F80" w:rsidRPr="006C034B">
        <w:rPr>
          <w:rFonts w:cs="Times New Roman"/>
          <w:szCs w:val="24"/>
        </w:rPr>
        <w:t xml:space="preserve">nieprzeprowadzenia certyfikacji do aukcji uzupełniającej w terminie, </w:t>
      </w:r>
      <w:r w:rsidR="00943701" w:rsidRPr="006C034B">
        <w:rPr>
          <w:rFonts w:cs="Times New Roman"/>
          <w:szCs w:val="24"/>
        </w:rPr>
        <w:t xml:space="preserve">nieprzedłożenia w terminie informacji o zakończeniu certyfikacji uzupełniającej, </w:t>
      </w:r>
      <w:r w:rsidR="00A7196D" w:rsidRPr="006C034B">
        <w:rPr>
          <w:rFonts w:cs="Times New Roman"/>
          <w:szCs w:val="24"/>
        </w:rPr>
        <w:t>nieogłoszenia przez operatora dat aukcji uzupełniającej oraz niezorganizowania aukcji uzupełniającej z przyczyn leżących po stronie operatora.</w:t>
      </w:r>
    </w:p>
    <w:p w14:paraId="4ABD480A" w14:textId="7B0EEA81" w:rsidR="00563F52" w:rsidRPr="006C034B" w:rsidRDefault="00563F52" w:rsidP="0065692C">
      <w:pPr>
        <w:spacing w:before="120"/>
        <w:jc w:val="both"/>
        <w:rPr>
          <w:rFonts w:cs="Times New Roman"/>
          <w:szCs w:val="24"/>
        </w:rPr>
      </w:pPr>
      <w:r w:rsidRPr="006C034B">
        <w:rPr>
          <w:rFonts w:cs="Times New Roman"/>
          <w:szCs w:val="24"/>
        </w:rPr>
        <w:t xml:space="preserve">W </w:t>
      </w:r>
      <w:r w:rsidRPr="006C034B">
        <w:rPr>
          <w:rFonts w:cs="Times New Roman"/>
          <w:b/>
          <w:bCs/>
          <w:szCs w:val="24"/>
        </w:rPr>
        <w:t>art.</w:t>
      </w:r>
      <w:r w:rsidRPr="006C034B">
        <w:rPr>
          <w:rFonts w:cs="Times New Roman"/>
          <w:szCs w:val="24"/>
        </w:rPr>
        <w:t xml:space="preserve"> </w:t>
      </w:r>
      <w:r w:rsidRPr="006C034B">
        <w:rPr>
          <w:rFonts w:cs="Times New Roman"/>
          <w:b/>
          <w:bCs/>
          <w:szCs w:val="24"/>
        </w:rPr>
        <w:t>2</w:t>
      </w:r>
      <w:r w:rsidRPr="006C034B">
        <w:rPr>
          <w:rFonts w:cs="Times New Roman"/>
          <w:szCs w:val="24"/>
        </w:rPr>
        <w:t xml:space="preserve"> w projektowanym przepisie epizodycznym </w:t>
      </w:r>
      <w:r w:rsidR="00F24201" w:rsidRPr="006C034B">
        <w:rPr>
          <w:rFonts w:cs="Times New Roman"/>
          <w:szCs w:val="24"/>
        </w:rPr>
        <w:t>u</w:t>
      </w:r>
      <w:r w:rsidRPr="006C034B">
        <w:rPr>
          <w:rFonts w:cs="Times New Roman"/>
          <w:szCs w:val="24"/>
        </w:rPr>
        <w:t>regulowano kwestię momentu rozpoczęcia obrotu wtórnego na rynku mocy w odniesieniu do okresów dostaw przypadających na lata 2026</w:t>
      </w:r>
      <w:r w:rsidR="00592092" w:rsidRPr="006C034B">
        <w:rPr>
          <w:rFonts w:cs="Times New Roman"/>
          <w:szCs w:val="24"/>
        </w:rPr>
        <w:t>–</w:t>
      </w:r>
      <w:r w:rsidRPr="006C034B">
        <w:rPr>
          <w:rFonts w:cs="Times New Roman"/>
          <w:szCs w:val="24"/>
        </w:rPr>
        <w:t xml:space="preserve">2028. W odniesieniu do tych okresów obrót wtórny jeszcze </w:t>
      </w:r>
      <w:r w:rsidR="00CA0325" w:rsidRPr="006C034B">
        <w:rPr>
          <w:rFonts w:cs="Times New Roman"/>
          <w:szCs w:val="24"/>
        </w:rPr>
        <w:t xml:space="preserve">się </w:t>
      </w:r>
      <w:r w:rsidRPr="006C034B">
        <w:rPr>
          <w:rFonts w:cs="Times New Roman"/>
          <w:szCs w:val="24"/>
        </w:rPr>
        <w:t xml:space="preserve">nie rozpoczął. Istotne jest jednak to, że obrót wtórny zostaje otwarty w momencie zakończenia wszystkich </w:t>
      </w:r>
      <w:r w:rsidRPr="006C034B">
        <w:rPr>
          <w:rFonts w:cs="Times New Roman"/>
          <w:szCs w:val="24"/>
        </w:rPr>
        <w:lastRenderedPageBreak/>
        <w:t>pierwotnych procesów rynku mocy, tj. aukcji głównej i aukcji dodatkowych. Jednak dla okresów dostaw 2026</w:t>
      </w:r>
      <w:r w:rsidR="00592092" w:rsidRPr="006C034B">
        <w:rPr>
          <w:rFonts w:cs="Times New Roman"/>
          <w:szCs w:val="24"/>
        </w:rPr>
        <w:t>–</w:t>
      </w:r>
      <w:r w:rsidRPr="006C034B">
        <w:rPr>
          <w:rFonts w:cs="Times New Roman"/>
          <w:szCs w:val="24"/>
        </w:rPr>
        <w:t>2028 r. ostatnim pierwotnym procesem rynku mocy może być aukcja uzupełniająca – organizowana po zakończeniu aukcji dodatkowej na dany rok. Stąd dla okresów dostaw 2026, 2027 i 2028 określono szczególne przepisy regulujące moment rozpoczęcia obrotu wtórnego na moment po zakończeniu aukcji uzupełniającej lub moment po ogłoszeniu informacji o braku organizacji aukcji uzupełniającej na dany okres dostaw. Wprowadzenie tego przepisu zwiększa czytelność poszczególnych procesów dla uczestników rynku mocy.</w:t>
      </w:r>
    </w:p>
    <w:p w14:paraId="3DA19484" w14:textId="4FEE854D" w:rsidR="00C771A7" w:rsidRPr="006C034B" w:rsidRDefault="00057078" w:rsidP="0065692C">
      <w:pPr>
        <w:spacing w:before="120"/>
        <w:jc w:val="both"/>
        <w:rPr>
          <w:rFonts w:cs="Times New Roman"/>
          <w:szCs w:val="24"/>
        </w:rPr>
      </w:pPr>
      <w:r w:rsidRPr="006C034B">
        <w:rPr>
          <w:rFonts w:cs="Times New Roman"/>
          <w:szCs w:val="24"/>
        </w:rPr>
        <w:t xml:space="preserve">W </w:t>
      </w:r>
      <w:r w:rsidRPr="006C034B">
        <w:rPr>
          <w:rFonts w:cs="Times New Roman"/>
          <w:b/>
          <w:bCs/>
          <w:szCs w:val="24"/>
        </w:rPr>
        <w:t>art.</w:t>
      </w:r>
      <w:r w:rsidRPr="006C034B">
        <w:rPr>
          <w:rFonts w:cs="Times New Roman"/>
          <w:szCs w:val="24"/>
        </w:rPr>
        <w:t xml:space="preserve"> </w:t>
      </w:r>
      <w:r w:rsidR="00563F52" w:rsidRPr="006C034B">
        <w:rPr>
          <w:rFonts w:cs="Times New Roman"/>
          <w:b/>
          <w:bCs/>
          <w:szCs w:val="24"/>
        </w:rPr>
        <w:t>3</w:t>
      </w:r>
      <w:r w:rsidRPr="006C034B">
        <w:rPr>
          <w:rFonts w:cs="Times New Roman"/>
          <w:szCs w:val="24"/>
        </w:rPr>
        <w:t xml:space="preserve"> </w:t>
      </w:r>
      <w:r w:rsidR="00C771A7" w:rsidRPr="006C034B">
        <w:rPr>
          <w:rFonts w:cs="Times New Roman"/>
          <w:szCs w:val="24"/>
        </w:rPr>
        <w:t xml:space="preserve">w projektowanym przepisie przejściowym określono procedurę organizacji aukcji uzupełniającej na drugą połowę 2025 r. W </w:t>
      </w:r>
      <w:r w:rsidRPr="006C034B">
        <w:rPr>
          <w:rFonts w:cs="Times New Roman"/>
          <w:szCs w:val="24"/>
        </w:rPr>
        <w:t xml:space="preserve">ust. 1 określono </w:t>
      </w:r>
      <w:r w:rsidR="000261B2" w:rsidRPr="006C034B">
        <w:rPr>
          <w:rFonts w:cs="Times New Roman"/>
          <w:szCs w:val="24"/>
        </w:rPr>
        <w:t>termin przedłożenia przez operatora propozycji parametrów aukcji uzupełniającej na drugą połowę 2025 r. W ust. 2 określono termin ogłoszenia przez ministra właściwego d</w:t>
      </w:r>
      <w:r w:rsidR="00592092" w:rsidRPr="006C034B">
        <w:rPr>
          <w:rFonts w:cs="Times New Roman"/>
          <w:szCs w:val="24"/>
        </w:rPr>
        <w:t xml:space="preserve">o </w:t>
      </w:r>
      <w:r w:rsidR="000261B2" w:rsidRPr="006C034B">
        <w:rPr>
          <w:rFonts w:cs="Times New Roman"/>
          <w:szCs w:val="24"/>
        </w:rPr>
        <w:t>s</w:t>
      </w:r>
      <w:r w:rsidR="00592092" w:rsidRPr="006C034B">
        <w:rPr>
          <w:rFonts w:cs="Times New Roman"/>
          <w:szCs w:val="24"/>
        </w:rPr>
        <w:t xml:space="preserve">praw </w:t>
      </w:r>
      <w:r w:rsidR="000261B2" w:rsidRPr="006C034B">
        <w:rPr>
          <w:rFonts w:cs="Times New Roman"/>
          <w:szCs w:val="24"/>
        </w:rPr>
        <w:t xml:space="preserve">energii parametrów aukcji uzupełniającej na </w:t>
      </w:r>
      <w:r w:rsidR="00B540AF" w:rsidRPr="006C034B">
        <w:rPr>
          <w:rFonts w:cs="Times New Roman"/>
          <w:szCs w:val="24"/>
        </w:rPr>
        <w:t xml:space="preserve">drugą </w:t>
      </w:r>
      <w:r w:rsidR="000261B2" w:rsidRPr="006C034B">
        <w:rPr>
          <w:rFonts w:cs="Times New Roman"/>
          <w:szCs w:val="24"/>
        </w:rPr>
        <w:t>połowę 2025 r. W ust. 3 określono, że do</w:t>
      </w:r>
      <w:r w:rsidR="00592092" w:rsidRPr="006C034B">
        <w:rPr>
          <w:rFonts w:cs="Times New Roman"/>
          <w:szCs w:val="24"/>
        </w:rPr>
        <w:t xml:space="preserve"> dnia</w:t>
      </w:r>
      <w:r w:rsidR="000261B2" w:rsidRPr="006C034B">
        <w:rPr>
          <w:rFonts w:cs="Times New Roman"/>
          <w:szCs w:val="24"/>
        </w:rPr>
        <w:t xml:space="preserve"> 31 marca 2025 r. </w:t>
      </w:r>
      <w:r w:rsidR="00592092" w:rsidRPr="006C034B">
        <w:rPr>
          <w:rFonts w:cs="Times New Roman"/>
          <w:szCs w:val="24"/>
        </w:rPr>
        <w:t xml:space="preserve">zostanie </w:t>
      </w:r>
      <w:r w:rsidR="000261B2" w:rsidRPr="006C034B">
        <w:rPr>
          <w:rFonts w:cs="Times New Roman"/>
          <w:szCs w:val="24"/>
        </w:rPr>
        <w:t xml:space="preserve">ogłoszona data aukcji uzupełniającej na </w:t>
      </w:r>
      <w:r w:rsidR="00B540AF" w:rsidRPr="006C034B">
        <w:rPr>
          <w:rFonts w:cs="Times New Roman"/>
          <w:szCs w:val="24"/>
        </w:rPr>
        <w:t>drugą</w:t>
      </w:r>
      <w:r w:rsidR="000261B2" w:rsidRPr="006C034B">
        <w:rPr>
          <w:rFonts w:cs="Times New Roman"/>
          <w:szCs w:val="24"/>
        </w:rPr>
        <w:t xml:space="preserve"> połowę 2025 r. </w:t>
      </w:r>
      <w:r w:rsidR="00C83E40" w:rsidRPr="006C034B">
        <w:rPr>
          <w:rFonts w:cs="Times New Roman"/>
          <w:szCs w:val="24"/>
        </w:rPr>
        <w:t>albo zostanie</w:t>
      </w:r>
      <w:r w:rsidR="000261B2" w:rsidRPr="006C034B">
        <w:rPr>
          <w:rFonts w:cs="Times New Roman"/>
          <w:szCs w:val="24"/>
        </w:rPr>
        <w:t xml:space="preserve"> ogłoszona informacja o braku jej organizacji. Projektodawca zaproponował tak krótkie terminy w związku z pilnością ogłoszenia aukcji na </w:t>
      </w:r>
      <w:r w:rsidR="00B540AF" w:rsidRPr="006C034B">
        <w:rPr>
          <w:rFonts w:cs="Times New Roman"/>
          <w:szCs w:val="24"/>
        </w:rPr>
        <w:t>drugą</w:t>
      </w:r>
      <w:r w:rsidR="000261B2" w:rsidRPr="006C034B">
        <w:rPr>
          <w:rFonts w:cs="Times New Roman"/>
          <w:szCs w:val="24"/>
        </w:rPr>
        <w:t xml:space="preserve"> połowę 2025 r. </w:t>
      </w:r>
      <w:r w:rsidR="00943701" w:rsidRPr="006C034B">
        <w:rPr>
          <w:rFonts w:cs="Times New Roman"/>
          <w:szCs w:val="24"/>
        </w:rPr>
        <w:t xml:space="preserve">Ponadto delegacja do wydania obwieszczenia z parametrami aukcji uzupełniającej na </w:t>
      </w:r>
      <w:r w:rsidR="00B540AF" w:rsidRPr="006C034B">
        <w:rPr>
          <w:rFonts w:cs="Times New Roman"/>
          <w:szCs w:val="24"/>
        </w:rPr>
        <w:t xml:space="preserve">drugą połowę </w:t>
      </w:r>
      <w:r w:rsidR="00943701" w:rsidRPr="006C034B">
        <w:rPr>
          <w:rFonts w:cs="Times New Roman"/>
          <w:szCs w:val="24"/>
        </w:rPr>
        <w:t xml:space="preserve">2025 r. została uzupełniona o </w:t>
      </w:r>
      <w:r w:rsidR="002C5D9D" w:rsidRPr="006C034B">
        <w:rPr>
          <w:rFonts w:cs="Times New Roman"/>
          <w:szCs w:val="24"/>
        </w:rPr>
        <w:t>wytyczne</w:t>
      </w:r>
      <w:r w:rsidR="00943701" w:rsidRPr="006C034B">
        <w:rPr>
          <w:rFonts w:cs="Times New Roman"/>
          <w:szCs w:val="24"/>
        </w:rPr>
        <w:t xml:space="preserve"> </w:t>
      </w:r>
      <w:r w:rsidR="002C5D9D" w:rsidRPr="006C034B">
        <w:rPr>
          <w:rFonts w:cs="Times New Roman"/>
          <w:szCs w:val="24"/>
        </w:rPr>
        <w:t>analogicznie</w:t>
      </w:r>
      <w:r w:rsidR="00592092" w:rsidRPr="006C034B">
        <w:rPr>
          <w:rFonts w:cs="Times New Roman"/>
          <w:szCs w:val="24"/>
        </w:rPr>
        <w:t>,</w:t>
      </w:r>
      <w:r w:rsidR="002C5D9D" w:rsidRPr="006C034B">
        <w:rPr>
          <w:rFonts w:cs="Times New Roman"/>
          <w:szCs w:val="24"/>
        </w:rPr>
        <w:t xml:space="preserve"> jak w przypadku </w:t>
      </w:r>
      <w:r w:rsidR="00175AB1" w:rsidRPr="006C034B">
        <w:rPr>
          <w:rFonts w:cs="Times New Roman"/>
          <w:szCs w:val="24"/>
        </w:rPr>
        <w:t>obwieszczenia na podstawie art. 34b ust. 2</w:t>
      </w:r>
      <w:r w:rsidR="00943701" w:rsidRPr="006C034B">
        <w:rPr>
          <w:rFonts w:cs="Times New Roman"/>
          <w:szCs w:val="24"/>
        </w:rPr>
        <w:t>.</w:t>
      </w:r>
    </w:p>
    <w:p w14:paraId="278A3563" w14:textId="0C7CBDCE" w:rsidR="00D50229" w:rsidRPr="006C034B" w:rsidRDefault="000261B2" w:rsidP="0065692C">
      <w:pPr>
        <w:spacing w:before="120"/>
        <w:jc w:val="both"/>
        <w:rPr>
          <w:rFonts w:cs="Times New Roman"/>
          <w:szCs w:val="24"/>
        </w:rPr>
      </w:pPr>
      <w:r w:rsidRPr="006C034B">
        <w:rPr>
          <w:rFonts w:cs="Times New Roman"/>
          <w:szCs w:val="24"/>
        </w:rPr>
        <w:t xml:space="preserve">W </w:t>
      </w:r>
      <w:r w:rsidR="00C771A7" w:rsidRPr="006C034B">
        <w:rPr>
          <w:rFonts w:cs="Times New Roman"/>
          <w:b/>
          <w:bCs/>
          <w:szCs w:val="24"/>
        </w:rPr>
        <w:t>art</w:t>
      </w:r>
      <w:r w:rsidRPr="006C034B">
        <w:rPr>
          <w:rFonts w:cs="Times New Roman"/>
          <w:b/>
          <w:bCs/>
          <w:szCs w:val="24"/>
        </w:rPr>
        <w:t xml:space="preserve">. </w:t>
      </w:r>
      <w:r w:rsidR="00563F52" w:rsidRPr="006C034B">
        <w:rPr>
          <w:rFonts w:cs="Times New Roman"/>
          <w:b/>
          <w:bCs/>
          <w:szCs w:val="24"/>
        </w:rPr>
        <w:t>4</w:t>
      </w:r>
      <w:r w:rsidR="00C771A7" w:rsidRPr="006C034B">
        <w:rPr>
          <w:rFonts w:cs="Times New Roman"/>
          <w:szCs w:val="24"/>
        </w:rPr>
        <w:t xml:space="preserve"> przewidziano</w:t>
      </w:r>
      <w:r w:rsidRPr="006C034B">
        <w:rPr>
          <w:rFonts w:cs="Times New Roman"/>
          <w:szCs w:val="24"/>
        </w:rPr>
        <w:t xml:space="preserve">, że wpis do rejestru jednostki fizycznej lub jednostki redukcji zapotrzebowania planowanej uzyskany w 2025 r. uprawnia tę jednostkę do udziału w certyfikacji do aukcji uzupełniających na </w:t>
      </w:r>
      <w:r w:rsidR="00B540AF" w:rsidRPr="006C034B">
        <w:rPr>
          <w:rFonts w:cs="Times New Roman"/>
          <w:szCs w:val="24"/>
        </w:rPr>
        <w:t>drugą</w:t>
      </w:r>
      <w:r w:rsidRPr="006C034B">
        <w:rPr>
          <w:rFonts w:cs="Times New Roman"/>
          <w:szCs w:val="24"/>
        </w:rPr>
        <w:t xml:space="preserve"> połowę 2025 r. i na 2026 r.</w:t>
      </w:r>
      <w:r w:rsidR="00787474" w:rsidRPr="006C034B">
        <w:rPr>
          <w:rFonts w:cs="Times New Roman"/>
          <w:szCs w:val="24"/>
        </w:rPr>
        <w:t xml:space="preserve"> W 2025 r. wyjątkowo </w:t>
      </w:r>
      <w:r w:rsidR="006E4AC3" w:rsidRPr="006C034B">
        <w:rPr>
          <w:rFonts w:cs="Times New Roman"/>
          <w:szCs w:val="24"/>
        </w:rPr>
        <w:t xml:space="preserve">będą </w:t>
      </w:r>
      <w:r w:rsidR="00787474" w:rsidRPr="006C034B">
        <w:rPr>
          <w:rFonts w:cs="Times New Roman"/>
          <w:szCs w:val="24"/>
        </w:rPr>
        <w:t xml:space="preserve">organizowane dwie aukcje uzupełniające, stąd konieczność zapewnienia, że certyfikat wydany na 2025 r. będzie uprawniał do udziału nie tylko w najbliższej aukcji uzupełniającej (na </w:t>
      </w:r>
      <w:r w:rsidR="00B540AF" w:rsidRPr="006C034B">
        <w:rPr>
          <w:rFonts w:cs="Times New Roman"/>
          <w:szCs w:val="24"/>
        </w:rPr>
        <w:t>drugą</w:t>
      </w:r>
      <w:r w:rsidR="00787474" w:rsidRPr="006C034B">
        <w:rPr>
          <w:rFonts w:cs="Times New Roman"/>
          <w:szCs w:val="24"/>
        </w:rPr>
        <w:t xml:space="preserve"> poł</w:t>
      </w:r>
      <w:r w:rsidR="00B540AF" w:rsidRPr="006C034B">
        <w:rPr>
          <w:rFonts w:cs="Times New Roman"/>
          <w:szCs w:val="24"/>
        </w:rPr>
        <w:t>owę</w:t>
      </w:r>
      <w:r w:rsidR="00787474" w:rsidRPr="006C034B">
        <w:rPr>
          <w:rFonts w:cs="Times New Roman"/>
          <w:szCs w:val="24"/>
        </w:rPr>
        <w:t xml:space="preserve"> 2025 r.), ale także </w:t>
      </w:r>
      <w:r w:rsidR="006E4AC3" w:rsidRPr="006C034B">
        <w:rPr>
          <w:rFonts w:cs="Times New Roman"/>
          <w:szCs w:val="24"/>
        </w:rPr>
        <w:t xml:space="preserve">w kolejnej organizowanej </w:t>
      </w:r>
      <w:r w:rsidR="00787474" w:rsidRPr="006C034B">
        <w:rPr>
          <w:rFonts w:cs="Times New Roman"/>
          <w:szCs w:val="24"/>
        </w:rPr>
        <w:t>w 2025 r.</w:t>
      </w:r>
      <w:r w:rsidR="00B13945" w:rsidRPr="006C034B">
        <w:rPr>
          <w:rFonts w:cs="Times New Roman"/>
          <w:szCs w:val="24"/>
        </w:rPr>
        <w:t>,</w:t>
      </w:r>
      <w:r w:rsidR="00787474" w:rsidRPr="006C034B">
        <w:rPr>
          <w:rFonts w:cs="Times New Roman"/>
          <w:szCs w:val="24"/>
        </w:rPr>
        <w:t xml:space="preserve"> czyli </w:t>
      </w:r>
      <w:r w:rsidR="00592092" w:rsidRPr="006C034B">
        <w:rPr>
          <w:rFonts w:cs="Times New Roman"/>
          <w:szCs w:val="24"/>
        </w:rPr>
        <w:t xml:space="preserve">aukcji uzupełniającej </w:t>
      </w:r>
      <w:r w:rsidR="00787474" w:rsidRPr="006C034B">
        <w:rPr>
          <w:rFonts w:cs="Times New Roman"/>
          <w:szCs w:val="24"/>
        </w:rPr>
        <w:t>na 2026 r.</w:t>
      </w:r>
    </w:p>
    <w:p w14:paraId="2BE2452A" w14:textId="20A6F65F" w:rsidR="00D50229" w:rsidRPr="006C034B" w:rsidRDefault="00057078" w:rsidP="0065692C">
      <w:pPr>
        <w:spacing w:before="120"/>
        <w:jc w:val="both"/>
        <w:rPr>
          <w:rFonts w:cs="Times New Roman"/>
          <w:szCs w:val="24"/>
        </w:rPr>
      </w:pPr>
      <w:r w:rsidRPr="006C034B">
        <w:rPr>
          <w:rFonts w:cs="Times New Roman"/>
          <w:szCs w:val="24"/>
        </w:rPr>
        <w:t>W </w:t>
      </w:r>
      <w:r w:rsidRPr="006C034B">
        <w:rPr>
          <w:rFonts w:cs="Times New Roman"/>
          <w:b/>
          <w:bCs/>
          <w:szCs w:val="24"/>
        </w:rPr>
        <w:t>art. </w:t>
      </w:r>
      <w:r w:rsidR="00563F52" w:rsidRPr="006C034B">
        <w:rPr>
          <w:rFonts w:cs="Times New Roman"/>
          <w:b/>
          <w:bCs/>
          <w:szCs w:val="24"/>
        </w:rPr>
        <w:t>5</w:t>
      </w:r>
      <w:r w:rsidR="00C771A7" w:rsidRPr="006C034B">
        <w:rPr>
          <w:rFonts w:cs="Times New Roman"/>
          <w:szCs w:val="24"/>
        </w:rPr>
        <w:t xml:space="preserve"> </w:t>
      </w:r>
      <w:r w:rsidRPr="006C034B">
        <w:rPr>
          <w:rFonts w:cs="Times New Roman"/>
          <w:szCs w:val="24"/>
        </w:rPr>
        <w:t xml:space="preserve">ust. 1 określono </w:t>
      </w:r>
      <w:r w:rsidR="00D93651" w:rsidRPr="006C034B">
        <w:rPr>
          <w:rFonts w:cs="Times New Roman"/>
          <w:szCs w:val="24"/>
        </w:rPr>
        <w:t xml:space="preserve">sposób obliczania całkowitego kosztu rynku mocy w </w:t>
      </w:r>
      <w:r w:rsidR="00B540AF" w:rsidRPr="006C034B">
        <w:rPr>
          <w:rFonts w:cs="Times New Roman"/>
          <w:szCs w:val="24"/>
        </w:rPr>
        <w:t xml:space="preserve">drugiej </w:t>
      </w:r>
      <w:r w:rsidR="00D93651" w:rsidRPr="006C034B">
        <w:rPr>
          <w:rFonts w:cs="Times New Roman"/>
          <w:szCs w:val="24"/>
        </w:rPr>
        <w:t xml:space="preserve">połowie 2025 r. na potrzeby kalkulacji stawek opłaty mocowej. Koszt ten </w:t>
      </w:r>
      <w:r w:rsidR="006E4AC3" w:rsidRPr="006C034B">
        <w:rPr>
          <w:rFonts w:cs="Times New Roman"/>
          <w:szCs w:val="24"/>
        </w:rPr>
        <w:t xml:space="preserve">jest </w:t>
      </w:r>
      <w:r w:rsidR="00D93651" w:rsidRPr="006C034B">
        <w:rPr>
          <w:rFonts w:cs="Times New Roman"/>
          <w:szCs w:val="24"/>
        </w:rPr>
        <w:t>określany jako ½ całkowitego kosztu rynku mocy wyznaczonego przez Prezesa URE na 2025 r.</w:t>
      </w:r>
      <w:r w:rsidR="000261B2" w:rsidRPr="006C034B">
        <w:rPr>
          <w:rFonts w:cs="Times New Roman"/>
          <w:szCs w:val="24"/>
        </w:rPr>
        <w:t xml:space="preserve"> (Prezes URE dokonał tego</w:t>
      </w:r>
      <w:r w:rsidR="009A446E">
        <w:rPr>
          <w:rFonts w:cs="Times New Roman"/>
          <w:szCs w:val="24"/>
        </w:rPr>
        <w:t>,</w:t>
      </w:r>
      <w:r w:rsidR="000261B2" w:rsidRPr="006C034B">
        <w:rPr>
          <w:rFonts w:cs="Times New Roman"/>
          <w:szCs w:val="24"/>
        </w:rPr>
        <w:t xml:space="preserve"> publikując stawki opłaty mocowej na 2025 r. do końca września 2024 r.)</w:t>
      </w:r>
      <w:r w:rsidR="00D93651" w:rsidRPr="006C034B">
        <w:rPr>
          <w:rFonts w:cs="Times New Roman"/>
          <w:szCs w:val="24"/>
        </w:rPr>
        <w:t xml:space="preserve"> oraz sumę iloczynów obowiązków mocowych i cen zamknięcia aukcji uzupełniającej na </w:t>
      </w:r>
      <w:bookmarkStart w:id="0" w:name="_Hlk184036611"/>
      <w:r w:rsidR="00B540AF" w:rsidRPr="006C034B">
        <w:rPr>
          <w:rFonts w:cs="Times New Roman"/>
          <w:szCs w:val="24"/>
        </w:rPr>
        <w:t xml:space="preserve">drugą </w:t>
      </w:r>
      <w:bookmarkEnd w:id="0"/>
      <w:r w:rsidR="00D93651" w:rsidRPr="006C034B">
        <w:rPr>
          <w:rFonts w:cs="Times New Roman"/>
          <w:szCs w:val="24"/>
        </w:rPr>
        <w:t>połowę roku dostaw 2025.</w:t>
      </w:r>
      <w:r w:rsidR="009A446E">
        <w:rPr>
          <w:rFonts w:cs="Times New Roman"/>
          <w:szCs w:val="24"/>
        </w:rPr>
        <w:t xml:space="preserve"> </w:t>
      </w:r>
      <w:r w:rsidR="000261B2" w:rsidRPr="006C034B">
        <w:rPr>
          <w:rFonts w:cs="Times New Roman"/>
          <w:szCs w:val="24"/>
        </w:rPr>
        <w:t xml:space="preserve">Co należy podkreślić, Prezes URE nie jest obowiązany do ponownego przeliczenia stawek opłaty mocowej na </w:t>
      </w:r>
      <w:r w:rsidR="00B540AF" w:rsidRPr="006C034B">
        <w:rPr>
          <w:rFonts w:cs="Times New Roman"/>
          <w:szCs w:val="24"/>
        </w:rPr>
        <w:t>drugą</w:t>
      </w:r>
      <w:r w:rsidR="000261B2" w:rsidRPr="006C034B">
        <w:rPr>
          <w:rFonts w:cs="Times New Roman"/>
          <w:szCs w:val="24"/>
        </w:rPr>
        <w:t xml:space="preserve"> połowę 2025 r. w zakresie </w:t>
      </w:r>
      <w:r w:rsidR="000261B2" w:rsidRPr="006C034B">
        <w:rPr>
          <w:rFonts w:cs="Times New Roman"/>
          <w:szCs w:val="24"/>
        </w:rPr>
        <w:lastRenderedPageBreak/>
        <w:t xml:space="preserve">wykraczającym poza doliczenie kosztu umów mocowych zawartych w ramach aukcji uzupełniającej na </w:t>
      </w:r>
      <w:r w:rsidR="00B540AF" w:rsidRPr="006C034B">
        <w:rPr>
          <w:rFonts w:cs="Times New Roman"/>
          <w:szCs w:val="24"/>
        </w:rPr>
        <w:t>drugą</w:t>
      </w:r>
      <w:r w:rsidR="000261B2" w:rsidRPr="006C034B">
        <w:rPr>
          <w:rFonts w:cs="Times New Roman"/>
          <w:szCs w:val="24"/>
        </w:rPr>
        <w:t xml:space="preserve"> połowę 2025 r., stąd nie ma potrzeby przekazywania dodatkowych danych pomiarowych przez podmioty zobowiązane czy danych przez Zarządcę Rozliczeń S.A.</w:t>
      </w:r>
      <w:r w:rsidR="00D93651" w:rsidRPr="006C034B">
        <w:rPr>
          <w:rFonts w:cs="Times New Roman"/>
          <w:szCs w:val="24"/>
        </w:rPr>
        <w:t xml:space="preserve"> W ust. 2 określono termin, w jakim Prezes URE kalkuluje stawki opłaty mocowej na </w:t>
      </w:r>
      <w:r w:rsidR="00B540AF" w:rsidRPr="006C034B">
        <w:rPr>
          <w:rFonts w:cs="Times New Roman"/>
          <w:szCs w:val="24"/>
        </w:rPr>
        <w:t>drugą</w:t>
      </w:r>
      <w:r w:rsidR="00D93651" w:rsidRPr="006C034B">
        <w:rPr>
          <w:rFonts w:cs="Times New Roman"/>
          <w:szCs w:val="24"/>
        </w:rPr>
        <w:t xml:space="preserve"> połowę 2025</w:t>
      </w:r>
      <w:r w:rsidR="000261B2" w:rsidRPr="006C034B">
        <w:rPr>
          <w:rFonts w:cs="Times New Roman"/>
          <w:szCs w:val="24"/>
        </w:rPr>
        <w:t xml:space="preserve"> r.</w:t>
      </w:r>
      <w:r w:rsidR="00D93651" w:rsidRPr="006C034B">
        <w:rPr>
          <w:rFonts w:cs="Times New Roman"/>
          <w:szCs w:val="24"/>
        </w:rPr>
        <w:t>, a także sposób kalkulacji. W ust. 3 określono sposób wyznaczania całkowitego kosztu rynku mocy na lata dostaw 2026</w:t>
      </w:r>
      <w:r w:rsidR="006E4AC3" w:rsidRPr="006C034B">
        <w:rPr>
          <w:rFonts w:cs="Times New Roman"/>
          <w:szCs w:val="24"/>
        </w:rPr>
        <w:t>–</w:t>
      </w:r>
      <w:r w:rsidR="00D93651" w:rsidRPr="006C034B">
        <w:rPr>
          <w:rFonts w:cs="Times New Roman"/>
          <w:szCs w:val="24"/>
        </w:rPr>
        <w:t>2028 na potrzeby kalkulacji stawek opłaty mocowej. Całkowity koszt rynku mocy w tym okresie wyznacza się jako sumę</w:t>
      </w:r>
      <w:r w:rsidR="00D80598" w:rsidRPr="006C034B">
        <w:rPr>
          <w:rFonts w:cs="Times New Roman"/>
          <w:szCs w:val="24"/>
        </w:rPr>
        <w:t>: a)</w:t>
      </w:r>
      <w:r w:rsidR="00D93651" w:rsidRPr="006C034B">
        <w:rPr>
          <w:rFonts w:cs="Times New Roman"/>
          <w:szCs w:val="24"/>
        </w:rPr>
        <w:t xml:space="preserve"> </w:t>
      </w:r>
      <w:r w:rsidR="00D80598" w:rsidRPr="006C034B">
        <w:rPr>
          <w:rFonts w:cs="Times New Roman"/>
          <w:szCs w:val="24"/>
        </w:rPr>
        <w:t>sumy iloczynów obowiązków mocowych wynikających z umów mocowych obejmujących dany rok i ich cen, uwzględniających coroczne waloryzacje tych cen obowiązku mocowego dla wieloletnich umów mocowych, o których mowa w art. 60 ust. 4</w:t>
      </w:r>
      <w:r w:rsidR="006E4AC3" w:rsidRPr="006C034B">
        <w:rPr>
          <w:rFonts w:cs="Times New Roman"/>
          <w:szCs w:val="24"/>
        </w:rPr>
        <w:t>,</w:t>
      </w:r>
      <w:r w:rsidR="00D80598" w:rsidRPr="006C034B">
        <w:rPr>
          <w:rFonts w:cs="Times New Roman"/>
          <w:szCs w:val="24"/>
        </w:rPr>
        <w:t xml:space="preserve"> oraz pomniejszenia wynagrodzeń, o których mowa w art. 62 ust. 1 i 2, b) sumy iloczynów obowiązków mocowych i odpowiednich cen zamknięcia aukcji dodatkowych na dany rok dostaw, c) sumy iloczynów obowiązków mocowych i cen zamknięcia aukcji uzupełniającej na dany rok dostaw, d)</w:t>
      </w:r>
      <w:r w:rsidR="00796F5E" w:rsidRPr="006C034B">
        <w:rPr>
          <w:rFonts w:cs="Times New Roman"/>
          <w:szCs w:val="24"/>
        </w:rPr>
        <w:t> </w:t>
      </w:r>
      <w:r w:rsidR="00D80598" w:rsidRPr="006C034B">
        <w:rPr>
          <w:rFonts w:cs="Times New Roman"/>
          <w:szCs w:val="24"/>
        </w:rPr>
        <w:t>kosztów, o których mowa w art. 77 ust. 3 i 4, pomniejszoną o skorygowany prognozowany koszt rynku mocy na dany rok dostaw.</w:t>
      </w:r>
      <w:r w:rsidR="0058297B" w:rsidRPr="006C034B">
        <w:rPr>
          <w:rFonts w:cs="Times New Roman"/>
          <w:szCs w:val="24"/>
        </w:rPr>
        <w:t xml:space="preserve"> </w:t>
      </w:r>
    </w:p>
    <w:p w14:paraId="431F4375" w14:textId="788F727E" w:rsidR="00943701" w:rsidRPr="006C034B" w:rsidRDefault="00D80598" w:rsidP="0065692C">
      <w:pPr>
        <w:spacing w:before="120"/>
        <w:jc w:val="both"/>
        <w:rPr>
          <w:rFonts w:cs="Times New Roman"/>
          <w:szCs w:val="24"/>
        </w:rPr>
      </w:pPr>
      <w:r w:rsidRPr="006C034B">
        <w:rPr>
          <w:rFonts w:cs="Times New Roman"/>
          <w:b/>
          <w:bCs/>
          <w:szCs w:val="24"/>
        </w:rPr>
        <w:t xml:space="preserve">Art. </w:t>
      </w:r>
      <w:r w:rsidR="00563F52" w:rsidRPr="006C034B">
        <w:rPr>
          <w:rFonts w:cs="Times New Roman"/>
          <w:b/>
          <w:bCs/>
          <w:szCs w:val="24"/>
        </w:rPr>
        <w:t>6</w:t>
      </w:r>
      <w:r w:rsidR="00C771A7" w:rsidRPr="006C034B">
        <w:rPr>
          <w:rFonts w:cs="Times New Roman"/>
          <w:szCs w:val="24"/>
        </w:rPr>
        <w:t xml:space="preserve"> </w:t>
      </w:r>
      <w:r w:rsidR="00943701" w:rsidRPr="006C034B">
        <w:rPr>
          <w:rFonts w:cs="Times New Roman"/>
          <w:szCs w:val="24"/>
        </w:rPr>
        <w:t>przewiduje klauzulę zawieszającą (standstill) dla wykonania umów mocowych zawartych w ramach aukcji uzupełniających do dnia przyznania przez KE odstępstwa.</w:t>
      </w:r>
    </w:p>
    <w:p w14:paraId="1EC4563D" w14:textId="612C09C9" w:rsidR="00057078" w:rsidRPr="006C034B" w:rsidRDefault="00943701" w:rsidP="0065692C">
      <w:pPr>
        <w:spacing w:before="120"/>
        <w:jc w:val="both"/>
        <w:rPr>
          <w:rFonts w:cs="Times New Roman"/>
          <w:szCs w:val="24"/>
        </w:rPr>
      </w:pPr>
      <w:r w:rsidRPr="006C034B">
        <w:rPr>
          <w:rFonts w:cs="Times New Roman"/>
          <w:b/>
          <w:bCs/>
          <w:szCs w:val="24"/>
        </w:rPr>
        <w:t>Art. 7</w:t>
      </w:r>
      <w:r w:rsidRPr="006C034B">
        <w:rPr>
          <w:rFonts w:cs="Times New Roman"/>
          <w:szCs w:val="24"/>
        </w:rPr>
        <w:t xml:space="preserve"> </w:t>
      </w:r>
      <w:r w:rsidR="00D80598" w:rsidRPr="006C034B">
        <w:rPr>
          <w:rFonts w:cs="Times New Roman"/>
          <w:szCs w:val="24"/>
        </w:rPr>
        <w:t xml:space="preserve">reguluje kwestię wejścia w życie projektowanej </w:t>
      </w:r>
      <w:r w:rsidR="009858E4" w:rsidRPr="006C034B">
        <w:rPr>
          <w:rFonts w:cs="Times New Roman"/>
          <w:szCs w:val="24"/>
        </w:rPr>
        <w:t>ustawy</w:t>
      </w:r>
      <w:r w:rsidR="00D80598" w:rsidRPr="006C034B">
        <w:rPr>
          <w:rFonts w:cs="Times New Roman"/>
          <w:szCs w:val="24"/>
        </w:rPr>
        <w:t>.</w:t>
      </w:r>
    </w:p>
    <w:p w14:paraId="36CFEC75" w14:textId="0934DF05" w:rsidR="000E335D" w:rsidRPr="006C034B" w:rsidRDefault="00960F64" w:rsidP="0065692C">
      <w:pPr>
        <w:spacing w:before="120"/>
        <w:jc w:val="both"/>
        <w:rPr>
          <w:rFonts w:cs="Times New Roman"/>
          <w:b/>
          <w:bCs/>
          <w:szCs w:val="24"/>
        </w:rPr>
      </w:pPr>
      <w:r w:rsidRPr="006C034B">
        <w:rPr>
          <w:rFonts w:cs="Times New Roman"/>
          <w:b/>
          <w:bCs/>
          <w:szCs w:val="24"/>
        </w:rPr>
        <w:t>3</w:t>
      </w:r>
      <w:r w:rsidR="000E335D" w:rsidRPr="006C034B">
        <w:rPr>
          <w:rFonts w:cs="Times New Roman"/>
          <w:b/>
          <w:bCs/>
          <w:szCs w:val="24"/>
        </w:rPr>
        <w:t>. Zgodność z prawem Unii Europejskiej</w:t>
      </w:r>
    </w:p>
    <w:p w14:paraId="4046E9C9" w14:textId="357AE1D6" w:rsidR="006234B2" w:rsidRPr="006C034B" w:rsidRDefault="006234B2" w:rsidP="0065692C">
      <w:pPr>
        <w:pStyle w:val="NIEARTTEKSTtekstnieartykuowanynppodstprawnarozplubpreambua"/>
        <w:ind w:firstLine="0"/>
        <w:rPr>
          <w:rFonts w:ascii="Times New Roman" w:hAnsi="Times New Roman" w:cs="Times New Roman"/>
          <w:szCs w:val="24"/>
        </w:rPr>
      </w:pPr>
      <w:r w:rsidRPr="006C034B">
        <w:rPr>
          <w:rFonts w:ascii="Times New Roman" w:hAnsi="Times New Roman" w:cs="Times New Roman"/>
          <w:szCs w:val="24"/>
        </w:rPr>
        <w:t>Projekt ustawy</w:t>
      </w:r>
      <w:r w:rsidR="00715112" w:rsidRPr="006C034B">
        <w:rPr>
          <w:rFonts w:ascii="Times New Roman" w:hAnsi="Times New Roman" w:cs="Times New Roman"/>
          <w:szCs w:val="24"/>
        </w:rPr>
        <w:t xml:space="preserve"> </w:t>
      </w:r>
      <w:r w:rsidRPr="006C034B">
        <w:rPr>
          <w:rFonts w:ascii="Times New Roman" w:hAnsi="Times New Roman" w:cs="Times New Roman"/>
          <w:szCs w:val="24"/>
        </w:rPr>
        <w:t>jest zgodny z prawem Unii Europejskiej</w:t>
      </w:r>
      <w:r w:rsidR="00CA0325">
        <w:rPr>
          <w:rFonts w:ascii="Times New Roman" w:hAnsi="Times New Roman" w:cs="Times New Roman"/>
          <w:szCs w:val="24"/>
        </w:rPr>
        <w:t xml:space="preserve"> </w:t>
      </w:r>
      <w:r w:rsidRPr="006C034B">
        <w:rPr>
          <w:rFonts w:ascii="Times New Roman" w:hAnsi="Times New Roman" w:cs="Times New Roman"/>
          <w:szCs w:val="24"/>
        </w:rPr>
        <w:t>/</w:t>
      </w:r>
      <w:r w:rsidR="00CA0325">
        <w:rPr>
          <w:rFonts w:ascii="Times New Roman" w:hAnsi="Times New Roman" w:cs="Times New Roman"/>
          <w:szCs w:val="24"/>
        </w:rPr>
        <w:t xml:space="preserve"> </w:t>
      </w:r>
      <w:r w:rsidRPr="006C034B">
        <w:rPr>
          <w:rFonts w:ascii="Times New Roman" w:hAnsi="Times New Roman" w:cs="Times New Roman"/>
          <w:szCs w:val="24"/>
        </w:rPr>
        <w:t xml:space="preserve">nie jest objęty prawem Unii Europejskiej. W zakresie swojej regulacji dokonuje wdrożenia </w:t>
      </w:r>
      <w:r w:rsidR="00715112" w:rsidRPr="006C034B">
        <w:rPr>
          <w:rFonts w:ascii="Times New Roman" w:hAnsi="Times New Roman" w:cs="Times New Roman"/>
          <w:szCs w:val="24"/>
        </w:rPr>
        <w:t>przepisów rozporządzenia EMD w zakresie zmienianego art. 64 – nowe ust. 2b</w:t>
      </w:r>
      <w:r w:rsidR="00146DD9" w:rsidRPr="006C034B">
        <w:rPr>
          <w:rFonts w:ascii="Times New Roman" w:hAnsi="Times New Roman" w:cs="Times New Roman"/>
          <w:szCs w:val="24"/>
        </w:rPr>
        <w:t>–</w:t>
      </w:r>
      <w:r w:rsidR="00715112" w:rsidRPr="006C034B">
        <w:rPr>
          <w:rFonts w:ascii="Times New Roman" w:hAnsi="Times New Roman" w:cs="Times New Roman"/>
          <w:szCs w:val="24"/>
        </w:rPr>
        <w:t>2d rozporządzenia rynkowego.</w:t>
      </w:r>
    </w:p>
    <w:p w14:paraId="6725F655" w14:textId="0E1613BC" w:rsidR="000E335D" w:rsidRPr="006C034B" w:rsidRDefault="00960F64" w:rsidP="0065692C">
      <w:pPr>
        <w:spacing w:before="120"/>
        <w:jc w:val="both"/>
        <w:rPr>
          <w:rFonts w:cs="Times New Roman"/>
          <w:b/>
          <w:bCs/>
          <w:szCs w:val="24"/>
        </w:rPr>
      </w:pPr>
      <w:r w:rsidRPr="006C034B">
        <w:rPr>
          <w:rFonts w:cs="Times New Roman"/>
          <w:b/>
          <w:bCs/>
          <w:szCs w:val="24"/>
        </w:rPr>
        <w:t>4</w:t>
      </w:r>
      <w:r w:rsidR="000E335D" w:rsidRPr="006C034B">
        <w:rPr>
          <w:rFonts w:cs="Times New Roman"/>
          <w:b/>
          <w:bCs/>
          <w:szCs w:val="24"/>
        </w:rPr>
        <w:t>. Notyfikacja</w:t>
      </w:r>
    </w:p>
    <w:p w14:paraId="3505B342" w14:textId="0B310BEB" w:rsidR="006234B2" w:rsidRPr="006C034B" w:rsidRDefault="006234B2" w:rsidP="0065692C">
      <w:pPr>
        <w:pStyle w:val="NIEARTTEKSTtekstnieartykuowanynppodstprawnarozplubpreambua"/>
        <w:ind w:firstLine="0"/>
        <w:rPr>
          <w:rFonts w:ascii="Times New Roman" w:hAnsi="Times New Roman" w:cs="Times New Roman"/>
          <w:szCs w:val="24"/>
        </w:rPr>
      </w:pPr>
      <w:r w:rsidRPr="006C034B">
        <w:rPr>
          <w:rFonts w:ascii="Times New Roman" w:hAnsi="Times New Roman" w:cs="Times New Roman"/>
          <w:szCs w:val="24"/>
        </w:rPr>
        <w:t>Projekt ustawy</w:t>
      </w:r>
      <w:r w:rsidR="00715112" w:rsidRPr="006C034B" w:rsidDel="00715112">
        <w:rPr>
          <w:rFonts w:ascii="Times New Roman" w:hAnsi="Times New Roman" w:cs="Times New Roman"/>
          <w:szCs w:val="24"/>
        </w:rPr>
        <w:t xml:space="preserve"> </w:t>
      </w:r>
      <w:r w:rsidRPr="006C034B">
        <w:rPr>
          <w:rFonts w:ascii="Times New Roman" w:hAnsi="Times New Roman" w:cs="Times New Roman"/>
          <w:szCs w:val="24"/>
        </w:rPr>
        <w:t>nie podlega procedurze notyfikacji aktów prawnych, określonej w przepisach rozporządzenia Rady Ministrów z dnia 23 grudnia 2002 r. w sprawie sposobu funkcjonowania krajowego systemu notyfikacji norm i aktów prawnych (Dz. U. poz. 2039, z późn. zm.).</w:t>
      </w:r>
    </w:p>
    <w:p w14:paraId="5BF82B1B" w14:textId="06475259" w:rsidR="00715112" w:rsidRPr="006C034B" w:rsidRDefault="00715112" w:rsidP="0065692C">
      <w:pPr>
        <w:pStyle w:val="NIEARTTEKSTtekstnieartykuowanynppodstprawnarozplubpreambua"/>
        <w:ind w:firstLine="0"/>
        <w:rPr>
          <w:rFonts w:ascii="Times New Roman" w:hAnsi="Times New Roman" w:cs="Times New Roman"/>
          <w:szCs w:val="24"/>
        </w:rPr>
      </w:pPr>
      <w:r w:rsidRPr="006C034B">
        <w:rPr>
          <w:rFonts w:ascii="Times New Roman" w:hAnsi="Times New Roman" w:cs="Times New Roman"/>
          <w:szCs w:val="24"/>
        </w:rPr>
        <w:t>Projekt ustawy w zakresie swoich założeń będzie podlegał przedstawieniu Komisji Europejskiej wraz z całym wnioskiem, o którym mowa w zmienianym art. 64 ust. 2b rozporządzenia rynkowego (dodanym art. 2 pkt 16 rozporządzenia EMD).</w:t>
      </w:r>
    </w:p>
    <w:p w14:paraId="589F4494" w14:textId="792EE0FE" w:rsidR="00146DD9" w:rsidRPr="006C034B" w:rsidRDefault="006234B2" w:rsidP="0065692C">
      <w:pPr>
        <w:pStyle w:val="ARTartustawynprozporzdzenia"/>
        <w:ind w:firstLine="0"/>
        <w:rPr>
          <w:rFonts w:ascii="Times New Roman" w:hAnsi="Times New Roman" w:cs="Times New Roman"/>
          <w:szCs w:val="24"/>
        </w:rPr>
      </w:pPr>
      <w:r w:rsidRPr="006C034B">
        <w:rPr>
          <w:rFonts w:ascii="Times New Roman" w:hAnsi="Times New Roman" w:cs="Times New Roman"/>
          <w:szCs w:val="24"/>
        </w:rPr>
        <w:lastRenderedPageBreak/>
        <w:t xml:space="preserve">Projekt ustawy nie wymaga przedstawienia właściwym instytucjom i organom Unii Europejskiej, w tym Europejskiemu Bankowi Centralnemu, </w:t>
      </w:r>
      <w:r w:rsidR="009A446E">
        <w:rPr>
          <w:rFonts w:ascii="Times New Roman" w:hAnsi="Times New Roman" w:cs="Times New Roman"/>
          <w:szCs w:val="24"/>
        </w:rPr>
        <w:t xml:space="preserve">w </w:t>
      </w:r>
      <w:r w:rsidRPr="006C034B">
        <w:rPr>
          <w:rFonts w:ascii="Times New Roman" w:hAnsi="Times New Roman" w:cs="Times New Roman"/>
          <w:szCs w:val="24"/>
        </w:rPr>
        <w:t>cel</w:t>
      </w:r>
      <w:r w:rsidR="009A446E">
        <w:rPr>
          <w:rFonts w:ascii="Times New Roman" w:hAnsi="Times New Roman" w:cs="Times New Roman"/>
          <w:szCs w:val="24"/>
        </w:rPr>
        <w:t>u</w:t>
      </w:r>
      <w:r w:rsidRPr="006C034B">
        <w:rPr>
          <w:rFonts w:ascii="Times New Roman" w:hAnsi="Times New Roman" w:cs="Times New Roman"/>
          <w:szCs w:val="24"/>
        </w:rPr>
        <w:t xml:space="preserve"> uzyskania opinii, dokonania powiadomienia, konsultacji albo uzgodnienia projektu.</w:t>
      </w:r>
      <w:r w:rsidR="00146DD9" w:rsidRPr="006C034B">
        <w:rPr>
          <w:rFonts w:ascii="Times New Roman" w:hAnsi="Times New Roman" w:cs="Times New Roman"/>
          <w:szCs w:val="24"/>
        </w:rPr>
        <w:t xml:space="preserve"> </w:t>
      </w:r>
    </w:p>
    <w:p w14:paraId="1E9A473E" w14:textId="26DBC848" w:rsidR="00774A7E" w:rsidRPr="006C034B" w:rsidRDefault="00774A7E" w:rsidP="0065692C">
      <w:pPr>
        <w:pStyle w:val="ARTartustawynprozporzdzenia"/>
        <w:ind w:firstLine="0"/>
        <w:rPr>
          <w:rFonts w:ascii="Times New Roman" w:hAnsi="Times New Roman" w:cs="Times New Roman"/>
          <w:szCs w:val="24"/>
        </w:rPr>
      </w:pPr>
      <w:r w:rsidRPr="006C034B">
        <w:rPr>
          <w:rFonts w:ascii="Times New Roman" w:hAnsi="Times New Roman" w:cs="Times New Roman"/>
          <w:szCs w:val="24"/>
        </w:rPr>
        <w:t>Projekt aktu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21A33614" w14:textId="3553772B" w:rsidR="00960F64" w:rsidRPr="006C034B" w:rsidRDefault="00960F64" w:rsidP="0065692C">
      <w:pPr>
        <w:spacing w:before="120"/>
        <w:jc w:val="both"/>
        <w:rPr>
          <w:rFonts w:cs="Times New Roman"/>
          <w:b/>
          <w:bCs/>
          <w:szCs w:val="24"/>
        </w:rPr>
      </w:pPr>
      <w:r w:rsidRPr="006C034B">
        <w:rPr>
          <w:rFonts w:cs="Times New Roman"/>
          <w:b/>
          <w:bCs/>
          <w:szCs w:val="24"/>
        </w:rPr>
        <w:t>5. Wpływ na mikroprzedsiębiorców oraz małych i średnich przedsiębiorców</w:t>
      </w:r>
    </w:p>
    <w:p w14:paraId="6AC2C688" w14:textId="167A671D" w:rsidR="006234B2" w:rsidRPr="006C034B" w:rsidRDefault="004A4CD3" w:rsidP="0065692C">
      <w:pPr>
        <w:pStyle w:val="ARTartustawynprozporzdzenia"/>
        <w:ind w:firstLine="0"/>
        <w:rPr>
          <w:rFonts w:ascii="Times New Roman" w:hAnsi="Times New Roman" w:cs="Times New Roman"/>
          <w:szCs w:val="24"/>
        </w:rPr>
      </w:pPr>
      <w:r w:rsidRPr="006C034B">
        <w:rPr>
          <w:rFonts w:ascii="Times New Roman" w:hAnsi="Times New Roman" w:cs="Times New Roman"/>
          <w:szCs w:val="24"/>
        </w:rPr>
        <w:t>Projekt nie dotyczy majątkowych praw i obowiązków przedsiębiorców lub praw i obowiązków przedsiębiorców wobec organów administracji publicznej</w:t>
      </w:r>
      <w:r w:rsidR="00960F64" w:rsidRPr="006C034B">
        <w:rPr>
          <w:rFonts w:ascii="Times New Roman" w:hAnsi="Times New Roman" w:cs="Times New Roman"/>
          <w:szCs w:val="24"/>
        </w:rPr>
        <w:t>, ale</w:t>
      </w:r>
      <w:r w:rsidRPr="006C034B">
        <w:rPr>
          <w:rFonts w:ascii="Times New Roman" w:hAnsi="Times New Roman" w:cs="Times New Roman"/>
          <w:szCs w:val="24"/>
        </w:rPr>
        <w:t xml:space="preserve"> </w:t>
      </w:r>
      <w:r w:rsidR="006234B2" w:rsidRPr="006C034B">
        <w:rPr>
          <w:rFonts w:ascii="Times New Roman" w:hAnsi="Times New Roman" w:cs="Times New Roman"/>
          <w:szCs w:val="24"/>
        </w:rPr>
        <w:t xml:space="preserve">wpływa </w:t>
      </w:r>
      <w:r w:rsidRPr="006C034B">
        <w:rPr>
          <w:rFonts w:ascii="Times New Roman" w:hAnsi="Times New Roman" w:cs="Times New Roman"/>
          <w:szCs w:val="24"/>
        </w:rPr>
        <w:t>na działalność</w:t>
      </w:r>
      <w:r w:rsidR="00960F64" w:rsidRPr="006C034B">
        <w:rPr>
          <w:rFonts w:ascii="Times New Roman" w:hAnsi="Times New Roman" w:cs="Times New Roman"/>
          <w:szCs w:val="24"/>
        </w:rPr>
        <w:t xml:space="preserve"> podmiotów ją prowadzących, w tym na działalność</w:t>
      </w:r>
      <w:r w:rsidRPr="006C034B">
        <w:rPr>
          <w:rFonts w:ascii="Times New Roman" w:hAnsi="Times New Roman" w:cs="Times New Roman"/>
          <w:szCs w:val="24"/>
        </w:rPr>
        <w:t xml:space="preserve"> </w:t>
      </w:r>
      <w:proofErr w:type="spellStart"/>
      <w:r w:rsidR="006E4AC3" w:rsidRPr="006C034B">
        <w:rPr>
          <w:rFonts w:ascii="Times New Roman" w:hAnsi="Times New Roman" w:cs="Times New Roman"/>
          <w:szCs w:val="24"/>
        </w:rPr>
        <w:t>mikro</w:t>
      </w:r>
      <w:r w:rsidRPr="006C034B">
        <w:rPr>
          <w:rFonts w:ascii="Times New Roman" w:hAnsi="Times New Roman" w:cs="Times New Roman"/>
          <w:szCs w:val="24"/>
        </w:rPr>
        <w:t>przedsiębiorców</w:t>
      </w:r>
      <w:proofErr w:type="spellEnd"/>
      <w:r w:rsidRPr="006C034B">
        <w:rPr>
          <w:rFonts w:ascii="Times New Roman" w:hAnsi="Times New Roman" w:cs="Times New Roman"/>
          <w:szCs w:val="24"/>
        </w:rPr>
        <w:t xml:space="preserve"> oraz małych i</w:t>
      </w:r>
      <w:r w:rsidR="00146DD9" w:rsidRPr="006C034B">
        <w:rPr>
          <w:rFonts w:ascii="Times New Roman" w:hAnsi="Times New Roman" w:cs="Times New Roman"/>
          <w:szCs w:val="24"/>
        </w:rPr>
        <w:t> </w:t>
      </w:r>
      <w:r w:rsidRPr="006C034B">
        <w:rPr>
          <w:rFonts w:ascii="Times New Roman" w:hAnsi="Times New Roman" w:cs="Times New Roman"/>
          <w:szCs w:val="24"/>
        </w:rPr>
        <w:t>średnich przedsiębiorców</w:t>
      </w:r>
      <w:r w:rsidR="000E335D" w:rsidRPr="006C034B">
        <w:rPr>
          <w:rFonts w:ascii="Times New Roman" w:hAnsi="Times New Roman" w:cs="Times New Roman"/>
          <w:szCs w:val="24"/>
        </w:rPr>
        <w:t>, ponieważ wiąże się z planowanym wzrostem kosztów energii elektrycznej przenoszonych na rachunku za energię elektryczną (pozycja opłata mocowa) w</w:t>
      </w:r>
      <w:r w:rsidR="00146DD9" w:rsidRPr="006C034B">
        <w:rPr>
          <w:rFonts w:ascii="Times New Roman" w:hAnsi="Times New Roman" w:cs="Times New Roman"/>
          <w:szCs w:val="24"/>
        </w:rPr>
        <w:t> </w:t>
      </w:r>
      <w:r w:rsidR="000E335D" w:rsidRPr="006C034B">
        <w:rPr>
          <w:rFonts w:ascii="Times New Roman" w:hAnsi="Times New Roman" w:cs="Times New Roman"/>
          <w:szCs w:val="24"/>
        </w:rPr>
        <w:t xml:space="preserve">okresie, w którym </w:t>
      </w:r>
      <w:r w:rsidR="006E4AC3" w:rsidRPr="006C034B">
        <w:rPr>
          <w:rFonts w:ascii="Times New Roman" w:hAnsi="Times New Roman" w:cs="Times New Roman"/>
          <w:szCs w:val="24"/>
        </w:rPr>
        <w:t xml:space="preserve">będą </w:t>
      </w:r>
      <w:r w:rsidR="000E335D" w:rsidRPr="006C034B">
        <w:rPr>
          <w:rFonts w:ascii="Times New Roman" w:hAnsi="Times New Roman" w:cs="Times New Roman"/>
          <w:szCs w:val="24"/>
        </w:rPr>
        <w:t xml:space="preserve">organizowane aukcje uzupełniające. Jednak wprowadzenie tych aukcji pozwala na zwiększenie bezpieczeństwa energetycznego i skuteczności mechanizmu rynku mocy w </w:t>
      </w:r>
      <w:r w:rsidR="00D50229" w:rsidRPr="006C034B">
        <w:rPr>
          <w:rFonts w:ascii="Times New Roman" w:hAnsi="Times New Roman" w:cs="Times New Roman"/>
          <w:szCs w:val="24"/>
        </w:rPr>
        <w:t>sytuacji,</w:t>
      </w:r>
      <w:r w:rsidR="000E335D" w:rsidRPr="006C034B">
        <w:rPr>
          <w:rFonts w:ascii="Times New Roman" w:hAnsi="Times New Roman" w:cs="Times New Roman"/>
          <w:szCs w:val="24"/>
        </w:rPr>
        <w:t xml:space="preserve"> gdy w ramach krajowej oceny wystarczalności zasobów </w:t>
      </w:r>
      <w:r w:rsidR="00C04115" w:rsidRPr="006C034B">
        <w:rPr>
          <w:rFonts w:ascii="Times New Roman" w:hAnsi="Times New Roman" w:cs="Times New Roman"/>
          <w:szCs w:val="24"/>
        </w:rPr>
        <w:t xml:space="preserve">wytwórczych albo jej aktualizacji </w:t>
      </w:r>
      <w:r w:rsidR="000E335D" w:rsidRPr="006C034B">
        <w:rPr>
          <w:rFonts w:ascii="Times New Roman" w:hAnsi="Times New Roman" w:cs="Times New Roman"/>
          <w:szCs w:val="24"/>
        </w:rPr>
        <w:t>zostanie zidentyfikowana luka mocowa (tj. wystąpi ryzyko braku pełnej wystarczalności zasobów wytwórczych)</w:t>
      </w:r>
      <w:r w:rsidRPr="006C034B">
        <w:rPr>
          <w:rFonts w:ascii="Times New Roman" w:hAnsi="Times New Roman" w:cs="Times New Roman"/>
          <w:szCs w:val="24"/>
        </w:rPr>
        <w:t>.</w:t>
      </w:r>
      <w:r w:rsidR="000E335D" w:rsidRPr="006C034B">
        <w:rPr>
          <w:rFonts w:ascii="Times New Roman" w:hAnsi="Times New Roman" w:cs="Times New Roman"/>
          <w:szCs w:val="24"/>
        </w:rPr>
        <w:t xml:space="preserve"> Szerzej wpływ na poszczególne grupy odbiorców energii elektrycznej opisano w OSR.</w:t>
      </w:r>
      <w:r w:rsidR="006234B2" w:rsidRPr="006C034B">
        <w:rPr>
          <w:rFonts w:ascii="Times New Roman" w:hAnsi="Times New Roman" w:cs="Times New Roman"/>
          <w:szCs w:val="24"/>
        </w:rPr>
        <w:t xml:space="preserve"> </w:t>
      </w:r>
    </w:p>
    <w:p w14:paraId="7D040F35" w14:textId="6ADAD1BD" w:rsidR="000E335D" w:rsidRPr="006C034B" w:rsidRDefault="00960F64" w:rsidP="0065692C">
      <w:pPr>
        <w:spacing w:before="120"/>
        <w:jc w:val="both"/>
        <w:rPr>
          <w:rFonts w:cs="Times New Roman"/>
          <w:b/>
          <w:bCs/>
          <w:szCs w:val="24"/>
        </w:rPr>
      </w:pPr>
      <w:r w:rsidRPr="006C034B">
        <w:rPr>
          <w:rFonts w:cs="Times New Roman"/>
          <w:b/>
          <w:bCs/>
          <w:szCs w:val="24"/>
        </w:rPr>
        <w:t>6</w:t>
      </w:r>
      <w:r w:rsidR="000E335D" w:rsidRPr="006C034B">
        <w:rPr>
          <w:rFonts w:cs="Times New Roman"/>
          <w:b/>
          <w:bCs/>
          <w:szCs w:val="24"/>
        </w:rPr>
        <w:t>. Wejście w życie</w:t>
      </w:r>
    </w:p>
    <w:p w14:paraId="49B03983" w14:textId="55AAFA12" w:rsidR="005C7A65" w:rsidRPr="006C034B" w:rsidRDefault="006234B2" w:rsidP="0065692C">
      <w:pPr>
        <w:spacing w:before="120"/>
        <w:jc w:val="both"/>
        <w:rPr>
          <w:rFonts w:cs="Times New Roman"/>
          <w:szCs w:val="24"/>
        </w:rPr>
      </w:pPr>
      <w:r w:rsidRPr="006C034B">
        <w:rPr>
          <w:rFonts w:cs="Times New Roman"/>
          <w:szCs w:val="24"/>
        </w:rPr>
        <w:t>Projektowana ustawa</w:t>
      </w:r>
      <w:r w:rsidR="00D80598" w:rsidRPr="006C034B">
        <w:rPr>
          <w:rFonts w:cs="Times New Roman"/>
          <w:szCs w:val="24"/>
        </w:rPr>
        <w:t xml:space="preserve">, zgodnie z art. </w:t>
      </w:r>
      <w:r w:rsidR="00A73E32" w:rsidRPr="006C034B">
        <w:rPr>
          <w:rFonts w:cs="Times New Roman"/>
          <w:szCs w:val="24"/>
        </w:rPr>
        <w:t>7</w:t>
      </w:r>
      <w:r w:rsidR="00D80598" w:rsidRPr="006C034B">
        <w:rPr>
          <w:rFonts w:cs="Times New Roman"/>
          <w:szCs w:val="24"/>
        </w:rPr>
        <w:t xml:space="preserve">, </w:t>
      </w:r>
      <w:r w:rsidRPr="006C034B">
        <w:rPr>
          <w:rFonts w:cs="Times New Roman"/>
          <w:szCs w:val="24"/>
        </w:rPr>
        <w:t xml:space="preserve">wchodzi w życie </w:t>
      </w:r>
      <w:r w:rsidR="00A73E32" w:rsidRPr="006C034B">
        <w:rPr>
          <w:rFonts w:cs="Times New Roman"/>
          <w:szCs w:val="24"/>
        </w:rPr>
        <w:t xml:space="preserve">po upływie </w:t>
      </w:r>
      <w:r w:rsidR="000261B2" w:rsidRPr="006C034B">
        <w:rPr>
          <w:rFonts w:cs="Times New Roman"/>
          <w:szCs w:val="24"/>
        </w:rPr>
        <w:t xml:space="preserve">7 dni </w:t>
      </w:r>
      <w:r w:rsidR="00A73E32" w:rsidRPr="006C034B">
        <w:rPr>
          <w:rFonts w:cs="Times New Roman"/>
          <w:szCs w:val="24"/>
        </w:rPr>
        <w:t>od</w:t>
      </w:r>
      <w:r w:rsidR="00715112" w:rsidRPr="006C034B">
        <w:rPr>
          <w:rFonts w:cs="Times New Roman"/>
          <w:szCs w:val="24"/>
        </w:rPr>
        <w:t xml:space="preserve"> dni</w:t>
      </w:r>
      <w:r w:rsidR="00A73E32" w:rsidRPr="006C034B">
        <w:rPr>
          <w:rFonts w:cs="Times New Roman"/>
          <w:szCs w:val="24"/>
        </w:rPr>
        <w:t>a</w:t>
      </w:r>
      <w:r w:rsidR="00715112" w:rsidRPr="006C034B">
        <w:rPr>
          <w:rFonts w:cs="Times New Roman"/>
          <w:szCs w:val="24"/>
        </w:rPr>
        <w:t xml:space="preserve"> ogłoszenia. </w:t>
      </w:r>
      <w:r w:rsidR="00715112" w:rsidRPr="006C034B">
        <w:rPr>
          <w:rFonts w:cs="Times New Roman"/>
          <w:spacing w:val="-2"/>
          <w:szCs w:val="24"/>
        </w:rPr>
        <w:t xml:space="preserve">W celu zapewnienia możliwości przeprowadzenia wszystkich procesów niezbędnych dla przeprowadzenia aukcji uzupełniających rynku mocy w terminie zapewniającym możliwość zawarcia umów mocowych na </w:t>
      </w:r>
      <w:r w:rsidR="00B540AF" w:rsidRPr="006C034B">
        <w:rPr>
          <w:rFonts w:cs="Times New Roman"/>
          <w:spacing w:val="-2"/>
          <w:szCs w:val="24"/>
        </w:rPr>
        <w:t xml:space="preserve">drugą </w:t>
      </w:r>
      <w:r w:rsidR="00715112" w:rsidRPr="006C034B">
        <w:rPr>
          <w:rFonts w:cs="Times New Roman"/>
          <w:spacing w:val="-2"/>
          <w:szCs w:val="24"/>
        </w:rPr>
        <w:t xml:space="preserve">połowę 2025 r. w ramach aukcji uzupełniającej, która zostanie przeprowadzona w </w:t>
      </w:r>
      <w:r w:rsidR="00B540AF" w:rsidRPr="006C034B">
        <w:rPr>
          <w:rFonts w:cs="Times New Roman"/>
          <w:spacing w:val="-2"/>
          <w:szCs w:val="24"/>
        </w:rPr>
        <w:t xml:space="preserve">pierwszej </w:t>
      </w:r>
      <w:r w:rsidR="00715112" w:rsidRPr="006C034B">
        <w:rPr>
          <w:rFonts w:cs="Times New Roman"/>
          <w:spacing w:val="-2"/>
          <w:szCs w:val="24"/>
        </w:rPr>
        <w:t xml:space="preserve">połowie 2025 r., </w:t>
      </w:r>
      <w:r w:rsidR="00F909D4" w:rsidRPr="006C034B">
        <w:rPr>
          <w:rFonts w:cs="Times New Roman"/>
          <w:spacing w:val="-2"/>
          <w:szCs w:val="24"/>
        </w:rPr>
        <w:t xml:space="preserve">jest </w:t>
      </w:r>
      <w:r w:rsidR="00715112" w:rsidRPr="006C034B">
        <w:rPr>
          <w:rFonts w:cs="Times New Roman"/>
          <w:spacing w:val="-2"/>
          <w:szCs w:val="24"/>
        </w:rPr>
        <w:t>konieczne skrócenie terminu wejścia w życie projektowanej regulacji. Przedmiotowa regulacja jest oczekiwaną przez sektor energetyki i</w:t>
      </w:r>
      <w:r w:rsidR="00146DD9" w:rsidRPr="006C034B">
        <w:rPr>
          <w:rFonts w:cs="Times New Roman"/>
          <w:spacing w:val="-2"/>
          <w:szCs w:val="24"/>
        </w:rPr>
        <w:t> </w:t>
      </w:r>
      <w:r w:rsidR="00715112" w:rsidRPr="006C034B">
        <w:rPr>
          <w:rFonts w:cs="Times New Roman"/>
          <w:spacing w:val="-2"/>
          <w:szCs w:val="24"/>
        </w:rPr>
        <w:t xml:space="preserve">bezpośrednio wpływa na zapewnienie bezpieczeństwa dostaw energii elektrycznej, które to bezpieczeństwo jest kluczowe dla funkcjonowania państwa i prowadzenia działalności gospodarczej. Ponadto podmioty, do których bezpośrednio </w:t>
      </w:r>
      <w:r w:rsidR="00F909D4" w:rsidRPr="006C034B">
        <w:rPr>
          <w:rFonts w:cs="Times New Roman"/>
          <w:spacing w:val="-2"/>
          <w:szCs w:val="24"/>
        </w:rPr>
        <w:t xml:space="preserve">jest </w:t>
      </w:r>
      <w:r w:rsidR="00715112" w:rsidRPr="006C034B">
        <w:rPr>
          <w:rFonts w:cs="Times New Roman"/>
          <w:spacing w:val="-2"/>
          <w:szCs w:val="24"/>
        </w:rPr>
        <w:t xml:space="preserve">skierowana </w:t>
      </w:r>
      <w:r w:rsidR="00B540AF" w:rsidRPr="006C034B">
        <w:rPr>
          <w:rFonts w:cs="Times New Roman"/>
          <w:spacing w:val="-2"/>
          <w:szCs w:val="24"/>
        </w:rPr>
        <w:t xml:space="preserve">ta </w:t>
      </w:r>
      <w:r w:rsidR="00715112" w:rsidRPr="006C034B">
        <w:rPr>
          <w:rFonts w:cs="Times New Roman"/>
          <w:spacing w:val="-2"/>
          <w:szCs w:val="24"/>
        </w:rPr>
        <w:t>regulacja są podmiotami profesjonalnymi działającymi w obszarze energetyki, uczestniczącymi w procesie konsultacji i opiniowania, stąd projektodawca zakłada termin wejścia w życie jako wystarczający.</w:t>
      </w:r>
      <w:r w:rsidR="005C7A65" w:rsidRPr="006C034B">
        <w:rPr>
          <w:rFonts w:cs="Times New Roman"/>
          <w:spacing w:val="-2"/>
          <w:szCs w:val="24"/>
        </w:rPr>
        <w:t xml:space="preserve"> </w:t>
      </w:r>
    </w:p>
    <w:sectPr w:rsidR="005C7A65" w:rsidRPr="006C034B" w:rsidSect="006C034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47D0" w14:textId="77777777" w:rsidR="00531D3F" w:rsidRDefault="00531D3F" w:rsidP="00146DD9">
      <w:pPr>
        <w:spacing w:line="240" w:lineRule="auto"/>
      </w:pPr>
      <w:r>
        <w:separator/>
      </w:r>
    </w:p>
  </w:endnote>
  <w:endnote w:type="continuationSeparator" w:id="0">
    <w:p w14:paraId="5103158B" w14:textId="77777777" w:rsidR="00531D3F" w:rsidRDefault="00531D3F" w:rsidP="00146DD9">
      <w:pPr>
        <w:spacing w:line="240" w:lineRule="auto"/>
      </w:pPr>
      <w:r>
        <w:continuationSeparator/>
      </w:r>
    </w:p>
  </w:endnote>
  <w:endnote w:type="continuationNotice" w:id="1">
    <w:p w14:paraId="03B480CE" w14:textId="77777777" w:rsidR="00531D3F" w:rsidRDefault="00531D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655159"/>
      <w:docPartObj>
        <w:docPartGallery w:val="Page Numbers (Bottom of Page)"/>
        <w:docPartUnique/>
      </w:docPartObj>
    </w:sdtPr>
    <w:sdtEndPr/>
    <w:sdtContent>
      <w:p w14:paraId="1DAC1CFF" w14:textId="0D87AEBF" w:rsidR="00146DD9" w:rsidRDefault="00146DD9" w:rsidP="006C034B">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43FF8" w14:textId="77777777" w:rsidR="00531D3F" w:rsidRDefault="00531D3F" w:rsidP="00146DD9">
      <w:pPr>
        <w:spacing w:line="240" w:lineRule="auto"/>
      </w:pPr>
      <w:r>
        <w:separator/>
      </w:r>
    </w:p>
  </w:footnote>
  <w:footnote w:type="continuationSeparator" w:id="0">
    <w:p w14:paraId="75A16FA9" w14:textId="77777777" w:rsidR="00531D3F" w:rsidRDefault="00531D3F" w:rsidP="00146DD9">
      <w:pPr>
        <w:spacing w:line="240" w:lineRule="auto"/>
      </w:pPr>
      <w:r>
        <w:continuationSeparator/>
      </w:r>
    </w:p>
  </w:footnote>
  <w:footnote w:type="continuationNotice" w:id="1">
    <w:p w14:paraId="035FF568" w14:textId="77777777" w:rsidR="00531D3F" w:rsidRDefault="00531D3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006C"/>
    <w:multiLevelType w:val="hybridMultilevel"/>
    <w:tmpl w:val="54465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DF09B2"/>
    <w:multiLevelType w:val="hybridMultilevel"/>
    <w:tmpl w:val="798A3FB4"/>
    <w:lvl w:ilvl="0" w:tplc="489C0552">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9B714C"/>
    <w:multiLevelType w:val="hybridMultilevel"/>
    <w:tmpl w:val="7EA05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7651A4"/>
    <w:multiLevelType w:val="hybridMultilevel"/>
    <w:tmpl w:val="FF68CC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F83811"/>
    <w:multiLevelType w:val="hybridMultilevel"/>
    <w:tmpl w:val="3D6CC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D3440F"/>
    <w:multiLevelType w:val="hybridMultilevel"/>
    <w:tmpl w:val="18606C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EA5BE3"/>
    <w:multiLevelType w:val="hybridMultilevel"/>
    <w:tmpl w:val="A48CFC82"/>
    <w:lvl w:ilvl="0" w:tplc="14E2A5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69531A"/>
    <w:multiLevelType w:val="hybridMultilevel"/>
    <w:tmpl w:val="17602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17230"/>
    <w:multiLevelType w:val="hybridMultilevel"/>
    <w:tmpl w:val="FDDC9DB2"/>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5531364">
    <w:abstractNumId w:val="2"/>
  </w:num>
  <w:num w:numId="2" w16cid:durableId="1323435939">
    <w:abstractNumId w:val="0"/>
  </w:num>
  <w:num w:numId="3" w16cid:durableId="1256328001">
    <w:abstractNumId w:val="4"/>
  </w:num>
  <w:num w:numId="4" w16cid:durableId="1408842293">
    <w:abstractNumId w:val="7"/>
  </w:num>
  <w:num w:numId="5" w16cid:durableId="175047175">
    <w:abstractNumId w:val="8"/>
  </w:num>
  <w:num w:numId="6" w16cid:durableId="191694794">
    <w:abstractNumId w:val="6"/>
  </w:num>
  <w:num w:numId="7" w16cid:durableId="2069524334">
    <w:abstractNumId w:val="1"/>
  </w:num>
  <w:num w:numId="8" w16cid:durableId="173032826">
    <w:abstractNumId w:val="3"/>
  </w:num>
  <w:num w:numId="9" w16cid:durableId="969280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F"/>
    <w:rsid w:val="000159A6"/>
    <w:rsid w:val="00020CD3"/>
    <w:rsid w:val="000261B2"/>
    <w:rsid w:val="0004390C"/>
    <w:rsid w:val="0005022C"/>
    <w:rsid w:val="00057078"/>
    <w:rsid w:val="00060A6D"/>
    <w:rsid w:val="00060FC1"/>
    <w:rsid w:val="00061BDC"/>
    <w:rsid w:val="00062CF6"/>
    <w:rsid w:val="000642C6"/>
    <w:rsid w:val="00066D61"/>
    <w:rsid w:val="00070686"/>
    <w:rsid w:val="00084E57"/>
    <w:rsid w:val="0009062D"/>
    <w:rsid w:val="00092658"/>
    <w:rsid w:val="000964CB"/>
    <w:rsid w:val="000B08A7"/>
    <w:rsid w:val="000B3B4F"/>
    <w:rsid w:val="000B5663"/>
    <w:rsid w:val="000D3ADE"/>
    <w:rsid w:val="000D5B40"/>
    <w:rsid w:val="000E335D"/>
    <w:rsid w:val="000E4263"/>
    <w:rsid w:val="000E7718"/>
    <w:rsid w:val="001031AF"/>
    <w:rsid w:val="00103F40"/>
    <w:rsid w:val="00110316"/>
    <w:rsid w:val="00112F62"/>
    <w:rsid w:val="001141CD"/>
    <w:rsid w:val="001142FC"/>
    <w:rsid w:val="00116411"/>
    <w:rsid w:val="00131E02"/>
    <w:rsid w:val="00133C28"/>
    <w:rsid w:val="00143821"/>
    <w:rsid w:val="00143DCB"/>
    <w:rsid w:val="00144700"/>
    <w:rsid w:val="00146DD9"/>
    <w:rsid w:val="00155757"/>
    <w:rsid w:val="00164E05"/>
    <w:rsid w:val="00167B8A"/>
    <w:rsid w:val="00172C83"/>
    <w:rsid w:val="00175AB1"/>
    <w:rsid w:val="00175ED8"/>
    <w:rsid w:val="001809C9"/>
    <w:rsid w:val="00182354"/>
    <w:rsid w:val="00187EF8"/>
    <w:rsid w:val="00192E17"/>
    <w:rsid w:val="00193045"/>
    <w:rsid w:val="001A2F39"/>
    <w:rsid w:val="001A6ED7"/>
    <w:rsid w:val="001B275A"/>
    <w:rsid w:val="001C1AF6"/>
    <w:rsid w:val="001C7589"/>
    <w:rsid w:val="001E20C1"/>
    <w:rsid w:val="001F3E74"/>
    <w:rsid w:val="0020490B"/>
    <w:rsid w:val="00205476"/>
    <w:rsid w:val="00223CA9"/>
    <w:rsid w:val="002341EE"/>
    <w:rsid w:val="00240A2A"/>
    <w:rsid w:val="00252DE9"/>
    <w:rsid w:val="00267E96"/>
    <w:rsid w:val="00282387"/>
    <w:rsid w:val="00285E30"/>
    <w:rsid w:val="00286F64"/>
    <w:rsid w:val="00293326"/>
    <w:rsid w:val="002A6F85"/>
    <w:rsid w:val="002C07EA"/>
    <w:rsid w:val="002C2D66"/>
    <w:rsid w:val="002C5D9D"/>
    <w:rsid w:val="002C5FFB"/>
    <w:rsid w:val="002F008F"/>
    <w:rsid w:val="0030038C"/>
    <w:rsid w:val="00301F01"/>
    <w:rsid w:val="00317594"/>
    <w:rsid w:val="00341E55"/>
    <w:rsid w:val="00347075"/>
    <w:rsid w:val="003504E7"/>
    <w:rsid w:val="00381E1E"/>
    <w:rsid w:val="00386473"/>
    <w:rsid w:val="003B78E4"/>
    <w:rsid w:val="003D04AF"/>
    <w:rsid w:val="003E563A"/>
    <w:rsid w:val="003E7AD6"/>
    <w:rsid w:val="003F4FFF"/>
    <w:rsid w:val="0040093E"/>
    <w:rsid w:val="004053CD"/>
    <w:rsid w:val="00406314"/>
    <w:rsid w:val="00406375"/>
    <w:rsid w:val="00413DA1"/>
    <w:rsid w:val="00421A40"/>
    <w:rsid w:val="00422CB7"/>
    <w:rsid w:val="00425A8A"/>
    <w:rsid w:val="00435A9F"/>
    <w:rsid w:val="00435EFF"/>
    <w:rsid w:val="004378BA"/>
    <w:rsid w:val="004524EE"/>
    <w:rsid w:val="004660FA"/>
    <w:rsid w:val="0046629E"/>
    <w:rsid w:val="00487C1D"/>
    <w:rsid w:val="0049118B"/>
    <w:rsid w:val="004A3DD3"/>
    <w:rsid w:val="004A4CD3"/>
    <w:rsid w:val="004B49BB"/>
    <w:rsid w:val="004B53A2"/>
    <w:rsid w:val="004C603C"/>
    <w:rsid w:val="004E3550"/>
    <w:rsid w:val="004F181E"/>
    <w:rsid w:val="00501B4E"/>
    <w:rsid w:val="0050705E"/>
    <w:rsid w:val="00512F7F"/>
    <w:rsid w:val="00521125"/>
    <w:rsid w:val="00522339"/>
    <w:rsid w:val="00531D3F"/>
    <w:rsid w:val="00546665"/>
    <w:rsid w:val="00554053"/>
    <w:rsid w:val="005549AC"/>
    <w:rsid w:val="00562DAA"/>
    <w:rsid w:val="00563F52"/>
    <w:rsid w:val="00574563"/>
    <w:rsid w:val="0058297B"/>
    <w:rsid w:val="00583EE3"/>
    <w:rsid w:val="00592092"/>
    <w:rsid w:val="00592361"/>
    <w:rsid w:val="00592D80"/>
    <w:rsid w:val="005B19EE"/>
    <w:rsid w:val="005C7A65"/>
    <w:rsid w:val="005E3840"/>
    <w:rsid w:val="005F2C58"/>
    <w:rsid w:val="005F35F0"/>
    <w:rsid w:val="0060224D"/>
    <w:rsid w:val="00604A94"/>
    <w:rsid w:val="006125F6"/>
    <w:rsid w:val="00620166"/>
    <w:rsid w:val="006234B2"/>
    <w:rsid w:val="0063553D"/>
    <w:rsid w:val="00637A44"/>
    <w:rsid w:val="00637A47"/>
    <w:rsid w:val="006418FE"/>
    <w:rsid w:val="00647C41"/>
    <w:rsid w:val="0065692C"/>
    <w:rsid w:val="0065711B"/>
    <w:rsid w:val="006604A4"/>
    <w:rsid w:val="00660C17"/>
    <w:rsid w:val="006734F3"/>
    <w:rsid w:val="006C034B"/>
    <w:rsid w:val="006C51A1"/>
    <w:rsid w:val="006D70E3"/>
    <w:rsid w:val="006E4AC3"/>
    <w:rsid w:val="006F21D1"/>
    <w:rsid w:val="006F25A5"/>
    <w:rsid w:val="007011A8"/>
    <w:rsid w:val="00702A85"/>
    <w:rsid w:val="00715112"/>
    <w:rsid w:val="00717C29"/>
    <w:rsid w:val="00720261"/>
    <w:rsid w:val="00722898"/>
    <w:rsid w:val="007376A0"/>
    <w:rsid w:val="007465D7"/>
    <w:rsid w:val="00750DFF"/>
    <w:rsid w:val="00765FDC"/>
    <w:rsid w:val="00770490"/>
    <w:rsid w:val="00770E97"/>
    <w:rsid w:val="00774A7E"/>
    <w:rsid w:val="00786B30"/>
    <w:rsid w:val="00787474"/>
    <w:rsid w:val="007925F5"/>
    <w:rsid w:val="00793D95"/>
    <w:rsid w:val="00796F5E"/>
    <w:rsid w:val="007A3D8D"/>
    <w:rsid w:val="007A6FD0"/>
    <w:rsid w:val="007B2674"/>
    <w:rsid w:val="007E0D67"/>
    <w:rsid w:val="007F2E72"/>
    <w:rsid w:val="007F4BE1"/>
    <w:rsid w:val="007F69A3"/>
    <w:rsid w:val="008040EA"/>
    <w:rsid w:val="008174CD"/>
    <w:rsid w:val="008223F4"/>
    <w:rsid w:val="00844E34"/>
    <w:rsid w:val="008512F3"/>
    <w:rsid w:val="00852ACD"/>
    <w:rsid w:val="00863286"/>
    <w:rsid w:val="00874FD6"/>
    <w:rsid w:val="008764BE"/>
    <w:rsid w:val="00880DA9"/>
    <w:rsid w:val="008858D9"/>
    <w:rsid w:val="00892AC6"/>
    <w:rsid w:val="00895D0B"/>
    <w:rsid w:val="008A07CE"/>
    <w:rsid w:val="008A7CC9"/>
    <w:rsid w:val="008C2C0A"/>
    <w:rsid w:val="008F72C6"/>
    <w:rsid w:val="008F7F3F"/>
    <w:rsid w:val="009075ED"/>
    <w:rsid w:val="009217EC"/>
    <w:rsid w:val="0092394B"/>
    <w:rsid w:val="00932214"/>
    <w:rsid w:val="00932547"/>
    <w:rsid w:val="00933C8A"/>
    <w:rsid w:val="00943701"/>
    <w:rsid w:val="00946695"/>
    <w:rsid w:val="00960F64"/>
    <w:rsid w:val="00972AB6"/>
    <w:rsid w:val="009858E4"/>
    <w:rsid w:val="00985FF2"/>
    <w:rsid w:val="009A3FEB"/>
    <w:rsid w:val="009A446E"/>
    <w:rsid w:val="009A7B99"/>
    <w:rsid w:val="009F0C89"/>
    <w:rsid w:val="00A026DB"/>
    <w:rsid w:val="00A269A1"/>
    <w:rsid w:val="00A322AE"/>
    <w:rsid w:val="00A432FE"/>
    <w:rsid w:val="00A45D2F"/>
    <w:rsid w:val="00A46662"/>
    <w:rsid w:val="00A64B82"/>
    <w:rsid w:val="00A66F44"/>
    <w:rsid w:val="00A7196D"/>
    <w:rsid w:val="00A73E32"/>
    <w:rsid w:val="00A86FAD"/>
    <w:rsid w:val="00A95AD7"/>
    <w:rsid w:val="00AA3962"/>
    <w:rsid w:val="00AB43A0"/>
    <w:rsid w:val="00AB4429"/>
    <w:rsid w:val="00AC159C"/>
    <w:rsid w:val="00AC419B"/>
    <w:rsid w:val="00AC67E6"/>
    <w:rsid w:val="00AD567D"/>
    <w:rsid w:val="00AE3D0A"/>
    <w:rsid w:val="00AE6017"/>
    <w:rsid w:val="00B070D9"/>
    <w:rsid w:val="00B07CA5"/>
    <w:rsid w:val="00B13013"/>
    <w:rsid w:val="00B13945"/>
    <w:rsid w:val="00B15278"/>
    <w:rsid w:val="00B22A2D"/>
    <w:rsid w:val="00B25207"/>
    <w:rsid w:val="00B27D9C"/>
    <w:rsid w:val="00B47B58"/>
    <w:rsid w:val="00B53463"/>
    <w:rsid w:val="00B540AF"/>
    <w:rsid w:val="00B55705"/>
    <w:rsid w:val="00B56DA3"/>
    <w:rsid w:val="00B677AC"/>
    <w:rsid w:val="00B7345B"/>
    <w:rsid w:val="00B82662"/>
    <w:rsid w:val="00B83A28"/>
    <w:rsid w:val="00B83FEC"/>
    <w:rsid w:val="00B84993"/>
    <w:rsid w:val="00B93D6B"/>
    <w:rsid w:val="00B95278"/>
    <w:rsid w:val="00BA16CB"/>
    <w:rsid w:val="00BA3710"/>
    <w:rsid w:val="00BA7B6A"/>
    <w:rsid w:val="00BB34F3"/>
    <w:rsid w:val="00BB72E6"/>
    <w:rsid w:val="00BC06B1"/>
    <w:rsid w:val="00BC14BE"/>
    <w:rsid w:val="00BC24F0"/>
    <w:rsid w:val="00BC6538"/>
    <w:rsid w:val="00BD497B"/>
    <w:rsid w:val="00BD6896"/>
    <w:rsid w:val="00BD7A3C"/>
    <w:rsid w:val="00BE2A73"/>
    <w:rsid w:val="00BE3892"/>
    <w:rsid w:val="00BE5284"/>
    <w:rsid w:val="00BE56AA"/>
    <w:rsid w:val="00BE5FE7"/>
    <w:rsid w:val="00C007CA"/>
    <w:rsid w:val="00C04115"/>
    <w:rsid w:val="00C20F7B"/>
    <w:rsid w:val="00C2342F"/>
    <w:rsid w:val="00C238D5"/>
    <w:rsid w:val="00C348DA"/>
    <w:rsid w:val="00C37E78"/>
    <w:rsid w:val="00C428BD"/>
    <w:rsid w:val="00C43944"/>
    <w:rsid w:val="00C55881"/>
    <w:rsid w:val="00C60BE5"/>
    <w:rsid w:val="00C6731B"/>
    <w:rsid w:val="00C737A4"/>
    <w:rsid w:val="00C771A7"/>
    <w:rsid w:val="00C800E1"/>
    <w:rsid w:val="00C83E40"/>
    <w:rsid w:val="00C96683"/>
    <w:rsid w:val="00CA0325"/>
    <w:rsid w:val="00CE0465"/>
    <w:rsid w:val="00CF230C"/>
    <w:rsid w:val="00CF7B85"/>
    <w:rsid w:val="00D02E37"/>
    <w:rsid w:val="00D06C79"/>
    <w:rsid w:val="00D10381"/>
    <w:rsid w:val="00D17F91"/>
    <w:rsid w:val="00D20109"/>
    <w:rsid w:val="00D2049A"/>
    <w:rsid w:val="00D3613F"/>
    <w:rsid w:val="00D44E15"/>
    <w:rsid w:val="00D50229"/>
    <w:rsid w:val="00D51F89"/>
    <w:rsid w:val="00D52D9C"/>
    <w:rsid w:val="00D57E8A"/>
    <w:rsid w:val="00D65210"/>
    <w:rsid w:val="00D66832"/>
    <w:rsid w:val="00D70B82"/>
    <w:rsid w:val="00D80598"/>
    <w:rsid w:val="00D853DB"/>
    <w:rsid w:val="00D93651"/>
    <w:rsid w:val="00DC2D49"/>
    <w:rsid w:val="00DE0CC2"/>
    <w:rsid w:val="00DE55FF"/>
    <w:rsid w:val="00DF614C"/>
    <w:rsid w:val="00E00021"/>
    <w:rsid w:val="00E0237B"/>
    <w:rsid w:val="00E05326"/>
    <w:rsid w:val="00E2467E"/>
    <w:rsid w:val="00E24F80"/>
    <w:rsid w:val="00E3084B"/>
    <w:rsid w:val="00E3143E"/>
    <w:rsid w:val="00E42F95"/>
    <w:rsid w:val="00E61165"/>
    <w:rsid w:val="00E73F1B"/>
    <w:rsid w:val="00E768F4"/>
    <w:rsid w:val="00EA7F6F"/>
    <w:rsid w:val="00EB778B"/>
    <w:rsid w:val="00EC12B5"/>
    <w:rsid w:val="00EC31DE"/>
    <w:rsid w:val="00ED13A4"/>
    <w:rsid w:val="00EE6CE8"/>
    <w:rsid w:val="00EF14BE"/>
    <w:rsid w:val="00EF371E"/>
    <w:rsid w:val="00EF77CF"/>
    <w:rsid w:val="00F20106"/>
    <w:rsid w:val="00F24201"/>
    <w:rsid w:val="00F33754"/>
    <w:rsid w:val="00F50D0A"/>
    <w:rsid w:val="00F538D6"/>
    <w:rsid w:val="00F56B9B"/>
    <w:rsid w:val="00F61DF9"/>
    <w:rsid w:val="00F6282A"/>
    <w:rsid w:val="00F909D4"/>
    <w:rsid w:val="00F90C06"/>
    <w:rsid w:val="00F92365"/>
    <w:rsid w:val="00F93C9B"/>
    <w:rsid w:val="00FA7418"/>
    <w:rsid w:val="00FB4E68"/>
    <w:rsid w:val="00FE6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DB94"/>
  <w15:chartTrackingRefBased/>
  <w15:docId w15:val="{8D22D99B-13B2-4A53-8B78-9EBE32E2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E6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355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3550"/>
    <w:rPr>
      <w:rFonts w:ascii="Segoe UI" w:hAnsi="Segoe UI" w:cs="Segoe UI"/>
      <w:sz w:val="18"/>
      <w:szCs w:val="18"/>
    </w:rPr>
  </w:style>
  <w:style w:type="paragraph" w:customStyle="1" w:styleId="ARTartustawynprozporzdzenia">
    <w:name w:val="ART(§) – art. ustawy (§ np. rozporządzenia)"/>
    <w:uiPriority w:val="14"/>
    <w:qFormat/>
    <w:rsid w:val="004E355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E3550"/>
    <w:rPr>
      <w:bCs/>
    </w:rPr>
  </w:style>
  <w:style w:type="paragraph" w:customStyle="1" w:styleId="OZNRODZAKTUtznustawalubrozporzdzenieiorganwydajcy">
    <w:name w:val="OZN_RODZ_AKTU – tzn. ustawa lub rozporządzenie i organ wydający"/>
    <w:next w:val="Normalny"/>
    <w:uiPriority w:val="5"/>
    <w:qFormat/>
    <w:rsid w:val="004E355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rsid w:val="004E3550"/>
    <w:rPr>
      <w:sz w:val="16"/>
      <w:szCs w:val="16"/>
    </w:rPr>
  </w:style>
  <w:style w:type="paragraph" w:styleId="Tekstkomentarza">
    <w:name w:val="annotation text"/>
    <w:basedOn w:val="Normalny"/>
    <w:link w:val="TekstkomentarzaZnak"/>
    <w:uiPriority w:val="99"/>
    <w:semiHidden/>
    <w:rsid w:val="004E3550"/>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E3550"/>
    <w:rPr>
      <w:rFonts w:ascii="Times" w:eastAsia="Times New Roman" w:hAnsi="Times" w:cs="Times New Roman"/>
      <w:sz w:val="24"/>
      <w:szCs w:val="24"/>
      <w:lang w:eastAsia="pl-PL"/>
    </w:rPr>
  </w:style>
  <w:style w:type="paragraph" w:styleId="Akapitzlist">
    <w:name w:val="List Paragraph"/>
    <w:basedOn w:val="Normalny"/>
    <w:uiPriority w:val="34"/>
    <w:qFormat/>
    <w:rsid w:val="009075ED"/>
    <w:pPr>
      <w:ind w:left="720"/>
      <w:contextualSpacing/>
    </w:pPr>
  </w:style>
  <w:style w:type="paragraph" w:styleId="Tematkomentarza">
    <w:name w:val="annotation subject"/>
    <w:basedOn w:val="Tekstkomentarza"/>
    <w:next w:val="Tekstkomentarza"/>
    <w:link w:val="TematkomentarzaZnak"/>
    <w:uiPriority w:val="99"/>
    <w:semiHidden/>
    <w:unhideWhenUsed/>
    <w:rsid w:val="009075ED"/>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9075ED"/>
    <w:rPr>
      <w:rFonts w:ascii="Times New Roman" w:eastAsiaTheme="minorEastAsia" w:hAnsi="Times New Roman" w:cs="Arial"/>
      <w:b/>
      <w:bCs/>
      <w:sz w:val="20"/>
      <w:szCs w:val="20"/>
      <w:lang w:eastAsia="pl-PL"/>
    </w:rPr>
  </w:style>
  <w:style w:type="character" w:customStyle="1" w:styleId="articletitle">
    <w:name w:val="articletitle"/>
    <w:basedOn w:val="Domylnaczcionkaakapitu"/>
    <w:rsid w:val="009075ED"/>
  </w:style>
  <w:style w:type="character" w:customStyle="1" w:styleId="highlight">
    <w:name w:val="highlight"/>
    <w:basedOn w:val="Domylnaczcionkaakapitu"/>
    <w:rsid w:val="00932214"/>
  </w:style>
  <w:style w:type="character" w:styleId="Hipercze">
    <w:name w:val="Hyperlink"/>
    <w:uiPriority w:val="99"/>
    <w:unhideWhenUsed/>
    <w:rsid w:val="003E563A"/>
    <w:rPr>
      <w:color w:val="0000FF"/>
      <w:u w:val="single"/>
    </w:rPr>
  </w:style>
  <w:style w:type="paragraph" w:styleId="NormalnyWeb">
    <w:name w:val="Normal (Web)"/>
    <w:basedOn w:val="Normalny"/>
    <w:uiPriority w:val="99"/>
    <w:semiHidden/>
    <w:unhideWhenUsed/>
    <w:rsid w:val="00EB778B"/>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uiPriority w:val="20"/>
    <w:qFormat/>
    <w:rsid w:val="00EB778B"/>
    <w:rPr>
      <w:i/>
      <w:iCs/>
    </w:rPr>
  </w:style>
  <w:style w:type="character" w:styleId="Pogrubienie">
    <w:name w:val="Strong"/>
    <w:basedOn w:val="Domylnaczcionkaakapitu"/>
    <w:uiPriority w:val="22"/>
    <w:qFormat/>
    <w:rsid w:val="00EB778B"/>
    <w:rPr>
      <w:b/>
      <w:bCs/>
    </w:rPr>
  </w:style>
  <w:style w:type="character" w:styleId="Nierozpoznanawzmianka">
    <w:name w:val="Unresolved Mention"/>
    <w:basedOn w:val="Domylnaczcionkaakapitu"/>
    <w:uiPriority w:val="99"/>
    <w:semiHidden/>
    <w:unhideWhenUsed/>
    <w:rsid w:val="005F2C58"/>
    <w:rPr>
      <w:color w:val="605E5C"/>
      <w:shd w:val="clear" w:color="auto" w:fill="E1DFDD"/>
    </w:rPr>
  </w:style>
  <w:style w:type="paragraph" w:styleId="Poprawka">
    <w:name w:val="Revision"/>
    <w:hidden/>
    <w:uiPriority w:val="99"/>
    <w:semiHidden/>
    <w:rsid w:val="00715112"/>
    <w:pPr>
      <w:spacing w:after="0" w:line="240" w:lineRule="auto"/>
    </w:pPr>
    <w:rPr>
      <w:rFonts w:ascii="Times New Roman" w:eastAsiaTheme="minorEastAsia" w:hAnsi="Times New Roman" w:cs="Arial"/>
      <w:sz w:val="24"/>
      <w:szCs w:val="20"/>
      <w:lang w:eastAsia="pl-PL"/>
    </w:rPr>
  </w:style>
  <w:style w:type="paragraph" w:styleId="Nagwek">
    <w:name w:val="header"/>
    <w:basedOn w:val="Normalny"/>
    <w:link w:val="NagwekZnak"/>
    <w:uiPriority w:val="99"/>
    <w:unhideWhenUsed/>
    <w:rsid w:val="00146DD9"/>
    <w:pPr>
      <w:tabs>
        <w:tab w:val="center" w:pos="4536"/>
        <w:tab w:val="right" w:pos="9072"/>
      </w:tabs>
      <w:spacing w:line="240" w:lineRule="auto"/>
    </w:pPr>
  </w:style>
  <w:style w:type="character" w:customStyle="1" w:styleId="NagwekZnak">
    <w:name w:val="Nagłówek Znak"/>
    <w:basedOn w:val="Domylnaczcionkaakapitu"/>
    <w:link w:val="Nagwek"/>
    <w:uiPriority w:val="99"/>
    <w:rsid w:val="00146DD9"/>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146DD9"/>
    <w:pPr>
      <w:tabs>
        <w:tab w:val="center" w:pos="4536"/>
        <w:tab w:val="right" w:pos="9072"/>
      </w:tabs>
      <w:spacing w:line="240" w:lineRule="auto"/>
    </w:pPr>
  </w:style>
  <w:style w:type="character" w:customStyle="1" w:styleId="StopkaZnak">
    <w:name w:val="Stopka Znak"/>
    <w:basedOn w:val="Domylnaczcionkaakapitu"/>
    <w:link w:val="Stopka"/>
    <w:uiPriority w:val="99"/>
    <w:rsid w:val="00146DD9"/>
    <w:rPr>
      <w:rFonts w:ascii="Times New Roman" w:eastAsiaTheme="minorEastAsia" w:hAnsi="Times New Roman" w:cs="Arial"/>
      <w:sz w:val="24"/>
      <w:szCs w:val="20"/>
      <w:lang w:eastAsia="pl-PL"/>
    </w:rPr>
  </w:style>
  <w:style w:type="paragraph" w:customStyle="1" w:styleId="oj-normal">
    <w:name w:val="oj-normal"/>
    <w:basedOn w:val="Normalny"/>
    <w:rsid w:val="00B22A2D"/>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oj-sub">
    <w:name w:val="oj-sub"/>
    <w:basedOn w:val="Domylnaczcionkaakapitu"/>
    <w:rsid w:val="00B2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0543">
      <w:bodyDiv w:val="1"/>
      <w:marLeft w:val="0"/>
      <w:marRight w:val="0"/>
      <w:marTop w:val="0"/>
      <w:marBottom w:val="0"/>
      <w:divBdr>
        <w:top w:val="none" w:sz="0" w:space="0" w:color="auto"/>
        <w:left w:val="none" w:sz="0" w:space="0" w:color="auto"/>
        <w:bottom w:val="none" w:sz="0" w:space="0" w:color="auto"/>
        <w:right w:val="none" w:sz="0" w:space="0" w:color="auto"/>
      </w:divBdr>
    </w:div>
    <w:div w:id="406344578">
      <w:bodyDiv w:val="1"/>
      <w:marLeft w:val="0"/>
      <w:marRight w:val="0"/>
      <w:marTop w:val="0"/>
      <w:marBottom w:val="0"/>
      <w:divBdr>
        <w:top w:val="none" w:sz="0" w:space="0" w:color="auto"/>
        <w:left w:val="none" w:sz="0" w:space="0" w:color="auto"/>
        <w:bottom w:val="none" w:sz="0" w:space="0" w:color="auto"/>
        <w:right w:val="none" w:sz="0" w:space="0" w:color="auto"/>
      </w:divBdr>
      <w:divsChild>
        <w:div w:id="1765880229">
          <w:marLeft w:val="0"/>
          <w:marRight w:val="0"/>
          <w:marTop w:val="0"/>
          <w:marBottom w:val="0"/>
          <w:divBdr>
            <w:top w:val="none" w:sz="0" w:space="0" w:color="auto"/>
            <w:left w:val="none" w:sz="0" w:space="0" w:color="auto"/>
            <w:bottom w:val="none" w:sz="0" w:space="0" w:color="auto"/>
            <w:right w:val="none" w:sz="0" w:space="0" w:color="auto"/>
          </w:divBdr>
        </w:div>
      </w:divsChild>
    </w:div>
    <w:div w:id="438572776">
      <w:bodyDiv w:val="1"/>
      <w:marLeft w:val="0"/>
      <w:marRight w:val="0"/>
      <w:marTop w:val="0"/>
      <w:marBottom w:val="0"/>
      <w:divBdr>
        <w:top w:val="none" w:sz="0" w:space="0" w:color="auto"/>
        <w:left w:val="none" w:sz="0" w:space="0" w:color="auto"/>
        <w:bottom w:val="none" w:sz="0" w:space="0" w:color="auto"/>
        <w:right w:val="none" w:sz="0" w:space="0" w:color="auto"/>
      </w:divBdr>
      <w:divsChild>
        <w:div w:id="787553680">
          <w:marLeft w:val="0"/>
          <w:marRight w:val="0"/>
          <w:marTop w:val="0"/>
          <w:marBottom w:val="0"/>
          <w:divBdr>
            <w:top w:val="none" w:sz="0" w:space="0" w:color="auto"/>
            <w:left w:val="none" w:sz="0" w:space="0" w:color="auto"/>
            <w:bottom w:val="none" w:sz="0" w:space="0" w:color="auto"/>
            <w:right w:val="none" w:sz="0" w:space="0" w:color="auto"/>
          </w:divBdr>
          <w:divsChild>
            <w:div w:id="1025062563">
              <w:marLeft w:val="0"/>
              <w:marRight w:val="0"/>
              <w:marTop w:val="0"/>
              <w:marBottom w:val="0"/>
              <w:divBdr>
                <w:top w:val="none" w:sz="0" w:space="0" w:color="auto"/>
                <w:left w:val="none" w:sz="0" w:space="0" w:color="auto"/>
                <w:bottom w:val="none" w:sz="0" w:space="0" w:color="auto"/>
                <w:right w:val="none" w:sz="0" w:space="0" w:color="auto"/>
              </w:divBdr>
              <w:divsChild>
                <w:div w:id="1364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448">
          <w:marLeft w:val="0"/>
          <w:marRight w:val="0"/>
          <w:marTop w:val="0"/>
          <w:marBottom w:val="0"/>
          <w:divBdr>
            <w:top w:val="none" w:sz="0" w:space="0" w:color="auto"/>
            <w:left w:val="none" w:sz="0" w:space="0" w:color="auto"/>
            <w:bottom w:val="none" w:sz="0" w:space="0" w:color="auto"/>
            <w:right w:val="none" w:sz="0" w:space="0" w:color="auto"/>
          </w:divBdr>
          <w:divsChild>
            <w:div w:id="2011331947">
              <w:marLeft w:val="0"/>
              <w:marRight w:val="0"/>
              <w:marTop w:val="0"/>
              <w:marBottom w:val="0"/>
              <w:divBdr>
                <w:top w:val="none" w:sz="0" w:space="0" w:color="auto"/>
                <w:left w:val="none" w:sz="0" w:space="0" w:color="auto"/>
                <w:bottom w:val="none" w:sz="0" w:space="0" w:color="auto"/>
                <w:right w:val="none" w:sz="0" w:space="0" w:color="auto"/>
              </w:divBdr>
              <w:divsChild>
                <w:div w:id="9066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56482">
      <w:bodyDiv w:val="1"/>
      <w:marLeft w:val="0"/>
      <w:marRight w:val="0"/>
      <w:marTop w:val="0"/>
      <w:marBottom w:val="0"/>
      <w:divBdr>
        <w:top w:val="none" w:sz="0" w:space="0" w:color="auto"/>
        <w:left w:val="none" w:sz="0" w:space="0" w:color="auto"/>
        <w:bottom w:val="none" w:sz="0" w:space="0" w:color="auto"/>
        <w:right w:val="none" w:sz="0" w:space="0" w:color="auto"/>
      </w:divBdr>
      <w:divsChild>
        <w:div w:id="1603338933">
          <w:marLeft w:val="0"/>
          <w:marRight w:val="0"/>
          <w:marTop w:val="0"/>
          <w:marBottom w:val="0"/>
          <w:divBdr>
            <w:top w:val="none" w:sz="0" w:space="0" w:color="auto"/>
            <w:left w:val="none" w:sz="0" w:space="0" w:color="auto"/>
            <w:bottom w:val="none" w:sz="0" w:space="0" w:color="auto"/>
            <w:right w:val="none" w:sz="0" w:space="0" w:color="auto"/>
          </w:divBdr>
        </w:div>
        <w:div w:id="835220038">
          <w:marLeft w:val="0"/>
          <w:marRight w:val="0"/>
          <w:marTop w:val="0"/>
          <w:marBottom w:val="0"/>
          <w:divBdr>
            <w:top w:val="none" w:sz="0" w:space="0" w:color="auto"/>
            <w:left w:val="none" w:sz="0" w:space="0" w:color="auto"/>
            <w:bottom w:val="none" w:sz="0" w:space="0" w:color="auto"/>
            <w:right w:val="none" w:sz="0" w:space="0" w:color="auto"/>
          </w:divBdr>
          <w:divsChild>
            <w:div w:id="1394231396">
              <w:marLeft w:val="0"/>
              <w:marRight w:val="0"/>
              <w:marTop w:val="0"/>
              <w:marBottom w:val="0"/>
              <w:divBdr>
                <w:top w:val="none" w:sz="0" w:space="0" w:color="auto"/>
                <w:left w:val="none" w:sz="0" w:space="0" w:color="auto"/>
                <w:bottom w:val="none" w:sz="0" w:space="0" w:color="auto"/>
                <w:right w:val="none" w:sz="0" w:space="0" w:color="auto"/>
              </w:divBdr>
            </w:div>
          </w:divsChild>
        </w:div>
        <w:div w:id="101075635">
          <w:marLeft w:val="0"/>
          <w:marRight w:val="0"/>
          <w:marTop w:val="0"/>
          <w:marBottom w:val="0"/>
          <w:divBdr>
            <w:top w:val="none" w:sz="0" w:space="0" w:color="auto"/>
            <w:left w:val="none" w:sz="0" w:space="0" w:color="auto"/>
            <w:bottom w:val="none" w:sz="0" w:space="0" w:color="auto"/>
            <w:right w:val="none" w:sz="0" w:space="0" w:color="auto"/>
          </w:divBdr>
          <w:divsChild>
            <w:div w:id="49499975">
              <w:marLeft w:val="0"/>
              <w:marRight w:val="0"/>
              <w:marTop w:val="0"/>
              <w:marBottom w:val="0"/>
              <w:divBdr>
                <w:top w:val="none" w:sz="0" w:space="0" w:color="auto"/>
                <w:left w:val="none" w:sz="0" w:space="0" w:color="auto"/>
                <w:bottom w:val="none" w:sz="0" w:space="0" w:color="auto"/>
                <w:right w:val="none" w:sz="0" w:space="0" w:color="auto"/>
              </w:divBdr>
            </w:div>
          </w:divsChild>
        </w:div>
        <w:div w:id="836118267">
          <w:marLeft w:val="0"/>
          <w:marRight w:val="0"/>
          <w:marTop w:val="0"/>
          <w:marBottom w:val="0"/>
          <w:divBdr>
            <w:top w:val="none" w:sz="0" w:space="0" w:color="auto"/>
            <w:left w:val="none" w:sz="0" w:space="0" w:color="auto"/>
            <w:bottom w:val="none" w:sz="0" w:space="0" w:color="auto"/>
            <w:right w:val="none" w:sz="0" w:space="0" w:color="auto"/>
          </w:divBdr>
          <w:divsChild>
            <w:div w:id="1246961403">
              <w:marLeft w:val="0"/>
              <w:marRight w:val="0"/>
              <w:marTop w:val="0"/>
              <w:marBottom w:val="0"/>
              <w:divBdr>
                <w:top w:val="none" w:sz="0" w:space="0" w:color="auto"/>
                <w:left w:val="none" w:sz="0" w:space="0" w:color="auto"/>
                <w:bottom w:val="none" w:sz="0" w:space="0" w:color="auto"/>
                <w:right w:val="none" w:sz="0" w:space="0" w:color="auto"/>
              </w:divBdr>
            </w:div>
            <w:div w:id="707029454">
              <w:marLeft w:val="0"/>
              <w:marRight w:val="0"/>
              <w:marTop w:val="0"/>
              <w:marBottom w:val="0"/>
              <w:divBdr>
                <w:top w:val="none" w:sz="0" w:space="0" w:color="auto"/>
                <w:left w:val="none" w:sz="0" w:space="0" w:color="auto"/>
                <w:bottom w:val="none" w:sz="0" w:space="0" w:color="auto"/>
                <w:right w:val="none" w:sz="0" w:space="0" w:color="auto"/>
              </w:divBdr>
              <w:divsChild>
                <w:div w:id="509878732">
                  <w:marLeft w:val="0"/>
                  <w:marRight w:val="0"/>
                  <w:marTop w:val="0"/>
                  <w:marBottom w:val="0"/>
                  <w:divBdr>
                    <w:top w:val="none" w:sz="0" w:space="0" w:color="auto"/>
                    <w:left w:val="none" w:sz="0" w:space="0" w:color="auto"/>
                    <w:bottom w:val="none" w:sz="0" w:space="0" w:color="auto"/>
                    <w:right w:val="none" w:sz="0" w:space="0" w:color="auto"/>
                  </w:divBdr>
                  <w:divsChild>
                    <w:div w:id="1947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139">
              <w:marLeft w:val="0"/>
              <w:marRight w:val="0"/>
              <w:marTop w:val="0"/>
              <w:marBottom w:val="0"/>
              <w:divBdr>
                <w:top w:val="none" w:sz="0" w:space="0" w:color="auto"/>
                <w:left w:val="none" w:sz="0" w:space="0" w:color="auto"/>
                <w:bottom w:val="none" w:sz="0" w:space="0" w:color="auto"/>
                <w:right w:val="none" w:sz="0" w:space="0" w:color="auto"/>
              </w:divBdr>
              <w:divsChild>
                <w:div w:id="685257562">
                  <w:marLeft w:val="0"/>
                  <w:marRight w:val="0"/>
                  <w:marTop w:val="0"/>
                  <w:marBottom w:val="0"/>
                  <w:divBdr>
                    <w:top w:val="none" w:sz="0" w:space="0" w:color="auto"/>
                    <w:left w:val="none" w:sz="0" w:space="0" w:color="auto"/>
                    <w:bottom w:val="none" w:sz="0" w:space="0" w:color="auto"/>
                    <w:right w:val="none" w:sz="0" w:space="0" w:color="auto"/>
                  </w:divBdr>
                  <w:divsChild>
                    <w:div w:id="8127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55">
              <w:marLeft w:val="0"/>
              <w:marRight w:val="0"/>
              <w:marTop w:val="0"/>
              <w:marBottom w:val="0"/>
              <w:divBdr>
                <w:top w:val="none" w:sz="0" w:space="0" w:color="auto"/>
                <w:left w:val="none" w:sz="0" w:space="0" w:color="auto"/>
                <w:bottom w:val="none" w:sz="0" w:space="0" w:color="auto"/>
                <w:right w:val="none" w:sz="0" w:space="0" w:color="auto"/>
              </w:divBdr>
              <w:divsChild>
                <w:div w:id="793599316">
                  <w:marLeft w:val="0"/>
                  <w:marRight w:val="0"/>
                  <w:marTop w:val="0"/>
                  <w:marBottom w:val="0"/>
                  <w:divBdr>
                    <w:top w:val="none" w:sz="0" w:space="0" w:color="auto"/>
                    <w:left w:val="none" w:sz="0" w:space="0" w:color="auto"/>
                    <w:bottom w:val="none" w:sz="0" w:space="0" w:color="auto"/>
                    <w:right w:val="none" w:sz="0" w:space="0" w:color="auto"/>
                  </w:divBdr>
                  <w:divsChild>
                    <w:div w:id="843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5089">
              <w:marLeft w:val="0"/>
              <w:marRight w:val="0"/>
              <w:marTop w:val="0"/>
              <w:marBottom w:val="0"/>
              <w:divBdr>
                <w:top w:val="none" w:sz="0" w:space="0" w:color="auto"/>
                <w:left w:val="none" w:sz="0" w:space="0" w:color="auto"/>
                <w:bottom w:val="none" w:sz="0" w:space="0" w:color="auto"/>
                <w:right w:val="none" w:sz="0" w:space="0" w:color="auto"/>
              </w:divBdr>
              <w:divsChild>
                <w:div w:id="476727307">
                  <w:marLeft w:val="0"/>
                  <w:marRight w:val="0"/>
                  <w:marTop w:val="0"/>
                  <w:marBottom w:val="0"/>
                  <w:divBdr>
                    <w:top w:val="none" w:sz="0" w:space="0" w:color="auto"/>
                    <w:left w:val="none" w:sz="0" w:space="0" w:color="auto"/>
                    <w:bottom w:val="none" w:sz="0" w:space="0" w:color="auto"/>
                    <w:right w:val="none" w:sz="0" w:space="0" w:color="auto"/>
                  </w:divBdr>
                  <w:divsChild>
                    <w:div w:id="1014959899">
                      <w:marLeft w:val="0"/>
                      <w:marRight w:val="0"/>
                      <w:marTop w:val="0"/>
                      <w:marBottom w:val="0"/>
                      <w:divBdr>
                        <w:top w:val="none" w:sz="0" w:space="0" w:color="auto"/>
                        <w:left w:val="none" w:sz="0" w:space="0" w:color="auto"/>
                        <w:bottom w:val="none" w:sz="0" w:space="0" w:color="auto"/>
                        <w:right w:val="none" w:sz="0" w:space="0" w:color="auto"/>
                      </w:divBdr>
                    </w:div>
                    <w:div w:id="1880241137">
                      <w:marLeft w:val="0"/>
                      <w:marRight w:val="0"/>
                      <w:marTop w:val="0"/>
                      <w:marBottom w:val="0"/>
                      <w:divBdr>
                        <w:top w:val="none" w:sz="0" w:space="0" w:color="auto"/>
                        <w:left w:val="none" w:sz="0" w:space="0" w:color="auto"/>
                        <w:bottom w:val="none" w:sz="0" w:space="0" w:color="auto"/>
                        <w:right w:val="none" w:sz="0" w:space="0" w:color="auto"/>
                      </w:divBdr>
                      <w:divsChild>
                        <w:div w:id="493379343">
                          <w:marLeft w:val="0"/>
                          <w:marRight w:val="0"/>
                          <w:marTop w:val="0"/>
                          <w:marBottom w:val="0"/>
                          <w:divBdr>
                            <w:top w:val="none" w:sz="0" w:space="0" w:color="auto"/>
                            <w:left w:val="none" w:sz="0" w:space="0" w:color="auto"/>
                            <w:bottom w:val="none" w:sz="0" w:space="0" w:color="auto"/>
                            <w:right w:val="none" w:sz="0" w:space="0" w:color="auto"/>
                          </w:divBdr>
                        </w:div>
                      </w:divsChild>
                    </w:div>
                    <w:div w:id="833112567">
                      <w:marLeft w:val="0"/>
                      <w:marRight w:val="0"/>
                      <w:marTop w:val="0"/>
                      <w:marBottom w:val="0"/>
                      <w:divBdr>
                        <w:top w:val="none" w:sz="0" w:space="0" w:color="auto"/>
                        <w:left w:val="none" w:sz="0" w:space="0" w:color="auto"/>
                        <w:bottom w:val="none" w:sz="0" w:space="0" w:color="auto"/>
                        <w:right w:val="none" w:sz="0" w:space="0" w:color="auto"/>
                      </w:divBdr>
                      <w:divsChild>
                        <w:div w:id="1250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064">
          <w:marLeft w:val="0"/>
          <w:marRight w:val="0"/>
          <w:marTop w:val="0"/>
          <w:marBottom w:val="0"/>
          <w:divBdr>
            <w:top w:val="none" w:sz="0" w:space="0" w:color="auto"/>
            <w:left w:val="none" w:sz="0" w:space="0" w:color="auto"/>
            <w:bottom w:val="none" w:sz="0" w:space="0" w:color="auto"/>
            <w:right w:val="none" w:sz="0" w:space="0" w:color="auto"/>
          </w:divBdr>
          <w:divsChild>
            <w:div w:id="24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6824">
      <w:bodyDiv w:val="1"/>
      <w:marLeft w:val="0"/>
      <w:marRight w:val="0"/>
      <w:marTop w:val="0"/>
      <w:marBottom w:val="0"/>
      <w:divBdr>
        <w:top w:val="none" w:sz="0" w:space="0" w:color="auto"/>
        <w:left w:val="none" w:sz="0" w:space="0" w:color="auto"/>
        <w:bottom w:val="none" w:sz="0" w:space="0" w:color="auto"/>
        <w:right w:val="none" w:sz="0" w:space="0" w:color="auto"/>
      </w:divBdr>
    </w:div>
    <w:div w:id="768163975">
      <w:bodyDiv w:val="1"/>
      <w:marLeft w:val="0"/>
      <w:marRight w:val="0"/>
      <w:marTop w:val="0"/>
      <w:marBottom w:val="0"/>
      <w:divBdr>
        <w:top w:val="none" w:sz="0" w:space="0" w:color="auto"/>
        <w:left w:val="none" w:sz="0" w:space="0" w:color="auto"/>
        <w:bottom w:val="none" w:sz="0" w:space="0" w:color="auto"/>
        <w:right w:val="none" w:sz="0" w:space="0" w:color="auto"/>
      </w:divBdr>
    </w:div>
    <w:div w:id="1246957167">
      <w:bodyDiv w:val="1"/>
      <w:marLeft w:val="0"/>
      <w:marRight w:val="0"/>
      <w:marTop w:val="0"/>
      <w:marBottom w:val="0"/>
      <w:divBdr>
        <w:top w:val="none" w:sz="0" w:space="0" w:color="auto"/>
        <w:left w:val="none" w:sz="0" w:space="0" w:color="auto"/>
        <w:bottom w:val="none" w:sz="0" w:space="0" w:color="auto"/>
        <w:right w:val="none" w:sz="0" w:space="0" w:color="auto"/>
      </w:divBdr>
    </w:div>
    <w:div w:id="1497725606">
      <w:bodyDiv w:val="1"/>
      <w:marLeft w:val="0"/>
      <w:marRight w:val="0"/>
      <w:marTop w:val="0"/>
      <w:marBottom w:val="0"/>
      <w:divBdr>
        <w:top w:val="none" w:sz="0" w:space="0" w:color="auto"/>
        <w:left w:val="none" w:sz="0" w:space="0" w:color="auto"/>
        <w:bottom w:val="none" w:sz="0" w:space="0" w:color="auto"/>
        <w:right w:val="none" w:sz="0" w:space="0" w:color="auto"/>
      </w:divBdr>
      <w:divsChild>
        <w:div w:id="1409157956">
          <w:marLeft w:val="0"/>
          <w:marRight w:val="0"/>
          <w:marTop w:val="0"/>
          <w:marBottom w:val="0"/>
          <w:divBdr>
            <w:top w:val="none" w:sz="0" w:space="0" w:color="auto"/>
            <w:left w:val="none" w:sz="0" w:space="0" w:color="auto"/>
            <w:bottom w:val="none" w:sz="0" w:space="0" w:color="auto"/>
            <w:right w:val="none" w:sz="0" w:space="0" w:color="auto"/>
          </w:divBdr>
          <w:divsChild>
            <w:div w:id="2071726636">
              <w:marLeft w:val="0"/>
              <w:marRight w:val="0"/>
              <w:marTop w:val="0"/>
              <w:marBottom w:val="0"/>
              <w:divBdr>
                <w:top w:val="none" w:sz="0" w:space="0" w:color="auto"/>
                <w:left w:val="none" w:sz="0" w:space="0" w:color="auto"/>
                <w:bottom w:val="none" w:sz="0" w:space="0" w:color="auto"/>
                <w:right w:val="none" w:sz="0" w:space="0" w:color="auto"/>
              </w:divBdr>
              <w:divsChild>
                <w:div w:id="6741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932">
          <w:marLeft w:val="0"/>
          <w:marRight w:val="0"/>
          <w:marTop w:val="0"/>
          <w:marBottom w:val="0"/>
          <w:divBdr>
            <w:top w:val="none" w:sz="0" w:space="0" w:color="auto"/>
            <w:left w:val="none" w:sz="0" w:space="0" w:color="auto"/>
            <w:bottom w:val="none" w:sz="0" w:space="0" w:color="auto"/>
            <w:right w:val="none" w:sz="0" w:space="0" w:color="auto"/>
          </w:divBdr>
          <w:divsChild>
            <w:div w:id="496116709">
              <w:marLeft w:val="0"/>
              <w:marRight w:val="0"/>
              <w:marTop w:val="0"/>
              <w:marBottom w:val="0"/>
              <w:divBdr>
                <w:top w:val="none" w:sz="0" w:space="0" w:color="auto"/>
                <w:left w:val="none" w:sz="0" w:space="0" w:color="auto"/>
                <w:bottom w:val="none" w:sz="0" w:space="0" w:color="auto"/>
                <w:right w:val="none" w:sz="0" w:space="0" w:color="auto"/>
              </w:divBdr>
              <w:divsChild>
                <w:div w:id="8627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4677">
      <w:bodyDiv w:val="1"/>
      <w:marLeft w:val="0"/>
      <w:marRight w:val="0"/>
      <w:marTop w:val="0"/>
      <w:marBottom w:val="0"/>
      <w:divBdr>
        <w:top w:val="none" w:sz="0" w:space="0" w:color="auto"/>
        <w:left w:val="none" w:sz="0" w:space="0" w:color="auto"/>
        <w:bottom w:val="none" w:sz="0" w:space="0" w:color="auto"/>
        <w:right w:val="none" w:sz="0" w:space="0" w:color="auto"/>
      </w:divBdr>
      <w:divsChild>
        <w:div w:id="1379671921">
          <w:marLeft w:val="0"/>
          <w:marRight w:val="0"/>
          <w:marTop w:val="0"/>
          <w:marBottom w:val="0"/>
          <w:divBdr>
            <w:top w:val="none" w:sz="0" w:space="0" w:color="auto"/>
            <w:left w:val="none" w:sz="0" w:space="0" w:color="auto"/>
            <w:bottom w:val="none" w:sz="0" w:space="0" w:color="auto"/>
            <w:right w:val="none" w:sz="0" w:space="0" w:color="auto"/>
          </w:divBdr>
        </w:div>
        <w:div w:id="1793665138">
          <w:marLeft w:val="0"/>
          <w:marRight w:val="0"/>
          <w:marTop w:val="0"/>
          <w:marBottom w:val="0"/>
          <w:divBdr>
            <w:top w:val="none" w:sz="0" w:space="0" w:color="auto"/>
            <w:left w:val="none" w:sz="0" w:space="0" w:color="auto"/>
            <w:bottom w:val="none" w:sz="0" w:space="0" w:color="auto"/>
            <w:right w:val="none" w:sz="0" w:space="0" w:color="auto"/>
          </w:divBdr>
          <w:divsChild>
            <w:div w:id="1064992366">
              <w:marLeft w:val="0"/>
              <w:marRight w:val="0"/>
              <w:marTop w:val="0"/>
              <w:marBottom w:val="0"/>
              <w:divBdr>
                <w:top w:val="none" w:sz="0" w:space="0" w:color="auto"/>
                <w:left w:val="none" w:sz="0" w:space="0" w:color="auto"/>
                <w:bottom w:val="none" w:sz="0" w:space="0" w:color="auto"/>
                <w:right w:val="none" w:sz="0" w:space="0" w:color="auto"/>
              </w:divBdr>
            </w:div>
          </w:divsChild>
        </w:div>
        <w:div w:id="126246011">
          <w:marLeft w:val="0"/>
          <w:marRight w:val="0"/>
          <w:marTop w:val="0"/>
          <w:marBottom w:val="0"/>
          <w:divBdr>
            <w:top w:val="none" w:sz="0" w:space="0" w:color="auto"/>
            <w:left w:val="none" w:sz="0" w:space="0" w:color="auto"/>
            <w:bottom w:val="none" w:sz="0" w:space="0" w:color="auto"/>
            <w:right w:val="none" w:sz="0" w:space="0" w:color="auto"/>
          </w:divBdr>
          <w:divsChild>
            <w:div w:id="817570528">
              <w:marLeft w:val="0"/>
              <w:marRight w:val="0"/>
              <w:marTop w:val="0"/>
              <w:marBottom w:val="0"/>
              <w:divBdr>
                <w:top w:val="none" w:sz="0" w:space="0" w:color="auto"/>
                <w:left w:val="none" w:sz="0" w:space="0" w:color="auto"/>
                <w:bottom w:val="none" w:sz="0" w:space="0" w:color="auto"/>
                <w:right w:val="none" w:sz="0" w:space="0" w:color="auto"/>
              </w:divBdr>
            </w:div>
          </w:divsChild>
        </w:div>
        <w:div w:id="1771272413">
          <w:marLeft w:val="0"/>
          <w:marRight w:val="0"/>
          <w:marTop w:val="0"/>
          <w:marBottom w:val="0"/>
          <w:divBdr>
            <w:top w:val="none" w:sz="0" w:space="0" w:color="auto"/>
            <w:left w:val="none" w:sz="0" w:space="0" w:color="auto"/>
            <w:bottom w:val="none" w:sz="0" w:space="0" w:color="auto"/>
            <w:right w:val="none" w:sz="0" w:space="0" w:color="auto"/>
          </w:divBdr>
          <w:divsChild>
            <w:div w:id="207298237">
              <w:marLeft w:val="0"/>
              <w:marRight w:val="0"/>
              <w:marTop w:val="0"/>
              <w:marBottom w:val="0"/>
              <w:divBdr>
                <w:top w:val="none" w:sz="0" w:space="0" w:color="auto"/>
                <w:left w:val="none" w:sz="0" w:space="0" w:color="auto"/>
                <w:bottom w:val="none" w:sz="0" w:space="0" w:color="auto"/>
                <w:right w:val="none" w:sz="0" w:space="0" w:color="auto"/>
              </w:divBdr>
            </w:div>
            <w:div w:id="374815256">
              <w:marLeft w:val="0"/>
              <w:marRight w:val="0"/>
              <w:marTop w:val="0"/>
              <w:marBottom w:val="0"/>
              <w:divBdr>
                <w:top w:val="none" w:sz="0" w:space="0" w:color="auto"/>
                <w:left w:val="none" w:sz="0" w:space="0" w:color="auto"/>
                <w:bottom w:val="none" w:sz="0" w:space="0" w:color="auto"/>
                <w:right w:val="none" w:sz="0" w:space="0" w:color="auto"/>
              </w:divBdr>
              <w:divsChild>
                <w:div w:id="1796677851">
                  <w:marLeft w:val="0"/>
                  <w:marRight w:val="0"/>
                  <w:marTop w:val="0"/>
                  <w:marBottom w:val="0"/>
                  <w:divBdr>
                    <w:top w:val="none" w:sz="0" w:space="0" w:color="auto"/>
                    <w:left w:val="none" w:sz="0" w:space="0" w:color="auto"/>
                    <w:bottom w:val="none" w:sz="0" w:space="0" w:color="auto"/>
                    <w:right w:val="none" w:sz="0" w:space="0" w:color="auto"/>
                  </w:divBdr>
                  <w:divsChild>
                    <w:div w:id="10284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7499">
              <w:marLeft w:val="0"/>
              <w:marRight w:val="0"/>
              <w:marTop w:val="0"/>
              <w:marBottom w:val="0"/>
              <w:divBdr>
                <w:top w:val="none" w:sz="0" w:space="0" w:color="auto"/>
                <w:left w:val="none" w:sz="0" w:space="0" w:color="auto"/>
                <w:bottom w:val="none" w:sz="0" w:space="0" w:color="auto"/>
                <w:right w:val="none" w:sz="0" w:space="0" w:color="auto"/>
              </w:divBdr>
              <w:divsChild>
                <w:div w:id="1514102072">
                  <w:marLeft w:val="0"/>
                  <w:marRight w:val="0"/>
                  <w:marTop w:val="0"/>
                  <w:marBottom w:val="0"/>
                  <w:divBdr>
                    <w:top w:val="none" w:sz="0" w:space="0" w:color="auto"/>
                    <w:left w:val="none" w:sz="0" w:space="0" w:color="auto"/>
                    <w:bottom w:val="none" w:sz="0" w:space="0" w:color="auto"/>
                    <w:right w:val="none" w:sz="0" w:space="0" w:color="auto"/>
                  </w:divBdr>
                  <w:divsChild>
                    <w:div w:id="915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567">
              <w:marLeft w:val="0"/>
              <w:marRight w:val="0"/>
              <w:marTop w:val="0"/>
              <w:marBottom w:val="0"/>
              <w:divBdr>
                <w:top w:val="none" w:sz="0" w:space="0" w:color="auto"/>
                <w:left w:val="none" w:sz="0" w:space="0" w:color="auto"/>
                <w:bottom w:val="none" w:sz="0" w:space="0" w:color="auto"/>
                <w:right w:val="none" w:sz="0" w:space="0" w:color="auto"/>
              </w:divBdr>
              <w:divsChild>
                <w:div w:id="431823349">
                  <w:marLeft w:val="0"/>
                  <w:marRight w:val="0"/>
                  <w:marTop w:val="0"/>
                  <w:marBottom w:val="0"/>
                  <w:divBdr>
                    <w:top w:val="none" w:sz="0" w:space="0" w:color="auto"/>
                    <w:left w:val="none" w:sz="0" w:space="0" w:color="auto"/>
                    <w:bottom w:val="none" w:sz="0" w:space="0" w:color="auto"/>
                    <w:right w:val="none" w:sz="0" w:space="0" w:color="auto"/>
                  </w:divBdr>
                  <w:divsChild>
                    <w:div w:id="9488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9433">
              <w:marLeft w:val="0"/>
              <w:marRight w:val="0"/>
              <w:marTop w:val="0"/>
              <w:marBottom w:val="0"/>
              <w:divBdr>
                <w:top w:val="none" w:sz="0" w:space="0" w:color="auto"/>
                <w:left w:val="none" w:sz="0" w:space="0" w:color="auto"/>
                <w:bottom w:val="none" w:sz="0" w:space="0" w:color="auto"/>
                <w:right w:val="none" w:sz="0" w:space="0" w:color="auto"/>
              </w:divBdr>
              <w:divsChild>
                <w:div w:id="1241596198">
                  <w:marLeft w:val="0"/>
                  <w:marRight w:val="0"/>
                  <w:marTop w:val="0"/>
                  <w:marBottom w:val="0"/>
                  <w:divBdr>
                    <w:top w:val="none" w:sz="0" w:space="0" w:color="auto"/>
                    <w:left w:val="none" w:sz="0" w:space="0" w:color="auto"/>
                    <w:bottom w:val="none" w:sz="0" w:space="0" w:color="auto"/>
                    <w:right w:val="none" w:sz="0" w:space="0" w:color="auto"/>
                  </w:divBdr>
                  <w:divsChild>
                    <w:div w:id="449711956">
                      <w:marLeft w:val="0"/>
                      <w:marRight w:val="0"/>
                      <w:marTop w:val="0"/>
                      <w:marBottom w:val="0"/>
                      <w:divBdr>
                        <w:top w:val="none" w:sz="0" w:space="0" w:color="auto"/>
                        <w:left w:val="none" w:sz="0" w:space="0" w:color="auto"/>
                        <w:bottom w:val="none" w:sz="0" w:space="0" w:color="auto"/>
                        <w:right w:val="none" w:sz="0" w:space="0" w:color="auto"/>
                      </w:divBdr>
                    </w:div>
                    <w:div w:id="1179001140">
                      <w:marLeft w:val="0"/>
                      <w:marRight w:val="0"/>
                      <w:marTop w:val="0"/>
                      <w:marBottom w:val="0"/>
                      <w:divBdr>
                        <w:top w:val="none" w:sz="0" w:space="0" w:color="auto"/>
                        <w:left w:val="none" w:sz="0" w:space="0" w:color="auto"/>
                        <w:bottom w:val="none" w:sz="0" w:space="0" w:color="auto"/>
                        <w:right w:val="none" w:sz="0" w:space="0" w:color="auto"/>
                      </w:divBdr>
                      <w:divsChild>
                        <w:div w:id="219100089">
                          <w:marLeft w:val="0"/>
                          <w:marRight w:val="0"/>
                          <w:marTop w:val="0"/>
                          <w:marBottom w:val="0"/>
                          <w:divBdr>
                            <w:top w:val="none" w:sz="0" w:space="0" w:color="auto"/>
                            <w:left w:val="none" w:sz="0" w:space="0" w:color="auto"/>
                            <w:bottom w:val="none" w:sz="0" w:space="0" w:color="auto"/>
                            <w:right w:val="none" w:sz="0" w:space="0" w:color="auto"/>
                          </w:divBdr>
                        </w:div>
                      </w:divsChild>
                    </w:div>
                    <w:div w:id="1165630458">
                      <w:marLeft w:val="0"/>
                      <w:marRight w:val="0"/>
                      <w:marTop w:val="0"/>
                      <w:marBottom w:val="0"/>
                      <w:divBdr>
                        <w:top w:val="none" w:sz="0" w:space="0" w:color="auto"/>
                        <w:left w:val="none" w:sz="0" w:space="0" w:color="auto"/>
                        <w:bottom w:val="none" w:sz="0" w:space="0" w:color="auto"/>
                        <w:right w:val="none" w:sz="0" w:space="0" w:color="auto"/>
                      </w:divBdr>
                      <w:divsChild>
                        <w:div w:id="1310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7383">
          <w:marLeft w:val="0"/>
          <w:marRight w:val="0"/>
          <w:marTop w:val="0"/>
          <w:marBottom w:val="0"/>
          <w:divBdr>
            <w:top w:val="none" w:sz="0" w:space="0" w:color="auto"/>
            <w:left w:val="none" w:sz="0" w:space="0" w:color="auto"/>
            <w:bottom w:val="none" w:sz="0" w:space="0" w:color="auto"/>
            <w:right w:val="none" w:sz="0" w:space="0" w:color="auto"/>
          </w:divBdr>
          <w:divsChild>
            <w:div w:id="17485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996">
      <w:bodyDiv w:val="1"/>
      <w:marLeft w:val="0"/>
      <w:marRight w:val="0"/>
      <w:marTop w:val="0"/>
      <w:marBottom w:val="0"/>
      <w:divBdr>
        <w:top w:val="none" w:sz="0" w:space="0" w:color="auto"/>
        <w:left w:val="none" w:sz="0" w:space="0" w:color="auto"/>
        <w:bottom w:val="none" w:sz="0" w:space="0" w:color="auto"/>
        <w:right w:val="none" w:sz="0" w:space="0" w:color="auto"/>
      </w:divBdr>
      <w:divsChild>
        <w:div w:id="1608998571">
          <w:marLeft w:val="0"/>
          <w:marRight w:val="0"/>
          <w:marTop w:val="0"/>
          <w:marBottom w:val="0"/>
          <w:divBdr>
            <w:top w:val="none" w:sz="0" w:space="0" w:color="auto"/>
            <w:left w:val="none" w:sz="0" w:space="0" w:color="auto"/>
            <w:bottom w:val="none" w:sz="0" w:space="0" w:color="auto"/>
            <w:right w:val="none" w:sz="0" w:space="0" w:color="auto"/>
          </w:divBdr>
        </w:div>
        <w:div w:id="626277554">
          <w:marLeft w:val="0"/>
          <w:marRight w:val="0"/>
          <w:marTop w:val="0"/>
          <w:marBottom w:val="0"/>
          <w:divBdr>
            <w:top w:val="none" w:sz="0" w:space="0" w:color="auto"/>
            <w:left w:val="none" w:sz="0" w:space="0" w:color="auto"/>
            <w:bottom w:val="none" w:sz="0" w:space="0" w:color="auto"/>
            <w:right w:val="none" w:sz="0" w:space="0" w:color="auto"/>
          </w:divBdr>
          <w:divsChild>
            <w:div w:id="1892382167">
              <w:marLeft w:val="0"/>
              <w:marRight w:val="0"/>
              <w:marTop w:val="0"/>
              <w:marBottom w:val="0"/>
              <w:divBdr>
                <w:top w:val="none" w:sz="0" w:space="0" w:color="auto"/>
                <w:left w:val="none" w:sz="0" w:space="0" w:color="auto"/>
                <w:bottom w:val="none" w:sz="0" w:space="0" w:color="auto"/>
                <w:right w:val="none" w:sz="0" w:space="0" w:color="auto"/>
              </w:divBdr>
            </w:div>
            <w:div w:id="60177533">
              <w:marLeft w:val="0"/>
              <w:marRight w:val="0"/>
              <w:marTop w:val="0"/>
              <w:marBottom w:val="0"/>
              <w:divBdr>
                <w:top w:val="none" w:sz="0" w:space="0" w:color="auto"/>
                <w:left w:val="none" w:sz="0" w:space="0" w:color="auto"/>
                <w:bottom w:val="none" w:sz="0" w:space="0" w:color="auto"/>
                <w:right w:val="none" w:sz="0" w:space="0" w:color="auto"/>
              </w:divBdr>
              <w:divsChild>
                <w:div w:id="1710299191">
                  <w:marLeft w:val="0"/>
                  <w:marRight w:val="0"/>
                  <w:marTop w:val="0"/>
                  <w:marBottom w:val="0"/>
                  <w:divBdr>
                    <w:top w:val="none" w:sz="0" w:space="0" w:color="auto"/>
                    <w:left w:val="none" w:sz="0" w:space="0" w:color="auto"/>
                    <w:bottom w:val="none" w:sz="0" w:space="0" w:color="auto"/>
                    <w:right w:val="none" w:sz="0" w:space="0" w:color="auto"/>
                  </w:divBdr>
                  <w:divsChild>
                    <w:div w:id="1988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009">
              <w:marLeft w:val="0"/>
              <w:marRight w:val="0"/>
              <w:marTop w:val="0"/>
              <w:marBottom w:val="0"/>
              <w:divBdr>
                <w:top w:val="none" w:sz="0" w:space="0" w:color="auto"/>
                <w:left w:val="none" w:sz="0" w:space="0" w:color="auto"/>
                <w:bottom w:val="none" w:sz="0" w:space="0" w:color="auto"/>
                <w:right w:val="none" w:sz="0" w:space="0" w:color="auto"/>
              </w:divBdr>
              <w:divsChild>
                <w:div w:id="623116581">
                  <w:marLeft w:val="0"/>
                  <w:marRight w:val="0"/>
                  <w:marTop w:val="0"/>
                  <w:marBottom w:val="0"/>
                  <w:divBdr>
                    <w:top w:val="none" w:sz="0" w:space="0" w:color="auto"/>
                    <w:left w:val="none" w:sz="0" w:space="0" w:color="auto"/>
                    <w:bottom w:val="none" w:sz="0" w:space="0" w:color="auto"/>
                    <w:right w:val="none" w:sz="0" w:space="0" w:color="auto"/>
                  </w:divBdr>
                  <w:divsChild>
                    <w:div w:id="511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70">
          <w:marLeft w:val="0"/>
          <w:marRight w:val="0"/>
          <w:marTop w:val="0"/>
          <w:marBottom w:val="0"/>
          <w:divBdr>
            <w:top w:val="none" w:sz="0" w:space="0" w:color="auto"/>
            <w:left w:val="none" w:sz="0" w:space="0" w:color="auto"/>
            <w:bottom w:val="none" w:sz="0" w:space="0" w:color="auto"/>
            <w:right w:val="none" w:sz="0" w:space="0" w:color="auto"/>
          </w:divBdr>
          <w:divsChild>
            <w:div w:id="497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128E-F36A-409A-8857-971D93DB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5996</Words>
  <Characters>35978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Tamecki Tomasz</dc:creator>
  <cp:keywords/>
  <dc:description/>
  <cp:lastModifiedBy>Bodych Dominika</cp:lastModifiedBy>
  <cp:revision>2</cp:revision>
  <dcterms:created xsi:type="dcterms:W3CDTF">2024-12-30T06:20:00Z</dcterms:created>
  <dcterms:modified xsi:type="dcterms:W3CDTF">2024-12-30T06:20:00Z</dcterms:modified>
</cp:coreProperties>
</file>