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529A8" w14:textId="77777777" w:rsidR="00E95DF1" w:rsidRPr="002D3E3B" w:rsidRDefault="00E95DF1" w:rsidP="002D3E3B">
      <w:pPr>
        <w:widowControl/>
        <w:autoSpaceDE/>
        <w:autoSpaceDN/>
        <w:adjustRightInd/>
        <w:spacing w:after="240"/>
        <w:jc w:val="center"/>
        <w:rPr>
          <w:rFonts w:eastAsia="Calibri"/>
          <w:bCs/>
          <w:spacing w:val="20"/>
          <w:lang w:eastAsia="en-US"/>
        </w:rPr>
      </w:pPr>
      <w:r w:rsidRPr="002D3E3B">
        <w:rPr>
          <w:rFonts w:eastAsia="Calibri"/>
          <w:bCs/>
          <w:spacing w:val="20"/>
          <w:lang w:eastAsia="en-US"/>
        </w:rPr>
        <w:t>UZASADNIENIE</w:t>
      </w:r>
    </w:p>
    <w:p w14:paraId="4CEBED38" w14:textId="5ED86E36" w:rsidR="00E95DF1" w:rsidRPr="00E95DF1" w:rsidRDefault="00E95DF1" w:rsidP="002D3E3B">
      <w:pPr>
        <w:widowControl/>
        <w:autoSpaceDE/>
        <w:autoSpaceDN/>
        <w:adjustRightInd/>
        <w:ind w:firstLine="426"/>
        <w:jc w:val="both"/>
        <w:rPr>
          <w:rFonts w:eastAsia="Calibri"/>
          <w:lang w:eastAsia="en-US"/>
        </w:rPr>
      </w:pPr>
      <w:r w:rsidRPr="00E95DF1">
        <w:rPr>
          <w:rFonts w:eastAsia="Calibri"/>
          <w:lang w:eastAsia="en-US"/>
        </w:rPr>
        <w:t xml:space="preserve">Projektowana nowelizacja </w:t>
      </w:r>
      <w:r w:rsidRPr="002663B8">
        <w:rPr>
          <w:rStyle w:val="Kkursywa"/>
          <w:rFonts w:eastAsia="Calibri"/>
          <w:i w:val="0"/>
          <w:iCs/>
        </w:rPr>
        <w:t>ustawy z dnia 19 lutego 1993 r. o znakach Sił Zbrojnych Rzeczypospolitej Polskiej</w:t>
      </w:r>
      <w:r w:rsidRPr="00463D9D">
        <w:rPr>
          <w:rStyle w:val="Kkursywa"/>
          <w:rFonts w:eastAsia="Calibri"/>
        </w:rPr>
        <w:t xml:space="preserve"> </w:t>
      </w:r>
      <w:r w:rsidRPr="00E95DF1">
        <w:rPr>
          <w:rFonts w:eastAsia="Calibri"/>
          <w:lang w:eastAsia="en-US"/>
        </w:rPr>
        <w:t>(Dz. U. z 2019 r. poz. 1351), zwanej dalej „ustawą”, przewiduje przywrócenie historycznego wzoru proporca marynarki wojennej – określonego Dekretem Prezydenta Rzeczypospolitej z dnia 24 listopada 1937 r. o znakach wojska i marynarki wojennej (Dz. U. z 1938 r. poz. 32), zwanego dalej „dekretem Prezydenta z 1937 r.”, oraz wprowadzenie znaku szachownicy lotniczej w wersji o niskiej widzialności. Pozostałe zmiany mają na celu uporządkowanie oraz doprecyzowanie dotychczas funkcjonujących regulacji.</w:t>
      </w:r>
      <w:r w:rsidR="00AA557E">
        <w:rPr>
          <w:rFonts w:eastAsia="Calibri"/>
          <w:lang w:eastAsia="en-US"/>
        </w:rPr>
        <w:t xml:space="preserve"> </w:t>
      </w:r>
    </w:p>
    <w:p w14:paraId="11F8595C" w14:textId="1C3A3123" w:rsidR="00E95DF1" w:rsidRPr="00E95DF1" w:rsidRDefault="00E95DF1" w:rsidP="002D3E3B">
      <w:pPr>
        <w:widowControl/>
        <w:autoSpaceDE/>
        <w:autoSpaceDN/>
        <w:adjustRightInd/>
        <w:ind w:firstLine="426"/>
        <w:jc w:val="both"/>
        <w:rPr>
          <w:rFonts w:eastAsia="Calibri"/>
          <w:lang w:eastAsia="en-US"/>
        </w:rPr>
      </w:pPr>
      <w:r w:rsidRPr="00E95DF1">
        <w:rPr>
          <w:rFonts w:eastAsia="Calibri"/>
          <w:lang w:eastAsia="en-US"/>
        </w:rPr>
        <w:t xml:space="preserve">Zmiany w art. 2 </w:t>
      </w:r>
      <w:r w:rsidR="00F275AF">
        <w:rPr>
          <w:rFonts w:eastAsia="Calibri"/>
          <w:lang w:eastAsia="en-US"/>
        </w:rPr>
        <w:t xml:space="preserve">ustawy </w:t>
      </w:r>
      <w:r w:rsidRPr="00E95DF1">
        <w:rPr>
          <w:rFonts w:eastAsia="Calibri"/>
          <w:lang w:eastAsia="en-US"/>
        </w:rPr>
        <w:t xml:space="preserve">mają na celu doprecyzowanie </w:t>
      </w:r>
      <w:r w:rsidR="00463D9D">
        <w:rPr>
          <w:rFonts w:eastAsia="Calibri"/>
          <w:lang w:eastAsia="en-US"/>
        </w:rPr>
        <w:t>brzmienia</w:t>
      </w:r>
      <w:r w:rsidRPr="00E95DF1">
        <w:rPr>
          <w:rFonts w:eastAsia="Calibri"/>
          <w:lang w:eastAsia="en-US"/>
        </w:rPr>
        <w:t xml:space="preserve"> ust. 2. Obecnie obowiązujący zapis „znaki wzorowane na znakach” jest niejasny i budzi wątpliwości interpretacyjne dotyczące możliwości wyrażania zgody na używanie znaków</w:t>
      </w:r>
      <w:r w:rsidR="00463D9D">
        <w:rPr>
          <w:rFonts w:eastAsia="Calibri"/>
          <w:lang w:eastAsia="en-US"/>
        </w:rPr>
        <w:t xml:space="preserve"> Sił Zbrojnych Rzeczypospolitej Polskiej</w:t>
      </w:r>
      <w:r w:rsidR="002663B8">
        <w:rPr>
          <w:rFonts w:eastAsia="Calibri"/>
          <w:lang w:eastAsia="en-US"/>
        </w:rPr>
        <w:t xml:space="preserve">, zwanych dalej </w:t>
      </w:r>
      <w:r w:rsidR="00783A9A">
        <w:rPr>
          <w:rFonts w:eastAsia="Calibri"/>
          <w:lang w:eastAsia="en-US"/>
        </w:rPr>
        <w:t>„</w:t>
      </w:r>
      <w:r w:rsidR="002663B8">
        <w:rPr>
          <w:rFonts w:eastAsia="Calibri"/>
          <w:lang w:eastAsia="en-US"/>
        </w:rPr>
        <w:t>Siłami Zbrojnymi RP</w:t>
      </w:r>
      <w:r w:rsidR="00783A9A">
        <w:rPr>
          <w:rFonts w:eastAsia="Calibri"/>
          <w:lang w:eastAsia="en-US"/>
        </w:rPr>
        <w:t>”</w:t>
      </w:r>
      <w:r w:rsidR="002663B8">
        <w:rPr>
          <w:rFonts w:eastAsia="Calibri"/>
          <w:lang w:eastAsia="en-US"/>
        </w:rPr>
        <w:t>,</w:t>
      </w:r>
      <w:r w:rsidRPr="00E95DF1">
        <w:rPr>
          <w:rFonts w:eastAsia="Calibri"/>
          <w:lang w:eastAsia="en-US"/>
        </w:rPr>
        <w:t xml:space="preserve"> poza Siłami Zbrojnymi RP. Zaproponowan</w:t>
      </w:r>
      <w:r w:rsidR="00463D9D">
        <w:rPr>
          <w:rFonts w:eastAsia="Calibri"/>
          <w:lang w:eastAsia="en-US"/>
        </w:rPr>
        <w:t>e</w:t>
      </w:r>
      <w:r w:rsidRPr="00E95DF1">
        <w:rPr>
          <w:rFonts w:eastAsia="Calibri"/>
          <w:lang w:eastAsia="en-US"/>
        </w:rPr>
        <w:t xml:space="preserve"> </w:t>
      </w:r>
      <w:r w:rsidR="00463D9D">
        <w:rPr>
          <w:rFonts w:eastAsia="Calibri"/>
          <w:lang w:eastAsia="en-US"/>
        </w:rPr>
        <w:t>brzmienie</w:t>
      </w:r>
      <w:r w:rsidRPr="00E95DF1">
        <w:rPr>
          <w:rFonts w:eastAsia="Calibri"/>
          <w:lang w:eastAsia="en-US"/>
        </w:rPr>
        <w:t xml:space="preserve"> wprost wskazuje, że Minister Obrony Narodowej wydaje zgodę na używanie, w tym modyfikowanie, znaków</w:t>
      </w:r>
      <w:r w:rsidR="00463D9D">
        <w:rPr>
          <w:rFonts w:eastAsia="Calibri"/>
          <w:lang w:eastAsia="en-US"/>
        </w:rPr>
        <w:t xml:space="preserve"> Sił Zbrojnych RP</w:t>
      </w:r>
      <w:r w:rsidRPr="00E95DF1">
        <w:rPr>
          <w:rFonts w:eastAsia="Calibri"/>
          <w:lang w:eastAsia="en-US"/>
        </w:rPr>
        <w:t xml:space="preserve"> określonych w ustawie i przepisach wykonawczych. </w:t>
      </w:r>
    </w:p>
    <w:p w14:paraId="7F88D3FE" w14:textId="6BDD1AFC" w:rsidR="00E95DF1" w:rsidRPr="00E95DF1" w:rsidRDefault="00E95DF1" w:rsidP="002D3E3B">
      <w:pPr>
        <w:widowControl/>
        <w:autoSpaceDE/>
        <w:autoSpaceDN/>
        <w:adjustRightInd/>
        <w:ind w:firstLine="426"/>
        <w:jc w:val="both"/>
        <w:rPr>
          <w:rFonts w:eastAsia="Calibri"/>
          <w:lang w:eastAsia="en-US"/>
        </w:rPr>
      </w:pPr>
      <w:r w:rsidRPr="00E95DF1">
        <w:rPr>
          <w:rFonts w:eastAsia="Calibri"/>
          <w:lang w:eastAsia="en-US"/>
        </w:rPr>
        <w:t>Proponowane zmiany w art. 17 ust. 2</w:t>
      </w:r>
      <w:r w:rsidR="00F275AF">
        <w:rPr>
          <w:rFonts w:eastAsia="Calibri"/>
          <w:lang w:eastAsia="en-US"/>
        </w:rPr>
        <w:t xml:space="preserve"> ustawy</w:t>
      </w:r>
      <w:r w:rsidRPr="00E95DF1">
        <w:rPr>
          <w:rFonts w:eastAsia="Calibri"/>
          <w:lang w:eastAsia="en-US"/>
        </w:rPr>
        <w:t xml:space="preserve"> umożliwiają umieszczanie szarfy ze wstęg orderów, w tym przede wszystkim Orderu Wojennego Virtuti Militari, zwanego dalej „Orderem Wojennym VM”, na sztandarach. Wprowadzenie możliwości umieszczania na sztandarach szarfy ze wstęgi Orderu Wojennego VM będzie dopełnieniem procesu kultywowania tradycji historycznych oddziałów przez współczesne jednostki wojskowe oraz pozwoli na zachowanie ciągłości funkcjonowania tego orderu (order jest nadawany wyłącznie w czasie wojny).</w:t>
      </w:r>
    </w:p>
    <w:p w14:paraId="3F39B29B" w14:textId="3008EA3B" w:rsidR="00E95DF1" w:rsidRPr="00E95DF1" w:rsidRDefault="00463D9D" w:rsidP="002D3E3B">
      <w:pPr>
        <w:widowControl/>
        <w:autoSpaceDE/>
        <w:autoSpaceDN/>
        <w:adjustRightInd/>
        <w:ind w:firstLine="426"/>
        <w:jc w:val="both"/>
        <w:rPr>
          <w:rFonts w:eastAsia="Calibri"/>
          <w:lang w:eastAsia="en-US"/>
        </w:rPr>
      </w:pPr>
      <w:r>
        <w:rPr>
          <w:rFonts w:eastAsia="Calibri"/>
          <w:lang w:eastAsia="en-US"/>
        </w:rPr>
        <w:t xml:space="preserve">Projekt </w:t>
      </w:r>
      <w:r w:rsidR="00E95DF1" w:rsidRPr="00E95DF1">
        <w:rPr>
          <w:rFonts w:eastAsia="Calibri"/>
          <w:lang w:eastAsia="en-US"/>
        </w:rPr>
        <w:t>przewiduje zmianę w art. 20 ust. 2</w:t>
      </w:r>
      <w:r w:rsidR="00F275AF">
        <w:rPr>
          <w:rFonts w:eastAsia="Calibri"/>
          <w:lang w:eastAsia="en-US"/>
        </w:rPr>
        <w:t xml:space="preserve"> ustawy</w:t>
      </w:r>
      <w:r w:rsidR="00E95DF1" w:rsidRPr="00E95DF1">
        <w:rPr>
          <w:rFonts w:eastAsia="Calibri"/>
          <w:lang w:eastAsia="en-US"/>
        </w:rPr>
        <w:t xml:space="preserve"> mającą na celu przywrócenie historycznego wzoru proporca marynarki wojennej według wzoru określonego </w:t>
      </w:r>
      <w:r w:rsidR="0046643D">
        <w:rPr>
          <w:rFonts w:eastAsia="Calibri"/>
          <w:lang w:eastAsia="en-US"/>
        </w:rPr>
        <w:t>d</w:t>
      </w:r>
      <w:r w:rsidR="00E95DF1" w:rsidRPr="00E95DF1">
        <w:rPr>
          <w:rFonts w:eastAsia="Calibri"/>
          <w:lang w:eastAsia="en-US"/>
        </w:rPr>
        <w:t>ekretem Prezydenta z 1937 r., który był używany w Polskiej Marynarce Wojennej podczas II wojny światowej, a po wojnie w latach 1959–1993. Należy podkreślić, że proporzec nawiązuje do znaków morskich powszechnie używanych w początkach XVII w., noszonych ówcześnie na rufie i symbolizujących gotowość okrętu do boju. Przywrócenie historycznego wzoru proporca wynika z inicjatyw</w:t>
      </w:r>
      <w:r w:rsidR="00E95DF1" w:rsidRPr="00E95DF1">
        <w:rPr>
          <w:rFonts w:eastAsia="Calibri"/>
          <w:color w:val="000000"/>
          <w:spacing w:val="-2"/>
          <w:lang w:eastAsia="en-US"/>
        </w:rPr>
        <w:t xml:space="preserve"> zgłoszonych przez Dowództwo Generalne Rodzajów Sił Zbrojnych oraz środowisko marynarzy i </w:t>
      </w:r>
      <w:r w:rsidR="00E95DF1" w:rsidRPr="00E95DF1">
        <w:rPr>
          <w:rFonts w:eastAsia="Calibri"/>
          <w:lang w:eastAsia="en-US"/>
        </w:rPr>
        <w:t xml:space="preserve">będzie miało duże znaczenie dla kultywowania chlubnych tradycji orężnych, podkreślając nawiązywanie do historycznych wzorców. Będzie również wyrazem więzi łączących współczesnych marynarzy z ich poprzednikami, którzy bronili niepodległości </w:t>
      </w:r>
      <w:r w:rsidR="00EB3CEE">
        <w:rPr>
          <w:rFonts w:eastAsia="Calibri"/>
          <w:lang w:eastAsia="en-US"/>
        </w:rPr>
        <w:t>O</w:t>
      </w:r>
      <w:r w:rsidR="00E95DF1" w:rsidRPr="00E95DF1">
        <w:rPr>
          <w:rFonts w:eastAsia="Calibri"/>
          <w:lang w:eastAsia="en-US"/>
        </w:rPr>
        <w:t>jczyzny.</w:t>
      </w:r>
    </w:p>
    <w:p w14:paraId="2385BD8D" w14:textId="766B0675" w:rsidR="00E95DF1" w:rsidRPr="00E95DF1" w:rsidRDefault="00487F06" w:rsidP="002D3E3B">
      <w:pPr>
        <w:widowControl/>
        <w:autoSpaceDE/>
        <w:autoSpaceDN/>
        <w:adjustRightInd/>
        <w:ind w:firstLine="426"/>
        <w:jc w:val="both"/>
        <w:rPr>
          <w:rFonts w:eastAsia="Calibri"/>
          <w:lang w:eastAsia="en-US"/>
        </w:rPr>
      </w:pPr>
      <w:r>
        <w:rPr>
          <w:rFonts w:eastAsia="Calibri"/>
          <w:lang w:eastAsia="en-US"/>
        </w:rPr>
        <w:lastRenderedPageBreak/>
        <w:t xml:space="preserve">Projekt </w:t>
      </w:r>
      <w:r w:rsidR="00E95DF1" w:rsidRPr="00E95DF1">
        <w:rPr>
          <w:rFonts w:eastAsia="Calibri"/>
          <w:lang w:eastAsia="en-US"/>
        </w:rPr>
        <w:t>przewiduje również wprowadzenie</w:t>
      </w:r>
      <w:r w:rsidR="00E95DF1" w:rsidRPr="00E95DF1">
        <w:rPr>
          <w:rFonts w:eastAsia="Calibri"/>
          <w:color w:val="000000"/>
          <w:spacing w:val="-2"/>
          <w:lang w:eastAsia="en-US"/>
        </w:rPr>
        <w:t xml:space="preserve"> szachownicy lotniczej w wersji o niskiej widzialności (</w:t>
      </w:r>
      <w:r w:rsidR="00EB3CEE">
        <w:rPr>
          <w:rFonts w:eastAsia="Calibri"/>
          <w:color w:val="000000"/>
          <w:spacing w:val="-2"/>
          <w:lang w:eastAsia="en-US"/>
        </w:rPr>
        <w:t xml:space="preserve">w </w:t>
      </w:r>
      <w:r w:rsidR="00E95DF1" w:rsidRPr="00E95DF1">
        <w:rPr>
          <w:rFonts w:eastAsia="Calibri"/>
          <w:color w:val="000000"/>
          <w:spacing w:val="-2"/>
          <w:lang w:eastAsia="en-US"/>
        </w:rPr>
        <w:t xml:space="preserve">art. 22 </w:t>
      </w:r>
      <w:r w:rsidR="00EB3CEE">
        <w:rPr>
          <w:rFonts w:eastAsia="Calibri"/>
          <w:color w:val="000000"/>
          <w:spacing w:val="-2"/>
          <w:lang w:eastAsia="en-US"/>
        </w:rPr>
        <w:t xml:space="preserve">ustawy </w:t>
      </w:r>
      <w:r w:rsidR="00E95DF1" w:rsidRPr="00E95DF1">
        <w:rPr>
          <w:rFonts w:eastAsia="Calibri"/>
          <w:color w:val="000000"/>
          <w:spacing w:val="-2"/>
          <w:lang w:eastAsia="en-US"/>
        </w:rPr>
        <w:t>dodan</w:t>
      </w:r>
      <w:r>
        <w:rPr>
          <w:rFonts w:eastAsia="Calibri"/>
          <w:color w:val="000000"/>
          <w:spacing w:val="-2"/>
          <w:lang w:eastAsia="en-US"/>
        </w:rPr>
        <w:t>e</w:t>
      </w:r>
      <w:r w:rsidR="00E95DF1" w:rsidRPr="00E95DF1">
        <w:rPr>
          <w:rFonts w:eastAsia="Calibri"/>
          <w:color w:val="000000"/>
          <w:spacing w:val="-2"/>
          <w:lang w:eastAsia="en-US"/>
        </w:rPr>
        <w:t xml:space="preserve"> ust. 3 i 4). Określenie </w:t>
      </w:r>
      <w:r w:rsidR="002663B8" w:rsidRPr="002663B8">
        <w:rPr>
          <w:rFonts w:eastAsia="Calibri"/>
          <w:color w:val="000000"/>
          <w:spacing w:val="-2"/>
          <w:lang w:eastAsia="en-US"/>
        </w:rPr>
        <w:t>szachownicy lotniczej w wersji o niskiej widzialności</w:t>
      </w:r>
      <w:r w:rsidR="002663B8">
        <w:rPr>
          <w:rFonts w:eastAsia="Calibri"/>
          <w:color w:val="000000"/>
          <w:spacing w:val="-2"/>
          <w:lang w:eastAsia="en-US"/>
        </w:rPr>
        <w:t xml:space="preserve"> </w:t>
      </w:r>
      <w:r w:rsidR="00E95DF1" w:rsidRPr="00E95DF1">
        <w:rPr>
          <w:rFonts w:eastAsia="Calibri"/>
          <w:color w:val="000000"/>
          <w:spacing w:val="-2"/>
          <w:lang w:eastAsia="en-US"/>
        </w:rPr>
        <w:t>wynika z potrzeb zgłaszanych przez Pełnomocnika Ministerstwa Obrony Narodowej do spraw Pozyskiwania i Wdrożenia do Sił Zbrojnych Rzeczypospolitej Polskiej Samolotu Wielozadaniowego Piątej Generacji, Inspektora Sił Powietrznych. Obecnie na wojskowych statkach powietrznych umieszczana jest szachownica lotnicza w barwach biało-czerwonych. W celu zapewnienia lepszego maskowania wojskowych statków powietrznych</w:t>
      </w:r>
      <w:r w:rsidR="00F275AF">
        <w:rPr>
          <w:rFonts w:eastAsia="Calibri"/>
          <w:color w:val="000000"/>
          <w:spacing w:val="-2"/>
          <w:lang w:eastAsia="en-US"/>
        </w:rPr>
        <w:t xml:space="preserve"> jest</w:t>
      </w:r>
      <w:r w:rsidR="00E95DF1" w:rsidRPr="00E95DF1">
        <w:rPr>
          <w:rFonts w:eastAsia="Calibri"/>
          <w:color w:val="000000"/>
          <w:spacing w:val="-2"/>
          <w:lang w:eastAsia="en-US"/>
        </w:rPr>
        <w:t xml:space="preserve"> wskazan</w:t>
      </w:r>
      <w:r w:rsidR="0013213A">
        <w:rPr>
          <w:rFonts w:eastAsia="Calibri"/>
          <w:color w:val="000000"/>
          <w:spacing w:val="-2"/>
          <w:lang w:eastAsia="en-US"/>
        </w:rPr>
        <w:t>e</w:t>
      </w:r>
      <w:r w:rsidR="00E95DF1" w:rsidRPr="00E95DF1">
        <w:rPr>
          <w:rFonts w:eastAsia="Calibri"/>
          <w:color w:val="000000"/>
          <w:spacing w:val="-2"/>
          <w:lang w:eastAsia="en-US"/>
        </w:rPr>
        <w:t xml:space="preserve"> wprowadzenie nowego oznakowania </w:t>
      </w:r>
      <w:r w:rsidR="00E95DF1" w:rsidRPr="00E95DF1">
        <w:rPr>
          <w:rFonts w:eastAsia="Calibri"/>
          <w:lang w:eastAsia="en-US"/>
        </w:rPr>
        <w:t>zapobiegającego ich wcześniejszemu wykryciu przy jednoczesnym prawidłowym oznaczeniu ich przynależności państwowej.</w:t>
      </w:r>
    </w:p>
    <w:p w14:paraId="5CC58A82" w14:textId="141F7D2E" w:rsidR="00E95DF1" w:rsidRPr="00E95DF1" w:rsidRDefault="00E95DF1" w:rsidP="002D3E3B">
      <w:pPr>
        <w:widowControl/>
        <w:autoSpaceDE/>
        <w:autoSpaceDN/>
        <w:adjustRightInd/>
        <w:ind w:firstLine="426"/>
        <w:jc w:val="both"/>
        <w:rPr>
          <w:rFonts w:eastAsia="Calibri"/>
          <w:lang w:eastAsia="en-US"/>
        </w:rPr>
      </w:pPr>
      <w:r w:rsidRPr="00E95DF1">
        <w:rPr>
          <w:rFonts w:eastAsia="Calibri"/>
          <w:lang w:eastAsia="en-US"/>
        </w:rPr>
        <w:t xml:space="preserve">Zmiana załącznika nr 4a </w:t>
      </w:r>
      <w:r w:rsidR="00657D92">
        <w:rPr>
          <w:rFonts w:eastAsia="Calibri"/>
          <w:lang w:eastAsia="en-US"/>
        </w:rPr>
        <w:t xml:space="preserve">do </w:t>
      </w:r>
      <w:r w:rsidR="00B82034">
        <w:rPr>
          <w:rFonts w:eastAsia="Calibri"/>
          <w:lang w:eastAsia="en-US"/>
        </w:rPr>
        <w:t xml:space="preserve">ustawy </w:t>
      </w:r>
      <w:r w:rsidRPr="00E95DF1">
        <w:rPr>
          <w:rFonts w:eastAsia="Calibri"/>
          <w:lang w:eastAsia="en-US"/>
        </w:rPr>
        <w:t xml:space="preserve">ma charakter techniczny i polega na poprawieniu błędnego wymiaru cyfry umieszczonej na płacie sztandaru jednostki wojskowej. </w:t>
      </w:r>
    </w:p>
    <w:p w14:paraId="215F9796" w14:textId="610EA064" w:rsidR="00E95DF1" w:rsidRPr="00E95DF1" w:rsidRDefault="00E95DF1" w:rsidP="002D3E3B">
      <w:pPr>
        <w:widowControl/>
        <w:autoSpaceDE/>
        <w:autoSpaceDN/>
        <w:adjustRightInd/>
        <w:ind w:firstLine="426"/>
        <w:jc w:val="both"/>
        <w:rPr>
          <w:rFonts w:eastAsia="Calibri"/>
          <w:lang w:eastAsia="en-US"/>
        </w:rPr>
      </w:pPr>
      <w:r w:rsidRPr="00E95DF1">
        <w:rPr>
          <w:rFonts w:eastAsia="Calibri"/>
          <w:lang w:eastAsia="en-US"/>
        </w:rPr>
        <w:t>Koszty związane z wykonaniem znaków będą finansowane z budżetu państwa, z części – obrona narodowa.</w:t>
      </w:r>
      <w:r w:rsidR="00AA557E">
        <w:rPr>
          <w:rFonts w:eastAsia="Calibri"/>
          <w:lang w:eastAsia="en-US"/>
        </w:rPr>
        <w:t xml:space="preserve"> </w:t>
      </w:r>
    </w:p>
    <w:p w14:paraId="6B4720B8" w14:textId="5BBAED4E" w:rsidR="00E95DF1" w:rsidRPr="00E95DF1" w:rsidRDefault="00E95DF1" w:rsidP="002D3E3B">
      <w:pPr>
        <w:widowControl/>
        <w:autoSpaceDE/>
        <w:autoSpaceDN/>
        <w:adjustRightInd/>
        <w:ind w:firstLine="426"/>
        <w:jc w:val="both"/>
        <w:rPr>
          <w:rFonts w:eastAsia="Calibri"/>
          <w:lang w:eastAsia="en-US"/>
        </w:rPr>
      </w:pPr>
      <w:r w:rsidRPr="00E95DF1">
        <w:rPr>
          <w:rFonts w:eastAsia="Calibri"/>
          <w:color w:val="000000"/>
          <w:lang w:eastAsia="en-US"/>
        </w:rPr>
        <w:t>Wprowadzenie szachownicy lotniczej w wersji o niskiej widzialności nie będzie</w:t>
      </w:r>
      <w:r w:rsidR="009152D7">
        <w:rPr>
          <w:rFonts w:eastAsia="Calibri"/>
          <w:color w:val="000000"/>
          <w:lang w:eastAsia="en-US"/>
        </w:rPr>
        <w:t xml:space="preserve"> wiązało</w:t>
      </w:r>
      <w:r w:rsidRPr="00E95DF1">
        <w:rPr>
          <w:rFonts w:eastAsia="Calibri"/>
          <w:color w:val="000000"/>
          <w:lang w:eastAsia="en-US"/>
        </w:rPr>
        <w:t xml:space="preserve"> się z dodatkowymi kosztami dla budżetu Ministerstwa Obrony Narodowej, gdyż będzie wykonywana w ramach malowania sprzętu lub jego bieżącej konserwacji. </w:t>
      </w:r>
    </w:p>
    <w:p w14:paraId="22BF1AC5" w14:textId="79D004BD" w:rsidR="00E95DF1" w:rsidRPr="00E95DF1" w:rsidRDefault="00E95DF1" w:rsidP="002D3E3B">
      <w:pPr>
        <w:widowControl/>
        <w:autoSpaceDE/>
        <w:autoSpaceDN/>
        <w:adjustRightInd/>
        <w:ind w:firstLine="426"/>
        <w:jc w:val="both"/>
        <w:rPr>
          <w:rFonts w:eastAsia="Calibri"/>
          <w:color w:val="000000"/>
          <w:lang w:eastAsia="en-US"/>
        </w:rPr>
      </w:pPr>
      <w:r w:rsidRPr="00E95DF1">
        <w:rPr>
          <w:rFonts w:eastAsia="Calibri"/>
          <w:color w:val="000000"/>
          <w:lang w:eastAsia="en-US"/>
        </w:rPr>
        <w:t xml:space="preserve">Koszt jednostkowy wykonania proporca marynarki wojennej będzie wynosił 200 zł. Szacuje się, że w pierwszym okresie od wejścia w życie zmian będzie wykonanych </w:t>
      </w:r>
      <w:r w:rsidRPr="00E95DF1">
        <w:rPr>
          <w:rFonts w:eastAsia="Calibri"/>
          <w:color w:val="000000"/>
          <w:lang w:eastAsia="en-US"/>
        </w:rPr>
        <w:br/>
        <w:t>54 proporców (54</w:t>
      </w:r>
      <w:r w:rsidR="009152D7">
        <w:rPr>
          <w:rFonts w:eastAsia="Calibri"/>
          <w:color w:val="000000"/>
          <w:lang w:eastAsia="en-US"/>
        </w:rPr>
        <w:t xml:space="preserve"> × </w:t>
      </w:r>
      <w:r w:rsidRPr="00E95DF1">
        <w:rPr>
          <w:rFonts w:eastAsia="Calibri"/>
          <w:color w:val="000000"/>
          <w:lang w:eastAsia="en-US"/>
        </w:rPr>
        <w:t>200</w:t>
      </w:r>
      <w:r w:rsidR="009152D7">
        <w:rPr>
          <w:rFonts w:eastAsia="Calibri"/>
          <w:color w:val="000000"/>
          <w:lang w:eastAsia="en-US"/>
        </w:rPr>
        <w:t xml:space="preserve"> </w:t>
      </w:r>
      <w:r w:rsidRPr="00E95DF1">
        <w:rPr>
          <w:rFonts w:eastAsia="Calibri"/>
          <w:color w:val="000000"/>
          <w:lang w:eastAsia="en-US"/>
        </w:rPr>
        <w:t>=</w:t>
      </w:r>
      <w:r w:rsidR="009152D7">
        <w:rPr>
          <w:rFonts w:eastAsia="Calibri"/>
          <w:color w:val="000000"/>
          <w:lang w:eastAsia="en-US"/>
        </w:rPr>
        <w:t xml:space="preserve"> </w:t>
      </w:r>
      <w:r w:rsidRPr="00E95DF1">
        <w:rPr>
          <w:rFonts w:eastAsia="Calibri"/>
          <w:color w:val="000000"/>
          <w:lang w:eastAsia="en-US"/>
        </w:rPr>
        <w:t>10</w:t>
      </w:r>
      <w:r w:rsidR="009152D7">
        <w:rPr>
          <w:rFonts w:eastAsia="Calibri"/>
          <w:color w:val="000000"/>
          <w:lang w:eastAsia="en-US"/>
        </w:rPr>
        <w:t xml:space="preserve"> </w:t>
      </w:r>
      <w:r w:rsidRPr="00E95DF1">
        <w:rPr>
          <w:rFonts w:eastAsia="Calibri"/>
          <w:color w:val="000000"/>
          <w:lang w:eastAsia="en-US"/>
        </w:rPr>
        <w:t>800). W kolejnych 3 latach będzie wykonanych po 5 proporców (5</w:t>
      </w:r>
      <w:r w:rsidR="009152D7">
        <w:rPr>
          <w:rFonts w:eastAsia="Calibri"/>
          <w:color w:val="000000"/>
          <w:lang w:eastAsia="en-US"/>
        </w:rPr>
        <w:t xml:space="preserve"> × </w:t>
      </w:r>
      <w:r w:rsidRPr="00E95DF1">
        <w:rPr>
          <w:rFonts w:eastAsia="Calibri"/>
          <w:color w:val="000000"/>
          <w:lang w:eastAsia="en-US"/>
        </w:rPr>
        <w:t>200</w:t>
      </w:r>
      <w:r w:rsidR="009152D7">
        <w:rPr>
          <w:rFonts w:eastAsia="Calibri"/>
          <w:color w:val="000000"/>
          <w:lang w:eastAsia="en-US"/>
        </w:rPr>
        <w:t xml:space="preserve"> </w:t>
      </w:r>
      <w:r w:rsidRPr="00E95DF1">
        <w:rPr>
          <w:rFonts w:eastAsia="Calibri"/>
          <w:color w:val="000000"/>
          <w:lang w:eastAsia="en-US"/>
        </w:rPr>
        <w:t>=</w:t>
      </w:r>
      <w:r w:rsidR="009152D7">
        <w:rPr>
          <w:rFonts w:eastAsia="Calibri"/>
          <w:color w:val="000000"/>
          <w:lang w:eastAsia="en-US"/>
        </w:rPr>
        <w:t xml:space="preserve"> </w:t>
      </w:r>
      <w:r w:rsidRPr="00E95DF1">
        <w:rPr>
          <w:rFonts w:eastAsia="Calibri"/>
          <w:color w:val="000000"/>
          <w:lang w:eastAsia="en-US"/>
        </w:rPr>
        <w:t>1000). Zakupu będą dokonywać właściwe wojskowe jednostki budżetowe w ramach swoich budżetów w części 29 – Obrona narodowa.</w:t>
      </w:r>
    </w:p>
    <w:p w14:paraId="1872CF03" w14:textId="6E141666" w:rsidR="00E95DF1" w:rsidRPr="00E95DF1" w:rsidRDefault="00E95DF1" w:rsidP="002D3E3B">
      <w:pPr>
        <w:widowControl/>
        <w:autoSpaceDE/>
        <w:autoSpaceDN/>
        <w:adjustRightInd/>
        <w:ind w:firstLine="426"/>
        <w:jc w:val="both"/>
        <w:rPr>
          <w:rFonts w:eastAsia="Calibri"/>
          <w:color w:val="000000"/>
          <w:lang w:eastAsia="en-US"/>
        </w:rPr>
      </w:pPr>
      <w:r w:rsidRPr="00E95DF1">
        <w:rPr>
          <w:rFonts w:eastAsia="Calibri"/>
          <w:color w:val="000000"/>
          <w:lang w:eastAsia="en-US"/>
        </w:rPr>
        <w:t xml:space="preserve">Projekt z uwagi na swój charakter nie zawiera regulacji dotyczących majątkowych praw i obowiązków przedsiębiorców lub praw i obowiązków przedsiębiorców wobec organów administracji publicznej, a zatem nie podlega obowiązkowi dokonania oceny przewidywanego wpływu proponowanych rozwiązań na działalność mikro-, małych i średnich przedsiębiorców, stosownie do przepisów </w:t>
      </w:r>
      <w:r w:rsidRPr="002D3E3B">
        <w:rPr>
          <w:rFonts w:eastAsia="Calibri"/>
          <w:color w:val="000000"/>
          <w:lang w:eastAsia="en-US"/>
        </w:rPr>
        <w:t>ustawy z dnia 6 marca 2018 r. – Prawo przedsiębiorców</w:t>
      </w:r>
      <w:r w:rsidRPr="00E95DF1">
        <w:rPr>
          <w:rFonts w:eastAsia="Calibri"/>
          <w:color w:val="000000"/>
          <w:lang w:eastAsia="en-US"/>
        </w:rPr>
        <w:t xml:space="preserve"> (Dz. U. z 2024 r. poz. 236, z </w:t>
      </w:r>
      <w:proofErr w:type="spellStart"/>
      <w:r w:rsidRPr="00E95DF1">
        <w:rPr>
          <w:rFonts w:eastAsia="Calibri"/>
          <w:color w:val="000000"/>
          <w:lang w:eastAsia="en-US"/>
        </w:rPr>
        <w:t>późn</w:t>
      </w:r>
      <w:proofErr w:type="spellEnd"/>
      <w:r w:rsidRPr="00E95DF1">
        <w:rPr>
          <w:rFonts w:eastAsia="Calibri"/>
          <w:color w:val="000000"/>
          <w:lang w:eastAsia="en-US"/>
        </w:rPr>
        <w:t>. zm.).</w:t>
      </w:r>
    </w:p>
    <w:p w14:paraId="077C5898" w14:textId="092BF6B2" w:rsidR="00E95DF1" w:rsidRPr="00E95DF1" w:rsidRDefault="00E95DF1" w:rsidP="002D3E3B">
      <w:pPr>
        <w:widowControl/>
        <w:autoSpaceDE/>
        <w:autoSpaceDN/>
        <w:adjustRightInd/>
        <w:ind w:firstLine="426"/>
        <w:jc w:val="both"/>
        <w:rPr>
          <w:rFonts w:eastAsia="Calibri"/>
          <w:color w:val="000000"/>
          <w:lang w:eastAsia="en-US"/>
        </w:rPr>
      </w:pPr>
      <w:r w:rsidRPr="00E95DF1">
        <w:rPr>
          <w:rFonts w:eastAsia="Calibri"/>
          <w:color w:val="000000"/>
          <w:lang w:eastAsia="en-US"/>
        </w:rPr>
        <w:t xml:space="preserve"> Stosownie do postanowień § 52 </w:t>
      </w:r>
      <w:r w:rsidRPr="002D3E3B">
        <w:rPr>
          <w:rFonts w:eastAsia="Calibri"/>
          <w:color w:val="000000"/>
          <w:lang w:eastAsia="en-US"/>
        </w:rPr>
        <w:t>uchwały nr 190 Rady Ministrów z dnia 29 października 2013 r. – Regulamin pracy Rady Ministrów</w:t>
      </w:r>
      <w:r w:rsidRPr="00E95DF1">
        <w:rPr>
          <w:rFonts w:eastAsia="Calibri"/>
          <w:color w:val="000000"/>
          <w:lang w:eastAsia="en-US"/>
        </w:rPr>
        <w:t xml:space="preserve"> (M.P. z 2024 r. poz. 806) oraz zgodnie z art. 5 </w:t>
      </w:r>
      <w:r w:rsidRPr="002D3E3B">
        <w:rPr>
          <w:rFonts w:eastAsia="Calibri"/>
          <w:color w:val="000000"/>
          <w:lang w:eastAsia="en-US"/>
        </w:rPr>
        <w:t>ustawy z dnia 7 lipca 2005 r. o działalności lobbingowej w procesie stanowienia prawa</w:t>
      </w:r>
      <w:r w:rsidRPr="00E95DF1">
        <w:rPr>
          <w:rFonts w:eastAsia="Calibri"/>
          <w:color w:val="000000"/>
          <w:lang w:eastAsia="en-US"/>
        </w:rPr>
        <w:t xml:space="preserve"> (Dz. U. z 2017 r. poz. 248</w:t>
      </w:r>
      <w:r w:rsidR="009152D7">
        <w:rPr>
          <w:rFonts w:eastAsia="Calibri"/>
          <w:color w:val="000000"/>
          <w:lang w:eastAsia="en-US"/>
        </w:rPr>
        <w:t xml:space="preserve">, z </w:t>
      </w:r>
      <w:proofErr w:type="spellStart"/>
      <w:r w:rsidR="009152D7">
        <w:rPr>
          <w:rFonts w:eastAsia="Calibri"/>
          <w:color w:val="000000"/>
          <w:lang w:eastAsia="en-US"/>
        </w:rPr>
        <w:t>późn</w:t>
      </w:r>
      <w:proofErr w:type="spellEnd"/>
      <w:r w:rsidR="009152D7">
        <w:rPr>
          <w:rFonts w:eastAsia="Calibri"/>
          <w:color w:val="000000"/>
          <w:lang w:eastAsia="en-US"/>
        </w:rPr>
        <w:t>. zm.</w:t>
      </w:r>
      <w:r w:rsidRPr="00E95DF1">
        <w:rPr>
          <w:rFonts w:eastAsia="Calibri"/>
          <w:color w:val="000000"/>
          <w:lang w:eastAsia="en-US"/>
        </w:rPr>
        <w:t>) projekt ustawy został zamieszczony w Biuletynie Informacji Publicznej na stronie podmiotowej Rządowego Centrum Legislacji w serwisie Rządowy Proces Legislacyjny. W tym trybie uwag nie zgłoszono.</w:t>
      </w:r>
    </w:p>
    <w:p w14:paraId="485F8307" w14:textId="291944CA" w:rsidR="00E95DF1" w:rsidRPr="00E95DF1" w:rsidRDefault="00E95DF1" w:rsidP="002D3E3B">
      <w:pPr>
        <w:widowControl/>
        <w:autoSpaceDE/>
        <w:autoSpaceDN/>
        <w:adjustRightInd/>
        <w:ind w:firstLine="426"/>
        <w:jc w:val="both"/>
        <w:rPr>
          <w:rFonts w:eastAsia="Calibri"/>
          <w:color w:val="000000"/>
          <w:lang w:eastAsia="en-US"/>
        </w:rPr>
      </w:pPr>
      <w:r w:rsidRPr="00E95DF1">
        <w:rPr>
          <w:rFonts w:eastAsia="Calibri"/>
          <w:color w:val="000000"/>
          <w:lang w:eastAsia="en-US"/>
        </w:rPr>
        <w:lastRenderedPageBreak/>
        <w:t>Projekt ustawy nie podlega notyfikacji zgodnie z procedurą określoną w</w:t>
      </w:r>
      <w:r w:rsidR="00B82034">
        <w:rPr>
          <w:rFonts w:eastAsia="Calibri"/>
          <w:color w:val="000000"/>
          <w:lang w:eastAsia="en-US"/>
        </w:rPr>
        <w:t xml:space="preserve"> </w:t>
      </w:r>
      <w:r w:rsidRPr="002D3E3B">
        <w:rPr>
          <w:rFonts w:eastAsia="Calibri"/>
          <w:color w:val="000000"/>
          <w:lang w:eastAsia="en-US"/>
        </w:rPr>
        <w:t>rozporządzeniu Rady Ministrów z dnia 23 grudnia 2002 r. w sprawie sposobu funkcjonowania krajowego systemu notyfikacji norm i aktów prawnych</w:t>
      </w:r>
      <w:r w:rsidRPr="005425E6">
        <w:rPr>
          <w:rFonts w:eastAsia="Calibri"/>
          <w:color w:val="000000"/>
          <w:lang w:eastAsia="en-US"/>
        </w:rPr>
        <w:t xml:space="preserve"> </w:t>
      </w:r>
      <w:r w:rsidRPr="00E95DF1">
        <w:rPr>
          <w:rFonts w:eastAsia="Calibri"/>
          <w:color w:val="000000"/>
          <w:lang w:eastAsia="en-US"/>
        </w:rPr>
        <w:t>(Dz. U. poz. 2039, z </w:t>
      </w:r>
      <w:proofErr w:type="spellStart"/>
      <w:r w:rsidRPr="00E95DF1">
        <w:rPr>
          <w:rFonts w:eastAsia="Calibri"/>
          <w:color w:val="000000"/>
          <w:lang w:eastAsia="en-US"/>
        </w:rPr>
        <w:t>późn</w:t>
      </w:r>
      <w:proofErr w:type="spellEnd"/>
      <w:r w:rsidRPr="00E95DF1">
        <w:rPr>
          <w:rFonts w:eastAsia="Calibri"/>
          <w:color w:val="000000"/>
          <w:lang w:eastAsia="en-US"/>
        </w:rPr>
        <w:t>. zm.).</w:t>
      </w:r>
    </w:p>
    <w:p w14:paraId="13328C25" w14:textId="66B153A1" w:rsidR="00E95DF1" w:rsidRPr="00E95DF1" w:rsidRDefault="00E95DF1" w:rsidP="002D3E3B">
      <w:pPr>
        <w:widowControl/>
        <w:autoSpaceDE/>
        <w:autoSpaceDN/>
        <w:adjustRightInd/>
        <w:ind w:firstLine="426"/>
        <w:jc w:val="both"/>
        <w:rPr>
          <w:rFonts w:eastAsia="Calibri"/>
          <w:color w:val="000000"/>
          <w:lang w:eastAsia="en-US"/>
        </w:rPr>
      </w:pPr>
      <w:r w:rsidRPr="00E95DF1">
        <w:rPr>
          <w:rFonts w:eastAsia="Calibri"/>
          <w:color w:val="000000"/>
          <w:lang w:eastAsia="en-US"/>
        </w:rPr>
        <w:t xml:space="preserve">Ocena Skutków Regulacji projektu nie była dokonywana w trybie § 32 uchwały nr 190 Rady Ministrów z dnia 29 października 2013 r. – </w:t>
      </w:r>
      <w:r w:rsidRPr="002D3E3B">
        <w:rPr>
          <w:rFonts w:eastAsia="Calibri"/>
          <w:iCs/>
          <w:color w:val="000000"/>
          <w:lang w:eastAsia="en-US"/>
        </w:rPr>
        <w:t>Regulamin pracy Rady Ministrów</w:t>
      </w:r>
      <w:r w:rsidRPr="00E95DF1">
        <w:rPr>
          <w:rFonts w:eastAsia="Calibri"/>
          <w:color w:val="000000"/>
          <w:lang w:eastAsia="en-US"/>
        </w:rPr>
        <w:t xml:space="preserve">, lecz w trybie § 42 ust. 1 </w:t>
      </w:r>
      <w:r w:rsidR="00B82034">
        <w:rPr>
          <w:rFonts w:eastAsia="Calibri"/>
          <w:color w:val="000000"/>
          <w:lang w:eastAsia="en-US"/>
        </w:rPr>
        <w:t xml:space="preserve">tego </w:t>
      </w:r>
      <w:r w:rsidRPr="002D3E3B">
        <w:rPr>
          <w:rFonts w:eastAsia="Calibri"/>
          <w:iCs/>
          <w:color w:val="000000"/>
          <w:lang w:eastAsia="en-US"/>
        </w:rPr>
        <w:t>Regulaminu</w:t>
      </w:r>
      <w:r w:rsidRPr="00E95DF1">
        <w:rPr>
          <w:rFonts w:eastAsia="Calibri"/>
          <w:color w:val="000000"/>
          <w:lang w:eastAsia="en-US"/>
        </w:rPr>
        <w:t xml:space="preserve">. </w:t>
      </w:r>
    </w:p>
    <w:p w14:paraId="153730CD" w14:textId="77777777" w:rsidR="00E95DF1" w:rsidRPr="00E95DF1" w:rsidRDefault="00E95DF1" w:rsidP="002D3E3B">
      <w:pPr>
        <w:widowControl/>
        <w:autoSpaceDE/>
        <w:autoSpaceDN/>
        <w:adjustRightInd/>
        <w:ind w:firstLine="426"/>
        <w:jc w:val="both"/>
        <w:rPr>
          <w:rFonts w:eastAsia="Calibri"/>
          <w:color w:val="000000"/>
          <w:lang w:eastAsia="en-US"/>
        </w:rPr>
      </w:pPr>
      <w:r w:rsidRPr="00E95DF1">
        <w:rPr>
          <w:rFonts w:eastAsia="Calibri"/>
          <w:color w:val="000000"/>
          <w:lang w:eastAsia="en-US"/>
        </w:rPr>
        <w:t xml:space="preserve">Projekt ustawy nie wymaga uzyskania opinii, dokonania powiadomienia, konsultacji albo uzgodnienia z właściwymi instytucjami i organami Unii Europejskiej, w tym Europejskim Bankiem Centralnym. </w:t>
      </w:r>
    </w:p>
    <w:p w14:paraId="0157D549" w14:textId="77777777" w:rsidR="00E95DF1" w:rsidRPr="00E95DF1" w:rsidRDefault="00E95DF1" w:rsidP="002D3E3B">
      <w:pPr>
        <w:widowControl/>
        <w:autoSpaceDE/>
        <w:autoSpaceDN/>
        <w:adjustRightInd/>
        <w:ind w:firstLine="426"/>
        <w:jc w:val="both"/>
        <w:rPr>
          <w:rFonts w:eastAsia="Calibri"/>
          <w:color w:val="000000"/>
          <w:lang w:eastAsia="en-US"/>
        </w:rPr>
      </w:pPr>
      <w:r w:rsidRPr="00E95DF1">
        <w:rPr>
          <w:rFonts w:eastAsia="Calibri"/>
          <w:color w:val="000000"/>
          <w:lang w:eastAsia="en-US"/>
        </w:rPr>
        <w:t xml:space="preserve">Projekt ustawy nie jest sprzeczny z prawem Unii Europejskiej. </w:t>
      </w:r>
    </w:p>
    <w:p w14:paraId="4B5476B9" w14:textId="76A3C062" w:rsidR="00E95DF1" w:rsidRDefault="00F275AF" w:rsidP="002D3E3B">
      <w:pPr>
        <w:widowControl/>
        <w:autoSpaceDE/>
        <w:autoSpaceDN/>
        <w:adjustRightInd/>
        <w:ind w:firstLine="426"/>
        <w:jc w:val="both"/>
        <w:rPr>
          <w:rFonts w:eastAsia="Calibri"/>
          <w:color w:val="000000"/>
          <w:lang w:eastAsia="en-US"/>
        </w:rPr>
      </w:pPr>
      <w:r>
        <w:rPr>
          <w:rFonts w:eastAsia="Calibri"/>
          <w:color w:val="000000"/>
          <w:lang w:eastAsia="en-US"/>
        </w:rPr>
        <w:t xml:space="preserve">Projekt </w:t>
      </w:r>
      <w:r w:rsidR="00E95DF1" w:rsidRPr="00E95DF1">
        <w:rPr>
          <w:rFonts w:eastAsia="Calibri"/>
          <w:color w:val="000000"/>
          <w:lang w:eastAsia="en-US"/>
        </w:rPr>
        <w:t>nie jest objęty zakresem prawa Unii Europejskiej.</w:t>
      </w:r>
      <w:r w:rsidR="00AA557E">
        <w:rPr>
          <w:rFonts w:eastAsia="Calibri"/>
          <w:color w:val="000000"/>
          <w:lang w:eastAsia="en-US"/>
        </w:rPr>
        <w:t xml:space="preserve"> </w:t>
      </w:r>
    </w:p>
    <w:sectPr w:rsidR="00E95DF1" w:rsidSect="002D3E3B">
      <w:footerReference w:type="default" r:id="rId10"/>
      <w:footnotePr>
        <w:numRestart w:val="eachSect"/>
      </w:footnotePr>
      <w:pgSz w:w="11906" w:h="16838"/>
      <w:pgMar w:top="1134"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C4C1" w14:textId="77777777" w:rsidR="00431A48" w:rsidRDefault="00431A48">
      <w:r>
        <w:separator/>
      </w:r>
    </w:p>
  </w:endnote>
  <w:endnote w:type="continuationSeparator" w:id="0">
    <w:p w14:paraId="57331775" w14:textId="77777777" w:rsidR="00431A48" w:rsidRDefault="004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152658"/>
      <w:docPartObj>
        <w:docPartGallery w:val="Page Numbers (Bottom of Page)"/>
        <w:docPartUnique/>
      </w:docPartObj>
    </w:sdtPr>
    <w:sdtEndPr/>
    <w:sdtContent>
      <w:p w14:paraId="33757F2C" w14:textId="6FFC6750" w:rsidR="00CC7979" w:rsidRDefault="00CC7979">
        <w:pPr>
          <w:pStyle w:val="Stopka"/>
          <w:jc w:val="center"/>
        </w:pPr>
        <w:r>
          <w:fldChar w:fldCharType="begin"/>
        </w:r>
        <w:r>
          <w:instrText>PAGE   \* MERGEFORMAT</w:instrText>
        </w:r>
        <w:r>
          <w:fldChar w:fldCharType="separate"/>
        </w:r>
        <w:r>
          <w:t>2</w:t>
        </w:r>
        <w:r>
          <w:fldChar w:fldCharType="end"/>
        </w:r>
      </w:p>
    </w:sdtContent>
  </w:sdt>
  <w:p w14:paraId="339F9B7B" w14:textId="77777777" w:rsidR="00CC7979" w:rsidRDefault="00CC7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8DAC2" w14:textId="77777777" w:rsidR="00431A48" w:rsidRDefault="00431A48">
      <w:r>
        <w:separator/>
      </w:r>
    </w:p>
  </w:footnote>
  <w:footnote w:type="continuationSeparator" w:id="0">
    <w:p w14:paraId="4FCC4BEE" w14:textId="77777777" w:rsidR="00431A48" w:rsidRDefault="00431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1954166">
    <w:abstractNumId w:val="23"/>
  </w:num>
  <w:num w:numId="2" w16cid:durableId="1522548945">
    <w:abstractNumId w:val="23"/>
  </w:num>
  <w:num w:numId="3" w16cid:durableId="92436211">
    <w:abstractNumId w:val="18"/>
  </w:num>
  <w:num w:numId="4" w16cid:durableId="1925339137">
    <w:abstractNumId w:val="18"/>
  </w:num>
  <w:num w:numId="5" w16cid:durableId="1329750953">
    <w:abstractNumId w:val="36"/>
  </w:num>
  <w:num w:numId="6" w16cid:durableId="2004701670">
    <w:abstractNumId w:val="32"/>
  </w:num>
  <w:num w:numId="7" w16cid:durableId="2022509242">
    <w:abstractNumId w:val="36"/>
  </w:num>
  <w:num w:numId="8" w16cid:durableId="1649820553">
    <w:abstractNumId w:val="32"/>
  </w:num>
  <w:num w:numId="9" w16cid:durableId="593173334">
    <w:abstractNumId w:val="36"/>
  </w:num>
  <w:num w:numId="10" w16cid:durableId="1799373745">
    <w:abstractNumId w:val="32"/>
  </w:num>
  <w:num w:numId="11" w16cid:durableId="739713219">
    <w:abstractNumId w:val="14"/>
  </w:num>
  <w:num w:numId="12" w16cid:durableId="330061960">
    <w:abstractNumId w:val="10"/>
  </w:num>
  <w:num w:numId="13" w16cid:durableId="881553062">
    <w:abstractNumId w:val="15"/>
  </w:num>
  <w:num w:numId="14" w16cid:durableId="1180780808">
    <w:abstractNumId w:val="27"/>
  </w:num>
  <w:num w:numId="15" w16cid:durableId="1701007854">
    <w:abstractNumId w:val="14"/>
  </w:num>
  <w:num w:numId="16" w16cid:durableId="440149235">
    <w:abstractNumId w:val="16"/>
  </w:num>
  <w:num w:numId="17" w16cid:durableId="1961259183">
    <w:abstractNumId w:val="8"/>
  </w:num>
  <w:num w:numId="18" w16cid:durableId="1153762900">
    <w:abstractNumId w:val="3"/>
  </w:num>
  <w:num w:numId="19" w16cid:durableId="1749227014">
    <w:abstractNumId w:val="2"/>
  </w:num>
  <w:num w:numId="20" w16cid:durableId="748230612">
    <w:abstractNumId w:val="1"/>
  </w:num>
  <w:num w:numId="21" w16cid:durableId="1215700514">
    <w:abstractNumId w:val="0"/>
  </w:num>
  <w:num w:numId="22" w16cid:durableId="1780955386">
    <w:abstractNumId w:val="9"/>
  </w:num>
  <w:num w:numId="23" w16cid:durableId="487792307">
    <w:abstractNumId w:val="7"/>
  </w:num>
  <w:num w:numId="24" w16cid:durableId="1388990802">
    <w:abstractNumId w:val="6"/>
  </w:num>
  <w:num w:numId="25" w16cid:durableId="1154882065">
    <w:abstractNumId w:val="5"/>
  </w:num>
  <w:num w:numId="26" w16cid:durableId="1151093695">
    <w:abstractNumId w:val="4"/>
  </w:num>
  <w:num w:numId="27" w16cid:durableId="2108495613">
    <w:abstractNumId w:val="34"/>
  </w:num>
  <w:num w:numId="28" w16cid:durableId="2145079418">
    <w:abstractNumId w:val="26"/>
  </w:num>
  <w:num w:numId="29" w16cid:durableId="1896236752">
    <w:abstractNumId w:val="37"/>
  </w:num>
  <w:num w:numId="30" w16cid:durableId="919296871">
    <w:abstractNumId w:val="33"/>
  </w:num>
  <w:num w:numId="31" w16cid:durableId="187916351">
    <w:abstractNumId w:val="19"/>
  </w:num>
  <w:num w:numId="32" w16cid:durableId="901672708">
    <w:abstractNumId w:val="11"/>
  </w:num>
  <w:num w:numId="33" w16cid:durableId="1154688127">
    <w:abstractNumId w:val="31"/>
  </w:num>
  <w:num w:numId="34" w16cid:durableId="2062628294">
    <w:abstractNumId w:val="20"/>
  </w:num>
  <w:num w:numId="35" w16cid:durableId="902721515">
    <w:abstractNumId w:val="17"/>
  </w:num>
  <w:num w:numId="36" w16cid:durableId="236213340">
    <w:abstractNumId w:val="22"/>
  </w:num>
  <w:num w:numId="37" w16cid:durableId="213976032">
    <w:abstractNumId w:val="28"/>
  </w:num>
  <w:num w:numId="38" w16cid:durableId="1399521604">
    <w:abstractNumId w:val="25"/>
  </w:num>
  <w:num w:numId="39" w16cid:durableId="1245337613">
    <w:abstractNumId w:val="13"/>
  </w:num>
  <w:num w:numId="40" w16cid:durableId="75710970">
    <w:abstractNumId w:val="30"/>
  </w:num>
  <w:num w:numId="41" w16cid:durableId="555822482">
    <w:abstractNumId w:val="29"/>
  </w:num>
  <w:num w:numId="42" w16cid:durableId="1780637227">
    <w:abstractNumId w:val="21"/>
  </w:num>
  <w:num w:numId="43" w16cid:durableId="1448890633">
    <w:abstractNumId w:val="35"/>
  </w:num>
  <w:num w:numId="44" w16cid:durableId="1934976863">
    <w:abstractNumId w:val="12"/>
  </w:num>
  <w:num w:numId="45" w16cid:durableId="6223496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EF"/>
    <w:rsid w:val="000012DA"/>
    <w:rsid w:val="0000246E"/>
    <w:rsid w:val="0000270E"/>
    <w:rsid w:val="00003862"/>
    <w:rsid w:val="000055DF"/>
    <w:rsid w:val="00012A35"/>
    <w:rsid w:val="00016099"/>
    <w:rsid w:val="00017DC2"/>
    <w:rsid w:val="00021522"/>
    <w:rsid w:val="00023471"/>
    <w:rsid w:val="00023DED"/>
    <w:rsid w:val="00023F13"/>
    <w:rsid w:val="00030634"/>
    <w:rsid w:val="000319C1"/>
    <w:rsid w:val="00031A8B"/>
    <w:rsid w:val="00031BCA"/>
    <w:rsid w:val="000330FA"/>
    <w:rsid w:val="0003362F"/>
    <w:rsid w:val="00036B63"/>
    <w:rsid w:val="00037E1A"/>
    <w:rsid w:val="00043495"/>
    <w:rsid w:val="000458AC"/>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0682"/>
    <w:rsid w:val="000814A7"/>
    <w:rsid w:val="0008557B"/>
    <w:rsid w:val="00085CE7"/>
    <w:rsid w:val="000906EE"/>
    <w:rsid w:val="00091BA2"/>
    <w:rsid w:val="000944EF"/>
    <w:rsid w:val="0009686D"/>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605"/>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2998"/>
    <w:rsid w:val="0011493E"/>
    <w:rsid w:val="00115B72"/>
    <w:rsid w:val="001209EC"/>
    <w:rsid w:val="00120A9E"/>
    <w:rsid w:val="00125A9C"/>
    <w:rsid w:val="001270A2"/>
    <w:rsid w:val="00131237"/>
    <w:rsid w:val="00131664"/>
    <w:rsid w:val="0013213A"/>
    <w:rsid w:val="001329AC"/>
    <w:rsid w:val="00134CA0"/>
    <w:rsid w:val="0014026F"/>
    <w:rsid w:val="00141498"/>
    <w:rsid w:val="00147A47"/>
    <w:rsid w:val="00147AA1"/>
    <w:rsid w:val="001520CF"/>
    <w:rsid w:val="0015667C"/>
    <w:rsid w:val="00157110"/>
    <w:rsid w:val="0015742A"/>
    <w:rsid w:val="00157DA1"/>
    <w:rsid w:val="0016107B"/>
    <w:rsid w:val="00163147"/>
    <w:rsid w:val="00164C57"/>
    <w:rsid w:val="00164C9D"/>
    <w:rsid w:val="00172F7A"/>
    <w:rsid w:val="00173150"/>
    <w:rsid w:val="00173390"/>
    <w:rsid w:val="001736F0"/>
    <w:rsid w:val="00173BB3"/>
    <w:rsid w:val="001740D0"/>
    <w:rsid w:val="00174F2C"/>
    <w:rsid w:val="00176FEF"/>
    <w:rsid w:val="00180F2A"/>
    <w:rsid w:val="0018174D"/>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36E4"/>
    <w:rsid w:val="002555D4"/>
    <w:rsid w:val="00261A16"/>
    <w:rsid w:val="00263522"/>
    <w:rsid w:val="00264EC6"/>
    <w:rsid w:val="002663B8"/>
    <w:rsid w:val="00271013"/>
    <w:rsid w:val="00273E1F"/>
    <w:rsid w:val="00273FE4"/>
    <w:rsid w:val="002765B4"/>
    <w:rsid w:val="00276A94"/>
    <w:rsid w:val="002874D2"/>
    <w:rsid w:val="0029405D"/>
    <w:rsid w:val="00294FA6"/>
    <w:rsid w:val="00295A6F"/>
    <w:rsid w:val="002A20C4"/>
    <w:rsid w:val="002A570F"/>
    <w:rsid w:val="002A7292"/>
    <w:rsid w:val="002A7358"/>
    <w:rsid w:val="002A7902"/>
    <w:rsid w:val="002B0169"/>
    <w:rsid w:val="002B0F6B"/>
    <w:rsid w:val="002B23B8"/>
    <w:rsid w:val="002B4429"/>
    <w:rsid w:val="002B68A6"/>
    <w:rsid w:val="002B7FAF"/>
    <w:rsid w:val="002D0C4F"/>
    <w:rsid w:val="002D1364"/>
    <w:rsid w:val="002D3E3B"/>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1799F"/>
    <w:rsid w:val="00321080"/>
    <w:rsid w:val="00322D45"/>
    <w:rsid w:val="0032569A"/>
    <w:rsid w:val="00325A1F"/>
    <w:rsid w:val="003268F9"/>
    <w:rsid w:val="00330BAF"/>
    <w:rsid w:val="00334E3A"/>
    <w:rsid w:val="003361DD"/>
    <w:rsid w:val="00341A6A"/>
    <w:rsid w:val="00345B9C"/>
    <w:rsid w:val="00352DAE"/>
    <w:rsid w:val="00354EB9"/>
    <w:rsid w:val="00356973"/>
    <w:rsid w:val="003602AE"/>
    <w:rsid w:val="00360785"/>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3714"/>
    <w:rsid w:val="00394423"/>
    <w:rsid w:val="00396942"/>
    <w:rsid w:val="00396B49"/>
    <w:rsid w:val="00396E3E"/>
    <w:rsid w:val="003A306E"/>
    <w:rsid w:val="003A3A6A"/>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3A1"/>
    <w:rsid w:val="00401C84"/>
    <w:rsid w:val="00403210"/>
    <w:rsid w:val="004035BB"/>
    <w:rsid w:val="004035EB"/>
    <w:rsid w:val="00404DAD"/>
    <w:rsid w:val="00407332"/>
    <w:rsid w:val="00407828"/>
    <w:rsid w:val="00413D8E"/>
    <w:rsid w:val="004140F2"/>
    <w:rsid w:val="00417B22"/>
    <w:rsid w:val="00421085"/>
    <w:rsid w:val="00422511"/>
    <w:rsid w:val="0042465E"/>
    <w:rsid w:val="00424DF7"/>
    <w:rsid w:val="00431A48"/>
    <w:rsid w:val="00432B76"/>
    <w:rsid w:val="00434D01"/>
    <w:rsid w:val="00435D26"/>
    <w:rsid w:val="00440C99"/>
    <w:rsid w:val="0044175C"/>
    <w:rsid w:val="00445F4D"/>
    <w:rsid w:val="0044694E"/>
    <w:rsid w:val="004504C0"/>
    <w:rsid w:val="004550FB"/>
    <w:rsid w:val="0046111A"/>
    <w:rsid w:val="00462946"/>
    <w:rsid w:val="00463D9D"/>
    <w:rsid w:val="00463F43"/>
    <w:rsid w:val="00464B94"/>
    <w:rsid w:val="004653A8"/>
    <w:rsid w:val="00465A0B"/>
    <w:rsid w:val="0046643D"/>
    <w:rsid w:val="004702D5"/>
    <w:rsid w:val="0047077C"/>
    <w:rsid w:val="00470B05"/>
    <w:rsid w:val="0047207C"/>
    <w:rsid w:val="00472CD6"/>
    <w:rsid w:val="00474E3C"/>
    <w:rsid w:val="00477FE2"/>
    <w:rsid w:val="00480A58"/>
    <w:rsid w:val="00482151"/>
    <w:rsid w:val="00485FAD"/>
    <w:rsid w:val="00487AED"/>
    <w:rsid w:val="00487F06"/>
    <w:rsid w:val="00491EDF"/>
    <w:rsid w:val="00492A3F"/>
    <w:rsid w:val="004939D2"/>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23C"/>
    <w:rsid w:val="00503AF3"/>
    <w:rsid w:val="0050696D"/>
    <w:rsid w:val="0051094B"/>
    <w:rsid w:val="005110D7"/>
    <w:rsid w:val="00511D99"/>
    <w:rsid w:val="005128D3"/>
    <w:rsid w:val="005147E8"/>
    <w:rsid w:val="005158F2"/>
    <w:rsid w:val="00526DFC"/>
    <w:rsid w:val="00526F43"/>
    <w:rsid w:val="00527651"/>
    <w:rsid w:val="00535D9B"/>
    <w:rsid w:val="005363AB"/>
    <w:rsid w:val="005425E6"/>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3B3E"/>
    <w:rsid w:val="00597024"/>
    <w:rsid w:val="00597319"/>
    <w:rsid w:val="005A0274"/>
    <w:rsid w:val="005A095C"/>
    <w:rsid w:val="005A669D"/>
    <w:rsid w:val="005A75D8"/>
    <w:rsid w:val="005B713E"/>
    <w:rsid w:val="005C03B6"/>
    <w:rsid w:val="005C04A9"/>
    <w:rsid w:val="005C348E"/>
    <w:rsid w:val="005C68E1"/>
    <w:rsid w:val="005D1E96"/>
    <w:rsid w:val="005D3763"/>
    <w:rsid w:val="005D55E1"/>
    <w:rsid w:val="005E19F7"/>
    <w:rsid w:val="005E4F04"/>
    <w:rsid w:val="005E62C2"/>
    <w:rsid w:val="005E6C71"/>
    <w:rsid w:val="005F0963"/>
    <w:rsid w:val="005F2824"/>
    <w:rsid w:val="005F2EBA"/>
    <w:rsid w:val="005F35ED"/>
    <w:rsid w:val="005F7812"/>
    <w:rsid w:val="005F7A88"/>
    <w:rsid w:val="006013BE"/>
    <w:rsid w:val="00603A1A"/>
    <w:rsid w:val="006046D5"/>
    <w:rsid w:val="00607A93"/>
    <w:rsid w:val="00610C08"/>
    <w:rsid w:val="00611F74"/>
    <w:rsid w:val="00615772"/>
    <w:rsid w:val="00621256"/>
    <w:rsid w:val="00621FCC"/>
    <w:rsid w:val="00622E4B"/>
    <w:rsid w:val="006333DA"/>
    <w:rsid w:val="006337DC"/>
    <w:rsid w:val="00635134"/>
    <w:rsid w:val="006356E2"/>
    <w:rsid w:val="00642A65"/>
    <w:rsid w:val="00645DCE"/>
    <w:rsid w:val="006465AC"/>
    <w:rsid w:val="006465BF"/>
    <w:rsid w:val="00653B22"/>
    <w:rsid w:val="00657BF4"/>
    <w:rsid w:val="00657D92"/>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473"/>
    <w:rsid w:val="006A35D5"/>
    <w:rsid w:val="006A748A"/>
    <w:rsid w:val="006C0041"/>
    <w:rsid w:val="006C08C8"/>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0EC4"/>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3A9A"/>
    <w:rsid w:val="0078498A"/>
    <w:rsid w:val="007878FE"/>
    <w:rsid w:val="00792207"/>
    <w:rsid w:val="00792B64"/>
    <w:rsid w:val="00792E29"/>
    <w:rsid w:val="0079379A"/>
    <w:rsid w:val="00794953"/>
    <w:rsid w:val="007A1F2F"/>
    <w:rsid w:val="007A2A5C"/>
    <w:rsid w:val="007A5150"/>
    <w:rsid w:val="007A5373"/>
    <w:rsid w:val="007A789F"/>
    <w:rsid w:val="007B0DA4"/>
    <w:rsid w:val="007B75BC"/>
    <w:rsid w:val="007C0BD6"/>
    <w:rsid w:val="007C26A9"/>
    <w:rsid w:val="007C3806"/>
    <w:rsid w:val="007C5BB7"/>
    <w:rsid w:val="007D07D5"/>
    <w:rsid w:val="007D1C64"/>
    <w:rsid w:val="007D32DD"/>
    <w:rsid w:val="007D6DCE"/>
    <w:rsid w:val="007D72C4"/>
    <w:rsid w:val="007E2CFE"/>
    <w:rsid w:val="007E59C9"/>
    <w:rsid w:val="007E75F0"/>
    <w:rsid w:val="007F0072"/>
    <w:rsid w:val="007F2EB6"/>
    <w:rsid w:val="007F54C3"/>
    <w:rsid w:val="00802949"/>
    <w:rsid w:val="0080301E"/>
    <w:rsid w:val="0080365F"/>
    <w:rsid w:val="00812BE5"/>
    <w:rsid w:val="00817429"/>
    <w:rsid w:val="00821514"/>
    <w:rsid w:val="00821517"/>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171A"/>
    <w:rsid w:val="00852B59"/>
    <w:rsid w:val="00856272"/>
    <w:rsid w:val="008563FF"/>
    <w:rsid w:val="0086018B"/>
    <w:rsid w:val="008611DD"/>
    <w:rsid w:val="008620DE"/>
    <w:rsid w:val="00866251"/>
    <w:rsid w:val="00866867"/>
    <w:rsid w:val="008707C3"/>
    <w:rsid w:val="00870B85"/>
    <w:rsid w:val="00872257"/>
    <w:rsid w:val="008753E6"/>
    <w:rsid w:val="0087738C"/>
    <w:rsid w:val="008802AF"/>
    <w:rsid w:val="00881926"/>
    <w:rsid w:val="0088318F"/>
    <w:rsid w:val="0088331D"/>
    <w:rsid w:val="008852B0"/>
    <w:rsid w:val="00885AE7"/>
    <w:rsid w:val="00886B60"/>
    <w:rsid w:val="00887889"/>
    <w:rsid w:val="008920FF"/>
    <w:rsid w:val="008926E8"/>
    <w:rsid w:val="00893C36"/>
    <w:rsid w:val="00894F19"/>
    <w:rsid w:val="00896A10"/>
    <w:rsid w:val="008971B5"/>
    <w:rsid w:val="008A5D26"/>
    <w:rsid w:val="008A6B13"/>
    <w:rsid w:val="008A6ECB"/>
    <w:rsid w:val="008B0BF9"/>
    <w:rsid w:val="008B2866"/>
    <w:rsid w:val="008B3859"/>
    <w:rsid w:val="008B436D"/>
    <w:rsid w:val="008B4E49"/>
    <w:rsid w:val="008B5AD4"/>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75B"/>
    <w:rsid w:val="00913A42"/>
    <w:rsid w:val="00914167"/>
    <w:rsid w:val="009143DB"/>
    <w:rsid w:val="00915065"/>
    <w:rsid w:val="009152D7"/>
    <w:rsid w:val="00917CE5"/>
    <w:rsid w:val="009217C0"/>
    <w:rsid w:val="00925034"/>
    <w:rsid w:val="00925241"/>
    <w:rsid w:val="00925CEC"/>
    <w:rsid w:val="00926A3F"/>
    <w:rsid w:val="0092794E"/>
    <w:rsid w:val="00930D30"/>
    <w:rsid w:val="009332A2"/>
    <w:rsid w:val="00937598"/>
    <w:rsid w:val="0093790B"/>
    <w:rsid w:val="00943751"/>
    <w:rsid w:val="0094457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6E7A"/>
    <w:rsid w:val="009A7A53"/>
    <w:rsid w:val="009B0402"/>
    <w:rsid w:val="009B0B75"/>
    <w:rsid w:val="009B16DF"/>
    <w:rsid w:val="009B4CB2"/>
    <w:rsid w:val="009B6701"/>
    <w:rsid w:val="009B6EF7"/>
    <w:rsid w:val="009B7000"/>
    <w:rsid w:val="009B739C"/>
    <w:rsid w:val="009B7E79"/>
    <w:rsid w:val="009C04EC"/>
    <w:rsid w:val="009C1D79"/>
    <w:rsid w:val="009C328C"/>
    <w:rsid w:val="009C4444"/>
    <w:rsid w:val="009C79AD"/>
    <w:rsid w:val="009C7B2B"/>
    <w:rsid w:val="009C7CA6"/>
    <w:rsid w:val="009D2BDE"/>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561B"/>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87DB8"/>
    <w:rsid w:val="00A94574"/>
    <w:rsid w:val="00A95936"/>
    <w:rsid w:val="00A96265"/>
    <w:rsid w:val="00A97084"/>
    <w:rsid w:val="00AA1C2C"/>
    <w:rsid w:val="00AA35F6"/>
    <w:rsid w:val="00AA557E"/>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38E1"/>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2D2C"/>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2034"/>
    <w:rsid w:val="00B830B7"/>
    <w:rsid w:val="00B848EA"/>
    <w:rsid w:val="00B84B2B"/>
    <w:rsid w:val="00B90500"/>
    <w:rsid w:val="00B9176C"/>
    <w:rsid w:val="00B935A4"/>
    <w:rsid w:val="00BA561A"/>
    <w:rsid w:val="00BB0DC6"/>
    <w:rsid w:val="00BB15E4"/>
    <w:rsid w:val="00BB1E19"/>
    <w:rsid w:val="00BB21D1"/>
    <w:rsid w:val="00BB32F2"/>
    <w:rsid w:val="00BB4338"/>
    <w:rsid w:val="00BB4479"/>
    <w:rsid w:val="00BB6C0E"/>
    <w:rsid w:val="00BB7B38"/>
    <w:rsid w:val="00BB7FB5"/>
    <w:rsid w:val="00BC11E5"/>
    <w:rsid w:val="00BC4BC6"/>
    <w:rsid w:val="00BC52FD"/>
    <w:rsid w:val="00BC6E62"/>
    <w:rsid w:val="00BC7443"/>
    <w:rsid w:val="00BD0648"/>
    <w:rsid w:val="00BD1040"/>
    <w:rsid w:val="00BD1622"/>
    <w:rsid w:val="00BD34AA"/>
    <w:rsid w:val="00BD7287"/>
    <w:rsid w:val="00BE0C44"/>
    <w:rsid w:val="00BE1568"/>
    <w:rsid w:val="00BE1B8B"/>
    <w:rsid w:val="00BE2A18"/>
    <w:rsid w:val="00BE2C01"/>
    <w:rsid w:val="00BE41EC"/>
    <w:rsid w:val="00BE56FB"/>
    <w:rsid w:val="00BF3DDE"/>
    <w:rsid w:val="00BF6589"/>
    <w:rsid w:val="00BF6F7F"/>
    <w:rsid w:val="00C00647"/>
    <w:rsid w:val="00C02764"/>
    <w:rsid w:val="00C04CEF"/>
    <w:rsid w:val="00C0662F"/>
    <w:rsid w:val="00C11943"/>
    <w:rsid w:val="00C12336"/>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07B9"/>
    <w:rsid w:val="00C6197B"/>
    <w:rsid w:val="00C64C50"/>
    <w:rsid w:val="00C667BE"/>
    <w:rsid w:val="00C6766B"/>
    <w:rsid w:val="00C72223"/>
    <w:rsid w:val="00C75406"/>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4393"/>
    <w:rsid w:val="00CB59E9"/>
    <w:rsid w:val="00CC0D6A"/>
    <w:rsid w:val="00CC3831"/>
    <w:rsid w:val="00CC3879"/>
    <w:rsid w:val="00CC3E3D"/>
    <w:rsid w:val="00CC4B85"/>
    <w:rsid w:val="00CC4F54"/>
    <w:rsid w:val="00CC519B"/>
    <w:rsid w:val="00CC7979"/>
    <w:rsid w:val="00CD0836"/>
    <w:rsid w:val="00CD12C1"/>
    <w:rsid w:val="00CD214E"/>
    <w:rsid w:val="00CD46FA"/>
    <w:rsid w:val="00CD5973"/>
    <w:rsid w:val="00CE31A6"/>
    <w:rsid w:val="00CF09AA"/>
    <w:rsid w:val="00CF4813"/>
    <w:rsid w:val="00CF5233"/>
    <w:rsid w:val="00D029B8"/>
    <w:rsid w:val="00D02F60"/>
    <w:rsid w:val="00D0464E"/>
    <w:rsid w:val="00D04A96"/>
    <w:rsid w:val="00D078B2"/>
    <w:rsid w:val="00D07A7B"/>
    <w:rsid w:val="00D10E06"/>
    <w:rsid w:val="00D15197"/>
    <w:rsid w:val="00D16820"/>
    <w:rsid w:val="00D169C8"/>
    <w:rsid w:val="00D1793F"/>
    <w:rsid w:val="00D22AF5"/>
    <w:rsid w:val="00D235EA"/>
    <w:rsid w:val="00D247A9"/>
    <w:rsid w:val="00D316AA"/>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1F33"/>
    <w:rsid w:val="00DE2901"/>
    <w:rsid w:val="00DE590F"/>
    <w:rsid w:val="00DE7DC1"/>
    <w:rsid w:val="00DF3F7E"/>
    <w:rsid w:val="00DF7648"/>
    <w:rsid w:val="00E00E29"/>
    <w:rsid w:val="00E02BAB"/>
    <w:rsid w:val="00E04CEB"/>
    <w:rsid w:val="00E060BC"/>
    <w:rsid w:val="00E11420"/>
    <w:rsid w:val="00E132FB"/>
    <w:rsid w:val="00E170B7"/>
    <w:rsid w:val="00E177DD"/>
    <w:rsid w:val="00E17FC8"/>
    <w:rsid w:val="00E20900"/>
    <w:rsid w:val="00E20C7F"/>
    <w:rsid w:val="00E2396E"/>
    <w:rsid w:val="00E24728"/>
    <w:rsid w:val="00E276AC"/>
    <w:rsid w:val="00E34A35"/>
    <w:rsid w:val="00E370DA"/>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3DEC"/>
    <w:rsid w:val="00E75DDA"/>
    <w:rsid w:val="00E773E8"/>
    <w:rsid w:val="00E83ADD"/>
    <w:rsid w:val="00E84F38"/>
    <w:rsid w:val="00E85623"/>
    <w:rsid w:val="00E87441"/>
    <w:rsid w:val="00E91FAE"/>
    <w:rsid w:val="00E95DF1"/>
    <w:rsid w:val="00E96E3F"/>
    <w:rsid w:val="00EA270C"/>
    <w:rsid w:val="00EA4974"/>
    <w:rsid w:val="00EA532E"/>
    <w:rsid w:val="00EB06D9"/>
    <w:rsid w:val="00EB192B"/>
    <w:rsid w:val="00EB19ED"/>
    <w:rsid w:val="00EB1CAB"/>
    <w:rsid w:val="00EB3CEE"/>
    <w:rsid w:val="00EB41A1"/>
    <w:rsid w:val="00EC0F5A"/>
    <w:rsid w:val="00EC4265"/>
    <w:rsid w:val="00EC4CEB"/>
    <w:rsid w:val="00EC659E"/>
    <w:rsid w:val="00EC6EA3"/>
    <w:rsid w:val="00ED2072"/>
    <w:rsid w:val="00ED2AE0"/>
    <w:rsid w:val="00ED5553"/>
    <w:rsid w:val="00ED5E36"/>
    <w:rsid w:val="00ED6961"/>
    <w:rsid w:val="00ED6FA6"/>
    <w:rsid w:val="00EF0B96"/>
    <w:rsid w:val="00EF3486"/>
    <w:rsid w:val="00EF47AF"/>
    <w:rsid w:val="00EF53B6"/>
    <w:rsid w:val="00F00B73"/>
    <w:rsid w:val="00F03370"/>
    <w:rsid w:val="00F0794F"/>
    <w:rsid w:val="00F115CA"/>
    <w:rsid w:val="00F14817"/>
    <w:rsid w:val="00F14EBA"/>
    <w:rsid w:val="00F1510F"/>
    <w:rsid w:val="00F1533A"/>
    <w:rsid w:val="00F15E5A"/>
    <w:rsid w:val="00F17F0A"/>
    <w:rsid w:val="00F2668F"/>
    <w:rsid w:val="00F2742F"/>
    <w:rsid w:val="00F2753B"/>
    <w:rsid w:val="00F275AF"/>
    <w:rsid w:val="00F33F8B"/>
    <w:rsid w:val="00F340B2"/>
    <w:rsid w:val="00F43390"/>
    <w:rsid w:val="00F443B2"/>
    <w:rsid w:val="00F458D8"/>
    <w:rsid w:val="00F50237"/>
    <w:rsid w:val="00F53596"/>
    <w:rsid w:val="00F54E44"/>
    <w:rsid w:val="00F55BA8"/>
    <w:rsid w:val="00F55DB1"/>
    <w:rsid w:val="00F56ACA"/>
    <w:rsid w:val="00F600FE"/>
    <w:rsid w:val="00F62E4D"/>
    <w:rsid w:val="00F66B34"/>
    <w:rsid w:val="00F675B9"/>
    <w:rsid w:val="00F711C9"/>
    <w:rsid w:val="00F74908"/>
    <w:rsid w:val="00F74C59"/>
    <w:rsid w:val="00F75C3A"/>
    <w:rsid w:val="00F82E30"/>
    <w:rsid w:val="00F831CB"/>
    <w:rsid w:val="00F848A3"/>
    <w:rsid w:val="00F84ACF"/>
    <w:rsid w:val="00F85742"/>
    <w:rsid w:val="00F85BF8"/>
    <w:rsid w:val="00F871CE"/>
    <w:rsid w:val="00F87802"/>
    <w:rsid w:val="00F92C0A"/>
    <w:rsid w:val="00F9415B"/>
    <w:rsid w:val="00F969C3"/>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6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6FEF"/>
    <w:pPr>
      <w:widowControl w:val="0"/>
      <w:autoSpaceDE w:val="0"/>
      <w:autoSpaceDN w:val="0"/>
      <w:adjustRightInd w:val="0"/>
    </w:pPr>
    <w:rPr>
      <w:rFonts w:ascii="Times New Roman" w:hAnsi="Times New Roman"/>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hAnsi="Times"/>
      <w:kern w:val="1"/>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hAnsi="Times"/>
      <w:kern w:val="1"/>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hAnsi="Times"/>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4939D2"/>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0AF0E-7EDC-4EED-9A21-4DD3077C81AB}">
  <ds:schemaRefs>
    <ds:schemaRef ds:uri="http://schemas.openxmlformats.org/officeDocument/2006/bibliography"/>
  </ds:schemaRefs>
</ds:datastoreItem>
</file>

<file path=customXml/itemProps3.xml><?xml version="1.0" encoding="utf-8"?>
<ds:datastoreItem xmlns:ds="http://schemas.openxmlformats.org/officeDocument/2006/customXml" ds:itemID="{BE53DB89-505B-48B9-81ED-21BE9779018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5093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2024-12-27T07:33:00Z</dcterms:created>
  <dcterms:modified xsi:type="dcterms:W3CDTF">2024-12-27T07:33:00Z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19964443-9c60-439b-9cfb-968ca8549a22</vt:lpwstr>
  </property>
  <property fmtid="{D5CDD505-2E9C-101B-9397-08002B2CF9AE}" pid="3" name="bjSaver">
    <vt:lpwstr>ncAzvxT5xqGK261VLZf3opuyzC+YaxXO</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