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A1C9A" w14:textId="5E5F5E6E" w:rsidR="00151E27" w:rsidRPr="00B94B3F" w:rsidRDefault="002C67DF" w:rsidP="00B94B3F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5300086"/>
      <w:r w:rsidRPr="00B94B3F">
        <w:rPr>
          <w:rFonts w:ascii="Times New Roman" w:hAnsi="Times New Roman" w:cs="Times New Roman"/>
          <w:sz w:val="24"/>
          <w:szCs w:val="24"/>
        </w:rPr>
        <w:t>UZASADNIENIE</w:t>
      </w:r>
    </w:p>
    <w:bookmarkEnd w:id="0"/>
    <w:p w14:paraId="5C75B151" w14:textId="16168C8F" w:rsidR="002C67DF" w:rsidRPr="009C2DB6" w:rsidRDefault="002C67DF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Zgodnie z art. 53a ust. 1 ustawy z dnia 29 czerwca 2011 r. o przygotowaniu</w:t>
      </w:r>
      <w:r w:rsidRPr="009C2DB6">
        <w:rPr>
          <w:rFonts w:ascii="Times New Roman" w:hAnsi="Times New Roman" w:cs="Times New Roman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i realizacji inwestycji w zakresie obiektów energetyki jądrowej oraz inwestycji towarzyszących (Dz. U. z 2024 r. poz. </w:t>
      </w:r>
      <w:r w:rsidR="00E34759" w:rsidRPr="009C2DB6">
        <w:rPr>
          <w:rFonts w:ascii="Times New Roman" w:hAnsi="Times New Roman" w:cs="Times New Roman"/>
          <w:color w:val="000000"/>
          <w:sz w:val="24"/>
          <w:szCs w:val="24"/>
        </w:rPr>
        <w:t>1410</w:t>
      </w:r>
      <w:r w:rsidR="001A2214" w:rsidRPr="009C2DB6">
        <w:rPr>
          <w:rFonts w:ascii="Times New Roman" w:hAnsi="Times New Roman" w:cs="Times New Roman"/>
          <w:color w:val="000000"/>
          <w:sz w:val="24"/>
          <w:szCs w:val="24"/>
        </w:rPr>
        <w:t>, z późn. zm.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), zwanej dalej „specustawą jądrową”, spółka Polskie Elektrownie Jądrow</w:t>
      </w:r>
      <w:r w:rsidR="00C5605F" w:rsidRPr="009C2D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A2F" w:rsidRPr="009C2DB6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2A18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A2A18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o.o.</w:t>
      </w:r>
      <w:r w:rsidR="00DA2A18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 siedzibą w</w:t>
      </w:r>
      <w:r w:rsidR="005E6AE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Warszawie, zwana dalej „spółką PEJ”, odpowiada za przygotowanie i realizację inwestycji polegającej na </w:t>
      </w:r>
      <w:r w:rsidRPr="009C2DB6">
        <w:rPr>
          <w:rFonts w:ascii="Times New Roman" w:hAnsi="Times New Roman" w:cs="Times New Roman"/>
          <w:sz w:val="24"/>
          <w:szCs w:val="24"/>
        </w:rPr>
        <w:t>b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udowie i eksploatacji pierwszej w</w:t>
      </w:r>
      <w:r w:rsidR="005F1983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Polsce elektrowni jądrowej, o mocy elektrycznej do</w:t>
      </w:r>
      <w:r w:rsidR="005E6AE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3750 MWe, na obszarze gmin Choczewo lub Gniewino i Krokowa, zwanej dalej „inwestycją w zakresie EJ1”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lub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>„Projektem”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8833CC" w14:textId="532845EA" w:rsidR="002C67DF" w:rsidRPr="009C2DB6" w:rsidRDefault="002C67DF" w:rsidP="009A185A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Inwestycja w zakresie EJ1 jest unikatowym 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>przedsięwzięciem inwestycyjnym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w historii Rzeczypospolitej Polskiej, którego skala, znaczenie dla interesu państwa i jego bezpieczeństwa energetycznego, a także związane z</w:t>
      </w:r>
      <w:r w:rsidR="00E2372E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nim</w:t>
      </w:r>
      <w:r w:rsidR="00E2372E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ryzyka mają precedensowy charakter. Efektem inwestycji w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zakresie EJ1 będzie przyłączenie do sieci nowych, dyspozycyjnych 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bezemisyjnych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bloków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wytwarzających energię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elektryczną, co pozwoli na zabezpieczenie funkcjonowania Krajowego Systemu Elektroenergetycznego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. Istotności 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>Projektu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dowodzi analiza planów wyłączania mocy wytwórczych, w szczególności elektrowni wytwarzają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>cych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energię elektryczną z paliw kopalnych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>, z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której wynika, że – bez interwencji w postaci budowy nowych źródeł dyspozycyjnych – </w:t>
      </w:r>
      <w:r w:rsidR="00C5605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będzie 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zagrożona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ciągłość i stabilność w zakresie zapewnienia dostaw energii elektrycznej w Rzeczypospolitej Polskiej. Realizacja </w:t>
      </w:r>
      <w:r w:rsidR="002E270C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inwestycji 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zakresie EJ1 </w:t>
      </w:r>
      <w:r w:rsidR="002E270C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jest również istotna z uwagi na zobowiązania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Rzeczypospolitej Polskiej w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zakresie redukcji emisji gazów cieplarnianych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(tj. politykę odchodzenia od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>stosowania w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344B" w:rsidRPr="009C2DB6">
        <w:rPr>
          <w:rFonts w:ascii="Times New Roman" w:hAnsi="Times New Roman" w:cs="Times New Roman"/>
          <w:color w:val="000000"/>
          <w:sz w:val="24"/>
          <w:szCs w:val="24"/>
        </w:rPr>
        <w:t>systemach energetycznych źródeł wytwarzania energii opartych na paliwach kopalnych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E270C" w:rsidRPr="009C2D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9CE25F" w14:textId="2AA7D41F" w:rsidR="00AC7B13" w:rsidRPr="009C2DB6" w:rsidRDefault="00C5605F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Należy w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skazać, że w przypadku inwestycji w zakresie EJ1 wystąpi konieczność zaciągnięcia </w:t>
      </w:r>
      <w:r w:rsidR="00E34759" w:rsidRPr="009C2DB6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="00696CC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34759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spółkę PEJ 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>znacznych zobowiązań w ramach prowadzenia prac przygotowawczych, kontraktowych i</w:t>
      </w:r>
      <w:r w:rsidR="00E34759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>projektowych oraz</w:t>
      </w:r>
      <w:r w:rsidR="009A1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>postępowań w sprawie uzyskania niezbędnych zezwoleń, a także zawarcia umów finansowych. Brak możliwości podjęcia takich zobowiązań skutkowałby negatywnymi konsekwencjami dla realizacji harmonogramu inwestycji w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zakresie EJ1.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>przy tym</w:t>
      </w:r>
      <w:r w:rsidR="00B906B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podkreślić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>, że spółka PEJ co do zasady nie świadczy usług i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>nie generuje dochodów. Co za tym idzie, funkcjonowanie spółki PEJ i wypełnienie przez nią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>zadań nałożonych przepisami prawa wymaga wsparcia publicznego.</w:t>
      </w:r>
    </w:p>
    <w:p w14:paraId="312CB09C" w14:textId="3F49B155" w:rsidR="00AC7B13" w:rsidRPr="009C2DB6" w:rsidRDefault="00AC7B13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Zgodnie z założeniami dotyczącymi modelu finansowania inwestycji w zakresie EJ1 Skarb Państwa jest</w:t>
      </w:r>
      <w:r w:rsidR="00305BE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bezpośrednio zaangażowany w jej realizację, zarówno w roli bezpośredniego inwestora</w:t>
      </w:r>
      <w:r w:rsidR="009A18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jak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i gwaranta wierzytelności innych kredytodawców, a Projekt ma zostać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lastRenderedPageBreak/>
        <w:t>sfinansowany w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305BE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kapitału własnego i w 70</w:t>
      </w:r>
      <w:r w:rsidR="00E81CF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% z kapitału obcego. Założono, że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finansowanie zewnętrzne będzie zaciągane po wniesieniu w całości wkładu własnego właściciela, zgodnie z zasadą </w:t>
      </w:r>
      <w:r w:rsidRPr="009C2D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equity first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. Co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tym idzie, projekt ustawy przewiduje zapewnienie finansowania inwestycji w wysokości 60,2 mld zł w ramach dokapitalizowania spółki PEJ przez Skarb Państwa w latach 2025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2030. Pozostała kwota zostanie pozyskana z instytucji finansowych, przede wszystkim zagranicznych instytucji wspierających eksport wywodzących się z państw dostawców sprzętu, w tym agencji kredytów eksportowych, w szczególności amerykańskiej agencji kredytów eksportowych </w:t>
      </w:r>
      <w:r w:rsidRPr="00B94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Export-Import Bank of</w:t>
      </w:r>
      <w:r w:rsidR="004E5E85" w:rsidRPr="00B94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94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United States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A62F06" w14:textId="6D0C6D83" w:rsidR="00E2372E" w:rsidRPr="009C2DB6" w:rsidRDefault="00C5605F" w:rsidP="00B94B3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Należy w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skazać, że w obowiązującym porządku prawnym nie ma przepisów umożliwiających wsparcie spółki PEJ na odpowiednim do skali jej inwestycji i stojących przed nią wyzwań poziomie i takie możliwości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są 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>wprowadzane proponowanym projektem ustawy o zmianie ustawy o przygotowaniu i realizacji inwestycji w zakresie obiektów energetyki jądrowej oraz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>inwestycji towarzyszących oraz </w:t>
      </w:r>
      <w:r w:rsidR="004E5E85" w:rsidRPr="009C2DB6">
        <w:rPr>
          <w:rFonts w:ascii="Times New Roman" w:hAnsi="Times New Roman" w:cs="Times New Roman"/>
          <w:color w:val="000000"/>
          <w:sz w:val="24"/>
          <w:szCs w:val="24"/>
        </w:rPr>
        <w:t>ustawy o wpłatach z zysku przez jednoosobowe spółki Skarbu Państwa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>, zwanym dalej „projektem ustawy”.</w:t>
      </w:r>
      <w:r w:rsidR="002C67D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13B6D6" w14:textId="0817363C" w:rsidR="00E2372E" w:rsidRPr="009C2DB6" w:rsidRDefault="00E2372E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Odnosząc się do głównych rozwiązań zaproponowanych w projekcie 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C5605F" w:rsidRPr="009C2D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05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wskazać, że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przewidziano</w:t>
      </w:r>
      <w:r w:rsidR="00AC7B13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w nim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F3D32A" w14:textId="22FE4BAF" w:rsidR="00E2372E" w:rsidRPr="009C2DB6" w:rsidRDefault="00E2372E" w:rsidP="00B94B3F">
      <w:pPr>
        <w:pStyle w:val="Akapitzlist"/>
        <w:numPr>
          <w:ilvl w:val="0"/>
          <w:numId w:val="2"/>
        </w:numPr>
        <w:spacing w:line="36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C2DB6">
        <w:rPr>
          <w:rFonts w:ascii="Times New Roman" w:hAnsi="Times New Roman"/>
          <w:color w:val="000000"/>
          <w:sz w:val="24"/>
          <w:szCs w:val="24"/>
        </w:rPr>
        <w:t>ż</w:t>
      </w:r>
      <w:r w:rsidR="00953B5A" w:rsidRPr="009C2DB6">
        <w:rPr>
          <w:rFonts w:ascii="Times New Roman" w:hAnsi="Times New Roman"/>
          <w:color w:val="000000"/>
          <w:sz w:val="24"/>
          <w:szCs w:val="24"/>
        </w:rPr>
        <w:t>e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 spółka PEJ uzyska wsparcie publiczne na przygotowanie i realizację inwestycji w</w:t>
      </w:r>
      <w:r w:rsidR="004254F4" w:rsidRPr="009C2DB6">
        <w:rPr>
          <w:rFonts w:ascii="Times New Roman" w:hAnsi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/>
          <w:color w:val="000000"/>
          <w:sz w:val="24"/>
          <w:szCs w:val="24"/>
        </w:rPr>
        <w:t>zakresie EJ1 lub inwestycji towarzyszących tej inwestycji oraz bieżącą działalność;</w:t>
      </w:r>
    </w:p>
    <w:p w14:paraId="00F8B9E5" w14:textId="6826FD88" w:rsidR="00E2372E" w:rsidRPr="009C2DB6" w:rsidRDefault="00E2372E" w:rsidP="00B94B3F">
      <w:pPr>
        <w:pStyle w:val="Akapitzlist"/>
        <w:numPr>
          <w:ilvl w:val="0"/>
          <w:numId w:val="2"/>
        </w:numPr>
        <w:spacing w:before="12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2DB6">
        <w:rPr>
          <w:rFonts w:ascii="Times New Roman" w:hAnsi="Times New Roman"/>
          <w:color w:val="000000"/>
          <w:sz w:val="24"/>
          <w:szCs w:val="24"/>
        </w:rPr>
        <w:t>ż</w:t>
      </w:r>
      <w:r w:rsidR="00953B5A" w:rsidRPr="009C2DB6">
        <w:rPr>
          <w:rFonts w:ascii="Times New Roman" w:hAnsi="Times New Roman"/>
          <w:color w:val="000000"/>
          <w:sz w:val="24"/>
          <w:szCs w:val="24"/>
        </w:rPr>
        <w:t>e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 wsparcie publiczne będzie przekazywane </w:t>
      </w:r>
      <w:r w:rsidR="00E34759" w:rsidRPr="009C2DB6">
        <w:rPr>
          <w:rFonts w:ascii="Times New Roman" w:hAnsi="Times New Roman"/>
          <w:color w:val="000000"/>
          <w:sz w:val="24"/>
          <w:szCs w:val="24"/>
        </w:rPr>
        <w:t>w postaci wkładu na pokrycie udziałów w podwyższonym kapitale zakładowym</w:t>
      </w:r>
      <w:r w:rsidR="00953B5A" w:rsidRPr="009C2DB6">
        <w:rPr>
          <w:rFonts w:ascii="Times New Roman" w:hAnsi="Times New Roman"/>
          <w:color w:val="000000"/>
          <w:sz w:val="24"/>
          <w:szCs w:val="24"/>
        </w:rPr>
        <w:t>;</w:t>
      </w:r>
      <w:r w:rsidR="00E34759" w:rsidRPr="009C2D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3B5A" w:rsidRPr="009C2DB6">
        <w:rPr>
          <w:rFonts w:ascii="Times New Roman" w:hAnsi="Times New Roman"/>
          <w:color w:val="000000"/>
          <w:sz w:val="24"/>
          <w:szCs w:val="24"/>
        </w:rPr>
        <w:t>p</w:t>
      </w:r>
      <w:r w:rsidR="00E34759" w:rsidRPr="009C2DB6">
        <w:rPr>
          <w:rFonts w:ascii="Times New Roman" w:hAnsi="Times New Roman"/>
          <w:color w:val="000000"/>
          <w:sz w:val="24"/>
          <w:szCs w:val="24"/>
        </w:rPr>
        <w:t xml:space="preserve">okrycie udziałów w podwyższonym kapitale zakładowym spółki PEJ będzie dokonywane </w:t>
      </w:r>
      <w:r w:rsidRPr="009C2DB6">
        <w:rPr>
          <w:rFonts w:ascii="Times New Roman" w:hAnsi="Times New Roman"/>
          <w:color w:val="000000"/>
          <w:sz w:val="24"/>
          <w:szCs w:val="24"/>
        </w:rPr>
        <w:t>przez wnoszenie wkładu pieniężnego</w:t>
      </w:r>
      <w:r w:rsidR="00E34759" w:rsidRPr="009C2D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3B5A" w:rsidRPr="009C2DB6">
        <w:rPr>
          <w:rFonts w:ascii="Times New Roman" w:hAnsi="Times New Roman"/>
          <w:color w:val="000000"/>
          <w:sz w:val="24"/>
          <w:szCs w:val="24"/>
        </w:rPr>
        <w:t>z</w:t>
      </w:r>
      <w:r w:rsidR="004254F4" w:rsidRPr="009C2DB6">
        <w:rPr>
          <w:rFonts w:ascii="Times New Roman" w:hAnsi="Times New Roman"/>
          <w:color w:val="000000"/>
          <w:sz w:val="24"/>
          <w:szCs w:val="24"/>
        </w:rPr>
        <w:t> </w:t>
      </w:r>
      <w:r w:rsidR="00953B5A" w:rsidRPr="009C2DB6">
        <w:rPr>
          <w:rFonts w:ascii="Times New Roman" w:hAnsi="Times New Roman"/>
          <w:color w:val="000000"/>
          <w:sz w:val="24"/>
          <w:szCs w:val="24"/>
        </w:rPr>
        <w:t xml:space="preserve">budżetu państwa </w:t>
      </w:r>
      <w:r w:rsidR="00E34759" w:rsidRPr="009C2DB6">
        <w:rPr>
          <w:rFonts w:ascii="Times New Roman" w:hAnsi="Times New Roman"/>
          <w:color w:val="000000"/>
          <w:sz w:val="24"/>
          <w:szCs w:val="24"/>
        </w:rPr>
        <w:t xml:space="preserve">lub 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wkładu niepieniężnego </w:t>
      </w:r>
      <w:r w:rsidR="00953B5A" w:rsidRPr="009C2DB6">
        <w:rPr>
          <w:rFonts w:ascii="Times New Roman" w:hAnsi="Times New Roman"/>
          <w:color w:val="000000"/>
          <w:sz w:val="24"/>
          <w:szCs w:val="24"/>
        </w:rPr>
        <w:t xml:space="preserve">w postaci </w:t>
      </w:r>
      <w:r w:rsidRPr="009C2DB6">
        <w:rPr>
          <w:rFonts w:ascii="Times New Roman" w:hAnsi="Times New Roman"/>
          <w:color w:val="000000"/>
          <w:sz w:val="24"/>
          <w:szCs w:val="24"/>
        </w:rPr>
        <w:t>skarbowych papierów wartościowych;</w:t>
      </w:r>
    </w:p>
    <w:p w14:paraId="61002C2E" w14:textId="5F9B206C" w:rsidR="00E2372E" w:rsidRPr="009C2DB6" w:rsidRDefault="00E2372E" w:rsidP="00B94B3F">
      <w:pPr>
        <w:pStyle w:val="Akapitzlist"/>
        <w:numPr>
          <w:ilvl w:val="0"/>
          <w:numId w:val="2"/>
        </w:numPr>
        <w:spacing w:before="12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2DB6">
        <w:rPr>
          <w:rFonts w:ascii="Times New Roman" w:hAnsi="Times New Roman"/>
          <w:color w:val="000000"/>
          <w:sz w:val="24"/>
          <w:szCs w:val="24"/>
        </w:rPr>
        <w:t xml:space="preserve">mechanizm występowania </w:t>
      </w:r>
      <w:r w:rsidR="00E34759" w:rsidRPr="009C2DB6">
        <w:rPr>
          <w:rFonts w:ascii="Times New Roman" w:hAnsi="Times New Roman"/>
          <w:color w:val="000000"/>
          <w:sz w:val="24"/>
          <w:szCs w:val="24"/>
        </w:rPr>
        <w:t>o przekazanie spółce PEJ wkładu na pokrycie udziałów w</w:t>
      </w:r>
      <w:r w:rsidR="003918AD" w:rsidRPr="009C2DB6">
        <w:rPr>
          <w:rFonts w:ascii="Times New Roman" w:hAnsi="Times New Roman"/>
          <w:color w:val="000000"/>
          <w:sz w:val="24"/>
          <w:szCs w:val="24"/>
        </w:rPr>
        <w:t> </w:t>
      </w:r>
      <w:r w:rsidR="00E34759" w:rsidRPr="009C2DB6">
        <w:rPr>
          <w:rFonts w:ascii="Times New Roman" w:hAnsi="Times New Roman"/>
          <w:color w:val="000000"/>
          <w:sz w:val="24"/>
          <w:szCs w:val="24"/>
        </w:rPr>
        <w:t>podwyższonym kapitale zakładowym oraz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 podejmowania decyzji w zakresie </w:t>
      </w:r>
      <w:r w:rsidR="00696CCF" w:rsidRPr="009C2DB6">
        <w:rPr>
          <w:rFonts w:ascii="Times New Roman" w:hAnsi="Times New Roman"/>
          <w:color w:val="000000"/>
          <w:sz w:val="24"/>
          <w:szCs w:val="24"/>
        </w:rPr>
        <w:t>sposobu wniesienia tego wkładu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34759" w:rsidRPr="009C2DB6">
        <w:rPr>
          <w:rFonts w:ascii="Times New Roman" w:hAnsi="Times New Roman"/>
          <w:color w:val="000000"/>
          <w:sz w:val="24"/>
          <w:szCs w:val="24"/>
        </w:rPr>
        <w:t xml:space="preserve">a także 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zaangażowane w proces podwyższenia kapitału zakładowego podmioty oraz roczne limity wydatków z budżetu państwa na </w:t>
      </w:r>
      <w:r w:rsidR="00E34759" w:rsidRPr="009C2DB6">
        <w:rPr>
          <w:rFonts w:ascii="Times New Roman" w:hAnsi="Times New Roman"/>
          <w:color w:val="000000"/>
          <w:sz w:val="24"/>
          <w:szCs w:val="24"/>
        </w:rPr>
        <w:t>cel określony w projekcie ustawy</w:t>
      </w:r>
      <w:r w:rsidR="00953B5A" w:rsidRPr="009C2DB6">
        <w:rPr>
          <w:rFonts w:ascii="Times New Roman" w:hAnsi="Times New Roman"/>
          <w:color w:val="000000"/>
          <w:sz w:val="24"/>
          <w:szCs w:val="24"/>
        </w:rPr>
        <w:t>;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3B5A" w:rsidRPr="009C2DB6">
        <w:rPr>
          <w:rFonts w:ascii="Times New Roman" w:hAnsi="Times New Roman"/>
          <w:color w:val="000000"/>
          <w:sz w:val="24"/>
          <w:szCs w:val="24"/>
        </w:rPr>
        <w:t>m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aksymalny limit wydatków z budżetu państwa na </w:t>
      </w:r>
      <w:r w:rsidR="00E34759" w:rsidRPr="009C2DB6">
        <w:rPr>
          <w:rFonts w:ascii="Times New Roman" w:hAnsi="Times New Roman"/>
          <w:color w:val="000000"/>
          <w:sz w:val="24"/>
          <w:szCs w:val="24"/>
        </w:rPr>
        <w:t xml:space="preserve">wyżej wymieniony cel </w:t>
      </w:r>
      <w:r w:rsidR="004E5E85" w:rsidRPr="009C2DB6">
        <w:rPr>
          <w:rFonts w:ascii="Times New Roman" w:hAnsi="Times New Roman"/>
          <w:color w:val="000000"/>
          <w:sz w:val="24"/>
          <w:szCs w:val="24"/>
        </w:rPr>
        <w:t xml:space="preserve">został określony </w:t>
      </w:r>
      <w:r w:rsidRPr="009C2DB6">
        <w:rPr>
          <w:rFonts w:ascii="Times New Roman" w:hAnsi="Times New Roman"/>
          <w:color w:val="000000"/>
          <w:sz w:val="24"/>
          <w:szCs w:val="24"/>
        </w:rPr>
        <w:t>w</w:t>
      </w:r>
      <w:r w:rsidR="00E34759" w:rsidRPr="009C2DB6">
        <w:rPr>
          <w:rFonts w:ascii="Times New Roman" w:hAnsi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projekcie </w:t>
      </w:r>
      <w:r w:rsidR="00953B5A" w:rsidRPr="009C2DB6">
        <w:rPr>
          <w:rFonts w:ascii="Times New Roman" w:hAnsi="Times New Roman"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/>
          <w:color w:val="000000"/>
          <w:sz w:val="24"/>
          <w:szCs w:val="24"/>
        </w:rPr>
        <w:t>na poziomie 60</w:t>
      </w:r>
      <w:r w:rsidR="00A56BA6" w:rsidRPr="009C2DB6">
        <w:rPr>
          <w:rFonts w:ascii="Times New Roman" w:hAnsi="Times New Roman"/>
          <w:color w:val="000000"/>
          <w:sz w:val="24"/>
          <w:szCs w:val="24"/>
        </w:rPr>
        <w:t>,2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 mld zł;</w:t>
      </w:r>
    </w:p>
    <w:p w14:paraId="5EABBE12" w14:textId="741C0228" w:rsidR="00E2372E" w:rsidRPr="009C2DB6" w:rsidRDefault="00E2372E" w:rsidP="00B94B3F">
      <w:pPr>
        <w:pStyle w:val="Akapitzlist"/>
        <w:numPr>
          <w:ilvl w:val="0"/>
          <w:numId w:val="2"/>
        </w:numPr>
        <w:spacing w:before="12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2DB6">
        <w:rPr>
          <w:rFonts w:ascii="Times New Roman" w:hAnsi="Times New Roman"/>
          <w:color w:val="000000"/>
          <w:sz w:val="24"/>
          <w:szCs w:val="24"/>
        </w:rPr>
        <w:t>ż</w:t>
      </w:r>
      <w:r w:rsidR="00953B5A" w:rsidRPr="009C2DB6">
        <w:rPr>
          <w:rFonts w:ascii="Times New Roman" w:hAnsi="Times New Roman"/>
          <w:color w:val="000000"/>
          <w:sz w:val="24"/>
          <w:szCs w:val="24"/>
        </w:rPr>
        <w:t>e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 w przypadku dokonania dokapitalizowania wkładem niepieniężnym w postaci skarbowych papierów wartościowych odpowiednio </w:t>
      </w:r>
      <w:r w:rsidR="00C5605F" w:rsidRPr="009C2DB6">
        <w:rPr>
          <w:rFonts w:ascii="Times New Roman" w:hAnsi="Times New Roman"/>
          <w:color w:val="000000"/>
          <w:sz w:val="24"/>
          <w:szCs w:val="24"/>
        </w:rPr>
        <w:t xml:space="preserve">zostaje 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pomniejszony limit wydatków </w:t>
      </w:r>
      <w:r w:rsidRPr="009C2DB6">
        <w:rPr>
          <w:rFonts w:ascii="Times New Roman" w:hAnsi="Times New Roman"/>
          <w:color w:val="000000"/>
          <w:sz w:val="24"/>
          <w:szCs w:val="24"/>
        </w:rPr>
        <w:lastRenderedPageBreak/>
        <w:t>budżetu państwa na wniesienie wkład</w:t>
      </w:r>
      <w:r w:rsidR="00A56BA6" w:rsidRPr="009C2DB6">
        <w:rPr>
          <w:rFonts w:ascii="Times New Roman" w:hAnsi="Times New Roman"/>
          <w:color w:val="000000"/>
          <w:sz w:val="24"/>
          <w:szCs w:val="24"/>
        </w:rPr>
        <w:t>u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 pieniężnego (o wartość nominalną przekazanych skarbowych papierów wartościowych);</w:t>
      </w:r>
    </w:p>
    <w:p w14:paraId="7DA7AA47" w14:textId="5FB20F82" w:rsidR="00E2372E" w:rsidRPr="009C2DB6" w:rsidRDefault="00E2372E" w:rsidP="00B94B3F">
      <w:pPr>
        <w:pStyle w:val="Akapitzlist"/>
        <w:numPr>
          <w:ilvl w:val="0"/>
          <w:numId w:val="2"/>
        </w:numPr>
        <w:spacing w:before="12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2DB6">
        <w:rPr>
          <w:rFonts w:ascii="Times New Roman" w:hAnsi="Times New Roman"/>
          <w:color w:val="000000"/>
          <w:sz w:val="24"/>
          <w:szCs w:val="24"/>
        </w:rPr>
        <w:t xml:space="preserve">zasady </w:t>
      </w:r>
      <w:r w:rsidR="006F7E84" w:rsidRPr="009C2DB6">
        <w:rPr>
          <w:rFonts w:ascii="Times New Roman" w:hAnsi="Times New Roman"/>
          <w:color w:val="000000"/>
          <w:sz w:val="24"/>
          <w:szCs w:val="24"/>
        </w:rPr>
        <w:t xml:space="preserve">dysponowania </w:t>
      </w:r>
      <w:r w:rsidRPr="009C2DB6">
        <w:rPr>
          <w:rFonts w:ascii="Times New Roman" w:hAnsi="Times New Roman"/>
          <w:color w:val="000000"/>
          <w:sz w:val="24"/>
          <w:szCs w:val="24"/>
        </w:rPr>
        <w:t>skarbowymi papierami wartościowymi przez spółkę PEJ, których celem jest uwzględnienie interesów Skarbu Państwa;</w:t>
      </w:r>
    </w:p>
    <w:p w14:paraId="3A950B3B" w14:textId="0228BC43" w:rsidR="00E2372E" w:rsidRPr="009C2DB6" w:rsidRDefault="00E2372E" w:rsidP="00B94B3F">
      <w:pPr>
        <w:pStyle w:val="Akapitzlist"/>
        <w:numPr>
          <w:ilvl w:val="0"/>
          <w:numId w:val="2"/>
        </w:numPr>
        <w:spacing w:before="12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2DB6">
        <w:rPr>
          <w:rFonts w:ascii="Times New Roman" w:hAnsi="Times New Roman"/>
          <w:color w:val="000000"/>
          <w:sz w:val="24"/>
          <w:szCs w:val="24"/>
        </w:rPr>
        <w:t>wprowadzenie obowiązku sprawozdawczego dotyczącego wykorzystania wsparcia publicznego w danym roku</w:t>
      </w:r>
      <w:r w:rsidR="00953B5A" w:rsidRPr="009C2DB6">
        <w:rPr>
          <w:rFonts w:ascii="Times New Roman" w:hAnsi="Times New Roman"/>
          <w:color w:val="000000"/>
          <w:sz w:val="24"/>
          <w:szCs w:val="24"/>
        </w:rPr>
        <w:t>;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3B5A" w:rsidRPr="009C2DB6">
        <w:rPr>
          <w:rFonts w:ascii="Times New Roman" w:hAnsi="Times New Roman"/>
          <w:color w:val="000000"/>
          <w:sz w:val="24"/>
          <w:szCs w:val="24"/>
        </w:rPr>
        <w:t>s</w:t>
      </w:r>
      <w:r w:rsidRPr="009C2DB6">
        <w:rPr>
          <w:rFonts w:ascii="Times New Roman" w:hAnsi="Times New Roman"/>
          <w:color w:val="000000"/>
          <w:sz w:val="24"/>
          <w:szCs w:val="24"/>
        </w:rPr>
        <w:t>tosowne sprawozdanie będzie przedstawiane przez spółkę PEJ Pełnomocnikowi Rządu do spraw Strategicznej Infrastruktury Energetyczne</w:t>
      </w:r>
      <w:r w:rsidR="00E81CF5" w:rsidRPr="009C2DB6">
        <w:rPr>
          <w:rFonts w:ascii="Times New Roman" w:hAnsi="Times New Roman"/>
          <w:color w:val="000000"/>
          <w:sz w:val="24"/>
          <w:szCs w:val="24"/>
        </w:rPr>
        <w:t>j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, zwanemu dalej „Pełnomocnikiem”, a Pełnomocnik będzie przedstawiał Radzie Ministrów informację w tym zakresie; </w:t>
      </w:r>
    </w:p>
    <w:p w14:paraId="02DCB00D" w14:textId="718BA3E7" w:rsidR="00E2372E" w:rsidRPr="009C2DB6" w:rsidRDefault="00E2372E" w:rsidP="00B94B3F">
      <w:pPr>
        <w:pStyle w:val="Akapitzlist"/>
        <w:numPr>
          <w:ilvl w:val="0"/>
          <w:numId w:val="2"/>
        </w:numPr>
        <w:spacing w:before="12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2DB6">
        <w:rPr>
          <w:rFonts w:ascii="Times New Roman" w:hAnsi="Times New Roman"/>
          <w:color w:val="000000"/>
          <w:sz w:val="24"/>
          <w:szCs w:val="24"/>
        </w:rPr>
        <w:t xml:space="preserve">mechanizm, w którym </w:t>
      </w:r>
      <w:r w:rsidR="00E81CF5" w:rsidRPr="009C2DB6">
        <w:rPr>
          <w:rFonts w:ascii="Times New Roman" w:hAnsi="Times New Roman"/>
          <w:color w:val="000000"/>
          <w:sz w:val="24"/>
          <w:szCs w:val="24"/>
        </w:rPr>
        <w:t xml:space="preserve">zostanie 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przesądzone, że </w:t>
      </w:r>
      <w:r w:rsidR="00700BF6" w:rsidRPr="009C2DB6">
        <w:rPr>
          <w:rFonts w:ascii="Times New Roman" w:hAnsi="Times New Roman"/>
          <w:color w:val="000000"/>
          <w:sz w:val="24"/>
          <w:szCs w:val="24"/>
        </w:rPr>
        <w:t>do dnia wydania przez Komisję Europejską decyzji o zgodności pomocy publicznej dotyczącej inwestycji w zakresie EJ1 z rynkiem wewnętrznym Pełnomocnik nie występuje do ministra właściwego do spraw finansów publicznych ze wskazaniem planowanej wysokości podwyższenia kapitału zakładowego spółki PEJ;</w:t>
      </w:r>
      <w:r w:rsidR="00974E46" w:rsidRPr="009C2DB6">
        <w:rPr>
          <w:rFonts w:ascii="Times New Roman" w:hAnsi="Times New Roman"/>
          <w:color w:val="000000"/>
          <w:sz w:val="24"/>
          <w:szCs w:val="24"/>
        </w:rPr>
        <w:t> </w:t>
      </w:r>
      <w:r w:rsidR="00700BF6" w:rsidRPr="009C2DB6">
        <w:rPr>
          <w:rFonts w:ascii="Times New Roman" w:hAnsi="Times New Roman"/>
          <w:color w:val="000000"/>
          <w:sz w:val="24"/>
          <w:szCs w:val="24"/>
        </w:rPr>
        <w:t>wystąpienie, o którym mowa wyżej</w:t>
      </w:r>
      <w:r w:rsidR="00577F57" w:rsidRPr="009C2DB6">
        <w:rPr>
          <w:rFonts w:ascii="Times New Roman" w:hAnsi="Times New Roman"/>
          <w:color w:val="000000"/>
          <w:sz w:val="24"/>
          <w:szCs w:val="24"/>
        </w:rPr>
        <w:t>,</w:t>
      </w:r>
      <w:r w:rsidR="00700BF6" w:rsidRPr="009C2D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będzie </w:t>
      </w:r>
      <w:r w:rsidR="00A56BA6" w:rsidRPr="009C2DB6">
        <w:rPr>
          <w:rFonts w:ascii="Times New Roman" w:hAnsi="Times New Roman"/>
          <w:color w:val="000000"/>
          <w:sz w:val="24"/>
          <w:szCs w:val="24"/>
        </w:rPr>
        <w:t>musiał</w:t>
      </w:r>
      <w:r w:rsidR="00700BF6" w:rsidRPr="009C2DB6">
        <w:rPr>
          <w:rFonts w:ascii="Times New Roman" w:hAnsi="Times New Roman"/>
          <w:color w:val="000000"/>
          <w:sz w:val="24"/>
          <w:szCs w:val="24"/>
        </w:rPr>
        <w:t>o</w:t>
      </w:r>
      <w:r w:rsidR="00A56BA6" w:rsidRPr="009C2DB6">
        <w:rPr>
          <w:rFonts w:ascii="Times New Roman" w:hAnsi="Times New Roman"/>
          <w:color w:val="000000"/>
          <w:sz w:val="24"/>
          <w:szCs w:val="24"/>
        </w:rPr>
        <w:t xml:space="preserve"> uwzględniać</w:t>
      </w:r>
      <w:r w:rsidRPr="009C2DB6">
        <w:rPr>
          <w:rFonts w:ascii="Times New Roman" w:hAnsi="Times New Roman"/>
          <w:color w:val="000000"/>
          <w:sz w:val="24"/>
          <w:szCs w:val="24"/>
        </w:rPr>
        <w:t> </w:t>
      </w:r>
      <w:r w:rsidR="00A56BA6" w:rsidRPr="009C2DB6">
        <w:rPr>
          <w:rFonts w:ascii="Times New Roman" w:hAnsi="Times New Roman"/>
          <w:color w:val="000000"/>
          <w:sz w:val="24"/>
          <w:szCs w:val="24"/>
        </w:rPr>
        <w:t>zasady określone w</w:t>
      </w:r>
      <w:r w:rsidR="00974E46" w:rsidRPr="009C2DB6">
        <w:rPr>
          <w:rFonts w:ascii="Times New Roman" w:hAnsi="Times New Roman"/>
          <w:color w:val="000000"/>
          <w:sz w:val="24"/>
          <w:szCs w:val="24"/>
        </w:rPr>
        <w:t> </w:t>
      </w:r>
      <w:r w:rsidR="00A56BA6" w:rsidRPr="009C2DB6">
        <w:rPr>
          <w:rFonts w:ascii="Times New Roman" w:hAnsi="Times New Roman"/>
          <w:color w:val="000000"/>
          <w:sz w:val="24"/>
          <w:szCs w:val="24"/>
        </w:rPr>
        <w:t>decyzji Komisji Europejskiej o zgodności pomocy publicznej</w:t>
      </w:r>
      <w:r w:rsidR="00700BF6" w:rsidRPr="009C2DB6">
        <w:rPr>
          <w:rFonts w:ascii="Times New Roman" w:hAnsi="Times New Roman"/>
          <w:color w:val="000000"/>
          <w:sz w:val="24"/>
          <w:szCs w:val="24"/>
        </w:rPr>
        <w:t xml:space="preserve"> dotyczącej inwestycji w zakresie EJ1</w:t>
      </w:r>
      <w:r w:rsidR="00187DC8" w:rsidRPr="009C2DB6">
        <w:rPr>
          <w:rFonts w:ascii="Times New Roman" w:hAnsi="Times New Roman"/>
          <w:color w:val="000000"/>
          <w:sz w:val="24"/>
          <w:szCs w:val="24"/>
        </w:rPr>
        <w:t> </w:t>
      </w:r>
      <w:r w:rsidR="00700BF6" w:rsidRPr="009C2DB6">
        <w:rPr>
          <w:rFonts w:ascii="Times New Roman" w:hAnsi="Times New Roman"/>
          <w:color w:val="000000"/>
          <w:sz w:val="24"/>
          <w:szCs w:val="24"/>
        </w:rPr>
        <w:t>z</w:t>
      </w:r>
      <w:r w:rsidR="00187DC8" w:rsidRPr="009C2DB6">
        <w:rPr>
          <w:rFonts w:ascii="Times New Roman" w:hAnsi="Times New Roman"/>
          <w:color w:val="000000"/>
          <w:sz w:val="24"/>
          <w:szCs w:val="24"/>
        </w:rPr>
        <w:t> </w:t>
      </w:r>
      <w:r w:rsidR="00700BF6" w:rsidRPr="009C2DB6">
        <w:rPr>
          <w:rFonts w:ascii="Times New Roman" w:hAnsi="Times New Roman"/>
          <w:color w:val="000000"/>
          <w:sz w:val="24"/>
          <w:szCs w:val="24"/>
        </w:rPr>
        <w:t>rynkiem wewnętrznym</w:t>
      </w:r>
      <w:r w:rsidRPr="009C2DB6">
        <w:rPr>
          <w:rFonts w:ascii="Times New Roman" w:hAnsi="Times New Roman"/>
          <w:color w:val="000000"/>
          <w:sz w:val="24"/>
          <w:szCs w:val="24"/>
        </w:rPr>
        <w:t>;</w:t>
      </w:r>
    </w:p>
    <w:p w14:paraId="7A443A79" w14:textId="39AEDB46" w:rsidR="00E2372E" w:rsidRPr="009C2DB6" w:rsidRDefault="00E2372E" w:rsidP="00B94B3F">
      <w:pPr>
        <w:pStyle w:val="Akapitzlist"/>
        <w:numPr>
          <w:ilvl w:val="0"/>
          <w:numId w:val="2"/>
        </w:numPr>
        <w:spacing w:before="12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2DB6">
        <w:rPr>
          <w:rFonts w:ascii="Times New Roman" w:hAnsi="Times New Roman"/>
          <w:color w:val="000000"/>
          <w:sz w:val="24"/>
          <w:szCs w:val="24"/>
        </w:rPr>
        <w:t>wyłączenia spółek przygotowujących i realizujących inwestycj</w:t>
      </w:r>
      <w:r w:rsidR="006A1039" w:rsidRPr="009C2DB6">
        <w:rPr>
          <w:rFonts w:ascii="Times New Roman" w:hAnsi="Times New Roman"/>
          <w:color w:val="000000"/>
          <w:sz w:val="24"/>
          <w:szCs w:val="24"/>
        </w:rPr>
        <w:t>ę w zakresie obiektu energetyki jądrowej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 na podstawie </w:t>
      </w:r>
      <w:r w:rsidR="000835F0" w:rsidRPr="009C2DB6">
        <w:rPr>
          <w:rFonts w:ascii="Times New Roman" w:hAnsi="Times New Roman"/>
          <w:color w:val="000000"/>
          <w:sz w:val="24"/>
          <w:szCs w:val="24"/>
        </w:rPr>
        <w:t>specustawy jądrowej</w:t>
      </w:r>
      <w:r w:rsidRPr="009C2DB6">
        <w:rPr>
          <w:rFonts w:ascii="Times New Roman" w:hAnsi="Times New Roman"/>
          <w:color w:val="000000"/>
          <w:sz w:val="24"/>
          <w:szCs w:val="24"/>
        </w:rPr>
        <w:t xml:space="preserve"> z obowiązku dokonywania wpłat z</w:t>
      </w:r>
      <w:r w:rsidR="004254F4" w:rsidRPr="009C2DB6">
        <w:rPr>
          <w:rFonts w:ascii="Times New Roman" w:hAnsi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/>
          <w:color w:val="000000"/>
          <w:sz w:val="24"/>
          <w:szCs w:val="24"/>
        </w:rPr>
        <w:t>zysku na podstawie ustawy z dnia 1 grudnia 1995 r. o wpłatach z zysku przez jednoosobowe spółki Skarbu Państwa (Dz. U. z 2022 r. poz. 44);</w:t>
      </w:r>
    </w:p>
    <w:p w14:paraId="5600835C" w14:textId="65420D81" w:rsidR="00E2372E" w:rsidRPr="009C2DB6" w:rsidRDefault="00E2372E" w:rsidP="00B94B3F">
      <w:pPr>
        <w:pStyle w:val="Akapitzlist"/>
        <w:numPr>
          <w:ilvl w:val="0"/>
          <w:numId w:val="2"/>
        </w:numPr>
        <w:spacing w:before="12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2DB6">
        <w:rPr>
          <w:rFonts w:ascii="Times New Roman" w:hAnsi="Times New Roman"/>
          <w:color w:val="000000"/>
          <w:sz w:val="24"/>
          <w:szCs w:val="24"/>
        </w:rPr>
        <w:t>zmiany porządkujące siatkę pojęciową, którą posługuje się specustawa jądrowa.</w:t>
      </w:r>
    </w:p>
    <w:p w14:paraId="5FF5F5F1" w14:textId="6870E931" w:rsidR="006175E9" w:rsidRPr="009C2DB6" w:rsidRDefault="006175E9" w:rsidP="00B94B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Uzasadnienie szczegółowe</w:t>
      </w:r>
    </w:p>
    <w:p w14:paraId="4EAEFA88" w14:textId="63BB46D3" w:rsidR="00E460A7" w:rsidRPr="009C2DB6" w:rsidRDefault="00E460A7" w:rsidP="00B94B3F">
      <w:pPr>
        <w:spacing w:before="120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 </w:t>
      </w:r>
      <w:r w:rsidR="00761876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 1</w:t>
      </w:r>
      <w:r w:rsidR="00953B5A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D48CB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projektu ustawy</w:t>
      </w:r>
      <w:r w:rsidR="00C5605F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3B5A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5605F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1E2A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rt. 53a</w:t>
      </w:r>
      <w:r w:rsidR="007D48CB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specustawy jądrowej</w:t>
      </w:r>
    </w:p>
    <w:p w14:paraId="4EA7A509" w14:textId="1D1BEC97" w:rsidR="00E460A7" w:rsidRPr="009C2DB6" w:rsidRDefault="00E460A7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Zmiana ma charakter porządkujący. </w:t>
      </w:r>
      <w:r w:rsidR="00C5605F" w:rsidRPr="009C2DB6">
        <w:rPr>
          <w:rFonts w:ascii="Times New Roman" w:hAnsi="Times New Roman" w:cs="Times New Roman"/>
          <w:color w:val="000000"/>
          <w:sz w:val="24"/>
          <w:szCs w:val="24"/>
        </w:rPr>
        <w:t>Należy w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skazać, że w art. 53a ust. 1 specustawy jądrowej jest mowa o spółce „w której spółka PEJ ma pozycję dominującą, o której mowa w art. 4 § 1 pkt 4 ustawy z dnia 15 września 2000 r. </w:t>
      </w:r>
      <w:r w:rsidRPr="009C2DB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–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Kodeks spółek handlowych”. W art. 4 § 1 pkt 4 ustawy z dnia 15 września 2000</w:t>
      </w:r>
      <w:r w:rsidR="00732735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732735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–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Kodeks spółek handlowych (Dz. U. z 2024 r. poz. 18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>, z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>późn. zm.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>, zwanej dalej „Kodeksem spółek handlowych”</w:t>
      </w:r>
      <w:r w:rsidR="00E81CF5" w:rsidRPr="009C2D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jest jednak mowa o „spółce dominującej”, a nie 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„pozycji dominującej”. W</w:t>
      </w:r>
      <w:r w:rsidR="007D48C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związku z powyższym, w celu wyeliminowania ewentualnych wątpliwości interpretacyjnych, w</w:t>
      </w:r>
      <w:r w:rsidR="007D48C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projekcie 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proponuje się zastąpienie wyrazów 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„w której spółka PEJ ma pozycję dominującą, o</w:t>
      </w:r>
      <w:r w:rsidR="007D48C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której mowa w”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wyrazami „wobec której spółka PEJ jest spółką dominującą w rozumieniu”.</w:t>
      </w:r>
    </w:p>
    <w:p w14:paraId="25E3ADDF" w14:textId="4E088AA2" w:rsidR="00761876" w:rsidRPr="009C2DB6" w:rsidRDefault="00761876" w:rsidP="00B94B3F">
      <w:pPr>
        <w:keepNext/>
        <w:spacing w:before="120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Art. 1 pkt 2 i 3 </w:t>
      </w:r>
      <w:r w:rsidR="007D48CB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projektu ustawy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C5605F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53b oraz art. 53ba specustawy jądrowej</w:t>
      </w:r>
    </w:p>
    <w:p w14:paraId="13094F99" w14:textId="445B1E59" w:rsidR="002659AE" w:rsidRPr="009C2DB6" w:rsidRDefault="00015749" w:rsidP="00B94B3F">
      <w:pPr>
        <w:keepNext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Zmiana art. 53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oraz dodanie 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art. 53ba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9AE" w:rsidRPr="009C2DB6">
        <w:rPr>
          <w:rFonts w:ascii="Times New Roman" w:hAnsi="Times New Roman" w:cs="Times New Roman"/>
          <w:color w:val="000000"/>
          <w:sz w:val="24"/>
          <w:szCs w:val="24"/>
        </w:rPr>
        <w:t>ma na celu jednoznaczne przesądzenie, że katalog inwestycji towarzyszących inwestycj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659AE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w zakresie EJ1 nie jest zamknięty i nie ogranicza się jedynie do</w:t>
      </w:r>
      <w:r w:rsidR="007F1F7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659AE" w:rsidRPr="009C2DB6">
        <w:rPr>
          <w:rFonts w:ascii="Times New Roman" w:hAnsi="Times New Roman" w:cs="Times New Roman"/>
          <w:color w:val="000000"/>
          <w:sz w:val="24"/>
          <w:szCs w:val="24"/>
        </w:rPr>
        <w:t>inwestycji, o których mowa w art. 53a ust. 2 specustawy jądrowej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. W wyżej wymienionym celu w</w:t>
      </w:r>
      <w:r w:rsidR="007F1F7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art. 53b ust. 1 po wyrazach „w zakresie EJ1” dodano wyrazy „ , o których mowa w</w:t>
      </w:r>
      <w:r w:rsidR="00E82B53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E82B53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53a</w:t>
      </w:r>
      <w:r w:rsidR="00E82B53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E82B53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2,”</w:t>
      </w:r>
      <w:r w:rsidR="002659AE" w:rsidRPr="009C2D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1F7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D57B2" w:rsidRPr="009C2DB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F1F7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918AD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art. 53ba przesądzono, że</w:t>
      </w:r>
      <w:r w:rsidR="00761876" w:rsidRPr="009C2DB6">
        <w:rPr>
          <w:rFonts w:ascii="Times New Roman" w:hAnsi="Times New Roman" w:cs="Times New Roman"/>
          <w:sz w:val="24"/>
          <w:szCs w:val="24"/>
        </w:rPr>
        <w:t xml:space="preserve"> 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inwestycją towarzyszącą inwestycji w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zakresie EJ1 jest także inwestycja dotycząca inwestycji w zakresie EJ1, której został nadany status inwestycji towarzyszącej zgodnie z</w:t>
      </w:r>
      <w:r w:rsidR="007F1F7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7F1F7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1876" w:rsidRPr="009C2DB6">
        <w:rPr>
          <w:rFonts w:ascii="Times New Roman" w:hAnsi="Times New Roman" w:cs="Times New Roman"/>
          <w:color w:val="000000"/>
          <w:sz w:val="24"/>
          <w:szCs w:val="24"/>
        </w:rPr>
        <w:t>52 ust. 1 specustawy jądrowej</w:t>
      </w:r>
      <w:r w:rsidR="004D57B2" w:rsidRPr="009C2D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68032A" w14:textId="38BB41F1" w:rsidR="00761876" w:rsidRPr="009C2DB6" w:rsidRDefault="00761876" w:rsidP="00B94B3F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 pkt 4, 5 i 6 li</w:t>
      </w:r>
      <w:r w:rsidR="003918AD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c projektu </w:t>
      </w:r>
      <w:r w:rsidR="007F1F7B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5605F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53c, art. 53e oraz art. 53f specustawy jądrowej</w:t>
      </w:r>
    </w:p>
    <w:p w14:paraId="43DC319C" w14:textId="51EA33A2" w:rsidR="00761876" w:rsidRPr="009C2DB6" w:rsidRDefault="00761876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 art. 53c w pkt 6, </w:t>
      </w:r>
      <w:r w:rsidR="00000071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art. 53e oraz </w:t>
      </w:r>
      <w:r w:rsidR="00000071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art. 53f </w:t>
      </w:r>
      <w:r w:rsidR="00000071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ust. 3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specustawy jądrowej</w:t>
      </w:r>
      <w:r w:rsidR="00000071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dokonuje się zmiany polegającej na zastąpieniu odwołania do podmiotów, o których mowa w art. 53a ust. 2 specustawy jądrowej, </w:t>
      </w:r>
      <w:r w:rsidR="00F77860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odwołaniem </w:t>
      </w:r>
      <w:r w:rsidR="00000071" w:rsidRPr="009C2DB6">
        <w:rPr>
          <w:rFonts w:ascii="Times New Roman" w:hAnsi="Times New Roman" w:cs="Times New Roman"/>
          <w:color w:val="000000"/>
          <w:sz w:val="24"/>
          <w:szCs w:val="24"/>
        </w:rPr>
        <w:t>do podmiotów przygotowujących i realizujących inwestycje towarzyszące inwestycji w</w:t>
      </w:r>
      <w:r w:rsidR="00F77860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0071" w:rsidRPr="009C2DB6">
        <w:rPr>
          <w:rFonts w:ascii="Times New Roman" w:hAnsi="Times New Roman" w:cs="Times New Roman"/>
          <w:color w:val="000000"/>
          <w:sz w:val="24"/>
          <w:szCs w:val="24"/>
        </w:rPr>
        <w:t>zakresie EJ1. Powyższe jest związane z koniecznością podkreślenia tego, że katalog inwestycji towarzyszących inwestycji w zakresie EJ1 nie jest zamknięty i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0071" w:rsidRPr="009C2DB6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0071" w:rsidRPr="009C2DB6">
        <w:rPr>
          <w:rFonts w:ascii="Times New Roman" w:hAnsi="Times New Roman" w:cs="Times New Roman"/>
          <w:color w:val="000000"/>
          <w:sz w:val="24"/>
          <w:szCs w:val="24"/>
        </w:rPr>
        <w:t>ogranicza się jedynie do inwestycji, o których mowa w art. 53a ust. 2 specustawy jądrowej, a także przesądzeniem, że normy wyrażone w</w:t>
      </w:r>
      <w:r w:rsidR="00EA1ECD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0071" w:rsidRPr="009C2DB6">
        <w:rPr>
          <w:rFonts w:ascii="Times New Roman" w:hAnsi="Times New Roman" w:cs="Times New Roman"/>
          <w:color w:val="000000"/>
          <w:sz w:val="24"/>
          <w:szCs w:val="24"/>
        </w:rPr>
        <w:t>art. 53c pkt 6 (możliwość zawierania umów i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0071" w:rsidRPr="009C2DB6">
        <w:rPr>
          <w:rFonts w:ascii="Times New Roman" w:hAnsi="Times New Roman" w:cs="Times New Roman"/>
          <w:color w:val="000000"/>
          <w:sz w:val="24"/>
          <w:szCs w:val="24"/>
        </w:rPr>
        <w:t>porozumień), w art. 53e (przekazywanie wkładu do harmonogramu skonsolidowanego, o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0071" w:rsidRPr="009C2DB6">
        <w:rPr>
          <w:rFonts w:ascii="Times New Roman" w:hAnsi="Times New Roman" w:cs="Times New Roman"/>
          <w:color w:val="000000"/>
          <w:sz w:val="24"/>
          <w:szCs w:val="24"/>
        </w:rPr>
        <w:t>którym mowa w specustawie jądrowej) oraz w art. 53f ust. 3 (przekazywanie informacji spółce PEJ) specustawy jądrowej dotyczą wszystkich podmiotów, które odpowiadają za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0071" w:rsidRPr="009C2DB6">
        <w:rPr>
          <w:rFonts w:ascii="Times New Roman" w:hAnsi="Times New Roman" w:cs="Times New Roman"/>
          <w:color w:val="000000"/>
          <w:sz w:val="24"/>
          <w:szCs w:val="24"/>
        </w:rPr>
        <w:t>przygotowanie i realizację inwestycji towarzyszących inwestycji w zakresie EJ1.</w:t>
      </w:r>
    </w:p>
    <w:p w14:paraId="7548F619" w14:textId="02DD9345" w:rsidR="000C1E2A" w:rsidRPr="009C2DB6" w:rsidRDefault="000C1E2A" w:rsidP="00B94B3F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 </w:t>
      </w:r>
      <w:r w:rsidR="0078295A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6 lit. a i b oraz pkt 7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projektu </w:t>
      </w:r>
      <w:r w:rsidR="002B555D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5605F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53f i art. 53g specustawy jądrowej</w:t>
      </w:r>
    </w:p>
    <w:p w14:paraId="126B51DE" w14:textId="2AA4B609" w:rsidR="00E460A7" w:rsidRPr="009C2DB6" w:rsidRDefault="00E460A7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 obowiązującym brzmieniu specustawa jądrowa w art. 53f ust. 1, 2 i 4, a także </w:t>
      </w:r>
      <w:r w:rsidR="00681598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art. 53g ust. 3 i 4 posługuje się określeniem „Pełnomocnik Rządu do spraw Strategicznej Infrastruktury Energetycznej”. W projekcie 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przewiduje się </w:t>
      </w:r>
      <w:r w:rsidR="00692D60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wprowadzenie odwołań do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wyżej wymienionego Pełnomocnika również w</w:t>
      </w:r>
      <w:r w:rsidR="00692D60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art. 53i</w:t>
      </w:r>
      <w:r w:rsidR="00A805C1" w:rsidRPr="009C2DB6">
        <w:rPr>
          <w:rFonts w:ascii="Times New Roman" w:hAnsi="Times New Roman" w:cs="Times New Roman"/>
          <w:color w:val="000000"/>
          <w:sz w:val="24"/>
          <w:szCs w:val="24"/>
        </w:rPr>
        <w:t>, art. 53m</w:t>
      </w:r>
      <w:r w:rsidR="00445A18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oraz art. 53n. W związku z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powyższym zaproponowano wprowadzenie skrótu, co</w:t>
      </w:r>
      <w:r w:rsidR="002B555D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przyczyni się do większej czytelności specustawy jądrowej.</w:t>
      </w:r>
    </w:p>
    <w:p w14:paraId="686ABBEC" w14:textId="096773F2" w:rsidR="000C1E2A" w:rsidRPr="009C2DB6" w:rsidRDefault="000C1E2A" w:rsidP="00B94B3F">
      <w:pPr>
        <w:spacing w:before="120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 </w:t>
      </w:r>
      <w:r w:rsidR="003918AD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8 </w:t>
      </w:r>
      <w:r w:rsidR="00953B5A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projektu </w:t>
      </w:r>
      <w:r w:rsidR="002B555D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5605F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53h specustawy jądrowej</w:t>
      </w:r>
    </w:p>
    <w:p w14:paraId="19ADB162" w14:textId="1354D161" w:rsidR="004277D5" w:rsidRPr="009C2DB6" w:rsidRDefault="004277D5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 art. 53h przewiduje się, że spółce PEJ </w:t>
      </w:r>
      <w:r w:rsidR="002C72B6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przekazywane wsparcie publiczne </w:t>
      </w:r>
      <w:r w:rsidR="003918AD" w:rsidRPr="009C2DB6">
        <w:rPr>
          <w:rFonts w:ascii="Times New Roman" w:hAnsi="Times New Roman" w:cs="Times New Roman"/>
          <w:color w:val="000000"/>
          <w:sz w:val="24"/>
          <w:szCs w:val="24"/>
        </w:rPr>
        <w:t>w postaci wkładu na pokrycie udziałów w podwyższonym kapitale zakładowym spółki PEJ.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Wyżej wymienione wsparcie może zostać przeznaczone przez spółkę PEJ na działania oznaczone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lastRenderedPageBreak/>
        <w:t>w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art. 53h ust. 1, to jest przygotowanie i realizację inwestycji w zakresie EJ1 lub inwestycji </w:t>
      </w:r>
      <w:r w:rsidR="004D57B2" w:rsidRPr="009C2DB6">
        <w:rPr>
          <w:rFonts w:ascii="Times New Roman" w:hAnsi="Times New Roman" w:cs="Times New Roman"/>
          <w:color w:val="000000"/>
          <w:sz w:val="24"/>
          <w:szCs w:val="24"/>
        </w:rPr>
        <w:t>przygotowywanej i realizowanej przez spółkę PEJ, której nadano status inwestycji towarzyszącej</w:t>
      </w:r>
      <w:r w:rsidR="003918AD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zgodnie z </w:t>
      </w:r>
      <w:r w:rsidR="004D57B2" w:rsidRPr="009C2DB6">
        <w:rPr>
          <w:rFonts w:ascii="Times New Roman" w:hAnsi="Times New Roman" w:cs="Times New Roman"/>
          <w:color w:val="000000"/>
          <w:sz w:val="24"/>
          <w:szCs w:val="24"/>
        </w:rPr>
        <w:t>art. 52 ust. 1 specustawy jądrowej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, oraz bieżącą działalność spółki PEJ, w tym działania mające na</w:t>
      </w:r>
      <w:r w:rsidR="00692D60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celu zarządzanie ryzykiem i</w:t>
      </w:r>
      <w:r w:rsidR="003918AD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ochronę wartości </w:t>
      </w:r>
      <w:r w:rsidR="0073273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jej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kapitałów. </w:t>
      </w:r>
    </w:p>
    <w:p w14:paraId="6E5C86AF" w14:textId="3A4A3E1C" w:rsidR="000C1E2A" w:rsidRPr="009C2DB6" w:rsidRDefault="004277D5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 art. 53h ust. 2 przesądza się, że </w:t>
      </w:r>
      <w:r w:rsidR="00C22EE3" w:rsidRPr="009C2DB6">
        <w:rPr>
          <w:rFonts w:ascii="Times New Roman" w:hAnsi="Times New Roman" w:cs="Times New Roman"/>
          <w:color w:val="000000"/>
          <w:sz w:val="24"/>
          <w:szCs w:val="24"/>
        </w:rPr>
        <w:t>pokrycia udziałów w podwyższonym kapitale zakładowym spółki PEJ, o którym mowa w ust. 1, dokonuje się przez wniesienie wkładu pieniężnego z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22EE3" w:rsidRPr="009C2DB6">
        <w:rPr>
          <w:rFonts w:ascii="Times New Roman" w:hAnsi="Times New Roman" w:cs="Times New Roman"/>
          <w:color w:val="000000"/>
          <w:sz w:val="24"/>
          <w:szCs w:val="24"/>
        </w:rPr>
        <w:t>budżetu państwa lub wkładu niepieniężnego w postaci skarbowych papierów wartościowych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. Ob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sposoby </w:t>
      </w:r>
      <w:r w:rsidR="002C72B6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skutkować podwyższeniem kapitału zakładowego spółki PEJ.</w:t>
      </w:r>
      <w:r w:rsidR="00692D60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92D60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692D60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ust. 3 przesądzono natomiast, że udziały w podwyższonym kapitale zakładowym spółki PEJ obejmuje Skarb Państwa.</w:t>
      </w:r>
    </w:p>
    <w:p w14:paraId="6F576D73" w14:textId="60D7AF08" w:rsidR="000C1E2A" w:rsidRPr="009C2DB6" w:rsidRDefault="000C1E2A" w:rsidP="00B94B3F">
      <w:pPr>
        <w:spacing w:before="120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 </w:t>
      </w:r>
      <w:r w:rsidR="00953B5A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8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projektu </w:t>
      </w:r>
      <w:r w:rsidR="002B555D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5605F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53i specustawy jądrowej</w:t>
      </w:r>
    </w:p>
    <w:p w14:paraId="4F48387F" w14:textId="767B6A6A" w:rsidR="004277D5" w:rsidRPr="009C2DB6" w:rsidRDefault="004277D5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Art. 53i jest przepisem, które reguluje tryb</w:t>
      </w:r>
      <w:r w:rsidR="00CA628E" w:rsidRPr="009C2DB6">
        <w:rPr>
          <w:rFonts w:ascii="Times New Roman" w:hAnsi="Times New Roman" w:cs="Times New Roman"/>
          <w:sz w:val="24"/>
          <w:szCs w:val="24"/>
        </w:rPr>
        <w:t xml:space="preserve"> </w:t>
      </w:r>
      <w:r w:rsidR="00CA628E" w:rsidRPr="009C2DB6">
        <w:rPr>
          <w:rFonts w:ascii="Times New Roman" w:hAnsi="Times New Roman" w:cs="Times New Roman"/>
          <w:color w:val="000000"/>
          <w:sz w:val="24"/>
          <w:szCs w:val="24"/>
        </w:rPr>
        <w:t>przekazywania spółce PEJ wsparcia publicznego.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Zgodnie z tym przepisem Pełnomocnik, biorąc pod uwagę w szczególności zasady określone w decyzji Komisji Europejskiej o zgodności pomocy publicznej dotyczącej inwestycji w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zakresie EJ1 z rynkiem wewnętrznym oraz potrzeby finansowe spółki PEJ,</w:t>
      </w:r>
      <w:r w:rsidR="00CA628E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występuje do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A628E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ministra właściwego do spraw finansów publicznych ze wskazaniem planowanej wysokości </w:t>
      </w:r>
      <w:r w:rsidR="00C22EE3" w:rsidRPr="009C2DB6">
        <w:rPr>
          <w:rFonts w:ascii="Times New Roman" w:hAnsi="Times New Roman" w:cs="Times New Roman"/>
          <w:color w:val="000000"/>
          <w:sz w:val="24"/>
          <w:szCs w:val="24"/>
        </w:rPr>
        <w:t>podwyższ</w:t>
      </w:r>
      <w:r w:rsidR="00CA628E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enia kapitału zakładowego spółki PEJ.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 tym miejscu </w:t>
      </w:r>
      <w:r w:rsidR="00C5605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zauważyć, że zgodnie z lp. 159 rozporządzenia Rady Ministrów z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dnia 28 października 2022 r. w sprawie wykazu spółek, w których prawa z akcji Skarbu Państwa wykonuje Prezes Rady Ministrów lub inni członkowie Rady Ministrów, pełnomocnicy rządu lub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państwowe osoby prawne, w tym jednoosobowe spółki Skarbu Państwa (Dz. U. 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poz. 2369, z 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>późn. zm.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0E41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zwanego dalej „rozporządzeniem”, 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Pełnomocnik w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ykonuj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prawa z udziałów Skarbu Państwa w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7B1" w:rsidRPr="009C2DB6">
        <w:rPr>
          <w:rFonts w:ascii="Times New Roman" w:hAnsi="Times New Roman" w:cs="Times New Roman"/>
          <w:color w:val="000000"/>
          <w:sz w:val="24"/>
          <w:szCs w:val="24"/>
        </w:rPr>
        <w:t>spółce PEJ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. Ponadto na podstawie art.</w:t>
      </w:r>
      <w:r w:rsidR="006000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53f</w:t>
      </w:r>
      <w:r w:rsidR="006000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ust. 2 specustawy jądrowej Pełnomocnik zatwierdza harmonogram skonsolidowany oraz zasady koordynacji inwestycji w zakresie EJ1,</w:t>
      </w:r>
      <w:r w:rsidR="006B47B1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a w związku z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brzmieniem art. 53g ust. 3 i 4 specustawy jądrowej Pełnomocnik nadzoruje przygotowanie i realizację inwestycji w zakresie EJ1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oraz koordynuje przygotowanie i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realizację inwestycji w zakresie EJ1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inwestycji towarzyszących inwestycji w</w:t>
      </w:r>
      <w:r w:rsidR="006000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zakresie EJ1 zgodnie z zatwierdzonym harmonogramem skonsolidowanym. W związku z</w:t>
      </w:r>
      <w:r w:rsidR="006000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powyższym za zasadne </w:t>
      </w:r>
      <w:r w:rsidR="002C72B6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uznać </w:t>
      </w:r>
      <w:r w:rsidR="00732735" w:rsidRPr="009C2DB6">
        <w:rPr>
          <w:rFonts w:ascii="Times New Roman" w:hAnsi="Times New Roman" w:cs="Times New Roman"/>
          <w:color w:val="000000"/>
          <w:sz w:val="24"/>
          <w:szCs w:val="24"/>
        </w:rPr>
        <w:t>przyznanie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Pełnomocnikowi kompetencji do 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inicjowania procesu przyznania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0B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spółce PEJ 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wsparcia publicznego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B6D972" w14:textId="0381644F" w:rsidR="00732735" w:rsidRPr="009C2DB6" w:rsidRDefault="00732735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75559915"/>
      <w:r w:rsidRPr="009C2DB6">
        <w:rPr>
          <w:rFonts w:ascii="Times New Roman" w:hAnsi="Times New Roman" w:cs="Times New Roman"/>
          <w:color w:val="000000"/>
          <w:sz w:val="24"/>
          <w:szCs w:val="24"/>
        </w:rPr>
        <w:t>Odnosząc się do decyzji Komisji Europejskiej o zgodności pomocy publicznej dotyczącej inwestycji w zakresie EJ1 z rynkiem wewnętrznym</w:t>
      </w:r>
      <w:r w:rsidR="00C5605F" w:rsidRPr="009C2D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należy zauważyć, że </w:t>
      </w:r>
      <w:r w:rsidR="0001642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od września 2023 r. trwa postępowanie pre-notyfikacyjne obejmujące cały pakiet rozwiązań przewidujących </w:t>
      </w:r>
      <w:r w:rsidR="00016427" w:rsidRPr="009C2DB6">
        <w:rPr>
          <w:rFonts w:ascii="Times New Roman" w:hAnsi="Times New Roman" w:cs="Times New Roman"/>
          <w:color w:val="000000"/>
          <w:sz w:val="24"/>
          <w:szCs w:val="24"/>
        </w:rPr>
        <w:lastRenderedPageBreak/>
        <w:t>wsparcie publiczne spółki PEJ – oprócz zapewnienia przez Skarb Państwa finansowania części kapitałowej inwestycji planowane jest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16427" w:rsidRPr="009C2DB6">
        <w:rPr>
          <w:rFonts w:ascii="Times New Roman" w:hAnsi="Times New Roman" w:cs="Times New Roman"/>
          <w:color w:val="000000"/>
          <w:sz w:val="24"/>
          <w:szCs w:val="24"/>
        </w:rPr>
        <w:t>również udzielenie jej gwarancji lub poręczeń w imieniu i na rachunek Skarbu Państwa dla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1642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zapewnienia uzyskania finansowania dłużnego niezbędnego do pokrycia kosztów realizacji inwestycji oraz objęcie fazy eksploatacji </w:t>
      </w:r>
      <w:r w:rsidR="002B6091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Projektu </w:t>
      </w:r>
      <w:r w:rsidR="00016427" w:rsidRPr="009C2DB6">
        <w:rPr>
          <w:rFonts w:ascii="Times New Roman" w:hAnsi="Times New Roman" w:cs="Times New Roman"/>
          <w:color w:val="000000"/>
          <w:sz w:val="24"/>
          <w:szCs w:val="24"/>
        </w:rPr>
        <w:t>kontraktem różnicowym uwzględniającym uwarunkowania polskiego rynku energii elektrycznej. Z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godnie ze stanowiskiem prezentowanym przez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stronę polską w</w:t>
      </w:r>
      <w:r w:rsidR="0001642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trwającym postępowaniu</w:t>
      </w:r>
      <w:r w:rsidR="00016427" w:rsidRPr="009C2D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jako że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przewidywane parametry kontraktu różnicowego dla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B6091" w:rsidRPr="009C2DB6">
        <w:rPr>
          <w:rFonts w:ascii="Times New Roman" w:hAnsi="Times New Roman" w:cs="Times New Roman"/>
          <w:color w:val="000000"/>
          <w:sz w:val="24"/>
          <w:szCs w:val="24"/>
        </w:rPr>
        <w:t>inwestycji w zakresie EJ1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2B6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ustalone na warunkach, które pozwalają uzyskać wewnętrzną stopę zwrotu z wniesionego przez państwo wkładu pieniężnego na poziomie uznanym za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rynkowy, dokapitalizowanie to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będzie stanowić pomocy publicznej. Stanowisko to musi zostać uzgodnione z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Komisją Europejską w procesie notyfikacji mechanizmu wsparcia dla inwestycji w</w:t>
      </w:r>
      <w:r w:rsidR="00591331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zakresie EJ1,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dlatego udzielenie wsparcia publicznego będzie możliwe dopiero po wydaniu przez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Komisję Europejską</w:t>
      </w:r>
      <w:r w:rsidR="0001642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decyzji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, która potwierdzi ww. stanowisko albo uzna dokapitalizowanie za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element przyznawanej pomocy publicznej zgodnej z</w:t>
      </w:r>
      <w:r w:rsidR="0001642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rynkiem wewnętrznym. </w:t>
      </w:r>
      <w:r w:rsidR="0001642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Wydanie decyzji </w:t>
      </w:r>
      <w:r w:rsidR="002C72B6" w:rsidRPr="009C2DB6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16427" w:rsidRPr="009C2DB6">
        <w:rPr>
          <w:rFonts w:ascii="Times New Roman" w:hAnsi="Times New Roman" w:cs="Times New Roman"/>
          <w:color w:val="000000"/>
          <w:sz w:val="24"/>
          <w:szCs w:val="24"/>
        </w:rPr>
        <w:t>spodziewane</w:t>
      </w:r>
      <w:r w:rsidR="006F7E8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16427" w:rsidRPr="009C2DB6">
        <w:rPr>
          <w:rFonts w:ascii="Times New Roman" w:hAnsi="Times New Roman" w:cs="Times New Roman"/>
          <w:color w:val="000000"/>
          <w:sz w:val="24"/>
          <w:szCs w:val="24"/>
        </w:rPr>
        <w:t>w 2025 r.</w:t>
      </w:r>
    </w:p>
    <w:bookmarkEnd w:id="1"/>
    <w:p w14:paraId="1836ABD6" w14:textId="37761693" w:rsidR="0007053F" w:rsidRPr="009C2DB6" w:rsidRDefault="00732735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Zgodnie z art. 53i </w:t>
      </w:r>
      <w:r w:rsidR="00C22EE3" w:rsidRPr="009C2DB6">
        <w:rPr>
          <w:rFonts w:ascii="Times New Roman" w:hAnsi="Times New Roman" w:cs="Times New Roman"/>
          <w:color w:val="000000"/>
          <w:sz w:val="24"/>
          <w:szCs w:val="24"/>
        </w:rPr>
        <w:t>ust. 2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minister właściwy do spraw finansów publicznych wybiera jeden sposób lub oba sposoby wniesienia wkładu, o których mowa w art. 53h ust. 2 specustawy jądrowej w projektowanym brzmieniu, na pokrycie udziałów w podwyższonym kapitale zakładowym spółki PEJ</w:t>
      </w:r>
      <w:r w:rsidR="00A57950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i informuje ministra właściwego do spraw gospodarki surowcami energetycznymi oraz</w:t>
      </w:r>
      <w:r w:rsidR="00A57950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Pełnomocnika o tym wyborze.</w:t>
      </w:r>
    </w:p>
    <w:p w14:paraId="7B13BEB2" w14:textId="77E3E08A" w:rsidR="001F6284" w:rsidRPr="009C2DB6" w:rsidRDefault="001F6284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Wkład pieniężny jest przekazywany spółce PEJ przez ministra właściwego 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do spraw gospodarki surowcami </w:t>
      </w:r>
      <w:r w:rsidR="002E46FE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energetycznymi 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w terminie uzgodnionym z Pełnomocnikiem.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W tym miejscu należy</w:t>
      </w:r>
      <w:r w:rsidR="00C5605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podkreślić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, że w art. </w:t>
      </w:r>
      <w:r w:rsidR="0082129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53m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ust. 4 specustawy jądrowej w projektowanym brzmieniu przesądzono, że wydatki budżetu państwa na wniesienie wkładu pieniężnego są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finansowane z budżetu państwa z części, której dysponentem jest minister właściwy do spraw gospodarki surowcami energetycznymi.</w:t>
      </w:r>
    </w:p>
    <w:p w14:paraId="102C740C" w14:textId="74CB071B" w:rsidR="00075985" w:rsidRPr="009C2DB6" w:rsidRDefault="001F6284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inister właściwy do spraw finansów publicznych przekazuje spółce PEJ wkład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niepieniężny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>terminie 90 dni od dnia otrzymania wystąpienia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Pełnomocnika,</w:t>
      </w:r>
      <w:r w:rsidR="0007053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wskazując uprzednio Pełnomocnikowi planowany dzień przekazania tego wkładu.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W związku ze złożonością sprawy zaproponowany termin 90 dni </w:t>
      </w:r>
      <w:r w:rsidR="00C5605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uznać za zasadny. Jednocześnie </w:t>
      </w:r>
      <w:r w:rsidR="00B906B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wskazać, że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termin </w:t>
      </w:r>
      <w:r w:rsidR="00732735" w:rsidRPr="009C2DB6">
        <w:rPr>
          <w:rFonts w:ascii="Times New Roman" w:hAnsi="Times New Roman" w:cs="Times New Roman"/>
          <w:color w:val="000000"/>
          <w:sz w:val="24"/>
          <w:szCs w:val="24"/>
        </w:rPr>
        <w:t>ten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="00C22EE3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charakter maksymalny i </w:t>
      </w:r>
      <w:r w:rsidR="002C72B6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możliwe rozpatrzenie wniosku i przekazanie środków przed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jego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upływem.</w:t>
      </w:r>
    </w:p>
    <w:p w14:paraId="3833E2FB" w14:textId="3B75CB47" w:rsidR="004277D5" w:rsidRPr="009C2DB6" w:rsidRDefault="001F6284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lastRenderedPageBreak/>
        <w:t>M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ając na uwadze zakres zadań i kompetencji m</w:t>
      </w:r>
      <w:r w:rsidR="004277D5" w:rsidRPr="009C2DB6">
        <w:rPr>
          <w:rFonts w:ascii="Times New Roman" w:hAnsi="Times New Roman" w:cs="Times New Roman"/>
          <w:color w:val="000000"/>
          <w:sz w:val="24"/>
          <w:szCs w:val="24"/>
        </w:rPr>
        <w:t>inist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="004277D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który jest wyznaczony art. 8 ustawy z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dnia 4</w:t>
      </w:r>
      <w:r w:rsidR="00FB53D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września 1997 r. o działach administracji rządowej (Dz. U. z </w:t>
      </w:r>
      <w:r w:rsidR="00276EA5" w:rsidRPr="009C2DB6">
        <w:rPr>
          <w:rFonts w:ascii="Times New Roman" w:hAnsi="Times New Roman" w:cs="Times New Roman"/>
          <w:color w:val="000000"/>
          <w:sz w:val="24"/>
          <w:szCs w:val="24"/>
        </w:rPr>
        <w:t>2024 r. po</w:t>
      </w:r>
      <w:r w:rsidR="00C5605F" w:rsidRPr="009C2DB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76EA5" w:rsidRPr="009C2DB6">
        <w:rPr>
          <w:rFonts w:ascii="Times New Roman" w:hAnsi="Times New Roman" w:cs="Times New Roman"/>
          <w:color w:val="000000"/>
          <w:sz w:val="24"/>
          <w:szCs w:val="24"/>
        </w:rPr>
        <w:t>. 1370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), po</w:t>
      </w:r>
      <w:r w:rsidR="004254F4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stronie tego ministra pozostawiono dokonanie </w:t>
      </w:r>
      <w:r w:rsidR="004277D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wyboru </w:t>
      </w:r>
      <w:r w:rsidR="00276EA5" w:rsidRPr="009C2DB6">
        <w:rPr>
          <w:rFonts w:ascii="Times New Roman" w:hAnsi="Times New Roman" w:cs="Times New Roman"/>
          <w:color w:val="000000"/>
          <w:sz w:val="24"/>
          <w:szCs w:val="24"/>
        </w:rPr>
        <w:t>jednego lub obu sposobów wniesienia</w:t>
      </w:r>
      <w:r w:rsidR="004277D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wkładu </w:t>
      </w:r>
      <w:r w:rsidR="00276EA5" w:rsidRPr="009C2DB6">
        <w:rPr>
          <w:rFonts w:ascii="Times New Roman" w:hAnsi="Times New Roman" w:cs="Times New Roman"/>
          <w:color w:val="000000"/>
          <w:sz w:val="24"/>
          <w:szCs w:val="24"/>
        </w:rPr>
        <w:t>na pokrycie udziałów w podwyższonym kapitale zakładowym spółki PEJ</w:t>
      </w:r>
      <w:r w:rsidR="00075985" w:rsidRPr="009C2D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3B0086" w14:textId="609B1B33" w:rsidR="000C1E2A" w:rsidRPr="009C2DB6" w:rsidDel="00821297" w:rsidRDefault="000C1E2A" w:rsidP="00B94B3F">
      <w:pPr>
        <w:spacing w:before="120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 w:rsidDel="0082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</w:t>
      </w:r>
      <w:r w:rsidR="00953B5A" w:rsidRPr="009C2DB6" w:rsidDel="0082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pkt 8</w:t>
      </w:r>
      <w:r w:rsidRPr="009C2DB6" w:rsidDel="0082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projektu </w:t>
      </w:r>
      <w:r w:rsidR="001F6284" w:rsidRPr="009C2DB6" w:rsidDel="0082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r w:rsidRPr="009C2DB6" w:rsidDel="0082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5605F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DB6" w:rsidDel="0082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53j specustawy jądrowej</w:t>
      </w:r>
    </w:p>
    <w:p w14:paraId="27ACC3D5" w14:textId="396F6D23" w:rsidR="002B5627" w:rsidRPr="009C2DB6" w:rsidRDefault="002B5627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 związku z wprowadzeniem w art. 53i ust. 2 specustawy jądrowej w projektowanym brzmieniu możliwości dokonania przez ministra właściwego do spraw finansów publicznych wyboru </w:t>
      </w:r>
      <w:r w:rsidR="00465BB7" w:rsidRPr="009C2DB6">
        <w:rPr>
          <w:rFonts w:ascii="Times New Roman" w:hAnsi="Times New Roman" w:cs="Times New Roman"/>
          <w:color w:val="000000"/>
          <w:sz w:val="24"/>
          <w:szCs w:val="24"/>
        </w:rPr>
        <w:t>jednego lub</w:t>
      </w:r>
      <w:r w:rsidR="009F617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5BB7" w:rsidRPr="009C2DB6">
        <w:rPr>
          <w:rFonts w:ascii="Times New Roman" w:hAnsi="Times New Roman" w:cs="Times New Roman"/>
          <w:color w:val="000000"/>
          <w:sz w:val="24"/>
          <w:szCs w:val="24"/>
        </w:rPr>
        <w:t>obu sposobów wniesienia wkładu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, o których mowa w art. 53h ust. 2 </w:t>
      </w:r>
      <w:r w:rsidR="009F6176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specustawy jądrowej 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9F617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>proponowanym brzmieniu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, w art. </w:t>
      </w:r>
      <w:r w:rsidR="0082129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53j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przesądzono, że </w:t>
      </w:r>
      <w:r w:rsidR="005B5D29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suma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wartości wkładu pieniężnego z</w:t>
      </w:r>
      <w:r w:rsidR="00465B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budżetu państwa i wkładu niepieniężnego w postaci skarbowych papierów wartościowych, przekazanych spółce PEJ w danym roku, nie może być wyższa niż wartość maksymalnego limitu wydatków budżetu państwa </w:t>
      </w:r>
      <w:r w:rsidR="00465BB7" w:rsidRPr="009C2DB6">
        <w:rPr>
          <w:rFonts w:ascii="Times New Roman" w:hAnsi="Times New Roman" w:cs="Times New Roman"/>
          <w:color w:val="000000"/>
          <w:sz w:val="24"/>
          <w:szCs w:val="24"/>
        </w:rPr>
        <w:t>określonego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w art. </w:t>
      </w:r>
      <w:r w:rsidR="0082129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53m </w:t>
      </w:r>
      <w:r w:rsidR="00465BB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ust. 1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specustawy jądrowej w</w:t>
      </w:r>
      <w:r w:rsidR="005B5D29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proponowanym brzmieniu. Rozwiązanie 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9F617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zapewnia nieprzekraczalność kwot, o których mowa w</w:t>
      </w:r>
      <w:r w:rsidR="00A91D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91D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2129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53m </w:t>
      </w:r>
      <w:r w:rsidR="00465BB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ust. 1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specustawy jądrowej w</w:t>
      </w:r>
      <w:r w:rsidR="009F617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proponowanym brzmieniu.</w:t>
      </w:r>
      <w:r w:rsidR="00C5605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1983E2" w14:textId="02BAA9FD" w:rsidR="000C1E2A" w:rsidRPr="009C2DB6" w:rsidRDefault="000C1E2A" w:rsidP="00B94B3F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 </w:t>
      </w:r>
      <w:r w:rsidR="0078295A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8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projektu </w:t>
      </w:r>
      <w:r w:rsidR="009F6176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5947FC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53</w:t>
      </w:r>
      <w:r w:rsidR="00821297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specustawy jądrowej</w:t>
      </w:r>
    </w:p>
    <w:p w14:paraId="659AA27F" w14:textId="4E181352" w:rsidR="00A86715" w:rsidRPr="009C2DB6" w:rsidRDefault="00A86715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 art. </w:t>
      </w:r>
      <w:r w:rsidR="0082129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53k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przesądzono, że minister właściwy do spraw budżetu określi w liście emisyjnym warunki emisji skarbowych papierów wartościowych, o których mowa w art. 53h ust. 2 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pkt 2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specustawy jądrowej w projektowanym brzmieniu, oraz sposób realizacji świadczeń z nich wynikających, a także określono szczegółowe wymagania, które ma spełniać list emisyjny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oraz zawarto regulacje dotyczące emisji. W związku ze szczegółowym uregulowaniem wyżej opisanych kwestii w art. </w:t>
      </w:r>
      <w:r w:rsidR="0082129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53k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specustawy jądrowej </w:t>
      </w:r>
      <w:r w:rsidR="005B5D29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 projekcie ustawy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przesądzono</w:t>
      </w:r>
      <w:r w:rsidR="005B5D29" w:rsidRPr="009C2DB6">
        <w:rPr>
          <w:rFonts w:ascii="Times New Roman" w:hAnsi="Times New Roman" w:cs="Times New Roman"/>
          <w:color w:val="000000"/>
          <w:sz w:val="24"/>
          <w:szCs w:val="24"/>
        </w:rPr>
        <w:t>, że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do emisji skarbowych papierów wartościowych na</w:t>
      </w:r>
      <w:r w:rsidR="009F617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="009F617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podstawie nie</w:t>
      </w:r>
      <w:r w:rsidR="004E7C4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stosuje się przepisów art. 98 i art. 102 ustawy z dnia 27 sierpnia 2009 r. o finansach publicznych</w:t>
      </w:r>
      <w:r w:rsidR="00071F5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(Dz. U. z 2023 r. poz. 1270, z późn. zm.)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oraz przepisów wydanych na podstawie art.</w:t>
      </w:r>
      <w:r w:rsidR="00071F5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="00071F5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tej</w:t>
      </w:r>
      <w:r w:rsidR="00071F5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ustawy.</w:t>
      </w:r>
    </w:p>
    <w:p w14:paraId="37E561C0" w14:textId="0CAA046A" w:rsidR="000C1E2A" w:rsidRPr="009C2DB6" w:rsidRDefault="000C1E2A" w:rsidP="00B94B3F">
      <w:pPr>
        <w:spacing w:before="120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 </w:t>
      </w:r>
      <w:r w:rsidR="0078295A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8 </w:t>
      </w:r>
      <w:r w:rsidR="00953B5A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projektu </w:t>
      </w:r>
      <w:r w:rsidR="009F6176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–art. </w:t>
      </w:r>
      <w:r w:rsidR="00821297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53l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specustawy jądrowej</w:t>
      </w:r>
    </w:p>
    <w:p w14:paraId="123CD2D9" w14:textId="110A57C6" w:rsidR="00DA4C91" w:rsidRPr="009C2DB6" w:rsidRDefault="00DA4C91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 art. </w:t>
      </w:r>
      <w:r w:rsidR="0082129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53l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uregulowano, 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>zabezpieczające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interesy 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>Skarbu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Państwa, </w:t>
      </w:r>
      <w:r w:rsidR="005B5D29" w:rsidRPr="009C2DB6">
        <w:rPr>
          <w:rFonts w:ascii="Times New Roman" w:hAnsi="Times New Roman" w:cs="Times New Roman"/>
          <w:color w:val="000000"/>
          <w:sz w:val="24"/>
          <w:szCs w:val="24"/>
        </w:rPr>
        <w:t>sposoby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dysponowania przez spółkę PEJ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skarbow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>ymi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papier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wartościow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ymi. Zgodnie z 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proponowanym brzmieniem 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>przepis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spółka PEJ</w:t>
      </w:r>
      <w:r w:rsidR="00442B11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może posiadać wyżej wymienione papiery wartościowe </w:t>
      </w:r>
      <w:r w:rsidR="005B5D29" w:rsidRPr="009C2DB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o terminu ich wykupu lub</w:t>
      </w:r>
      <w:r w:rsidR="009F617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rozporządzać nimi przed tym terminem.</w:t>
      </w:r>
      <w:r w:rsidR="005B5D29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Ponadto </w:t>
      </w:r>
      <w:r w:rsidR="00C5605F" w:rsidRPr="009C2DB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półka PEJ nie może oferować skarbowych papierów wartościowych, o których mowa w</w:t>
      </w:r>
      <w:r w:rsidR="00BB720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BB720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53h</w:t>
      </w:r>
      <w:r w:rsidR="00BB720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BB720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B720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42A49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pkt 2 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>specustawy jądrowej w</w:t>
      </w:r>
      <w:r w:rsidR="009F617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>projektowanym brzmieniu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, w dniach przetargów skarbowych papierów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lastRenderedPageBreak/>
        <w:t>wartościowych, o których mowa w przepisach wydanych na podstawie art.</w:t>
      </w:r>
      <w:r w:rsidR="00A91D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="00A91D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ustawy z dnia 27</w:t>
      </w:r>
      <w:r w:rsidR="009F04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sierpnia 2009 r. o finansach publicznych, i w okresie dwóch dni roboczych poprzedzających te</w:t>
      </w:r>
      <w:r w:rsidR="00BB720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przetargi, których terminy są</w:t>
      </w:r>
      <w:r w:rsidR="009F617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planowane dla danego roku w</w:t>
      </w:r>
      <w:r w:rsidR="00442B11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kalendarzu przetargów skarbowych papierów wartościowych oraz</w:t>
      </w:r>
      <w:r w:rsidR="009F617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F617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bieżąco podawane w</w:t>
      </w:r>
      <w:r w:rsidR="00442B11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komunikatach ministra właściwego do spraw budżetu publikowanych na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stronach internetowych urzędu obsługującego tego ministra. Maksymalna</w:t>
      </w:r>
      <w:r w:rsidR="00142A49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dzienna wartość </w:t>
      </w:r>
      <w:r w:rsidR="00142A49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nominalna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sprzedaży przez spółkę PEJ skarbowych papierów wartościowych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wynosi 100 000 000 zł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6039D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>a d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okonanie przez spółkę PEJ</w:t>
      </w:r>
      <w:r w:rsidR="00442B11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sprzedaży skarbowych papierów wartościowych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B720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0D3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wyższej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wartości wymaga zgody ministra właściwego do spraw finansów publicznych.</w:t>
      </w:r>
    </w:p>
    <w:p w14:paraId="3D9F2F63" w14:textId="26ECE5A8" w:rsidR="00821297" w:rsidRPr="009C2DB6" w:rsidRDefault="00821297" w:rsidP="00B94B3F">
      <w:pPr>
        <w:spacing w:before="120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 pkt 8 projektu ustawy –</w:t>
      </w:r>
      <w:r w:rsidR="00BA2F0C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53m specustawy jądrowej</w:t>
      </w:r>
    </w:p>
    <w:p w14:paraId="1EE9C73A" w14:textId="13AFF5C0" w:rsidR="00821297" w:rsidRPr="009C2DB6" w:rsidRDefault="00821297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Art. 53m ust. 1 określa maksymalne limity wydatków budżetu państwa na wniesienie wkładu pieniężnego, które wynoszą w:</w:t>
      </w:r>
    </w:p>
    <w:p w14:paraId="098CC2E2" w14:textId="77777777" w:rsidR="00821297" w:rsidRPr="009C2DB6" w:rsidRDefault="00821297" w:rsidP="00B94B3F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ab/>
        <w:t>2025 r. – 4 600 000 000 zł;</w:t>
      </w:r>
    </w:p>
    <w:p w14:paraId="781CFE29" w14:textId="77777777" w:rsidR="00821297" w:rsidRPr="009C2DB6" w:rsidRDefault="00821297" w:rsidP="00B94B3F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ab/>
        <w:t>2026 r. – 11 000 000 000 zł;</w:t>
      </w:r>
    </w:p>
    <w:p w14:paraId="0B4F7597" w14:textId="77777777" w:rsidR="00821297" w:rsidRPr="009C2DB6" w:rsidRDefault="00821297" w:rsidP="00B94B3F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ab/>
        <w:t>2027 r. – 14 000 000 000 zł;</w:t>
      </w:r>
    </w:p>
    <w:p w14:paraId="025EDDBA" w14:textId="77777777" w:rsidR="00821297" w:rsidRPr="009C2DB6" w:rsidRDefault="00821297" w:rsidP="00B94B3F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ab/>
        <w:t>2028 r. – 13 000 000 000 zł;</w:t>
      </w:r>
    </w:p>
    <w:p w14:paraId="0C6CE112" w14:textId="77777777" w:rsidR="00821297" w:rsidRPr="009C2DB6" w:rsidRDefault="00821297" w:rsidP="00B94B3F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ab/>
        <w:t>2029 r. – 11 000 000 000 zł;</w:t>
      </w:r>
    </w:p>
    <w:p w14:paraId="4803215E" w14:textId="77777777" w:rsidR="00821297" w:rsidRPr="009C2DB6" w:rsidRDefault="00821297" w:rsidP="00B94B3F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ab/>
        <w:t>2030 r. – 6 600 000 000 zł.</w:t>
      </w:r>
    </w:p>
    <w:p w14:paraId="3B23FBF7" w14:textId="77777777" w:rsidR="00821297" w:rsidRPr="009C2DB6" w:rsidRDefault="00821297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Przedstawione wartości w poszczególnych latach odpowiadają planowanym do poniesienia wydatkom Skarbu Państwa, które sumują się do udziału kapitału własnego w finansowaniu nakładów inwestycyjnych w wysokości 60 miliardów 200 mln złotych.</w:t>
      </w:r>
    </w:p>
    <w:p w14:paraId="6E8601B4" w14:textId="54D60857" w:rsidR="00821297" w:rsidRPr="009C2DB6" w:rsidRDefault="00821297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Na całościową wartość nakładów inwestycyjnych składają się koszty planowanego kontraktu na zaprojektowanie i budowę inwestycji w zakresie EJ1 (tj. kontraktu </w:t>
      </w:r>
      <w:r w:rsidRPr="00B94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Engineering, Procurement and Construction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, zwanego dalej „EPC”), koszty własne spółki i koszty realizowanej przez nią infrastruktury towarzyszącej elektrowni jądrowej oraz rezerwa w</w:t>
      </w:r>
      <w:r w:rsidR="009F04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wysokości ok. 10 % wartości kontraktu EPC założona w celu odzwierciedlenia niepewności wynikających z szacowania nakładów inwestycji na obecnym etapie realizacji Projektu.</w:t>
      </w:r>
    </w:p>
    <w:p w14:paraId="25FC4177" w14:textId="4163AA6A" w:rsidR="00821297" w:rsidRPr="009C2DB6" w:rsidRDefault="00821297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Zgodnie z art. 50 ust. 5 ustawy z dnia 27 sierpnia 2009 r. o finansach publicznych w art. 53m ust. 2 i 3 wprowadzono regulację, zgodnie z którą Pełnomocnik monitoruje wykorzystanie przyjętego na dany rok budżetowy limitu wydatków, o którym mowa w art. 53m ust. 1 specustawy jądrowej w</w:t>
      </w:r>
      <w:r w:rsidR="00F17CA1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proponowanym brzmieniu. W przypadku zagrożenia przekroczenia przyjętego na dany rok</w:t>
      </w:r>
      <w:r w:rsidR="00F17CA1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budżetowy limitu wydatków, o którym mowa w art. 53</w:t>
      </w:r>
      <w:r w:rsidR="00880A81" w:rsidRPr="009C2DB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ust. 1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lastRenderedPageBreak/>
        <w:t>specustawy jądrowej w</w:t>
      </w:r>
      <w:r w:rsidR="00F17CA1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proponowanym brzmieniu, Pełnomocnik wdraża mechanizm korygujący polegający na</w:t>
      </w:r>
      <w:r w:rsidR="00F17CA1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tym,</w:t>
      </w:r>
      <w:r w:rsidR="00F17CA1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F17CA1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F17CA1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występuje on do ministra właściwego do spraw finansów publicznych</w:t>
      </w:r>
      <w:r w:rsidRPr="009C2DB6">
        <w:rPr>
          <w:rFonts w:ascii="Times New Roman" w:hAnsi="Times New Roman" w:cs="Times New Roman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ze wskazaniem planowanej wysokości podwyższenia kapitału zakładowego spółki PEJ, która przekraczałaby przyjęty na dany rok budżetowy limit wydatków.</w:t>
      </w:r>
    </w:p>
    <w:p w14:paraId="59683B6F" w14:textId="6933346C" w:rsidR="00821297" w:rsidRPr="009C2DB6" w:rsidRDefault="00821297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W tym miejscu ponownie należy</w:t>
      </w:r>
      <w:r w:rsidR="00BA2F0C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zauważyć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, że zgodnie z lp. 159 rozporządzenia Pełnomocnik wykonuje prawa z udziałów Skarbu Państwa w spółce PEJ. Na podstawie art. 156 Kodeksu spółek handlowych Pełnomocnik wykonuje wszystkie uprawnienia przysługujące zgromadzeniu wspólników. Zgodnie z art. 212 Kodeksu spółek handlowych prawo kontroli służy każdemu wspólnikowi. W tym celu wspólnik lub wspólnik z upoważnioną przez siebie osobą może w każdym czasie przeglądać księgi i dokumenty spółki, sporządzać bilans dla sw</w:t>
      </w:r>
      <w:r w:rsidR="00BA2F0C" w:rsidRPr="009C2DB6"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ego użytku lub żądać wyjaśnień od zarządu. Jednocześnie umowa spółki PEJ przewiduje szeroki udział zgromadzenia wspólników w procesie dokonywania przez spółkę PEJ czynności prawnych. Pełnomocnik jest też podmiotem, który na podstawie art. 156 w związku z art. 231 § 2 Kodeksu spółek handlowych:</w:t>
      </w:r>
    </w:p>
    <w:p w14:paraId="0EBCFCED" w14:textId="77777777" w:rsidR="00821297" w:rsidRPr="009C2DB6" w:rsidRDefault="00821297" w:rsidP="00B94B3F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C2DB6">
        <w:rPr>
          <w:rFonts w:ascii="Times New Roman" w:hAnsi="Times New Roman"/>
          <w:color w:val="000000"/>
          <w:sz w:val="24"/>
          <w:szCs w:val="24"/>
        </w:rPr>
        <w:t>rozpatruje i zatwierdza sprawozdanie zarządu z działalności spółki PEJ oraz sprawozdanie finansowe za ubiegły rok obrotowy;</w:t>
      </w:r>
    </w:p>
    <w:p w14:paraId="033FBD49" w14:textId="77777777" w:rsidR="00821297" w:rsidRPr="009C2DB6" w:rsidRDefault="00821297" w:rsidP="00B94B3F">
      <w:pPr>
        <w:pStyle w:val="Akapitzlist"/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2DB6">
        <w:rPr>
          <w:rFonts w:ascii="Times New Roman" w:hAnsi="Times New Roman"/>
          <w:color w:val="000000"/>
          <w:sz w:val="24"/>
          <w:szCs w:val="24"/>
        </w:rPr>
        <w:t>podejmuje uchwały o podziale zysku albo pokryciu straty;</w:t>
      </w:r>
    </w:p>
    <w:p w14:paraId="3F4D3AF0" w14:textId="77777777" w:rsidR="00821297" w:rsidRPr="009C2DB6" w:rsidRDefault="00821297" w:rsidP="00B94B3F">
      <w:pPr>
        <w:pStyle w:val="Akapitzlist"/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2DB6">
        <w:rPr>
          <w:rFonts w:ascii="Times New Roman" w:hAnsi="Times New Roman"/>
          <w:color w:val="000000"/>
          <w:sz w:val="24"/>
          <w:szCs w:val="24"/>
        </w:rPr>
        <w:t>udziela członkom organów spółki PEJ absolutorium z wykonania przez nich obowiązków.</w:t>
      </w:r>
    </w:p>
    <w:p w14:paraId="10DAE37B" w14:textId="0CA2103E" w:rsidR="00821297" w:rsidRPr="009C2DB6" w:rsidRDefault="00821297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Ponadto na podstawie art. 53f ust. 2 specustawy jądrowej Pełnomocnik zatwierdza harmonogram skonsolidowany oraz zasady koordynacji inwestycji w zakresie EJ1, a w związku z brzmieniem art. 53g ust. 3 i 4 specustawy jądrowej Pełnomocnik nadzoruje przygotowanie i</w:t>
      </w:r>
      <w:r w:rsidR="009F04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realizację inwestycji w zakresie EJ1 oraz koordynuje przygotowanie i realizację inwestycji w</w:t>
      </w:r>
      <w:r w:rsidR="009F04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zakresie EJ1 oraz inwestycji towarzyszących inwestycji w zakresie EJ1 zgodnie z</w:t>
      </w:r>
      <w:r w:rsidR="009F04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zatwierdzonym harmonogramem skonsolidowanym (należy</w:t>
      </w:r>
      <w:r w:rsidR="00BA2F0C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wskazać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, że Pełnomocnik zatwierdza ten harmonogram zgodnie z art. 53f ust. 1 specustawy jądrowej). Pełnomocnik posiada zatem pełną wiedzę w zakresie przygotowan</w:t>
      </w:r>
      <w:r w:rsidR="00BA2F0C" w:rsidRPr="009C2DB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a realizacji inwestycji w zakresie EJ1 i</w:t>
      </w:r>
      <w:r w:rsidR="009F04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przeznaczanych na nią środków i ma szerokie możliwości uzyskiwan</w:t>
      </w:r>
      <w:r w:rsidR="00BA2F0C" w:rsidRPr="009C2DB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a od spółki PEJ informacji, wyjaśnień oraz dokumentacji, a także podejmowania działań zaradczych oraz naprawczych.</w:t>
      </w:r>
    </w:p>
    <w:p w14:paraId="3855AB71" w14:textId="4055C3E2" w:rsidR="00821297" w:rsidRPr="009C2DB6" w:rsidRDefault="00821297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Mając na uwadze powyższe, należy</w:t>
      </w:r>
      <w:r w:rsidR="00BA2F0C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wskazać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, że Pełnomocnik posiada szeroki zakres możliwości kontrolowan</w:t>
      </w:r>
      <w:r w:rsidR="00BA2F0C" w:rsidRPr="009C2DB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a spółki PEJ oraz wydatkowania przez nią środków, w tym wsparcia publicznego, które zostanie przekazane tej spółce na podstawie przepisów w brzmieniu zaproponowanym w projekcie ustawy. W specustawie jądrowej zmienianej projektem ustawy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został zaproponowany spójny system, w którym Pełnomocnik jest podmiotem wykonującym uprawnienia z udziałów Skarbu Państwa w spółce PEJ i w związku z tym posiada szereg kompetencji kontrolnych, ma wpływ na dokonywane przez spółkę czynności prawne, a ponadto jest podmiotem odpowiedzialnym za nadzór nad przygotowaniem i realizacją inwestycji w</w:t>
      </w:r>
      <w:r w:rsidR="009F04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zakresie EJ1 oraz koordynację przygotowania i realizacji inwestycji w zakresie EJ1 oraz inwestycji towarzyszących inwestycji w zakresie EJ1, a jego zadaniem jest występowanie do ministra właściwego do spraw finansów publicznych ze wskazaniem planowanej wysokości</w:t>
      </w:r>
      <w:r w:rsidRPr="009C2DB6">
        <w:rPr>
          <w:rFonts w:ascii="Times New Roman" w:hAnsi="Times New Roman" w:cs="Times New Roman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podwyższenia kapitału zakładowego spółki PEJ, co również umożliwia mu kontrolę nad zasadnością i celowością środków wydatkowanych przez spółkę PEJ.</w:t>
      </w:r>
    </w:p>
    <w:p w14:paraId="499EEC03" w14:textId="7D1DAE2F" w:rsidR="00821297" w:rsidRPr="009C2DB6" w:rsidRDefault="00821297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W projekcie ustawy przesądzono, że wydatki, o których mowa w art. 53</w:t>
      </w:r>
      <w:r w:rsidR="00880A81" w:rsidRPr="009C2DB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ust. 1 specustawy jądrowej w projektowanym brzmieniu, są finansowane z budżetu państwa z części, której dysponentem jest minister właściwy do spraw gospodarki surowcami energetycznym</w:t>
      </w:r>
      <w:r w:rsidR="00F17CA1" w:rsidRPr="009C2DB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(część 48).</w:t>
      </w:r>
    </w:p>
    <w:p w14:paraId="75E3C4C2" w14:textId="411BD1BA" w:rsidR="000C1E2A" w:rsidRPr="009C2DB6" w:rsidRDefault="000C1E2A" w:rsidP="00B94B3F">
      <w:pPr>
        <w:spacing w:before="120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 </w:t>
      </w:r>
      <w:r w:rsidR="00D52ADD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 8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3B5A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projektu </w:t>
      </w:r>
      <w:r w:rsidR="00C6039D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A2F0C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53n specustawy jądrowej</w:t>
      </w:r>
    </w:p>
    <w:p w14:paraId="3D300EAE" w14:textId="35489922" w:rsidR="00576EB5" w:rsidRPr="009C2DB6" w:rsidRDefault="00576EB5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Art. 53n reguluje kwestię sprawozdawczości. Zgodnie z tym przepisem </w:t>
      </w:r>
      <w:r w:rsidR="00A91DB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spółka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PEJ </w:t>
      </w:r>
      <w:r w:rsidR="00D52ADD" w:rsidRPr="009C2DB6">
        <w:rPr>
          <w:rFonts w:ascii="Times New Roman" w:hAnsi="Times New Roman" w:cs="Times New Roman"/>
          <w:color w:val="000000"/>
          <w:sz w:val="24"/>
          <w:szCs w:val="24"/>
        </w:rPr>
        <w:t>przedstawia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Pełnomocnikowi w terminie do </w:t>
      </w:r>
      <w:r w:rsidR="00BA2F0C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31 marca każdego roku sprawozdanie z wykorzystania w</w:t>
      </w:r>
      <w:r w:rsidR="009F04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poprzednim roku wsparcia publicznego, o którym mowa w art. 53h ust. 1 specustawy jądrowej w projektowanym brzmieniu. Pełnomocnik przedstawia Radzie Ministrów w terminie do dnia 31 maja każdego roku informację o wykorzystaniu w poprzednim roku przez spółkę PEJ wsparcia publicznego.</w:t>
      </w:r>
    </w:p>
    <w:p w14:paraId="37D9FA7B" w14:textId="5C6707C9" w:rsidR="00E460A7" w:rsidRPr="009C2DB6" w:rsidRDefault="00E460A7" w:rsidP="00B94B3F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</w:t>
      </w:r>
      <w:r w:rsidR="00C6039D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projektu ustawy</w:t>
      </w:r>
    </w:p>
    <w:p w14:paraId="506B9A96" w14:textId="3D2773A3" w:rsidR="00A97A20" w:rsidRPr="009C2DB6" w:rsidRDefault="00953B5A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W a</w:t>
      </w:r>
      <w:r w:rsidR="00A97A20" w:rsidRPr="009C2DB6">
        <w:rPr>
          <w:rFonts w:ascii="Times New Roman" w:hAnsi="Times New Roman" w:cs="Times New Roman"/>
          <w:color w:val="000000"/>
          <w:sz w:val="24"/>
          <w:szCs w:val="24"/>
        </w:rPr>
        <w:t>rt. 2 dokonuje się zmiany ustawy z dnia 1 grudnia 1995 r. o wpłatach z zysku przez jednoosobowe spółki Skarbu Państwa (Dz. U. z 2022 r. poz. 44). Zmiana polega na wyłączeniu jednoosobowych spółek Skarbu Państwa przygotowujących i realizujących inwestycj</w:t>
      </w:r>
      <w:r w:rsidR="006A1039" w:rsidRPr="009C2DB6">
        <w:rPr>
          <w:rFonts w:ascii="Times New Roman" w:hAnsi="Times New Roman" w:cs="Times New Roman"/>
          <w:color w:val="000000"/>
          <w:sz w:val="24"/>
          <w:szCs w:val="24"/>
        </w:rPr>
        <w:t>ę w</w:t>
      </w:r>
      <w:r w:rsidR="009F04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A1039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zakresie obiektu energetyki jądrowej </w:t>
      </w:r>
      <w:r w:rsidR="00A97A20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na podstawie </w:t>
      </w:r>
      <w:r w:rsidR="00E848BD" w:rsidRPr="009C2DB6">
        <w:rPr>
          <w:rFonts w:ascii="Times New Roman" w:hAnsi="Times New Roman" w:cs="Times New Roman"/>
          <w:color w:val="000000"/>
          <w:sz w:val="24"/>
          <w:szCs w:val="24"/>
        </w:rPr>
        <w:t>specustawy jądrowej</w:t>
      </w:r>
      <w:r w:rsidR="00E46CA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z obowiązku dokonywania wpłat z zysku</w:t>
      </w:r>
      <w:r w:rsidR="00A97A20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E18A415" w14:textId="6349B684" w:rsidR="00A97A20" w:rsidRPr="009C2DB6" w:rsidRDefault="00A97A20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Powyższe </w:t>
      </w:r>
      <w:r w:rsidR="009A488E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związane ze znaczeniem, skalą i kapitałochłonnością wyżej opisanych inwestycji</w:t>
      </w:r>
      <w:r w:rsidR="005B5D29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="00A91D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B5D29" w:rsidRPr="009C2DB6">
        <w:rPr>
          <w:rFonts w:ascii="Times New Roman" w:hAnsi="Times New Roman" w:cs="Times New Roman"/>
          <w:color w:val="000000"/>
          <w:sz w:val="24"/>
          <w:szCs w:val="24"/>
        </w:rPr>
        <w:t>niecelowością obciążania spółki PEJ tymi wpłatami w sytuacji, w której jej funkcjonowanie i</w:t>
      </w:r>
      <w:r w:rsidR="00A91D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B5D29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realizacja przez nią Projektu </w:t>
      </w:r>
      <w:r w:rsidR="009A488E" w:rsidRPr="009C2DB6">
        <w:rPr>
          <w:rFonts w:ascii="Times New Roman" w:hAnsi="Times New Roman" w:cs="Times New Roman"/>
          <w:color w:val="000000"/>
          <w:sz w:val="24"/>
          <w:szCs w:val="24"/>
        </w:rPr>
        <w:t>będ</w:t>
      </w:r>
      <w:r w:rsidR="00BA2F0C" w:rsidRPr="009C2D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9A488E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D29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finansowane </w:t>
      </w:r>
      <w:r w:rsidR="00E755C1" w:rsidRPr="009C2DB6">
        <w:rPr>
          <w:rFonts w:ascii="Times New Roman" w:hAnsi="Times New Roman" w:cs="Times New Roman"/>
          <w:color w:val="000000"/>
          <w:sz w:val="24"/>
          <w:szCs w:val="24"/>
        </w:rPr>
        <w:t>ze wsparcia publicznego udzielanego przez Skarb Państwa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1102FE" w14:textId="77777777" w:rsidR="00E24971" w:rsidRPr="009C2DB6" w:rsidRDefault="00E460A7" w:rsidP="00B94B3F">
      <w:pPr>
        <w:keepNext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Art. </w:t>
      </w:r>
      <w:r w:rsidR="00383EDE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C6039D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projektu ustawy</w:t>
      </w:r>
      <w:r w:rsidR="00E24971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6E8A95" w14:textId="38F10485" w:rsidR="00DD7F41" w:rsidRPr="009C2DB6" w:rsidRDefault="00DD7F41" w:rsidP="00B94B3F">
      <w:pPr>
        <w:keepNext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Zgodnie z art. </w:t>
      </w:r>
      <w:r w:rsidR="00383EDE" w:rsidRPr="009C2DB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8BD" w:rsidRPr="009C2DB6">
        <w:rPr>
          <w:rFonts w:ascii="Times New Roman" w:hAnsi="Times New Roman" w:cs="Times New Roman"/>
          <w:color w:val="000000"/>
          <w:sz w:val="24"/>
          <w:szCs w:val="24"/>
        </w:rPr>
        <w:t>projektu ustawy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do dnia wydania przez Komisję Europejską decyzji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5F1983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3B5A" w:rsidRPr="009C2DB6">
        <w:rPr>
          <w:rFonts w:ascii="Times New Roman" w:hAnsi="Times New Roman" w:cs="Times New Roman"/>
          <w:color w:val="000000"/>
          <w:sz w:val="24"/>
          <w:szCs w:val="24"/>
        </w:rPr>
        <w:t>zgodności pomocy publicznej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, o</w:t>
      </w:r>
      <w:r w:rsidR="00A91D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której mowa w</w:t>
      </w:r>
      <w:r w:rsidR="00E848BD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art. 53i ust. 1 ustawy zmienianej w art. 1 projektu ustawy, Pełnomocnik nie </w:t>
      </w:r>
      <w:r w:rsidR="00C6039D" w:rsidRPr="009C2DB6">
        <w:rPr>
          <w:rFonts w:ascii="Times New Roman" w:hAnsi="Times New Roman" w:cs="Times New Roman"/>
          <w:color w:val="000000"/>
          <w:sz w:val="24"/>
          <w:szCs w:val="24"/>
        </w:rPr>
        <w:t>występuje do ministra właściwego do spraw finansów publicznych ze wskazaniem planowanej wysokości podwyższenia kapitału zakładowego spółki PEJ.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Zaproponowane rozwiązani</w:t>
      </w:r>
      <w:r w:rsidR="00A91DB7" w:rsidRPr="009C2D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ma na celu zapewnienie </w:t>
      </w:r>
      <w:r w:rsidR="00015749" w:rsidRPr="009C2DB6">
        <w:rPr>
          <w:rFonts w:ascii="Times New Roman" w:hAnsi="Times New Roman" w:cs="Times New Roman"/>
          <w:color w:val="000000"/>
          <w:sz w:val="24"/>
          <w:szCs w:val="24"/>
        </w:rPr>
        <w:t>braku sprzeczności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1DB7" w:rsidRPr="009C2DB6">
        <w:rPr>
          <w:rFonts w:ascii="Times New Roman" w:hAnsi="Times New Roman" w:cs="Times New Roman"/>
          <w:color w:val="000000"/>
          <w:sz w:val="24"/>
          <w:szCs w:val="24"/>
        </w:rPr>
        <w:t>działań związanych z</w:t>
      </w:r>
      <w:r w:rsidR="00015749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1DB7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udzielaniem spółce PEJ wsparcia publicznego z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prawem Unii Europejskiej.</w:t>
      </w:r>
    </w:p>
    <w:p w14:paraId="3B65D60B" w14:textId="70FD635A" w:rsidR="00E460A7" w:rsidRPr="009C2DB6" w:rsidRDefault="00DD7F41" w:rsidP="00B94B3F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383EDE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97A20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039D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projektu ustawy</w:t>
      </w:r>
    </w:p>
    <w:p w14:paraId="46C22627" w14:textId="7CFDA8CE" w:rsidR="008F73BB" w:rsidRPr="009C2DB6" w:rsidRDefault="00A97A20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Przepis ma charakter przejściowy i zgodnie z nim do rozliczenia wpłat z zysku za </w:t>
      </w:r>
      <w:r w:rsidR="00BA2F0C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rok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2024 przez spółki przygotowujące i realizujące </w:t>
      </w:r>
      <w:r w:rsidR="006A1039" w:rsidRPr="009C2DB6">
        <w:rPr>
          <w:rFonts w:ascii="Times New Roman" w:hAnsi="Times New Roman" w:cs="Times New Roman"/>
          <w:color w:val="000000"/>
          <w:sz w:val="24"/>
          <w:szCs w:val="24"/>
        </w:rPr>
        <w:t>inwestycję w zakresie obiektu energetyki jądrowej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na podstawie </w:t>
      </w:r>
      <w:r w:rsidR="00E848BD" w:rsidRPr="009C2DB6">
        <w:rPr>
          <w:rFonts w:ascii="Times New Roman" w:hAnsi="Times New Roman" w:cs="Times New Roman"/>
          <w:color w:val="000000"/>
          <w:sz w:val="24"/>
          <w:szCs w:val="24"/>
        </w:rPr>
        <w:t>specustawy jądrowej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stosuje się przepisy ustawy zmienianej w</w:t>
      </w:r>
      <w:r w:rsidR="00A91D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91D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91DB7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projektu </w:t>
      </w:r>
      <w:r w:rsidR="00E848BD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 brzmieniu </w:t>
      </w:r>
      <w:r w:rsidR="00D52ADD" w:rsidRPr="009C2DB6">
        <w:rPr>
          <w:rFonts w:ascii="Times New Roman" w:hAnsi="Times New Roman" w:cs="Times New Roman"/>
          <w:color w:val="000000"/>
          <w:sz w:val="24"/>
          <w:szCs w:val="24"/>
        </w:rPr>
        <w:t>dotychczasowym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. Powyższe pozwoli na </w:t>
      </w:r>
      <w:r w:rsidR="00E46CA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dokonanie rozliczeń za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rok 2024, który jest w toku</w:t>
      </w:r>
      <w:r w:rsidR="00E46CAF" w:rsidRPr="009C2D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C6039D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dotychczasowych zasadach.</w:t>
      </w:r>
    </w:p>
    <w:p w14:paraId="717C80A3" w14:textId="6D71E9E2" w:rsidR="00255E2B" w:rsidRPr="009C2DB6" w:rsidRDefault="00255E2B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W prz</w:t>
      </w:r>
      <w:r w:rsidR="004D444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pisie określono również, że do dokonywania wpłat z zysku w </w:t>
      </w:r>
      <w:r w:rsidR="00BA2F0C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roku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2025 i rozliczenia wpłat z zysku za ten rok przez spółk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przygotowując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i realizując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inwestycję w zakresie obiektu energetyki jądrowej na podstawie 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>specustawy jądrowej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stosuje się przepisy ustawy zmienianej w art. 2 </w:t>
      </w:r>
      <w:r w:rsidR="00A2610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projektu 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brzmieniu </w:t>
      </w:r>
      <w:r w:rsidR="00A2610F" w:rsidRPr="009C2DB6">
        <w:rPr>
          <w:rFonts w:ascii="Times New Roman" w:hAnsi="Times New Roman" w:cs="Times New Roman"/>
          <w:color w:val="000000"/>
          <w:sz w:val="24"/>
          <w:szCs w:val="24"/>
        </w:rPr>
        <w:t>zaproponowanym w tym projekcie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6BD2F7" w14:textId="1C542C23" w:rsidR="00D52ADD" w:rsidRPr="009C2DB6" w:rsidRDefault="00D52ADD" w:rsidP="00B94B3F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</w:t>
      </w:r>
      <w:r w:rsidR="00C6039D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projektu ustawy</w:t>
      </w:r>
    </w:p>
    <w:p w14:paraId="6B37CC8F" w14:textId="0223586C" w:rsidR="00D52ADD" w:rsidRPr="009C2DB6" w:rsidRDefault="00D52ADD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W związku z tym, że pierwszym rokiem, w którym spółka PEJ otrzyma wsparcie publiczne</w:t>
      </w:r>
      <w:r w:rsidR="007E190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jest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rok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2025, w art. 5 przesądzono, że sprawozdania, o których mowa w art. 53n specustawy jądrowej w</w:t>
      </w:r>
      <w:r w:rsidR="00866458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projektowanym brzmieniu, po raz pierwszy przedstawia się za rok 2025.</w:t>
      </w:r>
    </w:p>
    <w:p w14:paraId="1115F9BD" w14:textId="3C43D712" w:rsidR="00E460A7" w:rsidRPr="009C2DB6" w:rsidRDefault="00E460A7" w:rsidP="00B94B3F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D52ADD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C6039D" w:rsidRPr="009C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projektu ustawy</w:t>
      </w:r>
    </w:p>
    <w:p w14:paraId="345A433F" w14:textId="7EB766B2" w:rsidR="00A97A20" w:rsidRPr="009C2DB6" w:rsidRDefault="00820330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Ustawa wchodzi w życie po upływie </w:t>
      </w:r>
      <w:r w:rsidR="00A2610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dni od dnia ogłoszenia.</w:t>
      </w:r>
      <w:r w:rsidR="00A2610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34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B534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ależy </w:t>
      </w:r>
      <w:r w:rsidR="00CB534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2610F" w:rsidRPr="009C2DB6">
        <w:rPr>
          <w:rFonts w:ascii="Times New Roman" w:hAnsi="Times New Roman" w:cs="Times New Roman"/>
          <w:color w:val="000000"/>
          <w:sz w:val="24"/>
          <w:szCs w:val="24"/>
        </w:rPr>
        <w:t>skazać, że w związku z</w:t>
      </w:r>
      <w:r w:rsidR="00704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10F" w:rsidRPr="009C2DB6">
        <w:rPr>
          <w:rFonts w:ascii="Times New Roman" w:hAnsi="Times New Roman" w:cs="Times New Roman"/>
          <w:color w:val="000000"/>
          <w:sz w:val="24"/>
          <w:szCs w:val="24"/>
        </w:rPr>
        <w:t>tym,</w:t>
      </w:r>
      <w:r w:rsidR="00704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FAF" w:rsidRPr="009C2DB6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704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10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322FAF" w:rsidRPr="009C2DB6">
        <w:rPr>
          <w:rFonts w:ascii="Times New Roman" w:hAnsi="Times New Roman" w:cs="Times New Roman"/>
          <w:color w:val="000000"/>
          <w:sz w:val="24"/>
          <w:szCs w:val="24"/>
        </w:rPr>
        <w:t>projekcie</w:t>
      </w:r>
      <w:r w:rsidR="00A2610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36A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="00A2610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przewidziano </w:t>
      </w:r>
      <w:r w:rsidR="008174A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zwolnienie </w:t>
      </w:r>
      <w:r w:rsidR="00D66C69" w:rsidRPr="009C2DB6">
        <w:rPr>
          <w:rFonts w:ascii="Times New Roman" w:hAnsi="Times New Roman" w:cs="Times New Roman"/>
          <w:color w:val="000000"/>
          <w:sz w:val="24"/>
          <w:szCs w:val="24"/>
        </w:rPr>
        <w:t>spółek przygotowujących i</w:t>
      </w:r>
      <w:r w:rsidR="00497825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66C69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realizujących inwestycję w zakresie obiektu energetyki jądrowej na podstawie specustawy jądrowej </w:t>
      </w:r>
      <w:r w:rsidR="008174A5" w:rsidRPr="009C2DB6">
        <w:rPr>
          <w:rFonts w:ascii="Times New Roman" w:hAnsi="Times New Roman" w:cs="Times New Roman"/>
          <w:color w:val="000000"/>
          <w:sz w:val="24"/>
          <w:szCs w:val="24"/>
        </w:rPr>
        <w:t>z obowiązku dokonywania wpłat z zysku od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174A5" w:rsidRPr="009C2DB6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174A5" w:rsidRPr="009C2DB6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947FC" w:rsidRPr="009C2DB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66396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celu </w:t>
      </w:r>
      <w:r w:rsidR="00F6642B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uporządkowania sytuacji prawnej </w:t>
      </w:r>
      <w:r w:rsidR="00D66C69" w:rsidRPr="009C2DB6">
        <w:rPr>
          <w:rFonts w:ascii="Times New Roman" w:hAnsi="Times New Roman" w:cs="Times New Roman"/>
          <w:color w:val="000000"/>
          <w:sz w:val="24"/>
          <w:szCs w:val="24"/>
        </w:rPr>
        <w:t>tych spółek</w:t>
      </w:r>
      <w:r w:rsidR="00F6642B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="00D7436A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642B" w:rsidRPr="009C2DB6">
        <w:rPr>
          <w:rFonts w:ascii="Times New Roman" w:hAnsi="Times New Roman" w:cs="Times New Roman"/>
          <w:color w:val="000000"/>
          <w:sz w:val="24"/>
          <w:szCs w:val="24"/>
        </w:rPr>
        <w:t>wykluczenia ewentualnych wątpliwości interpretacyjnych</w:t>
      </w:r>
      <w:r w:rsidR="007048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642B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4A5" w:rsidRPr="009C2DB6">
        <w:rPr>
          <w:rFonts w:ascii="Times New Roman" w:hAnsi="Times New Roman" w:cs="Times New Roman"/>
          <w:color w:val="000000"/>
          <w:sz w:val="24"/>
          <w:szCs w:val="24"/>
        </w:rPr>
        <w:t>konieczne jest niezwłoczne wejście w</w:t>
      </w:r>
      <w:r w:rsidR="00D7436A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174A5" w:rsidRPr="009C2DB6">
        <w:rPr>
          <w:rFonts w:ascii="Times New Roman" w:hAnsi="Times New Roman" w:cs="Times New Roman"/>
          <w:color w:val="000000"/>
          <w:sz w:val="24"/>
          <w:szCs w:val="24"/>
        </w:rPr>
        <w:t>życie przewidzianych w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66C69" w:rsidRPr="009C2DB6">
        <w:rPr>
          <w:rFonts w:ascii="Times New Roman" w:hAnsi="Times New Roman" w:cs="Times New Roman"/>
          <w:color w:val="000000"/>
          <w:sz w:val="24"/>
          <w:szCs w:val="24"/>
        </w:rPr>
        <w:t>projekcie</w:t>
      </w:r>
      <w:r w:rsidR="00D7436A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174A5" w:rsidRPr="009C2DB6">
        <w:rPr>
          <w:rFonts w:ascii="Times New Roman" w:hAnsi="Times New Roman" w:cs="Times New Roman"/>
          <w:color w:val="000000"/>
          <w:sz w:val="24"/>
          <w:szCs w:val="24"/>
        </w:rPr>
        <w:t>przepisów</w:t>
      </w:r>
      <w:r w:rsidR="00DE0A51" w:rsidRPr="009C2D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F9833E" w14:textId="4996C114" w:rsidR="00E2372E" w:rsidRPr="009C2DB6" w:rsidRDefault="006175E9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A56BA6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nie jest niezgodny z prawem Unii Europejskiej.</w:t>
      </w:r>
      <w:r w:rsidR="00E0251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Jednocześnie należy po</w:t>
      </w:r>
      <w:r w:rsidR="00BA1AAF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dkreślić, że </w:t>
      </w:r>
      <w:r w:rsidR="00497825" w:rsidRPr="009C2DB6">
        <w:rPr>
          <w:rFonts w:ascii="Times New Roman" w:hAnsi="Times New Roman" w:cs="Times New Roman"/>
          <w:color w:val="000000"/>
          <w:sz w:val="24"/>
          <w:szCs w:val="24"/>
        </w:rPr>
        <w:t>zasady demokratycznego państwa prawnego nie stoją na przeszkodzie wejściu ustawy w</w:t>
      </w:r>
      <w:r w:rsidR="00BA592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7825" w:rsidRPr="009C2DB6">
        <w:rPr>
          <w:rFonts w:ascii="Times New Roman" w:hAnsi="Times New Roman" w:cs="Times New Roman"/>
          <w:color w:val="000000"/>
          <w:sz w:val="24"/>
          <w:szCs w:val="24"/>
        </w:rPr>
        <w:t>życie w</w:t>
      </w:r>
      <w:r w:rsidR="00BA5926" w:rsidRPr="009C2D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97825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926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wskazanym </w:t>
      </w:r>
      <w:r w:rsidR="00497825" w:rsidRPr="009C2DB6">
        <w:rPr>
          <w:rFonts w:ascii="Times New Roman" w:hAnsi="Times New Roman" w:cs="Times New Roman"/>
          <w:color w:val="000000"/>
          <w:sz w:val="24"/>
          <w:szCs w:val="24"/>
        </w:rPr>
        <w:t>wyżej terminie.</w:t>
      </w:r>
    </w:p>
    <w:p w14:paraId="76F4087D" w14:textId="2D5329C0" w:rsidR="006175E9" w:rsidRPr="009C2DB6" w:rsidRDefault="006175E9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Projekt</w:t>
      </w:r>
      <w:r w:rsidR="00A56BA6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nie podlega notyfikacji zgodnie z przepisami dotyczącymi funkcjonowania krajowego systemu notyfikacji norm i aktów prawnych.</w:t>
      </w:r>
    </w:p>
    <w:p w14:paraId="51772A29" w14:textId="2CC297B6" w:rsidR="006175E9" w:rsidRPr="009C2DB6" w:rsidRDefault="006175E9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Nie ma obowiązku przedstawienia projektu </w:t>
      </w:r>
      <w:r w:rsidR="00A56BA6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właściwym organom i instytucjom Unii</w:t>
      </w:r>
      <w:r w:rsidR="00974E4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Europejskiej, w</w:t>
      </w:r>
      <w:r w:rsidR="00E46CA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tym</w:t>
      </w:r>
      <w:r w:rsidR="00E46CAF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Europejskiemu Bankowi Centralnemu, w celu uzyskania opinii, dokonania powiadomienia, konsultacji albo uzgodnienia, w związku z czym projekt nie został przedstawiony wyżej wymienionym instytucjom.</w:t>
      </w:r>
    </w:p>
    <w:p w14:paraId="04FEE0F3" w14:textId="5AD97570" w:rsidR="006175E9" w:rsidRPr="009C2DB6" w:rsidRDefault="006175E9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A56BA6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nie określa zasady podejmowania, wykonywania lub zakończenia działalności gospodarczej.</w:t>
      </w:r>
    </w:p>
    <w:p w14:paraId="755884F4" w14:textId="64BCF994" w:rsidR="00E460A7" w:rsidRPr="009C2DB6" w:rsidRDefault="00E460A7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A56BA6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nie zawiera przepisów regulacyjnych lub przepisów określających wymogi dotyczące świadczenia usług transgranicznych w rozumieniu ustawy z dnia 22 grudnia 2015 r. o zasadach uznawania kwalifikacji zawodowych nabytych w państwach członkowskich Unii Europejskiej (Dz.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8F73BB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56BA6" w:rsidRPr="009C2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2023 </w:t>
      </w:r>
      <w:r w:rsidR="00E848BD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>poz. 334).</w:t>
      </w:r>
    </w:p>
    <w:p w14:paraId="04A7A8D1" w14:textId="5CEBB060" w:rsidR="006175E9" w:rsidRPr="00B94B3F" w:rsidRDefault="00E460A7" w:rsidP="00B94B3F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B6">
        <w:rPr>
          <w:rFonts w:ascii="Times New Roman" w:hAnsi="Times New Roman" w:cs="Times New Roman"/>
          <w:color w:val="000000"/>
          <w:sz w:val="24"/>
          <w:szCs w:val="24"/>
        </w:rPr>
        <w:t>Projekt</w:t>
      </w:r>
      <w:r w:rsidR="00A56BA6"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Pr="009C2DB6">
        <w:rPr>
          <w:rFonts w:ascii="Times New Roman" w:hAnsi="Times New Roman" w:cs="Times New Roman"/>
          <w:color w:val="000000"/>
          <w:sz w:val="24"/>
          <w:szCs w:val="24"/>
        </w:rPr>
        <w:t xml:space="preserve"> nie przewiduje wydania aktów wykonawczych.</w:t>
      </w:r>
    </w:p>
    <w:sectPr w:rsidR="006175E9" w:rsidRPr="00B94B3F" w:rsidSect="00034D3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AF221" w14:textId="77777777" w:rsidR="005F154A" w:rsidRDefault="005F154A" w:rsidP="00A86715">
      <w:pPr>
        <w:spacing w:after="0" w:line="240" w:lineRule="auto"/>
      </w:pPr>
      <w:r>
        <w:separator/>
      </w:r>
    </w:p>
  </w:endnote>
  <w:endnote w:type="continuationSeparator" w:id="0">
    <w:p w14:paraId="3B3B0F36" w14:textId="77777777" w:rsidR="005F154A" w:rsidRDefault="005F154A" w:rsidP="00A8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F1AA" w14:textId="24DBAE03" w:rsidR="00034D3B" w:rsidRPr="00B94B3F" w:rsidRDefault="00660733" w:rsidP="00B94B3F">
    <w:pPr>
      <w:pStyle w:val="Stopka"/>
      <w:tabs>
        <w:tab w:val="left" w:pos="2652"/>
        <w:tab w:val="left" w:pos="5423"/>
      </w:tabs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sz w:val="24"/>
          <w:szCs w:val="24"/>
        </w:rPr>
        <w:id w:val="106645760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34D3B" w:rsidRPr="00B94B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4D3B" w:rsidRPr="00B94B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34D3B" w:rsidRPr="00B94B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4D3B" w:rsidRPr="00B94B3F">
          <w:rPr>
            <w:rFonts w:ascii="Times New Roman" w:hAnsi="Times New Roman" w:cs="Times New Roman"/>
            <w:sz w:val="24"/>
            <w:szCs w:val="24"/>
          </w:rPr>
          <w:t>2</w:t>
        </w:r>
        <w:r w:rsidR="00034D3B" w:rsidRPr="00B94B3F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15006" w14:textId="77777777" w:rsidR="005F154A" w:rsidRDefault="005F154A" w:rsidP="00A86715">
      <w:pPr>
        <w:spacing w:after="0" w:line="240" w:lineRule="auto"/>
      </w:pPr>
      <w:r>
        <w:separator/>
      </w:r>
    </w:p>
  </w:footnote>
  <w:footnote w:type="continuationSeparator" w:id="0">
    <w:p w14:paraId="175663E0" w14:textId="77777777" w:rsidR="005F154A" w:rsidRDefault="005F154A" w:rsidP="00A8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95EF1"/>
    <w:multiLevelType w:val="hybridMultilevel"/>
    <w:tmpl w:val="FE5A8264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68750EE4"/>
    <w:multiLevelType w:val="hybridMultilevel"/>
    <w:tmpl w:val="0A8C215A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6F5275BB"/>
    <w:multiLevelType w:val="hybridMultilevel"/>
    <w:tmpl w:val="A98C0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82E5E"/>
    <w:multiLevelType w:val="hybridMultilevel"/>
    <w:tmpl w:val="140A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242780">
    <w:abstractNumId w:val="2"/>
  </w:num>
  <w:num w:numId="2" w16cid:durableId="76830988">
    <w:abstractNumId w:val="3"/>
  </w:num>
  <w:num w:numId="3" w16cid:durableId="27224047">
    <w:abstractNumId w:val="0"/>
  </w:num>
  <w:num w:numId="4" w16cid:durableId="48019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27"/>
    <w:rsid w:val="00000071"/>
    <w:rsid w:val="00001F67"/>
    <w:rsid w:val="00015749"/>
    <w:rsid w:val="00016427"/>
    <w:rsid w:val="00034D3B"/>
    <w:rsid w:val="00051C82"/>
    <w:rsid w:val="000645FB"/>
    <w:rsid w:val="0007053F"/>
    <w:rsid w:val="00071F57"/>
    <w:rsid w:val="00075985"/>
    <w:rsid w:val="00076266"/>
    <w:rsid w:val="0008294C"/>
    <w:rsid w:val="000835F0"/>
    <w:rsid w:val="000C1E2A"/>
    <w:rsid w:val="000C4FD8"/>
    <w:rsid w:val="001173E1"/>
    <w:rsid w:val="0012263E"/>
    <w:rsid w:val="00141557"/>
    <w:rsid w:val="00142A49"/>
    <w:rsid w:val="00151E27"/>
    <w:rsid w:val="00167033"/>
    <w:rsid w:val="00172A82"/>
    <w:rsid w:val="0017674D"/>
    <w:rsid w:val="001823A9"/>
    <w:rsid w:val="001846A5"/>
    <w:rsid w:val="00187DC8"/>
    <w:rsid w:val="001A2214"/>
    <w:rsid w:val="001B1A1F"/>
    <w:rsid w:val="001C7B88"/>
    <w:rsid w:val="001D0FF5"/>
    <w:rsid w:val="001D714E"/>
    <w:rsid w:val="001E3DD6"/>
    <w:rsid w:val="001F07AF"/>
    <w:rsid w:val="001F53AE"/>
    <w:rsid w:val="001F58AD"/>
    <w:rsid w:val="001F6284"/>
    <w:rsid w:val="00212A6D"/>
    <w:rsid w:val="00225D56"/>
    <w:rsid w:val="00227C19"/>
    <w:rsid w:val="00255E2B"/>
    <w:rsid w:val="002659AE"/>
    <w:rsid w:val="00266A63"/>
    <w:rsid w:val="00276EA5"/>
    <w:rsid w:val="002A0430"/>
    <w:rsid w:val="002B555D"/>
    <w:rsid w:val="002B5627"/>
    <w:rsid w:val="002B6091"/>
    <w:rsid w:val="002C282A"/>
    <w:rsid w:val="002C67DF"/>
    <w:rsid w:val="002C72B6"/>
    <w:rsid w:val="002D220D"/>
    <w:rsid w:val="002E09C3"/>
    <w:rsid w:val="002E270C"/>
    <w:rsid w:val="002E276A"/>
    <w:rsid w:val="002E407E"/>
    <w:rsid w:val="002E46FE"/>
    <w:rsid w:val="002E5E87"/>
    <w:rsid w:val="002F1304"/>
    <w:rsid w:val="00305BE4"/>
    <w:rsid w:val="00322072"/>
    <w:rsid w:val="00322FAF"/>
    <w:rsid w:val="00324BE9"/>
    <w:rsid w:val="003276F1"/>
    <w:rsid w:val="00346494"/>
    <w:rsid w:val="003651F5"/>
    <w:rsid w:val="00370D6E"/>
    <w:rsid w:val="00383EDE"/>
    <w:rsid w:val="003918AD"/>
    <w:rsid w:val="003967D0"/>
    <w:rsid w:val="003B352B"/>
    <w:rsid w:val="003C2131"/>
    <w:rsid w:val="003D0756"/>
    <w:rsid w:val="003D1C0C"/>
    <w:rsid w:val="003D62D6"/>
    <w:rsid w:val="003E0B48"/>
    <w:rsid w:val="003F6B6D"/>
    <w:rsid w:val="003F6FDA"/>
    <w:rsid w:val="0040666C"/>
    <w:rsid w:val="0042542C"/>
    <w:rsid w:val="004254F4"/>
    <w:rsid w:val="004277D5"/>
    <w:rsid w:val="00442B11"/>
    <w:rsid w:val="00445496"/>
    <w:rsid w:val="00445A18"/>
    <w:rsid w:val="0045207D"/>
    <w:rsid w:val="00465BB7"/>
    <w:rsid w:val="004760A3"/>
    <w:rsid w:val="0049230B"/>
    <w:rsid w:val="00497825"/>
    <w:rsid w:val="004B3AAE"/>
    <w:rsid w:val="004D4447"/>
    <w:rsid w:val="004D57B2"/>
    <w:rsid w:val="004E5E85"/>
    <w:rsid w:val="004E7C4F"/>
    <w:rsid w:val="004F2276"/>
    <w:rsid w:val="0050008C"/>
    <w:rsid w:val="00505F6C"/>
    <w:rsid w:val="0051344B"/>
    <w:rsid w:val="00513675"/>
    <w:rsid w:val="00550AC3"/>
    <w:rsid w:val="00551DE8"/>
    <w:rsid w:val="00563FBA"/>
    <w:rsid w:val="00567155"/>
    <w:rsid w:val="00576EB5"/>
    <w:rsid w:val="005778A3"/>
    <w:rsid w:val="00577F57"/>
    <w:rsid w:val="00591331"/>
    <w:rsid w:val="005947FC"/>
    <w:rsid w:val="00596B77"/>
    <w:rsid w:val="005A7D89"/>
    <w:rsid w:val="005B5D29"/>
    <w:rsid w:val="005C2E9D"/>
    <w:rsid w:val="005E6AE6"/>
    <w:rsid w:val="005F093C"/>
    <w:rsid w:val="005F154A"/>
    <w:rsid w:val="005F1983"/>
    <w:rsid w:val="006000B7"/>
    <w:rsid w:val="006175E9"/>
    <w:rsid w:val="00644AD8"/>
    <w:rsid w:val="00660733"/>
    <w:rsid w:val="00666C85"/>
    <w:rsid w:val="00677EEE"/>
    <w:rsid w:val="00681598"/>
    <w:rsid w:val="00692D60"/>
    <w:rsid w:val="00694268"/>
    <w:rsid w:val="00696CCF"/>
    <w:rsid w:val="006A1039"/>
    <w:rsid w:val="006A3383"/>
    <w:rsid w:val="006B47B1"/>
    <w:rsid w:val="006C21AD"/>
    <w:rsid w:val="006C3377"/>
    <w:rsid w:val="006F7E84"/>
    <w:rsid w:val="00700BF6"/>
    <w:rsid w:val="00704805"/>
    <w:rsid w:val="00732735"/>
    <w:rsid w:val="00750092"/>
    <w:rsid w:val="0075129F"/>
    <w:rsid w:val="00757B77"/>
    <w:rsid w:val="00761876"/>
    <w:rsid w:val="00773B36"/>
    <w:rsid w:val="00774B18"/>
    <w:rsid w:val="0078295A"/>
    <w:rsid w:val="00782AEC"/>
    <w:rsid w:val="00794938"/>
    <w:rsid w:val="007A7F31"/>
    <w:rsid w:val="007B7E52"/>
    <w:rsid w:val="007C45A1"/>
    <w:rsid w:val="007C5D1D"/>
    <w:rsid w:val="007C6D05"/>
    <w:rsid w:val="007D48CB"/>
    <w:rsid w:val="007D68BC"/>
    <w:rsid w:val="007E190F"/>
    <w:rsid w:val="007E2D49"/>
    <w:rsid w:val="007F1F7B"/>
    <w:rsid w:val="007F5734"/>
    <w:rsid w:val="0081169F"/>
    <w:rsid w:val="00816BE2"/>
    <w:rsid w:val="00817444"/>
    <w:rsid w:val="008174A5"/>
    <w:rsid w:val="00820330"/>
    <w:rsid w:val="00821297"/>
    <w:rsid w:val="00835453"/>
    <w:rsid w:val="008411E3"/>
    <w:rsid w:val="00845119"/>
    <w:rsid w:val="00856032"/>
    <w:rsid w:val="00866458"/>
    <w:rsid w:val="00880A81"/>
    <w:rsid w:val="00881EA0"/>
    <w:rsid w:val="00891EC5"/>
    <w:rsid w:val="008A64C0"/>
    <w:rsid w:val="008F6E00"/>
    <w:rsid w:val="008F73BB"/>
    <w:rsid w:val="00907CF5"/>
    <w:rsid w:val="00927C05"/>
    <w:rsid w:val="00940FAC"/>
    <w:rsid w:val="00953B5A"/>
    <w:rsid w:val="00957980"/>
    <w:rsid w:val="00963B33"/>
    <w:rsid w:val="009661CA"/>
    <w:rsid w:val="00974E46"/>
    <w:rsid w:val="009820B7"/>
    <w:rsid w:val="00992779"/>
    <w:rsid w:val="009A185A"/>
    <w:rsid w:val="009A42E4"/>
    <w:rsid w:val="009A488E"/>
    <w:rsid w:val="009A7322"/>
    <w:rsid w:val="009B1519"/>
    <w:rsid w:val="009C2DB6"/>
    <w:rsid w:val="009C3B43"/>
    <w:rsid w:val="009C64DC"/>
    <w:rsid w:val="009F045F"/>
    <w:rsid w:val="009F2CEC"/>
    <w:rsid w:val="009F6176"/>
    <w:rsid w:val="009F6A2F"/>
    <w:rsid w:val="00A21B79"/>
    <w:rsid w:val="00A229B4"/>
    <w:rsid w:val="00A2610F"/>
    <w:rsid w:val="00A55B75"/>
    <w:rsid w:val="00A56BA6"/>
    <w:rsid w:val="00A57950"/>
    <w:rsid w:val="00A805C1"/>
    <w:rsid w:val="00A83400"/>
    <w:rsid w:val="00A86715"/>
    <w:rsid w:val="00A91DB7"/>
    <w:rsid w:val="00A93F06"/>
    <w:rsid w:val="00A97A20"/>
    <w:rsid w:val="00AA0183"/>
    <w:rsid w:val="00AA29C5"/>
    <w:rsid w:val="00AC7B13"/>
    <w:rsid w:val="00AE3CC4"/>
    <w:rsid w:val="00AF1982"/>
    <w:rsid w:val="00AF4AD9"/>
    <w:rsid w:val="00B03AD9"/>
    <w:rsid w:val="00B109E3"/>
    <w:rsid w:val="00B46FD9"/>
    <w:rsid w:val="00B54B29"/>
    <w:rsid w:val="00B603A5"/>
    <w:rsid w:val="00B65E8B"/>
    <w:rsid w:val="00B66396"/>
    <w:rsid w:val="00B760D1"/>
    <w:rsid w:val="00B906BF"/>
    <w:rsid w:val="00B94B3F"/>
    <w:rsid w:val="00BA1AAF"/>
    <w:rsid w:val="00BA2F0C"/>
    <w:rsid w:val="00BA5926"/>
    <w:rsid w:val="00BB7206"/>
    <w:rsid w:val="00BC5F32"/>
    <w:rsid w:val="00BC7063"/>
    <w:rsid w:val="00BC7715"/>
    <w:rsid w:val="00BE7EA5"/>
    <w:rsid w:val="00C1562E"/>
    <w:rsid w:val="00C22EE3"/>
    <w:rsid w:val="00C26145"/>
    <w:rsid w:val="00C32402"/>
    <w:rsid w:val="00C37EEB"/>
    <w:rsid w:val="00C5605F"/>
    <w:rsid w:val="00C56866"/>
    <w:rsid w:val="00C6039D"/>
    <w:rsid w:val="00C90E41"/>
    <w:rsid w:val="00C96A66"/>
    <w:rsid w:val="00CA628E"/>
    <w:rsid w:val="00CB481C"/>
    <w:rsid w:val="00CB5345"/>
    <w:rsid w:val="00D2441B"/>
    <w:rsid w:val="00D25CC0"/>
    <w:rsid w:val="00D52ADD"/>
    <w:rsid w:val="00D5575B"/>
    <w:rsid w:val="00D5598A"/>
    <w:rsid w:val="00D62C40"/>
    <w:rsid w:val="00D66C69"/>
    <w:rsid w:val="00D7436A"/>
    <w:rsid w:val="00D901CB"/>
    <w:rsid w:val="00DA0E7E"/>
    <w:rsid w:val="00DA2A18"/>
    <w:rsid w:val="00DA4C91"/>
    <w:rsid w:val="00DB4C7E"/>
    <w:rsid w:val="00DB5627"/>
    <w:rsid w:val="00DD0248"/>
    <w:rsid w:val="00DD7F41"/>
    <w:rsid w:val="00DE03B9"/>
    <w:rsid w:val="00DE0A51"/>
    <w:rsid w:val="00E02515"/>
    <w:rsid w:val="00E15514"/>
    <w:rsid w:val="00E17D25"/>
    <w:rsid w:val="00E2372E"/>
    <w:rsid w:val="00E24971"/>
    <w:rsid w:val="00E34759"/>
    <w:rsid w:val="00E37071"/>
    <w:rsid w:val="00E4139D"/>
    <w:rsid w:val="00E460A7"/>
    <w:rsid w:val="00E46CAF"/>
    <w:rsid w:val="00E627FD"/>
    <w:rsid w:val="00E730FE"/>
    <w:rsid w:val="00E755C1"/>
    <w:rsid w:val="00E81CF5"/>
    <w:rsid w:val="00E82B53"/>
    <w:rsid w:val="00E8430C"/>
    <w:rsid w:val="00E848BD"/>
    <w:rsid w:val="00EA1ECD"/>
    <w:rsid w:val="00EA3AA5"/>
    <w:rsid w:val="00EB295E"/>
    <w:rsid w:val="00EF100D"/>
    <w:rsid w:val="00F05BFE"/>
    <w:rsid w:val="00F10D35"/>
    <w:rsid w:val="00F11776"/>
    <w:rsid w:val="00F14649"/>
    <w:rsid w:val="00F1683F"/>
    <w:rsid w:val="00F17CA1"/>
    <w:rsid w:val="00F2468D"/>
    <w:rsid w:val="00F279CE"/>
    <w:rsid w:val="00F40DF6"/>
    <w:rsid w:val="00F44787"/>
    <w:rsid w:val="00F5492F"/>
    <w:rsid w:val="00F658DF"/>
    <w:rsid w:val="00F6642B"/>
    <w:rsid w:val="00F77860"/>
    <w:rsid w:val="00F861B1"/>
    <w:rsid w:val="00F86EDA"/>
    <w:rsid w:val="00F95155"/>
    <w:rsid w:val="00FA0384"/>
    <w:rsid w:val="00FA1FD7"/>
    <w:rsid w:val="00FB53DF"/>
    <w:rsid w:val="00FC25DF"/>
    <w:rsid w:val="00F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143173"/>
  <w15:chartTrackingRefBased/>
  <w15:docId w15:val="{7F6AF073-0843-48B6-85E1-4F07203F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E2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5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67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67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C67DF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ewnzc">
    <w:name w:val="lewnzc"/>
    <w:basedOn w:val="Domylnaczcionkaakapitu"/>
    <w:rsid w:val="002C67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67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67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67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A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7A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7A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A2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D3B"/>
  </w:style>
  <w:style w:type="paragraph" w:styleId="Stopka">
    <w:name w:val="footer"/>
    <w:basedOn w:val="Normalny"/>
    <w:link w:val="StopkaZnak"/>
    <w:uiPriority w:val="99"/>
    <w:unhideWhenUsed/>
    <w:rsid w:val="0003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D3B"/>
  </w:style>
  <w:style w:type="paragraph" w:styleId="Poprawka">
    <w:name w:val="Revision"/>
    <w:hidden/>
    <w:uiPriority w:val="99"/>
    <w:semiHidden/>
    <w:rsid w:val="001A221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B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B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BE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E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263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8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92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77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5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30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3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66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65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134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0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54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32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87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8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4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8320">
                  <w:marLeft w:val="0"/>
                  <w:marRight w:val="0"/>
                  <w:marTop w:val="0"/>
                  <w:marBottom w:val="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  <w:div w:id="305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35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66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68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194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3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207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37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41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3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09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591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29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52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4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37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6426">
                  <w:marLeft w:val="0"/>
                  <w:marRight w:val="0"/>
                  <w:marTop w:val="0"/>
                  <w:marBottom w:val="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  <w:div w:id="479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38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1835">
                  <w:marLeft w:val="0"/>
                  <w:marRight w:val="0"/>
                  <w:marTop w:val="0"/>
                  <w:marBottom w:val="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78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2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5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05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23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34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67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496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11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387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28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165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03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4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5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53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52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14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69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81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2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35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72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365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15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9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7377">
                  <w:marLeft w:val="0"/>
                  <w:marRight w:val="0"/>
                  <w:marTop w:val="0"/>
                  <w:marBottom w:val="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  <w:div w:id="1710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5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5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16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67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30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2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54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75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4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29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295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0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75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08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0980">
                  <w:marLeft w:val="0"/>
                  <w:marRight w:val="0"/>
                  <w:marTop w:val="0"/>
                  <w:marBottom w:val="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  <w:div w:id="17979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95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0868">
                  <w:marLeft w:val="0"/>
                  <w:marRight w:val="0"/>
                  <w:marTop w:val="0"/>
                  <w:marBottom w:val="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871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98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38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07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07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06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4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69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27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79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C99A-29F2-45BE-AEB5-3AC63283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4036</Words>
  <Characters>24219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Mielcarek</dc:creator>
  <cp:keywords/>
  <dc:description/>
  <cp:lastModifiedBy>Binkowska Joanna</cp:lastModifiedBy>
  <cp:revision>2</cp:revision>
  <cp:lastPrinted>2024-09-27T12:43:00Z</cp:lastPrinted>
  <dcterms:created xsi:type="dcterms:W3CDTF">2025-01-08T07:56:00Z</dcterms:created>
  <dcterms:modified xsi:type="dcterms:W3CDTF">2025-01-08T07:56:00Z</dcterms:modified>
</cp:coreProperties>
</file>