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A1D9" w14:textId="77777777" w:rsidR="00747F2F" w:rsidRPr="00882F3B" w:rsidRDefault="00747F2F" w:rsidP="00747F2F">
      <w:pPr>
        <w:jc w:val="center"/>
        <w:rPr>
          <w:rStyle w:val="Ppogrubienie"/>
          <w:rFonts w:cs="Times New Roman"/>
          <w:b w:val="0"/>
          <w:spacing w:val="20"/>
          <w:szCs w:val="24"/>
        </w:rPr>
      </w:pPr>
      <w:r w:rsidRPr="00882F3B">
        <w:rPr>
          <w:rStyle w:val="Ppogrubienie"/>
          <w:rFonts w:cs="Times New Roman"/>
          <w:b w:val="0"/>
          <w:spacing w:val="20"/>
          <w:szCs w:val="24"/>
        </w:rPr>
        <w:t>UZASADNIENIE</w:t>
      </w:r>
    </w:p>
    <w:p w14:paraId="49E6674D" w14:textId="77777777" w:rsidR="00747F2F" w:rsidRDefault="00747F2F" w:rsidP="00624670">
      <w:pPr>
        <w:pStyle w:val="NIEARTTEKSTtekstnieartykuowanynppodstprawnarozplubpreambua"/>
        <w:numPr>
          <w:ilvl w:val="0"/>
          <w:numId w:val="1"/>
        </w:numPr>
        <w:spacing w:before="240"/>
        <w:ind w:left="993" w:hanging="313"/>
        <w:rPr>
          <w:rFonts w:ascii="Times New Roman" w:hAnsi="Times New Roman" w:cs="Times New Roman"/>
          <w:b/>
          <w:szCs w:val="24"/>
        </w:rPr>
      </w:pPr>
      <w:r w:rsidRPr="007E7CCC">
        <w:rPr>
          <w:rFonts w:ascii="Times New Roman" w:hAnsi="Times New Roman" w:cs="Times New Roman"/>
          <w:b/>
          <w:szCs w:val="24"/>
        </w:rPr>
        <w:t>C</w:t>
      </w:r>
      <w:r>
        <w:rPr>
          <w:rFonts w:ascii="Times New Roman" w:hAnsi="Times New Roman" w:cs="Times New Roman"/>
          <w:b/>
          <w:szCs w:val="24"/>
        </w:rPr>
        <w:t xml:space="preserve">el regulacji </w:t>
      </w:r>
    </w:p>
    <w:p w14:paraId="68EBD070" w14:textId="1147EF59" w:rsidR="0045634E" w:rsidRDefault="00C7031F" w:rsidP="00E711D6">
      <w:pPr>
        <w:spacing w:before="120"/>
        <w:jc w:val="both"/>
      </w:pPr>
      <w:r>
        <w:rPr>
          <w:color w:val="000000"/>
          <w:spacing w:val="-2"/>
        </w:rPr>
        <w:t>C</w:t>
      </w:r>
      <w:r w:rsidR="00747F2F">
        <w:rPr>
          <w:color w:val="000000"/>
          <w:spacing w:val="-2"/>
        </w:rPr>
        <w:t xml:space="preserve">elem niniejszego projektu jest </w:t>
      </w:r>
      <w:r w:rsidR="00792E13">
        <w:rPr>
          <w:color w:val="000000"/>
          <w:spacing w:val="-2"/>
        </w:rPr>
        <w:t xml:space="preserve">implementacja </w:t>
      </w:r>
      <w:r w:rsidR="007507A0">
        <w:rPr>
          <w:color w:val="000000"/>
          <w:spacing w:val="-2"/>
        </w:rPr>
        <w:t xml:space="preserve">do ustawy </w:t>
      </w:r>
      <w:r w:rsidR="007507A0" w:rsidRPr="007507A0">
        <w:rPr>
          <w:color w:val="000000"/>
          <w:spacing w:val="-2"/>
        </w:rPr>
        <w:t xml:space="preserve">z dnia 29 sierpnia 1997 r. – Ordynacja podatkowa (Dz. U. z </w:t>
      </w:r>
      <w:r w:rsidR="00802152">
        <w:rPr>
          <w:color w:val="000000"/>
          <w:spacing w:val="-2"/>
        </w:rPr>
        <w:t>202</w:t>
      </w:r>
      <w:r w:rsidR="00F7315A">
        <w:rPr>
          <w:color w:val="000000"/>
          <w:spacing w:val="-2"/>
        </w:rPr>
        <w:t>3</w:t>
      </w:r>
      <w:r w:rsidR="00802152">
        <w:rPr>
          <w:color w:val="000000"/>
          <w:spacing w:val="-2"/>
        </w:rPr>
        <w:t xml:space="preserve"> r. poz. 2</w:t>
      </w:r>
      <w:r w:rsidR="00F7315A">
        <w:rPr>
          <w:color w:val="000000"/>
          <w:spacing w:val="-2"/>
        </w:rPr>
        <w:t>383</w:t>
      </w:r>
      <w:r w:rsidR="00BA2B3E">
        <w:rPr>
          <w:color w:val="000000"/>
          <w:spacing w:val="-2"/>
        </w:rPr>
        <w:t xml:space="preserve">, z </w:t>
      </w:r>
      <w:proofErr w:type="spellStart"/>
      <w:r w:rsidR="00BA2B3E">
        <w:rPr>
          <w:color w:val="000000"/>
          <w:spacing w:val="-2"/>
        </w:rPr>
        <w:t>późn</w:t>
      </w:r>
      <w:proofErr w:type="spellEnd"/>
      <w:r w:rsidR="00BA2B3E">
        <w:rPr>
          <w:color w:val="000000"/>
          <w:spacing w:val="-2"/>
        </w:rPr>
        <w:t>. zm.</w:t>
      </w:r>
      <w:r w:rsidR="00802152">
        <w:rPr>
          <w:color w:val="000000"/>
          <w:spacing w:val="-2"/>
        </w:rPr>
        <w:t>)</w:t>
      </w:r>
      <w:r w:rsidR="00882F3B">
        <w:rPr>
          <w:color w:val="000000"/>
          <w:spacing w:val="-2"/>
        </w:rPr>
        <w:t xml:space="preserve">, </w:t>
      </w:r>
      <w:r w:rsidR="007507A0" w:rsidRPr="007507A0">
        <w:rPr>
          <w:color w:val="000000"/>
          <w:spacing w:val="-2"/>
        </w:rPr>
        <w:t>dalej „</w:t>
      </w:r>
      <w:proofErr w:type="spellStart"/>
      <w:r w:rsidR="007507A0" w:rsidRPr="007507A0">
        <w:rPr>
          <w:color w:val="000000"/>
          <w:spacing w:val="-2"/>
        </w:rPr>
        <w:t>O.p</w:t>
      </w:r>
      <w:proofErr w:type="spellEnd"/>
      <w:r w:rsidR="007507A0" w:rsidRPr="007507A0">
        <w:rPr>
          <w:color w:val="000000"/>
          <w:spacing w:val="-2"/>
        </w:rPr>
        <w:t>.”</w:t>
      </w:r>
      <w:r w:rsidR="00802152">
        <w:rPr>
          <w:color w:val="000000"/>
          <w:spacing w:val="-2"/>
        </w:rPr>
        <w:t>,</w:t>
      </w:r>
      <w:r w:rsidR="007507A0">
        <w:rPr>
          <w:color w:val="000000"/>
          <w:spacing w:val="-2"/>
        </w:rPr>
        <w:t xml:space="preserve"> </w:t>
      </w:r>
      <w:r w:rsidR="00792E13">
        <w:rPr>
          <w:color w:val="000000"/>
          <w:spacing w:val="-2"/>
        </w:rPr>
        <w:t>wyrok</w:t>
      </w:r>
      <w:r w:rsidR="00004943">
        <w:rPr>
          <w:color w:val="000000"/>
          <w:spacing w:val="-2"/>
        </w:rPr>
        <w:t>u</w:t>
      </w:r>
      <w:r w:rsidR="00792E13">
        <w:rPr>
          <w:color w:val="000000"/>
          <w:spacing w:val="-2"/>
        </w:rPr>
        <w:t xml:space="preserve"> Trybunału Sprawiedliwości Unii Europejskiej</w:t>
      </w:r>
      <w:r w:rsidR="00427C83">
        <w:rPr>
          <w:color w:val="000000"/>
          <w:spacing w:val="-2"/>
        </w:rPr>
        <w:t xml:space="preserve"> </w:t>
      </w:r>
      <w:r w:rsidR="00BD63E1" w:rsidRPr="00BD63E1">
        <w:rPr>
          <w:color w:val="000000"/>
          <w:spacing w:val="-2"/>
        </w:rPr>
        <w:t>(dalej jako</w:t>
      </w:r>
      <w:r w:rsidR="00882F3B">
        <w:rPr>
          <w:color w:val="000000"/>
          <w:spacing w:val="-2"/>
        </w:rPr>
        <w:t xml:space="preserve"> </w:t>
      </w:r>
      <w:r w:rsidR="00BD63E1" w:rsidRPr="00BD63E1">
        <w:rPr>
          <w:color w:val="000000"/>
          <w:spacing w:val="-2"/>
        </w:rPr>
        <w:t xml:space="preserve">„TSUE” lub „Trybunał”) </w:t>
      </w:r>
      <w:r w:rsidR="00BD63E1">
        <w:rPr>
          <w:color w:val="000000"/>
          <w:spacing w:val="-2"/>
        </w:rPr>
        <w:t xml:space="preserve">z </w:t>
      </w:r>
      <w:r w:rsidR="009D1276">
        <w:rPr>
          <w:color w:val="000000"/>
          <w:spacing w:val="-2"/>
        </w:rPr>
        <w:t>dnia 8 czerwca 2023 </w:t>
      </w:r>
      <w:r w:rsidR="00BD63E1">
        <w:rPr>
          <w:color w:val="000000"/>
          <w:spacing w:val="-2"/>
        </w:rPr>
        <w:t xml:space="preserve">r. </w:t>
      </w:r>
      <w:r w:rsidR="007507A0">
        <w:rPr>
          <w:color w:val="000000"/>
          <w:spacing w:val="-2"/>
        </w:rPr>
        <w:t>w </w:t>
      </w:r>
      <w:r w:rsidR="00792E13">
        <w:rPr>
          <w:color w:val="000000"/>
          <w:spacing w:val="-2"/>
        </w:rPr>
        <w:t>spraw</w:t>
      </w:r>
      <w:r w:rsidR="00004943">
        <w:rPr>
          <w:color w:val="000000"/>
          <w:spacing w:val="-2"/>
        </w:rPr>
        <w:t>ie</w:t>
      </w:r>
      <w:r w:rsidR="00792E13">
        <w:rPr>
          <w:color w:val="000000"/>
          <w:spacing w:val="-2"/>
        </w:rPr>
        <w:t xml:space="preserve"> </w:t>
      </w:r>
      <w:r w:rsidR="00FD3F3E" w:rsidRPr="00FD3F3E">
        <w:rPr>
          <w:color w:val="000000"/>
          <w:spacing w:val="-2"/>
        </w:rPr>
        <w:t xml:space="preserve">C-322/22 </w:t>
      </w:r>
      <w:r w:rsidR="00FD3F3E" w:rsidRPr="00FD3F3E">
        <w:rPr>
          <w:i/>
          <w:color w:val="000000"/>
          <w:spacing w:val="-2"/>
        </w:rPr>
        <w:t>Dyrektor Izby Administracji Skarbowej we Wrocławiu</w:t>
      </w:r>
      <w:r w:rsidR="00FD3F3E" w:rsidRPr="00FD3F3E">
        <w:rPr>
          <w:color w:val="000000"/>
          <w:spacing w:val="-2"/>
        </w:rPr>
        <w:t xml:space="preserve"> </w:t>
      </w:r>
      <w:r w:rsidR="00E14CBE" w:rsidRPr="00D51B71">
        <w:t>(</w:t>
      </w:r>
      <w:r w:rsidR="00BD63E1" w:rsidRPr="00BD63E1">
        <w:t>Dz.</w:t>
      </w:r>
      <w:r w:rsidR="0045634E">
        <w:t xml:space="preserve"> </w:t>
      </w:r>
      <w:r w:rsidR="00BD63E1" w:rsidRPr="00BD63E1">
        <w:t>U</w:t>
      </w:r>
      <w:r w:rsidR="0045634E">
        <w:t>rz</w:t>
      </w:r>
      <w:r w:rsidR="00BD63E1" w:rsidRPr="00BD63E1">
        <w:t>.</w:t>
      </w:r>
      <w:r w:rsidR="0045634E">
        <w:t xml:space="preserve"> </w:t>
      </w:r>
      <w:r w:rsidR="00BD63E1" w:rsidRPr="00BD63E1">
        <w:t>UE.C.2023.261.19</w:t>
      </w:r>
      <w:r w:rsidR="00E14CBE" w:rsidRPr="00D51B71">
        <w:t>)</w:t>
      </w:r>
      <w:r w:rsidR="00312ADF">
        <w:t>.</w:t>
      </w:r>
      <w:r w:rsidR="00D224D8">
        <w:t xml:space="preserve"> </w:t>
      </w:r>
    </w:p>
    <w:p w14:paraId="5FE2A375" w14:textId="01A1A5BD" w:rsidR="0045634E" w:rsidRDefault="00D224D8" w:rsidP="005E559C">
      <w:pPr>
        <w:spacing w:before="120"/>
        <w:jc w:val="both"/>
      </w:pPr>
      <w:r>
        <w:t xml:space="preserve">Projekt przewiduje także </w:t>
      </w:r>
      <w:r w:rsidR="0045634E">
        <w:t>dostosowanie treści</w:t>
      </w:r>
      <w:r>
        <w:t xml:space="preserve"> </w:t>
      </w:r>
      <w:r w:rsidR="007507A0">
        <w:t xml:space="preserve">odpowiednich </w:t>
      </w:r>
      <w:r>
        <w:t>przepis</w:t>
      </w:r>
      <w:r w:rsidR="0045634E">
        <w:t>ów</w:t>
      </w:r>
      <w:r>
        <w:t xml:space="preserve"> </w:t>
      </w:r>
      <w:proofErr w:type="spellStart"/>
      <w:r w:rsidR="007507A0">
        <w:t>O.p</w:t>
      </w:r>
      <w:proofErr w:type="spellEnd"/>
      <w:r w:rsidR="007507A0">
        <w:t>.</w:t>
      </w:r>
      <w:r w:rsidR="00AB059B">
        <w:t>,</w:t>
      </w:r>
      <w:r w:rsidR="007507A0">
        <w:t xml:space="preserve"> </w:t>
      </w:r>
      <w:r w:rsidR="00295D53" w:rsidRPr="00295D53">
        <w:t>ustaw</w:t>
      </w:r>
      <w:r w:rsidR="00295D53">
        <w:t>y</w:t>
      </w:r>
      <w:r w:rsidR="00295D53" w:rsidRPr="00295D53">
        <w:t xml:space="preserve"> z dnia 28</w:t>
      </w:r>
      <w:r w:rsidR="005E559C">
        <w:t> </w:t>
      </w:r>
      <w:r w:rsidR="00295D53" w:rsidRPr="00295D53">
        <w:t>kwietnia 1936 r. – Prawo wekslowe (Dz. U. z 2022 r. poz. 282)</w:t>
      </w:r>
      <w:r w:rsidR="00882F3B">
        <w:t xml:space="preserve">, </w:t>
      </w:r>
      <w:r w:rsidR="00AF47B4">
        <w:t>dalej „</w:t>
      </w:r>
      <w:proofErr w:type="spellStart"/>
      <w:r w:rsidR="00AF47B4">
        <w:t>u.p.w</w:t>
      </w:r>
      <w:proofErr w:type="spellEnd"/>
      <w:r w:rsidR="00AF47B4">
        <w:t xml:space="preserve">.”, </w:t>
      </w:r>
      <w:r w:rsidR="00AF47B4" w:rsidRPr="00AF47B4">
        <w:t>ustaw</w:t>
      </w:r>
      <w:r w:rsidR="00AF47B4">
        <w:t>y</w:t>
      </w:r>
      <w:r w:rsidR="00AF47B4" w:rsidRPr="00AF47B4">
        <w:t xml:space="preserve"> z</w:t>
      </w:r>
      <w:r w:rsidR="005E559C">
        <w:t> </w:t>
      </w:r>
      <w:r w:rsidR="00AF47B4" w:rsidRPr="00AF47B4">
        <w:t xml:space="preserve">dnia 14 czerwca 1960 r. </w:t>
      </w:r>
      <w:r w:rsidR="0060160C" w:rsidRPr="00295D53">
        <w:t>–</w:t>
      </w:r>
      <w:r w:rsidR="00AF47B4" w:rsidRPr="00AF47B4">
        <w:t xml:space="preserve"> Kodeks postępowania administracyjnego (Dz. U. z 2024 r. poz.</w:t>
      </w:r>
      <w:r w:rsidR="005E559C">
        <w:t> </w:t>
      </w:r>
      <w:r w:rsidR="00AF47B4" w:rsidRPr="00AF47B4">
        <w:t>572)</w:t>
      </w:r>
      <w:r w:rsidR="00882F3B">
        <w:t xml:space="preserve">, </w:t>
      </w:r>
      <w:r w:rsidR="00AF47B4">
        <w:t>dalej „k.p.a.”,</w:t>
      </w:r>
      <w:r w:rsidR="009201E7">
        <w:t xml:space="preserve"> </w:t>
      </w:r>
      <w:r w:rsidR="000E5851" w:rsidRPr="000E5851">
        <w:t>ustaw</w:t>
      </w:r>
      <w:r w:rsidR="000E5851">
        <w:t>y</w:t>
      </w:r>
      <w:r w:rsidR="000E5851" w:rsidRPr="000E5851">
        <w:t xml:space="preserve"> z dnia 17 listopada 1964 r. – Kodeks postępowania cywilnego (Dz. U. z 202</w:t>
      </w:r>
      <w:r w:rsidR="002167C6">
        <w:t>4 r. poz. 1568</w:t>
      </w:r>
      <w:r w:rsidR="00C23186">
        <w:t xml:space="preserve">, z </w:t>
      </w:r>
      <w:proofErr w:type="spellStart"/>
      <w:r w:rsidR="00C23186">
        <w:t>późn</w:t>
      </w:r>
      <w:proofErr w:type="spellEnd"/>
      <w:r w:rsidR="00C23186">
        <w:t>. zm.</w:t>
      </w:r>
      <w:r w:rsidR="000E5851">
        <w:t>)</w:t>
      </w:r>
      <w:r w:rsidR="00882F3B">
        <w:t xml:space="preserve">, </w:t>
      </w:r>
      <w:r w:rsidR="00295D53">
        <w:t>dalej „k.p.c.”,</w:t>
      </w:r>
      <w:r w:rsidR="000E5851" w:rsidRPr="000E5851">
        <w:t xml:space="preserve"> </w:t>
      </w:r>
      <w:r w:rsidR="00222100" w:rsidRPr="00222100">
        <w:t>ustaw</w:t>
      </w:r>
      <w:r w:rsidR="00222100">
        <w:t>y</w:t>
      </w:r>
      <w:r w:rsidR="00222100" w:rsidRPr="00222100">
        <w:t xml:space="preserve"> z dnia 13 września 1996 r. o</w:t>
      </w:r>
      <w:r w:rsidR="00222100">
        <w:t> </w:t>
      </w:r>
      <w:r w:rsidR="00222100" w:rsidRPr="00222100">
        <w:t>utrzymaniu czystości i porządku w gminach (Dz. U. z 2024 r. poz. 399</w:t>
      </w:r>
      <w:r w:rsidR="00C23186">
        <w:t xml:space="preserve">, z </w:t>
      </w:r>
      <w:proofErr w:type="spellStart"/>
      <w:r w:rsidR="00C23186">
        <w:t>późn</w:t>
      </w:r>
      <w:proofErr w:type="spellEnd"/>
      <w:r w:rsidR="00C23186">
        <w:t>. zm.</w:t>
      </w:r>
      <w:r w:rsidR="00222100" w:rsidRPr="00222100">
        <w:t>)</w:t>
      </w:r>
      <w:r w:rsidR="00882F3B">
        <w:t xml:space="preserve">, </w:t>
      </w:r>
      <w:r w:rsidR="00C164C6">
        <w:t>dalej „</w:t>
      </w:r>
      <w:proofErr w:type="spellStart"/>
      <w:r w:rsidR="00C164C6">
        <w:t>u.u.c.p.g</w:t>
      </w:r>
      <w:proofErr w:type="spellEnd"/>
      <w:r w:rsidR="00C164C6">
        <w:t>.”</w:t>
      </w:r>
      <w:r w:rsidR="00732908">
        <w:t>,</w:t>
      </w:r>
      <w:r w:rsidR="00222100" w:rsidRPr="00222100">
        <w:t xml:space="preserve"> </w:t>
      </w:r>
      <w:r w:rsidR="007507A0">
        <w:t xml:space="preserve">ustawy </w:t>
      </w:r>
      <w:r w:rsidR="007507A0" w:rsidRPr="007507A0">
        <w:t>z</w:t>
      </w:r>
      <w:r w:rsidR="00AB059B">
        <w:t> </w:t>
      </w:r>
      <w:r w:rsidR="007507A0" w:rsidRPr="007507A0">
        <w:t>dnia 17 grudnia 2004 r. o odpowiedzialności za naruszenie dyscypliny finansów publicznych (Dz.</w:t>
      </w:r>
      <w:r w:rsidR="009201E7">
        <w:t xml:space="preserve"> </w:t>
      </w:r>
      <w:r w:rsidR="007507A0" w:rsidRPr="007507A0">
        <w:t>U.</w:t>
      </w:r>
      <w:r w:rsidR="009201E7">
        <w:t xml:space="preserve"> </w:t>
      </w:r>
      <w:r w:rsidR="007507A0" w:rsidRPr="007507A0">
        <w:t>z</w:t>
      </w:r>
      <w:r w:rsidR="009201E7">
        <w:t xml:space="preserve"> </w:t>
      </w:r>
      <w:r w:rsidR="007507A0" w:rsidRPr="007507A0">
        <w:t>202</w:t>
      </w:r>
      <w:r w:rsidR="00E923C4">
        <w:t>4</w:t>
      </w:r>
      <w:r w:rsidR="007507A0" w:rsidRPr="007507A0">
        <w:t xml:space="preserve"> r. poz. </w:t>
      </w:r>
      <w:r w:rsidR="00E923C4">
        <w:t>104</w:t>
      </w:r>
      <w:r w:rsidR="007507A0" w:rsidRPr="007507A0">
        <w:t>)</w:t>
      </w:r>
      <w:r w:rsidR="00882F3B">
        <w:t xml:space="preserve">, </w:t>
      </w:r>
      <w:r w:rsidR="00802152">
        <w:t>dalej „</w:t>
      </w:r>
      <w:proofErr w:type="spellStart"/>
      <w:r w:rsidR="00802152">
        <w:t>u.o.n.d.f.p</w:t>
      </w:r>
      <w:proofErr w:type="spellEnd"/>
      <w:r w:rsidR="00C472F4">
        <w:t>.</w:t>
      </w:r>
      <w:r w:rsidR="00802152">
        <w:t>”</w:t>
      </w:r>
      <w:r w:rsidR="0060160C">
        <w:t>,</w:t>
      </w:r>
      <w:r w:rsidR="006C4250">
        <w:t xml:space="preserve"> </w:t>
      </w:r>
      <w:r w:rsidR="0045634E">
        <w:t xml:space="preserve">do </w:t>
      </w:r>
      <w:r w:rsidR="0045634E" w:rsidRPr="0045634E">
        <w:t xml:space="preserve">wykładni przyjętej przez </w:t>
      </w:r>
      <w:r w:rsidR="009D1276">
        <w:t>TSUE</w:t>
      </w:r>
      <w:r w:rsidR="0045634E" w:rsidRPr="0045634E">
        <w:t xml:space="preserve"> w</w:t>
      </w:r>
      <w:r w:rsidR="00B657A5">
        <w:t> </w:t>
      </w:r>
      <w:r w:rsidR="0045634E" w:rsidRPr="0045634E">
        <w:t xml:space="preserve">wyroku z dnia 27 marca 2019 r. w sprawie C-545/17 </w:t>
      </w:r>
      <w:r w:rsidR="0045634E" w:rsidRPr="0045634E">
        <w:rPr>
          <w:i/>
        </w:rPr>
        <w:t>Pawlak</w:t>
      </w:r>
      <w:r w:rsidR="0045634E">
        <w:t xml:space="preserve"> </w:t>
      </w:r>
      <w:r w:rsidR="00E14CBE" w:rsidRPr="0045634E">
        <w:t>(Dz.</w:t>
      </w:r>
      <w:r w:rsidR="00E70FA5" w:rsidRPr="0045634E">
        <w:t xml:space="preserve"> </w:t>
      </w:r>
      <w:r w:rsidR="00E14CBE" w:rsidRPr="0045634E">
        <w:t>U</w:t>
      </w:r>
      <w:r w:rsidR="00E70FA5" w:rsidRPr="0045634E">
        <w:t>rz</w:t>
      </w:r>
      <w:r w:rsidR="00E14CBE" w:rsidRPr="0045634E">
        <w:t>.</w:t>
      </w:r>
      <w:r w:rsidR="00E70FA5" w:rsidRPr="0045634E">
        <w:t xml:space="preserve"> </w:t>
      </w:r>
      <w:r w:rsidR="00A926E1" w:rsidRPr="0045634E">
        <w:t>UE</w:t>
      </w:r>
      <w:r w:rsidR="00E70FA5" w:rsidRPr="0045634E">
        <w:t xml:space="preserve"> </w:t>
      </w:r>
      <w:r w:rsidR="00E14CBE" w:rsidRPr="0045634E">
        <w:t>C</w:t>
      </w:r>
      <w:r w:rsidR="0045634E" w:rsidRPr="0045634E">
        <w:t>. 2019.187.</w:t>
      </w:r>
      <w:r w:rsidR="00E14CBE" w:rsidRPr="0045634E">
        <w:rPr>
          <w:rFonts w:cs="Times New Roman"/>
          <w:szCs w:val="24"/>
        </w:rPr>
        <w:t>19)</w:t>
      </w:r>
      <w:r w:rsidR="0045634E" w:rsidRPr="0045634E">
        <w:rPr>
          <w:rFonts w:cs="Times New Roman"/>
          <w:szCs w:val="24"/>
        </w:rPr>
        <w:t>.</w:t>
      </w:r>
    </w:p>
    <w:p w14:paraId="3A44221F" w14:textId="4094EE75" w:rsidR="00E52A40" w:rsidRDefault="00792E13" w:rsidP="005E559C">
      <w:pPr>
        <w:spacing w:before="120"/>
        <w:jc w:val="both"/>
      </w:pPr>
      <w:r>
        <w:t>Wobec rozstrzygnię</w:t>
      </w:r>
      <w:r w:rsidR="006A363A">
        <w:t>cia</w:t>
      </w:r>
      <w:r w:rsidR="004054D1">
        <w:t xml:space="preserve"> TSUE w </w:t>
      </w:r>
      <w:r w:rsidR="006A363A">
        <w:t>sprawie</w:t>
      </w:r>
      <w:r w:rsidR="004054D1">
        <w:rPr>
          <w:rFonts w:cs="Times New Roman"/>
          <w:szCs w:val="24"/>
        </w:rPr>
        <w:t xml:space="preserve"> </w:t>
      </w:r>
      <w:r w:rsidR="009D1276" w:rsidRPr="009D1276">
        <w:rPr>
          <w:rFonts w:cs="Times New Roman"/>
          <w:szCs w:val="24"/>
        </w:rPr>
        <w:t xml:space="preserve">C-322/22 </w:t>
      </w:r>
      <w:r w:rsidR="009D1276" w:rsidRPr="00C214A1">
        <w:rPr>
          <w:rFonts w:cs="Times New Roman"/>
          <w:i/>
          <w:szCs w:val="24"/>
        </w:rPr>
        <w:t>Dyrektor Izby Administracji Skarbowej we Wrocławiu</w:t>
      </w:r>
      <w:r w:rsidR="009D1276" w:rsidRPr="009D1276">
        <w:rPr>
          <w:rFonts w:cs="Times New Roman"/>
          <w:szCs w:val="24"/>
        </w:rPr>
        <w:t xml:space="preserve"> </w:t>
      </w:r>
      <w:r>
        <w:t>zaszła konieczność znowelizowania</w:t>
      </w:r>
      <w:r w:rsidR="003544B7">
        <w:t xml:space="preserve"> przepisów </w:t>
      </w:r>
      <w:proofErr w:type="spellStart"/>
      <w:r w:rsidR="00BA2B3E">
        <w:t>O.p</w:t>
      </w:r>
      <w:proofErr w:type="spellEnd"/>
      <w:r w:rsidR="00BA2B3E">
        <w:t xml:space="preserve">. </w:t>
      </w:r>
      <w:r w:rsidR="003544B7">
        <w:t>dotyczących</w:t>
      </w:r>
      <w:r>
        <w:t xml:space="preserve"> </w:t>
      </w:r>
      <w:r w:rsidR="008B5AE9">
        <w:t xml:space="preserve">oprocentowania nadpłat </w:t>
      </w:r>
      <w:r w:rsidR="00AB137F">
        <w:t xml:space="preserve">powstałych </w:t>
      </w:r>
      <w:r w:rsidR="007F3E29" w:rsidRPr="00AB137F">
        <w:t>w</w:t>
      </w:r>
      <w:r w:rsidR="007F3E29">
        <w:t> </w:t>
      </w:r>
      <w:r w:rsidR="00AB137F" w:rsidRPr="00AB137F">
        <w:t xml:space="preserve">wyniku orzeczenia </w:t>
      </w:r>
      <w:r w:rsidR="00AB137F">
        <w:t>TSUE</w:t>
      </w:r>
      <w:r>
        <w:t xml:space="preserve">. </w:t>
      </w:r>
    </w:p>
    <w:p w14:paraId="70DC2EC6" w14:textId="09A8B32C" w:rsidR="00E52A40" w:rsidRDefault="00E52A40" w:rsidP="0045634E">
      <w:pPr>
        <w:jc w:val="both"/>
      </w:pPr>
      <w:r w:rsidRPr="00E52A40">
        <w:t>W wyroku z 8 czerwca 2023 r. w sprawie C-322/22 TSUE orzekł o niezgodności z zasadą skuteczności w związku z zasadą lojalnej współpracy uregulowania krajowego</w:t>
      </w:r>
      <w:r>
        <w:t xml:space="preserve"> (konkretnie art.</w:t>
      </w:r>
      <w:r w:rsidR="005E559C">
        <w:t> </w:t>
      </w:r>
      <w:r>
        <w:t xml:space="preserve">78 § 5 pkt 2 </w:t>
      </w:r>
      <w:proofErr w:type="spellStart"/>
      <w:r>
        <w:t>O.p</w:t>
      </w:r>
      <w:proofErr w:type="spellEnd"/>
      <w:r>
        <w:t>.)</w:t>
      </w:r>
      <w:r w:rsidRPr="00E52A40">
        <w:t xml:space="preserve">, które w przypadku, gdy wniosek o zwrot nadpłaty podatku </w:t>
      </w:r>
      <w:r>
        <w:t xml:space="preserve">powstałej w wyniku orzeczenia Trybunału </w:t>
      </w:r>
      <w:r w:rsidRPr="00E52A40">
        <w:t xml:space="preserve">został złożony po upływie 30 dni od opublikowania </w:t>
      </w:r>
      <w:r>
        <w:t xml:space="preserve">tego orzeczenia </w:t>
      </w:r>
      <w:r w:rsidRPr="00E52A40">
        <w:t xml:space="preserve">w Dzienniku Urzędowym Unii Europejskiej, ogranicza oprocentowanie nadpłaty do </w:t>
      </w:r>
      <w:r w:rsidR="00415EE9">
        <w:t>30.</w:t>
      </w:r>
      <w:r w:rsidR="00810C40">
        <w:t xml:space="preserve"> </w:t>
      </w:r>
      <w:r w:rsidRPr="00E52A40">
        <w:t xml:space="preserve">dnia </w:t>
      </w:r>
      <w:r w:rsidR="00415EE9">
        <w:t>od</w:t>
      </w:r>
      <w:r w:rsidRPr="00E52A40">
        <w:t xml:space="preserve"> tej publikacji, a nawet wyklucza wszelkie oprocentowanie w przypadku, gdy </w:t>
      </w:r>
      <w:r w:rsidR="00F243E0">
        <w:t>ta</w:t>
      </w:r>
      <w:r w:rsidRPr="00E52A40">
        <w:t xml:space="preserve"> nadpłata </w:t>
      </w:r>
      <w:r>
        <w:t>powstała</w:t>
      </w:r>
      <w:r w:rsidRPr="00E52A40">
        <w:t xml:space="preserve"> po upływie tego </w:t>
      </w:r>
      <w:r w:rsidR="00F243E0">
        <w:t>30</w:t>
      </w:r>
      <w:r w:rsidRPr="00E52A40">
        <w:t>.</w:t>
      </w:r>
      <w:r w:rsidR="00F243E0">
        <w:t xml:space="preserve"> dnia.</w:t>
      </w:r>
    </w:p>
    <w:p w14:paraId="14A5B91E" w14:textId="1E86A413" w:rsidR="0045634E" w:rsidRPr="005E559C" w:rsidRDefault="00D67493" w:rsidP="0045634E">
      <w:pPr>
        <w:jc w:val="both"/>
        <w:rPr>
          <w:color w:val="000000"/>
          <w:spacing w:val="-2"/>
        </w:rPr>
      </w:pPr>
      <w:r>
        <w:t xml:space="preserve">Wobec powyższego zachodzi konieczność dostosowania </w:t>
      </w:r>
      <w:r w:rsidR="001B4E9E">
        <w:t>r</w:t>
      </w:r>
      <w:r w:rsidR="007B07A9">
        <w:t>egulacji</w:t>
      </w:r>
      <w:r>
        <w:t xml:space="preserve"> </w:t>
      </w:r>
      <w:proofErr w:type="spellStart"/>
      <w:r w:rsidR="00E704F5">
        <w:t>O.p</w:t>
      </w:r>
      <w:proofErr w:type="spellEnd"/>
      <w:r w:rsidR="00E704F5">
        <w:t>.</w:t>
      </w:r>
      <w:r>
        <w:t xml:space="preserve"> do ww. </w:t>
      </w:r>
      <w:r w:rsidR="00E704F5">
        <w:t>orzeczenia</w:t>
      </w:r>
      <w:r>
        <w:t xml:space="preserve"> TSUE</w:t>
      </w:r>
      <w:r w:rsidR="00747F2F">
        <w:rPr>
          <w:color w:val="000000"/>
          <w:spacing w:val="-2"/>
        </w:rPr>
        <w:t>.</w:t>
      </w:r>
    </w:p>
    <w:p w14:paraId="49DD2B43" w14:textId="39559DBD" w:rsidR="005E6E7B" w:rsidRDefault="009D1276" w:rsidP="005E559C">
      <w:pPr>
        <w:spacing w:before="120"/>
        <w:jc w:val="both"/>
        <w:rPr>
          <w:rFonts w:cs="Times New Roman"/>
          <w:szCs w:val="24"/>
        </w:rPr>
      </w:pPr>
      <w:r>
        <w:rPr>
          <w:rFonts w:cs="Times New Roman"/>
          <w:szCs w:val="24"/>
        </w:rPr>
        <w:t>W</w:t>
      </w:r>
      <w:r w:rsidRPr="009D1276">
        <w:rPr>
          <w:rFonts w:cs="Times New Roman"/>
          <w:szCs w:val="24"/>
        </w:rPr>
        <w:t xml:space="preserve"> wyroku z dnia 27 marca 2019 r. w sprawie C-545/17 </w:t>
      </w:r>
      <w:r w:rsidRPr="009D1276">
        <w:rPr>
          <w:rFonts w:cs="Times New Roman"/>
          <w:i/>
          <w:szCs w:val="24"/>
        </w:rPr>
        <w:t>Pawlak</w:t>
      </w:r>
      <w:r>
        <w:rPr>
          <w:rFonts w:cs="Times New Roman"/>
          <w:szCs w:val="24"/>
        </w:rPr>
        <w:t xml:space="preserve"> Trybunał orzekł, że art. </w:t>
      </w:r>
      <w:r w:rsidRPr="009D1276">
        <w:rPr>
          <w:rFonts w:cs="Times New Roman"/>
          <w:szCs w:val="24"/>
        </w:rPr>
        <w:t>7 ust.</w:t>
      </w:r>
      <w:r w:rsidR="005E559C">
        <w:rPr>
          <w:rFonts w:cs="Times New Roman"/>
          <w:szCs w:val="24"/>
        </w:rPr>
        <w:t> </w:t>
      </w:r>
      <w:r w:rsidRPr="009D1276">
        <w:rPr>
          <w:rFonts w:cs="Times New Roman"/>
          <w:szCs w:val="24"/>
        </w:rPr>
        <w:t>1 zdanie pierwsze w związku z art. 8 dyrektywy 97/67/WE Parlamentu Europejskiego i Rady z</w:t>
      </w:r>
      <w:r w:rsidR="005E559C">
        <w:rPr>
          <w:rFonts w:cs="Times New Roman"/>
          <w:szCs w:val="24"/>
        </w:rPr>
        <w:t> </w:t>
      </w:r>
      <w:r w:rsidRPr="009D1276">
        <w:rPr>
          <w:rFonts w:cs="Times New Roman"/>
          <w:szCs w:val="24"/>
        </w:rPr>
        <w:t xml:space="preserve">dnia 15 grudnia 1997 r. w sprawie wspólnych zasad rozwoju rynku wewnętrznego usług pocztowych Wspólnoty oraz poprawy jakości usług, zmienionej dyrektywą Parlamentu </w:t>
      </w:r>
      <w:r w:rsidRPr="009D1276">
        <w:rPr>
          <w:rFonts w:cs="Times New Roman"/>
          <w:szCs w:val="24"/>
        </w:rPr>
        <w:lastRenderedPageBreak/>
        <w:t xml:space="preserve">Europejskiego i Rady 2008/6/WE z dnia 20 lutego 2008 r. należy interpretować w ten sposób, że sprzeciwia się on przepisowi prawa krajowego takiemu jak art. 165 § 2 </w:t>
      </w:r>
      <w:proofErr w:type="spellStart"/>
      <w:r w:rsidR="00BA14F9">
        <w:rPr>
          <w:rFonts w:cs="Times New Roman"/>
          <w:szCs w:val="24"/>
        </w:rPr>
        <w:t>k.p.c</w:t>
      </w:r>
      <w:proofErr w:type="spellEnd"/>
      <w:r w:rsidRPr="009D1276">
        <w:rPr>
          <w:rFonts w:cs="Times New Roman"/>
          <w:szCs w:val="24"/>
        </w:rPr>
        <w:t xml:space="preserve"> </w:t>
      </w:r>
      <w:r w:rsidR="005309E7">
        <w:rPr>
          <w:rFonts w:cs="Times New Roman"/>
          <w:szCs w:val="24"/>
        </w:rPr>
        <w:t>(</w:t>
      </w:r>
      <w:r w:rsidR="005309E7" w:rsidRPr="005309E7">
        <w:rPr>
          <w:rFonts w:cs="Times New Roman"/>
          <w:szCs w:val="24"/>
        </w:rPr>
        <w:t>w brzmieniu obowiązującym do 23 września 2021 r.)</w:t>
      </w:r>
      <w:r w:rsidRPr="009D1276">
        <w:rPr>
          <w:rFonts w:cs="Times New Roman"/>
          <w:szCs w:val="24"/>
        </w:rPr>
        <w:t xml:space="preserve">, który za równoznaczne z wniesieniem pisma procesowego do danego sądu uznawał złożenie takiego pisma w placówce pocztowej wyłącznie operatora wyznaczonego do świadczenia usługi powszechnej. </w:t>
      </w:r>
    </w:p>
    <w:p w14:paraId="240BEF95" w14:textId="13CEE21D" w:rsidR="00F67E05" w:rsidRPr="00FA20A7" w:rsidRDefault="00802152" w:rsidP="005E559C">
      <w:pPr>
        <w:spacing w:before="120"/>
        <w:jc w:val="both"/>
        <w:rPr>
          <w:rFonts w:cs="Times New Roman"/>
          <w:szCs w:val="24"/>
        </w:rPr>
      </w:pPr>
      <w:r>
        <w:rPr>
          <w:rFonts w:cs="Times New Roman"/>
          <w:szCs w:val="24"/>
        </w:rPr>
        <w:t>W obowiązujących</w:t>
      </w:r>
      <w:r w:rsidR="009D1276" w:rsidRPr="009D1276">
        <w:rPr>
          <w:rFonts w:cs="Times New Roman"/>
          <w:szCs w:val="24"/>
        </w:rPr>
        <w:t xml:space="preserve"> art. 12 § 6 pkt 2 </w:t>
      </w:r>
      <w:proofErr w:type="spellStart"/>
      <w:r w:rsidR="006352D8">
        <w:rPr>
          <w:rFonts w:cs="Times New Roman"/>
          <w:szCs w:val="24"/>
        </w:rPr>
        <w:t>O.p</w:t>
      </w:r>
      <w:proofErr w:type="spellEnd"/>
      <w:r w:rsidR="006352D8">
        <w:rPr>
          <w:rFonts w:cs="Times New Roman"/>
          <w:szCs w:val="24"/>
        </w:rPr>
        <w:t>.</w:t>
      </w:r>
      <w:r w:rsidR="00A327DB">
        <w:rPr>
          <w:rFonts w:cs="Times New Roman"/>
          <w:szCs w:val="24"/>
        </w:rPr>
        <w:t>,</w:t>
      </w:r>
      <w:r>
        <w:rPr>
          <w:rFonts w:cs="Times New Roman"/>
          <w:szCs w:val="24"/>
        </w:rPr>
        <w:t xml:space="preserve"> </w:t>
      </w:r>
      <w:r w:rsidR="00D1609F" w:rsidRPr="00D1609F">
        <w:rPr>
          <w:rFonts w:cs="Times New Roman"/>
          <w:szCs w:val="24"/>
        </w:rPr>
        <w:t xml:space="preserve">art. 45 </w:t>
      </w:r>
      <w:proofErr w:type="spellStart"/>
      <w:r w:rsidR="00D1609F" w:rsidRPr="00D1609F">
        <w:rPr>
          <w:rFonts w:cs="Times New Roman"/>
          <w:szCs w:val="24"/>
        </w:rPr>
        <w:t>u.p.w</w:t>
      </w:r>
      <w:proofErr w:type="spellEnd"/>
      <w:r w:rsidR="00D1609F" w:rsidRPr="00D1609F">
        <w:rPr>
          <w:rFonts w:cs="Times New Roman"/>
          <w:szCs w:val="24"/>
        </w:rPr>
        <w:t>., art. 57 § 5 pkt 2 k.p.</w:t>
      </w:r>
      <w:r w:rsidR="007010E0">
        <w:rPr>
          <w:rFonts w:cs="Times New Roman"/>
          <w:szCs w:val="24"/>
        </w:rPr>
        <w:t>a</w:t>
      </w:r>
      <w:r w:rsidR="00D1609F" w:rsidRPr="00D1609F">
        <w:rPr>
          <w:rFonts w:cs="Times New Roman"/>
          <w:szCs w:val="24"/>
        </w:rPr>
        <w:t xml:space="preserve">., </w:t>
      </w:r>
      <w:r w:rsidR="00367CC3">
        <w:rPr>
          <w:rFonts w:cs="Times New Roman"/>
          <w:szCs w:val="24"/>
        </w:rPr>
        <w:t xml:space="preserve">art. 9ta ust. 1 pkt 1 </w:t>
      </w:r>
      <w:proofErr w:type="spellStart"/>
      <w:r w:rsidR="00367CC3" w:rsidRPr="00367CC3">
        <w:rPr>
          <w:rFonts w:cs="Times New Roman"/>
          <w:szCs w:val="24"/>
        </w:rPr>
        <w:t>u.u.c.p.g</w:t>
      </w:r>
      <w:proofErr w:type="spellEnd"/>
      <w:r w:rsidR="006C4250">
        <w:rPr>
          <w:rFonts w:cs="Times New Roman"/>
          <w:szCs w:val="24"/>
        </w:rPr>
        <w:t>. i</w:t>
      </w:r>
      <w:r w:rsidR="00367CC3" w:rsidRPr="00367CC3">
        <w:rPr>
          <w:rFonts w:cs="Times New Roman"/>
          <w:szCs w:val="24"/>
        </w:rPr>
        <w:t xml:space="preserve"> </w:t>
      </w:r>
      <w:r>
        <w:rPr>
          <w:rFonts w:cs="Times New Roman"/>
          <w:szCs w:val="24"/>
        </w:rPr>
        <w:t xml:space="preserve">art. 176 ust. 3 </w:t>
      </w:r>
      <w:proofErr w:type="spellStart"/>
      <w:r w:rsidR="00C472F4">
        <w:rPr>
          <w:rFonts w:cs="Times New Roman"/>
          <w:szCs w:val="24"/>
        </w:rPr>
        <w:t>u.o.n.d.f.p</w:t>
      </w:r>
      <w:proofErr w:type="spellEnd"/>
      <w:r w:rsidR="00C472F4">
        <w:rPr>
          <w:rFonts w:cs="Times New Roman"/>
          <w:szCs w:val="24"/>
        </w:rPr>
        <w:t>.</w:t>
      </w:r>
      <w:r w:rsidR="00A327DB">
        <w:rPr>
          <w:rFonts w:cs="Times New Roman"/>
          <w:szCs w:val="24"/>
        </w:rPr>
        <w:t xml:space="preserve"> </w:t>
      </w:r>
      <w:r w:rsidR="009D1276" w:rsidRPr="009D1276">
        <w:rPr>
          <w:rFonts w:cs="Times New Roman"/>
          <w:szCs w:val="24"/>
        </w:rPr>
        <w:t xml:space="preserve">zawarte </w:t>
      </w:r>
      <w:r>
        <w:rPr>
          <w:rFonts w:cs="Times New Roman"/>
          <w:szCs w:val="24"/>
        </w:rPr>
        <w:t>są</w:t>
      </w:r>
      <w:r w:rsidR="009D1276" w:rsidRPr="009D1276">
        <w:rPr>
          <w:rFonts w:cs="Times New Roman"/>
          <w:szCs w:val="24"/>
        </w:rPr>
        <w:t xml:space="preserve"> rozwiąz</w:t>
      </w:r>
      <w:r>
        <w:rPr>
          <w:rFonts w:cs="Times New Roman"/>
          <w:szCs w:val="24"/>
        </w:rPr>
        <w:t>ania</w:t>
      </w:r>
      <w:r w:rsidR="00D12319">
        <w:rPr>
          <w:rFonts w:cs="Times New Roman"/>
          <w:szCs w:val="24"/>
        </w:rPr>
        <w:t xml:space="preserve"> analogiczne do </w:t>
      </w:r>
      <w:r>
        <w:rPr>
          <w:rFonts w:cs="Times New Roman"/>
          <w:szCs w:val="24"/>
        </w:rPr>
        <w:t>występującego</w:t>
      </w:r>
      <w:r w:rsidR="00D12319">
        <w:rPr>
          <w:rFonts w:cs="Times New Roman"/>
          <w:szCs w:val="24"/>
        </w:rPr>
        <w:t xml:space="preserve"> w</w:t>
      </w:r>
      <w:r w:rsidR="009D1276" w:rsidRPr="009D1276">
        <w:rPr>
          <w:rFonts w:cs="Times New Roman"/>
          <w:szCs w:val="24"/>
        </w:rPr>
        <w:t xml:space="preserve"> wersji art. 165 § 2 </w:t>
      </w:r>
      <w:r w:rsidR="00BA14F9">
        <w:rPr>
          <w:rFonts w:cs="Times New Roman"/>
          <w:szCs w:val="24"/>
        </w:rPr>
        <w:t>k.p.c</w:t>
      </w:r>
      <w:r w:rsidR="009D1276" w:rsidRPr="009D1276">
        <w:rPr>
          <w:rFonts w:cs="Times New Roman"/>
          <w:szCs w:val="24"/>
        </w:rPr>
        <w:t>.</w:t>
      </w:r>
      <w:r w:rsidR="005309E7">
        <w:rPr>
          <w:rFonts w:cs="Times New Roman"/>
          <w:szCs w:val="24"/>
        </w:rPr>
        <w:t xml:space="preserve"> obowiązujące</w:t>
      </w:r>
      <w:r w:rsidR="0000484F">
        <w:rPr>
          <w:rFonts w:cs="Times New Roman"/>
          <w:szCs w:val="24"/>
        </w:rPr>
        <w:t xml:space="preserve">go </w:t>
      </w:r>
      <w:r w:rsidR="005309E7">
        <w:rPr>
          <w:rFonts w:cs="Times New Roman"/>
          <w:szCs w:val="24"/>
        </w:rPr>
        <w:t>do 23 września 2021 r.</w:t>
      </w:r>
      <w:r w:rsidR="00FA20A7">
        <w:rPr>
          <w:rFonts w:cs="Times New Roman"/>
          <w:szCs w:val="24"/>
        </w:rPr>
        <w:t xml:space="preserve"> </w:t>
      </w:r>
      <w:r w:rsidR="005309E7">
        <w:rPr>
          <w:rFonts w:cs="Times New Roman"/>
          <w:szCs w:val="24"/>
        </w:rPr>
        <w:t>Z kolei o</w:t>
      </w:r>
      <w:r w:rsidR="00BA14F9" w:rsidRPr="00BA14F9">
        <w:rPr>
          <w:rFonts w:cs="Times New Roman"/>
          <w:szCs w:val="24"/>
        </w:rPr>
        <w:t>becne brzmienie przepisu art. 165 § 2 k.p.c.</w:t>
      </w:r>
      <w:r w:rsidR="00BA14F9">
        <w:rPr>
          <w:rFonts w:cs="Times New Roman"/>
          <w:szCs w:val="24"/>
        </w:rPr>
        <w:t xml:space="preserve"> obowiązujące od </w:t>
      </w:r>
      <w:r w:rsidR="00BA14F9" w:rsidRPr="00BA14F9">
        <w:rPr>
          <w:rFonts w:cs="Times New Roman"/>
          <w:szCs w:val="24"/>
        </w:rPr>
        <w:t xml:space="preserve">1 lipca 2023 r. oznacza powrót do stanu prawnego </w:t>
      </w:r>
      <w:r w:rsidR="009F31F2">
        <w:rPr>
          <w:rFonts w:cs="Times New Roman"/>
          <w:szCs w:val="24"/>
        </w:rPr>
        <w:t>s</w:t>
      </w:r>
      <w:r w:rsidR="00BA14F9" w:rsidRPr="00BA14F9">
        <w:rPr>
          <w:rFonts w:cs="Times New Roman"/>
          <w:szCs w:val="24"/>
        </w:rPr>
        <w:t>przed</w:t>
      </w:r>
      <w:r w:rsidR="005309E7">
        <w:rPr>
          <w:rFonts w:cs="Times New Roman"/>
          <w:szCs w:val="24"/>
        </w:rPr>
        <w:t xml:space="preserve"> </w:t>
      </w:r>
      <w:r w:rsidR="00BA14F9" w:rsidRPr="00BA14F9">
        <w:rPr>
          <w:rFonts w:cs="Times New Roman"/>
          <w:szCs w:val="24"/>
        </w:rPr>
        <w:t>implementacj</w:t>
      </w:r>
      <w:r w:rsidR="005309E7">
        <w:rPr>
          <w:rFonts w:cs="Times New Roman"/>
          <w:szCs w:val="24"/>
        </w:rPr>
        <w:t>i</w:t>
      </w:r>
      <w:r w:rsidR="00BA14F9" w:rsidRPr="00BA14F9">
        <w:rPr>
          <w:rFonts w:cs="Times New Roman"/>
          <w:szCs w:val="24"/>
        </w:rPr>
        <w:t xml:space="preserve"> wyroku TSUE w sprawie </w:t>
      </w:r>
      <w:r w:rsidR="00BA14F9" w:rsidRPr="005309E7">
        <w:rPr>
          <w:rFonts w:cs="Times New Roman"/>
          <w:i/>
          <w:iCs/>
          <w:szCs w:val="24"/>
        </w:rPr>
        <w:t>Pawlak</w:t>
      </w:r>
      <w:r w:rsidR="005309E7">
        <w:rPr>
          <w:rFonts w:cs="Times New Roman"/>
          <w:szCs w:val="24"/>
        </w:rPr>
        <w:t>.</w:t>
      </w:r>
      <w:r w:rsidR="00BA14F9" w:rsidRPr="00BA14F9">
        <w:rPr>
          <w:rFonts w:cs="Times New Roman"/>
          <w:szCs w:val="24"/>
        </w:rPr>
        <w:t xml:space="preserve"> </w:t>
      </w:r>
      <w:r w:rsidR="00FA20A7">
        <w:rPr>
          <w:rFonts w:cs="Times New Roman"/>
          <w:szCs w:val="24"/>
        </w:rPr>
        <w:t>Dlatego n</w:t>
      </w:r>
      <w:r w:rsidR="00FA20A7" w:rsidRPr="00FA20A7">
        <w:rPr>
          <w:rFonts w:cs="Times New Roman"/>
          <w:szCs w:val="24"/>
        </w:rPr>
        <w:t>iezbędne jest dostosowanie brzmienia t</w:t>
      </w:r>
      <w:r w:rsidR="00FA20A7">
        <w:rPr>
          <w:rFonts w:cs="Times New Roman"/>
          <w:szCs w:val="24"/>
        </w:rPr>
        <w:t>ych przepisów</w:t>
      </w:r>
      <w:r w:rsidR="00FA20A7" w:rsidRPr="00FA20A7">
        <w:rPr>
          <w:rFonts w:cs="Times New Roman"/>
          <w:szCs w:val="24"/>
        </w:rPr>
        <w:t xml:space="preserve"> do wykładni przyjętej przez </w:t>
      </w:r>
      <w:r w:rsidR="00FA20A7">
        <w:rPr>
          <w:rFonts w:cs="Times New Roman"/>
          <w:szCs w:val="24"/>
        </w:rPr>
        <w:t>TSUE</w:t>
      </w:r>
      <w:r w:rsidR="00FA20A7" w:rsidRPr="00FA20A7">
        <w:rPr>
          <w:rFonts w:cs="Times New Roman"/>
          <w:szCs w:val="24"/>
        </w:rPr>
        <w:t xml:space="preserve"> w</w:t>
      </w:r>
      <w:r w:rsidR="005309E7">
        <w:rPr>
          <w:rFonts w:cs="Times New Roman"/>
          <w:szCs w:val="24"/>
        </w:rPr>
        <w:t> </w:t>
      </w:r>
      <w:r w:rsidR="00FA20A7" w:rsidRPr="00FA20A7">
        <w:rPr>
          <w:rFonts w:cs="Times New Roman"/>
          <w:szCs w:val="24"/>
        </w:rPr>
        <w:t>wyroku w</w:t>
      </w:r>
      <w:r w:rsidR="005E559C">
        <w:rPr>
          <w:rFonts w:cs="Times New Roman"/>
          <w:szCs w:val="24"/>
        </w:rPr>
        <w:t> </w:t>
      </w:r>
      <w:r w:rsidR="00FA20A7" w:rsidRPr="00FA20A7">
        <w:rPr>
          <w:rFonts w:cs="Times New Roman"/>
          <w:szCs w:val="24"/>
        </w:rPr>
        <w:t xml:space="preserve">sprawie C-545/17 </w:t>
      </w:r>
      <w:r w:rsidR="00FA20A7" w:rsidRPr="00FA20A7">
        <w:rPr>
          <w:rFonts w:cs="Times New Roman"/>
          <w:i/>
          <w:szCs w:val="24"/>
        </w:rPr>
        <w:t>Pawlak</w:t>
      </w:r>
      <w:r w:rsidR="00FA20A7">
        <w:rPr>
          <w:rFonts w:cs="Times New Roman"/>
          <w:szCs w:val="24"/>
        </w:rPr>
        <w:t>.</w:t>
      </w:r>
    </w:p>
    <w:p w14:paraId="4090D282" w14:textId="77777777" w:rsidR="00D26227" w:rsidRDefault="00D26227" w:rsidP="00747F2F">
      <w:pPr>
        <w:pStyle w:val="ARTartustawynprozporzdzenia"/>
        <w:spacing w:before="0"/>
        <w:ind w:firstLine="709"/>
        <w:rPr>
          <w:b/>
        </w:rPr>
      </w:pPr>
    </w:p>
    <w:p w14:paraId="1CC9A3A8" w14:textId="4C1F2979" w:rsidR="00B83343" w:rsidRPr="00B83343" w:rsidRDefault="00B83343" w:rsidP="00624670">
      <w:pPr>
        <w:pStyle w:val="ARTartustawynprozporzdzenia"/>
        <w:numPr>
          <w:ilvl w:val="0"/>
          <w:numId w:val="1"/>
        </w:numPr>
        <w:spacing w:before="0"/>
        <w:ind w:left="1134" w:hanging="454"/>
        <w:rPr>
          <w:b/>
        </w:rPr>
      </w:pPr>
      <w:r w:rsidRPr="007E7CCC">
        <w:rPr>
          <w:b/>
        </w:rPr>
        <w:t>Projektowane zmiany</w:t>
      </w:r>
    </w:p>
    <w:p w14:paraId="7E982C55" w14:textId="77777777" w:rsidR="007C68FA" w:rsidRDefault="007C68FA" w:rsidP="00747F2F">
      <w:pPr>
        <w:pStyle w:val="ARTartustawynprozporzdzenia"/>
        <w:spacing w:before="0"/>
        <w:ind w:firstLine="709"/>
        <w:rPr>
          <w:b/>
        </w:rPr>
      </w:pPr>
    </w:p>
    <w:p w14:paraId="590EF98C" w14:textId="3C39AD80" w:rsidR="003267C7" w:rsidRPr="009C797D" w:rsidRDefault="00747F2F" w:rsidP="00E711D6">
      <w:pPr>
        <w:pStyle w:val="ARTartustawynprozporzdzenia"/>
        <w:spacing w:before="0"/>
        <w:ind w:firstLine="0"/>
        <w:rPr>
          <w:b/>
        </w:rPr>
      </w:pPr>
      <w:r w:rsidRPr="009C797D">
        <w:rPr>
          <w:b/>
        </w:rPr>
        <w:t xml:space="preserve">Art. </w:t>
      </w:r>
      <w:r w:rsidR="007D74AF">
        <w:rPr>
          <w:b/>
        </w:rPr>
        <w:t>1</w:t>
      </w:r>
      <w:r w:rsidRPr="009C797D">
        <w:rPr>
          <w:b/>
        </w:rPr>
        <w:t xml:space="preserve"> pkt </w:t>
      </w:r>
      <w:r w:rsidR="007D74AF">
        <w:rPr>
          <w:b/>
        </w:rPr>
        <w:t>1</w:t>
      </w:r>
      <w:r w:rsidR="00984068">
        <w:rPr>
          <w:b/>
        </w:rPr>
        <w:t xml:space="preserve"> i</w:t>
      </w:r>
      <w:r w:rsidR="00D43689">
        <w:rPr>
          <w:b/>
        </w:rPr>
        <w:t xml:space="preserve"> </w:t>
      </w:r>
      <w:r w:rsidR="00C472F4">
        <w:rPr>
          <w:b/>
        </w:rPr>
        <w:t>art. 2</w:t>
      </w:r>
      <w:r w:rsidR="0060160C" w:rsidRPr="00295D53">
        <w:t>–</w:t>
      </w:r>
      <w:r w:rsidR="002069D0">
        <w:rPr>
          <w:b/>
        </w:rPr>
        <w:t>6</w:t>
      </w:r>
      <w:r w:rsidR="00D43689">
        <w:rPr>
          <w:b/>
        </w:rPr>
        <w:t xml:space="preserve"> </w:t>
      </w:r>
      <w:r w:rsidR="00C472F4">
        <w:rPr>
          <w:b/>
        </w:rPr>
        <w:t>projektu (projektowane</w:t>
      </w:r>
      <w:r>
        <w:rPr>
          <w:b/>
        </w:rPr>
        <w:t xml:space="preserve"> art. 1</w:t>
      </w:r>
      <w:r w:rsidR="00C472F4">
        <w:rPr>
          <w:b/>
        </w:rPr>
        <w:t>2 § 6</w:t>
      </w:r>
      <w:r>
        <w:rPr>
          <w:b/>
        </w:rPr>
        <w:t xml:space="preserve"> </w:t>
      </w:r>
      <w:r w:rsidR="00E81C8B">
        <w:rPr>
          <w:b/>
        </w:rPr>
        <w:t xml:space="preserve">pkt 2 </w:t>
      </w:r>
      <w:r w:rsidR="003F7C1B">
        <w:rPr>
          <w:b/>
        </w:rPr>
        <w:t xml:space="preserve">i 2a </w:t>
      </w:r>
      <w:proofErr w:type="spellStart"/>
      <w:r w:rsidR="00C472F4">
        <w:rPr>
          <w:b/>
        </w:rPr>
        <w:t>O.p</w:t>
      </w:r>
      <w:proofErr w:type="spellEnd"/>
      <w:r>
        <w:rPr>
          <w:b/>
        </w:rPr>
        <w:t>.</w:t>
      </w:r>
      <w:r w:rsidR="00A327DB">
        <w:rPr>
          <w:b/>
        </w:rPr>
        <w:t xml:space="preserve">, </w:t>
      </w:r>
      <w:r w:rsidR="009D2750" w:rsidRPr="009D2750">
        <w:rPr>
          <w:b/>
        </w:rPr>
        <w:t xml:space="preserve">art. 45 </w:t>
      </w:r>
      <w:proofErr w:type="spellStart"/>
      <w:r w:rsidR="009D2750" w:rsidRPr="009D2750">
        <w:rPr>
          <w:b/>
        </w:rPr>
        <w:t>u.p.w</w:t>
      </w:r>
      <w:proofErr w:type="spellEnd"/>
      <w:r w:rsidR="009D2750" w:rsidRPr="009D2750">
        <w:rPr>
          <w:b/>
        </w:rPr>
        <w:t xml:space="preserve">., art. 57 § 5 pkt 2 </w:t>
      </w:r>
      <w:r w:rsidR="003F7C1B">
        <w:rPr>
          <w:b/>
        </w:rPr>
        <w:t xml:space="preserve">i 2a </w:t>
      </w:r>
      <w:r w:rsidR="009D2750" w:rsidRPr="009D2750">
        <w:rPr>
          <w:b/>
        </w:rPr>
        <w:t xml:space="preserve">k.p.a., </w:t>
      </w:r>
      <w:r w:rsidR="009D2750">
        <w:rPr>
          <w:b/>
        </w:rPr>
        <w:t xml:space="preserve">art. 165 § 2 k.p.c., </w:t>
      </w:r>
      <w:r w:rsidR="009D2750" w:rsidRPr="009D2750">
        <w:rPr>
          <w:b/>
        </w:rPr>
        <w:t xml:space="preserve">art. 9ta ust. 1 pkt 1 </w:t>
      </w:r>
      <w:r w:rsidR="003F7C1B">
        <w:rPr>
          <w:b/>
        </w:rPr>
        <w:t xml:space="preserve">i 1a </w:t>
      </w:r>
      <w:proofErr w:type="spellStart"/>
      <w:r w:rsidR="009D2750" w:rsidRPr="009D2750">
        <w:rPr>
          <w:b/>
        </w:rPr>
        <w:t>u.u.c.p.g</w:t>
      </w:r>
      <w:proofErr w:type="spellEnd"/>
      <w:r w:rsidR="00FA1816">
        <w:rPr>
          <w:b/>
        </w:rPr>
        <w:t>.</w:t>
      </w:r>
      <w:r w:rsidR="006C4250">
        <w:rPr>
          <w:b/>
        </w:rPr>
        <w:t xml:space="preserve"> i</w:t>
      </w:r>
      <w:r w:rsidR="009D2750" w:rsidRPr="009D2750">
        <w:rPr>
          <w:b/>
        </w:rPr>
        <w:t xml:space="preserve"> art. 176 ust. 3 </w:t>
      </w:r>
      <w:proofErr w:type="spellStart"/>
      <w:r w:rsidR="009D2750" w:rsidRPr="009D2750">
        <w:rPr>
          <w:b/>
        </w:rPr>
        <w:t>u.o.n.d.f.p</w:t>
      </w:r>
      <w:proofErr w:type="spellEnd"/>
      <w:r w:rsidR="009D2750" w:rsidRPr="009D2750">
        <w:rPr>
          <w:b/>
        </w:rPr>
        <w:t>.</w:t>
      </w:r>
      <w:r>
        <w:rPr>
          <w:b/>
        </w:rPr>
        <w:t xml:space="preserve">) </w:t>
      </w:r>
    </w:p>
    <w:p w14:paraId="434E349D" w14:textId="0BC1DDD2" w:rsidR="001210D1" w:rsidRDefault="00DF3C10" w:rsidP="00E711D6">
      <w:pPr>
        <w:pStyle w:val="NIEARTTEKSTtekstnieartykuowanynppodstprawnarozplubpreambua"/>
        <w:ind w:firstLine="0"/>
        <w:rPr>
          <w:rFonts w:ascii="Times New Roman" w:hAnsi="Times New Roman" w:cs="Times New Roman"/>
          <w:szCs w:val="24"/>
        </w:rPr>
      </w:pPr>
      <w:r>
        <w:rPr>
          <w:rFonts w:ascii="Times New Roman" w:hAnsi="Times New Roman" w:cs="Times New Roman"/>
          <w:szCs w:val="24"/>
        </w:rPr>
        <w:t xml:space="preserve">Projektowana zmiana dostosowuje przepisy </w:t>
      </w:r>
      <w:r w:rsidR="00747F2F" w:rsidRPr="00463B3D">
        <w:rPr>
          <w:rFonts w:ascii="Times New Roman" w:hAnsi="Times New Roman" w:cs="Times New Roman"/>
          <w:szCs w:val="24"/>
        </w:rPr>
        <w:t>art. 1</w:t>
      </w:r>
      <w:r w:rsidR="00E81C8B">
        <w:rPr>
          <w:rFonts w:ascii="Times New Roman" w:hAnsi="Times New Roman" w:cs="Times New Roman"/>
          <w:szCs w:val="24"/>
        </w:rPr>
        <w:t>2</w:t>
      </w:r>
      <w:r w:rsidR="00747F2F" w:rsidRPr="00463B3D">
        <w:rPr>
          <w:rFonts w:ascii="Times New Roman" w:hAnsi="Times New Roman" w:cs="Times New Roman"/>
          <w:szCs w:val="24"/>
        </w:rPr>
        <w:t xml:space="preserve"> § </w:t>
      </w:r>
      <w:r w:rsidR="00E81C8B">
        <w:rPr>
          <w:rFonts w:ascii="Times New Roman" w:hAnsi="Times New Roman" w:cs="Times New Roman"/>
          <w:szCs w:val="24"/>
        </w:rPr>
        <w:t>6</w:t>
      </w:r>
      <w:r w:rsidR="00747F2F" w:rsidRPr="00463B3D">
        <w:rPr>
          <w:rFonts w:ascii="Times New Roman" w:hAnsi="Times New Roman" w:cs="Times New Roman"/>
          <w:szCs w:val="24"/>
        </w:rPr>
        <w:t xml:space="preserve"> </w:t>
      </w:r>
      <w:r w:rsidR="00E81C8B">
        <w:rPr>
          <w:rFonts w:ascii="Times New Roman" w:hAnsi="Times New Roman" w:cs="Times New Roman"/>
          <w:szCs w:val="24"/>
        </w:rPr>
        <w:t xml:space="preserve">pkt 2 </w:t>
      </w:r>
      <w:proofErr w:type="spellStart"/>
      <w:r w:rsidR="00E81C8B">
        <w:rPr>
          <w:rFonts w:ascii="Times New Roman" w:hAnsi="Times New Roman" w:cs="Times New Roman"/>
          <w:szCs w:val="24"/>
        </w:rPr>
        <w:t>O.p</w:t>
      </w:r>
      <w:proofErr w:type="spellEnd"/>
      <w:r w:rsidR="00E81C8B">
        <w:rPr>
          <w:rFonts w:ascii="Times New Roman" w:hAnsi="Times New Roman" w:cs="Times New Roman"/>
          <w:szCs w:val="24"/>
        </w:rPr>
        <w:t>.</w:t>
      </w:r>
      <w:r w:rsidR="00A327DB">
        <w:rPr>
          <w:rFonts w:ascii="Times New Roman" w:hAnsi="Times New Roman" w:cs="Times New Roman"/>
          <w:szCs w:val="24"/>
        </w:rPr>
        <w:t xml:space="preserve">, </w:t>
      </w:r>
      <w:r w:rsidR="00984068" w:rsidRPr="00984068">
        <w:rPr>
          <w:rFonts w:ascii="Times New Roman" w:hAnsi="Times New Roman" w:cs="Times New Roman"/>
          <w:szCs w:val="24"/>
        </w:rPr>
        <w:t xml:space="preserve">art. 45 </w:t>
      </w:r>
      <w:proofErr w:type="spellStart"/>
      <w:r w:rsidR="00984068" w:rsidRPr="00984068">
        <w:rPr>
          <w:rFonts w:ascii="Times New Roman" w:hAnsi="Times New Roman" w:cs="Times New Roman"/>
          <w:szCs w:val="24"/>
        </w:rPr>
        <w:t>u.p.w</w:t>
      </w:r>
      <w:proofErr w:type="spellEnd"/>
      <w:r w:rsidR="00984068" w:rsidRPr="00984068">
        <w:rPr>
          <w:rFonts w:ascii="Times New Roman" w:hAnsi="Times New Roman" w:cs="Times New Roman"/>
          <w:szCs w:val="24"/>
        </w:rPr>
        <w:t>., art. 57 § 5 pkt</w:t>
      </w:r>
      <w:r w:rsidR="00984068">
        <w:rPr>
          <w:rFonts w:ascii="Times New Roman" w:hAnsi="Times New Roman" w:cs="Times New Roman"/>
          <w:szCs w:val="24"/>
        </w:rPr>
        <w:t> </w:t>
      </w:r>
      <w:r w:rsidR="00984068" w:rsidRPr="00984068">
        <w:rPr>
          <w:rFonts w:ascii="Times New Roman" w:hAnsi="Times New Roman" w:cs="Times New Roman"/>
          <w:szCs w:val="24"/>
        </w:rPr>
        <w:t xml:space="preserve">2 k.p.a., art. 165 § 2 k.p.c., art. 9ta ust. 1 pkt 1 </w:t>
      </w:r>
      <w:proofErr w:type="spellStart"/>
      <w:r w:rsidR="00984068" w:rsidRPr="00984068">
        <w:rPr>
          <w:rFonts w:ascii="Times New Roman" w:hAnsi="Times New Roman" w:cs="Times New Roman"/>
          <w:szCs w:val="24"/>
        </w:rPr>
        <w:t>u.u.c.p.g</w:t>
      </w:r>
      <w:proofErr w:type="spellEnd"/>
      <w:r w:rsidR="0096521C">
        <w:rPr>
          <w:rFonts w:ascii="Times New Roman" w:hAnsi="Times New Roman" w:cs="Times New Roman"/>
          <w:szCs w:val="24"/>
        </w:rPr>
        <w:t>.</w:t>
      </w:r>
      <w:r w:rsidR="006C4250">
        <w:rPr>
          <w:rFonts w:ascii="Times New Roman" w:hAnsi="Times New Roman" w:cs="Times New Roman"/>
          <w:szCs w:val="24"/>
        </w:rPr>
        <w:t xml:space="preserve"> i</w:t>
      </w:r>
      <w:r w:rsidR="00984068" w:rsidRPr="00984068">
        <w:rPr>
          <w:rFonts w:ascii="Times New Roman" w:hAnsi="Times New Roman" w:cs="Times New Roman"/>
          <w:szCs w:val="24"/>
        </w:rPr>
        <w:t xml:space="preserve"> art. 176 ust. 3 </w:t>
      </w:r>
      <w:proofErr w:type="spellStart"/>
      <w:r w:rsidR="00984068" w:rsidRPr="00984068">
        <w:rPr>
          <w:rFonts w:ascii="Times New Roman" w:hAnsi="Times New Roman" w:cs="Times New Roman"/>
          <w:szCs w:val="24"/>
        </w:rPr>
        <w:t>u.o.n.d.f.p</w:t>
      </w:r>
      <w:proofErr w:type="spellEnd"/>
      <w:r w:rsidR="00984068" w:rsidRPr="00984068">
        <w:rPr>
          <w:rFonts w:ascii="Times New Roman" w:hAnsi="Times New Roman" w:cs="Times New Roman"/>
          <w:szCs w:val="24"/>
        </w:rPr>
        <w:t xml:space="preserve">. </w:t>
      </w:r>
      <w:r w:rsidR="00BF7C62">
        <w:rPr>
          <w:rFonts w:ascii="Times New Roman" w:hAnsi="Times New Roman" w:cs="Times New Roman"/>
          <w:szCs w:val="24"/>
        </w:rPr>
        <w:t xml:space="preserve">do </w:t>
      </w:r>
      <w:r w:rsidR="00DB6AF6">
        <w:rPr>
          <w:rFonts w:ascii="Times New Roman" w:hAnsi="Times New Roman" w:cs="Times New Roman"/>
          <w:szCs w:val="24"/>
        </w:rPr>
        <w:t>przyjętej przez TSUE w wyroku w sprawie C</w:t>
      </w:r>
      <w:r w:rsidR="00DB6AF6">
        <w:rPr>
          <w:rFonts w:ascii="Times New Roman" w:hAnsi="Times New Roman" w:cs="Times New Roman"/>
          <w:szCs w:val="24"/>
        </w:rPr>
        <w:noBreakHyphen/>
      </w:r>
      <w:r w:rsidR="00DB6AF6" w:rsidRPr="00BF7C62">
        <w:rPr>
          <w:rFonts w:ascii="Times New Roman" w:hAnsi="Times New Roman" w:cs="Times New Roman"/>
          <w:szCs w:val="24"/>
        </w:rPr>
        <w:t xml:space="preserve">545/17 </w:t>
      </w:r>
      <w:r w:rsidR="00DB6AF6" w:rsidRPr="00DF3C10">
        <w:rPr>
          <w:rFonts w:ascii="Times New Roman" w:hAnsi="Times New Roman" w:cs="Times New Roman"/>
          <w:i/>
          <w:szCs w:val="24"/>
        </w:rPr>
        <w:t>Pawlak</w:t>
      </w:r>
      <w:r w:rsidR="00DB6AF6">
        <w:rPr>
          <w:rFonts w:ascii="Times New Roman" w:hAnsi="Times New Roman" w:cs="Times New Roman"/>
          <w:szCs w:val="24"/>
        </w:rPr>
        <w:t xml:space="preserve"> </w:t>
      </w:r>
      <w:r w:rsidR="00BF7C62">
        <w:rPr>
          <w:rFonts w:ascii="Times New Roman" w:hAnsi="Times New Roman" w:cs="Times New Roman"/>
          <w:szCs w:val="24"/>
        </w:rPr>
        <w:t xml:space="preserve">wykładni </w:t>
      </w:r>
      <w:r w:rsidRPr="00DF3C10">
        <w:rPr>
          <w:rFonts w:ascii="Times New Roman" w:hAnsi="Times New Roman" w:cs="Times New Roman"/>
          <w:szCs w:val="24"/>
        </w:rPr>
        <w:t>dyrektywy 97/67/WE Parlamentu Europejskiego i Rady z dnia 15 grudnia 1997 r. w</w:t>
      </w:r>
      <w:r w:rsidR="005E559C">
        <w:rPr>
          <w:rFonts w:ascii="Times New Roman" w:hAnsi="Times New Roman" w:cs="Times New Roman"/>
          <w:szCs w:val="24"/>
        </w:rPr>
        <w:t> </w:t>
      </w:r>
      <w:r w:rsidRPr="00DF3C10">
        <w:rPr>
          <w:rFonts w:ascii="Times New Roman" w:hAnsi="Times New Roman" w:cs="Times New Roman"/>
          <w:szCs w:val="24"/>
        </w:rPr>
        <w:t>sprawie wspólnych zasad rozwoju rynku wewnętrznego usług pocztowych Wspólnoty oraz poprawy jakości usług, zmienionej dyrek</w:t>
      </w:r>
      <w:r w:rsidR="00F60C04">
        <w:rPr>
          <w:rFonts w:ascii="Times New Roman" w:hAnsi="Times New Roman" w:cs="Times New Roman"/>
          <w:szCs w:val="24"/>
        </w:rPr>
        <w:t>tywą Parlamentu Europejskiego i </w:t>
      </w:r>
      <w:r w:rsidRPr="00DF3C10">
        <w:rPr>
          <w:rFonts w:ascii="Times New Roman" w:hAnsi="Times New Roman" w:cs="Times New Roman"/>
          <w:szCs w:val="24"/>
        </w:rPr>
        <w:t>Rady 2008/6/WE z</w:t>
      </w:r>
      <w:r w:rsidR="005E559C">
        <w:rPr>
          <w:rFonts w:ascii="Times New Roman" w:hAnsi="Times New Roman" w:cs="Times New Roman"/>
          <w:szCs w:val="24"/>
        </w:rPr>
        <w:t> </w:t>
      </w:r>
      <w:r w:rsidRPr="00DF3C10">
        <w:rPr>
          <w:rFonts w:ascii="Times New Roman" w:hAnsi="Times New Roman" w:cs="Times New Roman"/>
          <w:szCs w:val="24"/>
        </w:rPr>
        <w:t>dnia 20 lutego 2008 r</w:t>
      </w:r>
      <w:r>
        <w:rPr>
          <w:rFonts w:ascii="Times New Roman" w:hAnsi="Times New Roman" w:cs="Times New Roman"/>
          <w:szCs w:val="24"/>
        </w:rPr>
        <w:t>.</w:t>
      </w:r>
      <w:r w:rsidR="00BF7C62" w:rsidRPr="00BF7C62">
        <w:rPr>
          <w:rFonts w:ascii="Times New Roman" w:hAnsi="Times New Roman" w:cs="Times New Roman"/>
          <w:szCs w:val="24"/>
        </w:rPr>
        <w:t xml:space="preserve"> </w:t>
      </w:r>
    </w:p>
    <w:p w14:paraId="55D1F084" w14:textId="48674452" w:rsidR="00DF3C10" w:rsidRDefault="00DF0BE7" w:rsidP="000138F5">
      <w:pPr>
        <w:pStyle w:val="NIEARTTEKSTtekstnieartykuowanynppodstprawnarozplubpreambua"/>
        <w:ind w:firstLine="0"/>
        <w:rPr>
          <w:rFonts w:ascii="Times New Roman" w:hAnsi="Times New Roman" w:cs="Times New Roman"/>
          <w:szCs w:val="24"/>
        </w:rPr>
      </w:pPr>
      <w:r>
        <w:rPr>
          <w:rFonts w:ascii="Times New Roman" w:hAnsi="Times New Roman" w:cs="Times New Roman"/>
          <w:szCs w:val="24"/>
        </w:rPr>
        <w:t>W obecnym brzmieniu</w:t>
      </w:r>
      <w:r w:rsidR="001210D1">
        <w:rPr>
          <w:rFonts w:ascii="Times New Roman" w:hAnsi="Times New Roman" w:cs="Times New Roman"/>
          <w:szCs w:val="24"/>
        </w:rPr>
        <w:t xml:space="preserve"> art. 12 </w:t>
      </w:r>
      <w:r>
        <w:rPr>
          <w:rFonts w:ascii="Times New Roman" w:hAnsi="Times New Roman" w:cs="Times New Roman"/>
          <w:szCs w:val="24"/>
        </w:rPr>
        <w:t xml:space="preserve">§ 6 pkt 2 </w:t>
      </w:r>
      <w:proofErr w:type="spellStart"/>
      <w:r>
        <w:rPr>
          <w:rFonts w:ascii="Times New Roman" w:hAnsi="Times New Roman" w:cs="Times New Roman"/>
          <w:szCs w:val="24"/>
        </w:rPr>
        <w:t>O.p</w:t>
      </w:r>
      <w:proofErr w:type="spellEnd"/>
      <w:r>
        <w:rPr>
          <w:rFonts w:ascii="Times New Roman" w:hAnsi="Times New Roman" w:cs="Times New Roman"/>
          <w:szCs w:val="24"/>
        </w:rPr>
        <w:t xml:space="preserve">. uznaje </w:t>
      </w:r>
      <w:r w:rsidR="001210D1">
        <w:rPr>
          <w:rFonts w:ascii="Times New Roman" w:hAnsi="Times New Roman" w:cs="Times New Roman"/>
          <w:szCs w:val="24"/>
        </w:rPr>
        <w:t>termin za zachowany m.in. w</w:t>
      </w:r>
      <w:r w:rsidR="00DF3C10">
        <w:rPr>
          <w:rFonts w:ascii="Times New Roman" w:hAnsi="Times New Roman" w:cs="Times New Roman"/>
          <w:szCs w:val="24"/>
        </w:rPr>
        <w:t> </w:t>
      </w:r>
      <w:r w:rsidR="001210D1">
        <w:rPr>
          <w:rFonts w:ascii="Times New Roman" w:hAnsi="Times New Roman" w:cs="Times New Roman"/>
          <w:szCs w:val="24"/>
        </w:rPr>
        <w:t>przypadkach,</w:t>
      </w:r>
      <w:r w:rsidR="001210D1" w:rsidRPr="001210D1">
        <w:t xml:space="preserve"> </w:t>
      </w:r>
      <w:r w:rsidR="001210D1">
        <w:rPr>
          <w:rFonts w:ascii="Times New Roman" w:hAnsi="Times New Roman" w:cs="Times New Roman"/>
          <w:szCs w:val="24"/>
        </w:rPr>
        <w:t>gdy</w:t>
      </w:r>
      <w:r w:rsidR="001210D1" w:rsidRPr="001210D1">
        <w:rPr>
          <w:rFonts w:ascii="Times New Roman" w:hAnsi="Times New Roman" w:cs="Times New Roman"/>
          <w:szCs w:val="24"/>
        </w:rPr>
        <w:t xml:space="preserve"> przed jego upływem pismo zostało</w:t>
      </w:r>
      <w:r w:rsidR="001210D1">
        <w:rPr>
          <w:rFonts w:ascii="Times New Roman" w:hAnsi="Times New Roman" w:cs="Times New Roman"/>
          <w:szCs w:val="24"/>
        </w:rPr>
        <w:t xml:space="preserve"> </w:t>
      </w:r>
      <w:r w:rsidR="001210D1" w:rsidRPr="001210D1">
        <w:rPr>
          <w:rFonts w:ascii="Times New Roman" w:hAnsi="Times New Roman" w:cs="Times New Roman"/>
          <w:szCs w:val="24"/>
        </w:rPr>
        <w:t xml:space="preserve">nadane w polskiej placówce pocztowej operatora wyznaczonego w rozumieniu ustawy z dnia 23 listopada 2012 r. </w:t>
      </w:r>
      <w:r w:rsidR="0096521C" w:rsidRPr="00295D53">
        <w:t>–</w:t>
      </w:r>
      <w:r w:rsidR="001210D1" w:rsidRPr="001210D1">
        <w:rPr>
          <w:rFonts w:ascii="Times New Roman" w:hAnsi="Times New Roman" w:cs="Times New Roman"/>
          <w:szCs w:val="24"/>
        </w:rPr>
        <w:t xml:space="preserve"> Prawo pocztowe (Dz. U. z</w:t>
      </w:r>
      <w:r w:rsidR="00984068">
        <w:rPr>
          <w:rFonts w:ascii="Times New Roman" w:hAnsi="Times New Roman" w:cs="Times New Roman"/>
          <w:szCs w:val="24"/>
        </w:rPr>
        <w:t> </w:t>
      </w:r>
      <w:r w:rsidR="001210D1" w:rsidRPr="001210D1">
        <w:rPr>
          <w:rFonts w:ascii="Times New Roman" w:hAnsi="Times New Roman" w:cs="Times New Roman"/>
          <w:szCs w:val="24"/>
        </w:rPr>
        <w:t>202</w:t>
      </w:r>
      <w:r w:rsidR="00301DB2">
        <w:rPr>
          <w:rFonts w:ascii="Times New Roman" w:hAnsi="Times New Roman" w:cs="Times New Roman"/>
          <w:szCs w:val="24"/>
        </w:rPr>
        <w:t>3</w:t>
      </w:r>
      <w:r w:rsidR="001210D1" w:rsidRPr="001210D1">
        <w:rPr>
          <w:rFonts w:ascii="Times New Roman" w:hAnsi="Times New Roman" w:cs="Times New Roman"/>
          <w:szCs w:val="24"/>
        </w:rPr>
        <w:t xml:space="preserve"> r. poz. </w:t>
      </w:r>
      <w:r w:rsidR="00301DB2">
        <w:rPr>
          <w:rFonts w:ascii="Times New Roman" w:hAnsi="Times New Roman" w:cs="Times New Roman"/>
          <w:szCs w:val="24"/>
        </w:rPr>
        <w:t>1640</w:t>
      </w:r>
      <w:r w:rsidR="00984068">
        <w:rPr>
          <w:rFonts w:ascii="Times New Roman" w:hAnsi="Times New Roman" w:cs="Times New Roman"/>
          <w:szCs w:val="24"/>
        </w:rPr>
        <w:t xml:space="preserve">, z </w:t>
      </w:r>
      <w:proofErr w:type="spellStart"/>
      <w:r w:rsidR="00984068">
        <w:rPr>
          <w:rFonts w:ascii="Times New Roman" w:hAnsi="Times New Roman" w:cs="Times New Roman"/>
          <w:szCs w:val="24"/>
        </w:rPr>
        <w:t>późn</w:t>
      </w:r>
      <w:proofErr w:type="spellEnd"/>
      <w:r w:rsidR="00984068">
        <w:rPr>
          <w:rFonts w:ascii="Times New Roman" w:hAnsi="Times New Roman" w:cs="Times New Roman"/>
          <w:szCs w:val="24"/>
        </w:rPr>
        <w:t>. zm.</w:t>
      </w:r>
      <w:r w:rsidR="001210D1" w:rsidRPr="001210D1">
        <w:rPr>
          <w:rFonts w:ascii="Times New Roman" w:hAnsi="Times New Roman" w:cs="Times New Roman"/>
          <w:szCs w:val="24"/>
        </w:rPr>
        <w:t>) lub w placówce pocztowej operatora świadczącego pocztowe usługi powszechne w innym państwie członkowskim Unii Europejskiej lub otrzymane przez polską placówkę pocztową operatora wyznaczonego po nadaniu w państwie spoza Unii Europejskiej</w:t>
      </w:r>
      <w:r w:rsidR="001210D1">
        <w:rPr>
          <w:rFonts w:ascii="Times New Roman" w:hAnsi="Times New Roman" w:cs="Times New Roman"/>
          <w:szCs w:val="24"/>
        </w:rPr>
        <w:t>.</w:t>
      </w:r>
      <w:r w:rsidR="00DF3C10">
        <w:rPr>
          <w:rFonts w:ascii="Times New Roman" w:hAnsi="Times New Roman" w:cs="Times New Roman"/>
          <w:szCs w:val="24"/>
        </w:rPr>
        <w:t xml:space="preserve"> </w:t>
      </w:r>
    </w:p>
    <w:p w14:paraId="0F2CDAEF" w14:textId="3CB4E0C5" w:rsidR="002842B3" w:rsidRPr="002842B3" w:rsidRDefault="00DF3C10" w:rsidP="000138F5">
      <w:pPr>
        <w:pStyle w:val="NIEARTTEKSTtekstnieartykuowanynppodstprawnarozplubpreambua"/>
        <w:ind w:firstLine="0"/>
        <w:rPr>
          <w:rFonts w:ascii="Times New Roman" w:hAnsi="Times New Roman" w:cs="Times New Roman"/>
          <w:szCs w:val="24"/>
        </w:rPr>
      </w:pPr>
      <w:r>
        <w:rPr>
          <w:rFonts w:ascii="Times New Roman" w:hAnsi="Times New Roman" w:cs="Times New Roman"/>
          <w:szCs w:val="24"/>
        </w:rPr>
        <w:lastRenderedPageBreak/>
        <w:t xml:space="preserve">Projektowana zmiana </w:t>
      </w:r>
      <w:r w:rsidRPr="00DF3C10">
        <w:rPr>
          <w:rFonts w:ascii="Times New Roman" w:hAnsi="Times New Roman" w:cs="Times New Roman"/>
          <w:szCs w:val="24"/>
        </w:rPr>
        <w:t xml:space="preserve">polega na rozszerzeniu domniemania zachowania terminu przewidzianego w </w:t>
      </w:r>
      <w:r>
        <w:rPr>
          <w:rFonts w:ascii="Times New Roman" w:hAnsi="Times New Roman" w:cs="Times New Roman"/>
          <w:szCs w:val="24"/>
        </w:rPr>
        <w:t xml:space="preserve">art. 12 § 6 pkt 2 </w:t>
      </w:r>
      <w:proofErr w:type="spellStart"/>
      <w:r>
        <w:rPr>
          <w:rFonts w:ascii="Times New Roman" w:hAnsi="Times New Roman" w:cs="Times New Roman"/>
          <w:szCs w:val="24"/>
        </w:rPr>
        <w:t>O.p</w:t>
      </w:r>
      <w:proofErr w:type="spellEnd"/>
      <w:r w:rsidRPr="00DF3C10">
        <w:rPr>
          <w:rFonts w:ascii="Times New Roman" w:hAnsi="Times New Roman" w:cs="Times New Roman"/>
          <w:szCs w:val="24"/>
        </w:rPr>
        <w:t>.</w:t>
      </w:r>
      <w:r w:rsidR="00F60C04">
        <w:rPr>
          <w:rFonts w:ascii="Times New Roman" w:hAnsi="Times New Roman" w:cs="Times New Roman"/>
          <w:szCs w:val="24"/>
        </w:rPr>
        <w:t xml:space="preserve"> </w:t>
      </w:r>
      <w:r w:rsidR="002842B3" w:rsidRPr="002842B3">
        <w:rPr>
          <w:rFonts w:ascii="Times New Roman" w:hAnsi="Times New Roman" w:cs="Times New Roman"/>
          <w:szCs w:val="24"/>
        </w:rPr>
        <w:t xml:space="preserve">W wyniku </w:t>
      </w:r>
      <w:r w:rsidR="00F327F8">
        <w:rPr>
          <w:rFonts w:ascii="Times New Roman" w:hAnsi="Times New Roman" w:cs="Times New Roman"/>
          <w:szCs w:val="24"/>
        </w:rPr>
        <w:t>tej</w:t>
      </w:r>
      <w:r w:rsidR="002842B3">
        <w:rPr>
          <w:rFonts w:ascii="Times New Roman" w:hAnsi="Times New Roman" w:cs="Times New Roman"/>
          <w:szCs w:val="24"/>
        </w:rPr>
        <w:t xml:space="preserve"> zmiany</w:t>
      </w:r>
      <w:r w:rsidR="002842B3" w:rsidRPr="002842B3">
        <w:rPr>
          <w:rFonts w:ascii="Times New Roman" w:hAnsi="Times New Roman" w:cs="Times New Roman"/>
          <w:szCs w:val="24"/>
        </w:rPr>
        <w:t xml:space="preserve"> domniemanie zachowania terminu będzie dotyczyło pism:</w:t>
      </w:r>
    </w:p>
    <w:p w14:paraId="63523196" w14:textId="7C7A81B2" w:rsidR="002842B3" w:rsidRDefault="002842B3" w:rsidP="00F724E4">
      <w:pPr>
        <w:pStyle w:val="NIEARTTEKSTtekstnieartykuowanynppodstprawnarozplubpreambua"/>
        <w:numPr>
          <w:ilvl w:val="0"/>
          <w:numId w:val="2"/>
        </w:numPr>
        <w:spacing w:before="0"/>
        <w:ind w:left="714" w:hanging="357"/>
        <w:rPr>
          <w:rFonts w:ascii="Times New Roman" w:hAnsi="Times New Roman" w:cs="Times New Roman"/>
          <w:szCs w:val="24"/>
        </w:rPr>
      </w:pPr>
      <w:r w:rsidRPr="002842B3">
        <w:rPr>
          <w:rFonts w:ascii="Times New Roman" w:hAnsi="Times New Roman" w:cs="Times New Roman"/>
          <w:szCs w:val="24"/>
        </w:rPr>
        <w:t xml:space="preserve">nadanych do organów podatkowych u dowolnego operatora pocztowego w rozumieniu ustawy </w:t>
      </w:r>
      <w:r w:rsidR="00C23186">
        <w:rPr>
          <w:rFonts w:ascii="Times New Roman" w:hAnsi="Times New Roman" w:cs="Times New Roman"/>
          <w:szCs w:val="24"/>
        </w:rPr>
        <w:t>–</w:t>
      </w:r>
      <w:r w:rsidRPr="002842B3">
        <w:rPr>
          <w:rFonts w:ascii="Times New Roman" w:hAnsi="Times New Roman" w:cs="Times New Roman"/>
          <w:szCs w:val="24"/>
        </w:rPr>
        <w:t xml:space="preserve"> Prawo pocztowe i dowolnego podmiotu zajmującego się doręczaniem korespondencji na </w:t>
      </w:r>
      <w:r w:rsidR="006F53F7">
        <w:rPr>
          <w:rFonts w:ascii="Times New Roman" w:hAnsi="Times New Roman" w:cs="Times New Roman"/>
          <w:szCs w:val="24"/>
        </w:rPr>
        <w:t xml:space="preserve">terytorium innego niż Rzeczpospolita Polska państwa członkowskiego </w:t>
      </w:r>
      <w:r w:rsidRPr="002842B3">
        <w:rPr>
          <w:rFonts w:ascii="Times New Roman" w:hAnsi="Times New Roman" w:cs="Times New Roman"/>
          <w:szCs w:val="24"/>
        </w:rPr>
        <w:t>Unii Europejskiej,</w:t>
      </w:r>
    </w:p>
    <w:p w14:paraId="53E24010" w14:textId="2A4590D3" w:rsidR="00191222" w:rsidRDefault="002842B3" w:rsidP="00F724E4">
      <w:pPr>
        <w:pStyle w:val="NIEARTTEKSTtekstnieartykuowanynppodstprawnarozplubpreambua"/>
        <w:numPr>
          <w:ilvl w:val="0"/>
          <w:numId w:val="2"/>
        </w:numPr>
        <w:spacing w:before="0"/>
        <w:ind w:left="714" w:hanging="357"/>
        <w:rPr>
          <w:rFonts w:ascii="Times New Roman" w:hAnsi="Times New Roman" w:cs="Times New Roman"/>
          <w:szCs w:val="24"/>
        </w:rPr>
      </w:pPr>
      <w:r w:rsidRPr="002842B3">
        <w:rPr>
          <w:rFonts w:ascii="Times New Roman" w:hAnsi="Times New Roman" w:cs="Times New Roman"/>
          <w:szCs w:val="24"/>
        </w:rPr>
        <w:t xml:space="preserve">otrzymanych przez dowolnego operatora pocztowego po nadaniu w państwie </w:t>
      </w:r>
      <w:r w:rsidR="00BD338F">
        <w:rPr>
          <w:rFonts w:ascii="Times New Roman" w:hAnsi="Times New Roman" w:cs="Times New Roman"/>
          <w:szCs w:val="24"/>
        </w:rPr>
        <w:t>innym niż państwo członkowskie Unii Europejskiej</w:t>
      </w:r>
      <w:r w:rsidRPr="002842B3">
        <w:rPr>
          <w:rFonts w:ascii="Times New Roman" w:hAnsi="Times New Roman" w:cs="Times New Roman"/>
          <w:szCs w:val="24"/>
        </w:rPr>
        <w:t>.</w:t>
      </w:r>
    </w:p>
    <w:p w14:paraId="6886A24F" w14:textId="021FBD63" w:rsidR="00CD0EE5" w:rsidRDefault="000D37D4" w:rsidP="006567EC">
      <w:pPr>
        <w:pStyle w:val="ARTartustawynprozporzdzenia"/>
        <w:ind w:firstLine="0"/>
      </w:pPr>
      <w:r>
        <w:t>Proponowana</w:t>
      </w:r>
      <w:r w:rsidR="006567EC">
        <w:t xml:space="preserve"> zmiana obejmuje zatem również doprecyzowanie treści przepisu poprzez zastąpienie zwrotu „w innym państwie członkowskim Unii Europejskiej” zwrotem „na terytorium innego niż Rzeczypospolita Polska państwa członkowskiego Unii Europejskiej”, analogicznie do zapisów stosowanych w innych aktach prawnych, jak np.</w:t>
      </w:r>
      <w:r w:rsidR="00CD0EE5">
        <w:t xml:space="preserve"> w</w:t>
      </w:r>
      <w:r w:rsidR="000654A6">
        <w:t xml:space="preserve"> ustawie z dnia 26</w:t>
      </w:r>
      <w:r w:rsidR="005E559C">
        <w:t> </w:t>
      </w:r>
      <w:r w:rsidR="000654A6">
        <w:t xml:space="preserve">lipca 1991 r. </w:t>
      </w:r>
      <w:r w:rsidR="000654A6" w:rsidRPr="005E559C">
        <w:rPr>
          <w:i/>
          <w:iCs/>
        </w:rPr>
        <w:t>o podatku dochodowym od osób fizycznych</w:t>
      </w:r>
      <w:r w:rsidR="000654A6">
        <w:t xml:space="preserve"> (Dz. U. z 2024 r. poz. 226, z </w:t>
      </w:r>
      <w:proofErr w:type="spellStart"/>
      <w:r w:rsidR="000654A6">
        <w:t>późn</w:t>
      </w:r>
      <w:proofErr w:type="spellEnd"/>
      <w:r w:rsidR="000654A6">
        <w:t xml:space="preserve">. zm.), ustawie z dnia 15 lutego 1992 r. </w:t>
      </w:r>
      <w:r w:rsidR="000654A6" w:rsidRPr="005E559C">
        <w:rPr>
          <w:i/>
          <w:iCs/>
        </w:rPr>
        <w:t>o podatku dochodowym od osób prawnych</w:t>
      </w:r>
      <w:r w:rsidR="000654A6">
        <w:t xml:space="preserve"> (Dz. U. z</w:t>
      </w:r>
      <w:r w:rsidR="005E559C">
        <w:t> </w:t>
      </w:r>
      <w:r w:rsidR="000654A6">
        <w:t>2023</w:t>
      </w:r>
      <w:r w:rsidR="005E559C">
        <w:t> </w:t>
      </w:r>
      <w:r w:rsidR="000654A6">
        <w:t xml:space="preserve">r. poz. 2805, z </w:t>
      </w:r>
      <w:proofErr w:type="spellStart"/>
      <w:r w:rsidR="000654A6">
        <w:t>późn</w:t>
      </w:r>
      <w:proofErr w:type="spellEnd"/>
      <w:r w:rsidR="000654A6">
        <w:t xml:space="preserve">. zm.), ustawie z dnia 28 lipca 1983 r. </w:t>
      </w:r>
      <w:r w:rsidR="000654A6" w:rsidRPr="005E559C">
        <w:rPr>
          <w:i/>
          <w:iCs/>
        </w:rPr>
        <w:t>o podatku od spadków i</w:t>
      </w:r>
      <w:r w:rsidR="005E559C">
        <w:rPr>
          <w:i/>
          <w:iCs/>
        </w:rPr>
        <w:t> </w:t>
      </w:r>
      <w:r w:rsidR="000654A6" w:rsidRPr="005E559C">
        <w:rPr>
          <w:i/>
          <w:iCs/>
        </w:rPr>
        <w:t>darowizn</w:t>
      </w:r>
      <w:r w:rsidR="000654A6">
        <w:t xml:space="preserve"> (Dz. U. z 2024 r. poz. 596</w:t>
      </w:r>
      <w:r w:rsidR="002167C6">
        <w:t xml:space="preserve">, z </w:t>
      </w:r>
      <w:proofErr w:type="spellStart"/>
      <w:r w:rsidR="002167C6">
        <w:t>późn</w:t>
      </w:r>
      <w:proofErr w:type="spellEnd"/>
      <w:r w:rsidR="002167C6">
        <w:t>. zm.</w:t>
      </w:r>
      <w:r w:rsidR="000654A6">
        <w:t xml:space="preserve">), ustawie z dnia 24 sierpnia 2001 r. – </w:t>
      </w:r>
      <w:r w:rsidR="000654A6" w:rsidRPr="005E559C">
        <w:rPr>
          <w:i/>
          <w:iCs/>
        </w:rPr>
        <w:t>Kodeks postępowania w sprawach o wykroczenia</w:t>
      </w:r>
      <w:r w:rsidR="000654A6">
        <w:t xml:space="preserve"> (Dz. U. z 2024 r. poz. 977</w:t>
      </w:r>
      <w:r w:rsidR="002167C6">
        <w:t xml:space="preserve">, z </w:t>
      </w:r>
      <w:proofErr w:type="spellStart"/>
      <w:r w:rsidR="002167C6">
        <w:t>późn</w:t>
      </w:r>
      <w:proofErr w:type="spellEnd"/>
      <w:r w:rsidR="002167C6">
        <w:t>. zm.</w:t>
      </w:r>
      <w:r w:rsidR="000654A6">
        <w:t xml:space="preserve">), ustawie z dnia 23 września 2016 r. </w:t>
      </w:r>
      <w:r w:rsidR="000654A6" w:rsidRPr="005E559C">
        <w:rPr>
          <w:i/>
          <w:iCs/>
        </w:rPr>
        <w:t>o pozasądowym rozwiązywaniu sporów konsumenckich</w:t>
      </w:r>
      <w:r w:rsidR="000654A6">
        <w:t xml:space="preserve"> (Dz. U. z 2016 r. poz.</w:t>
      </w:r>
      <w:r w:rsidR="005E559C">
        <w:t> </w:t>
      </w:r>
      <w:r w:rsidR="000654A6">
        <w:t xml:space="preserve">1823), ustawie z dnia 11 września 2015 r. </w:t>
      </w:r>
      <w:r w:rsidR="000654A6" w:rsidRPr="005E559C">
        <w:rPr>
          <w:i/>
          <w:iCs/>
        </w:rPr>
        <w:t>o działalności ubezpieczeniowej i</w:t>
      </w:r>
      <w:r w:rsidR="005E559C">
        <w:rPr>
          <w:i/>
          <w:iCs/>
        </w:rPr>
        <w:t> </w:t>
      </w:r>
      <w:r w:rsidR="000654A6" w:rsidRPr="005E559C">
        <w:rPr>
          <w:i/>
          <w:iCs/>
        </w:rPr>
        <w:t>reasekuracyjnej</w:t>
      </w:r>
      <w:r w:rsidR="000654A6">
        <w:t xml:space="preserve"> (Dz. U. z 2024 r. poz. 838</w:t>
      </w:r>
      <w:r w:rsidR="002167C6">
        <w:t xml:space="preserve">, z </w:t>
      </w:r>
      <w:proofErr w:type="spellStart"/>
      <w:r w:rsidR="002167C6">
        <w:t>późn</w:t>
      </w:r>
      <w:proofErr w:type="spellEnd"/>
      <w:r w:rsidR="002167C6">
        <w:t>. zm.</w:t>
      </w:r>
      <w:r w:rsidR="000654A6">
        <w:t>)</w:t>
      </w:r>
      <w:r>
        <w:t xml:space="preserve"> czy też w</w:t>
      </w:r>
      <w:r w:rsidR="000654A6">
        <w:t xml:space="preserve"> ustawie z dnia 15 grudnia 2017 r. </w:t>
      </w:r>
      <w:r w:rsidR="000654A6" w:rsidRPr="005E559C">
        <w:rPr>
          <w:i/>
          <w:iCs/>
        </w:rPr>
        <w:t>o</w:t>
      </w:r>
      <w:r w:rsidR="005E559C">
        <w:rPr>
          <w:i/>
          <w:iCs/>
        </w:rPr>
        <w:t> </w:t>
      </w:r>
      <w:r w:rsidR="000654A6" w:rsidRPr="005E559C">
        <w:rPr>
          <w:i/>
          <w:iCs/>
        </w:rPr>
        <w:t>dystrybucji ubezpieczeń</w:t>
      </w:r>
      <w:r w:rsidR="000654A6">
        <w:t xml:space="preserve"> (Dz. U. z 2024 r. poz. 1214)</w:t>
      </w:r>
      <w:r>
        <w:t>.</w:t>
      </w:r>
    </w:p>
    <w:p w14:paraId="06927563" w14:textId="079E62DF" w:rsidR="00A90A9E" w:rsidRDefault="009D5FF6" w:rsidP="009D5FF6">
      <w:pPr>
        <w:pStyle w:val="ARTartustawynprozporzdzenia"/>
        <w:ind w:firstLine="0"/>
      </w:pPr>
      <w:r>
        <w:t>Analogiczne zmiany</w:t>
      </w:r>
      <w:r w:rsidR="00700B9E">
        <w:t xml:space="preserve">, w zakresie wykonania wyroku TSUE w sprawie </w:t>
      </w:r>
      <w:r w:rsidR="00700B9E" w:rsidRPr="005E559C">
        <w:rPr>
          <w:i/>
          <w:iCs/>
        </w:rPr>
        <w:t>Pawlak</w:t>
      </w:r>
      <w:r w:rsidR="00700B9E">
        <w:t>,</w:t>
      </w:r>
      <w:r>
        <w:t xml:space="preserve"> </w:t>
      </w:r>
      <w:r w:rsidR="00F60C04">
        <w:t>zostały zaproponowane</w:t>
      </w:r>
      <w:r>
        <w:t xml:space="preserve"> w </w:t>
      </w:r>
      <w:r w:rsidR="00984068" w:rsidRPr="00984068">
        <w:t xml:space="preserve">art. 45 </w:t>
      </w:r>
      <w:proofErr w:type="spellStart"/>
      <w:r w:rsidR="00984068" w:rsidRPr="00984068">
        <w:t>u.p.w</w:t>
      </w:r>
      <w:proofErr w:type="spellEnd"/>
      <w:r w:rsidR="00984068" w:rsidRPr="00984068">
        <w:t xml:space="preserve">., art. 57 § 5 pkt 2 </w:t>
      </w:r>
      <w:r w:rsidR="003F7C1B">
        <w:t xml:space="preserve">i 2a </w:t>
      </w:r>
      <w:r w:rsidR="00984068" w:rsidRPr="00984068">
        <w:t xml:space="preserve">k.p.a., art. 165 § 2 k.p.c., art. 9ta ust. 1 pkt 1 </w:t>
      </w:r>
      <w:r w:rsidR="003F7C1B">
        <w:t xml:space="preserve">i 1a </w:t>
      </w:r>
      <w:proofErr w:type="spellStart"/>
      <w:r w:rsidR="00984068" w:rsidRPr="00984068">
        <w:t>u.u.c.p.g</w:t>
      </w:r>
      <w:proofErr w:type="spellEnd"/>
      <w:r w:rsidR="007E3690">
        <w:t>.</w:t>
      </w:r>
      <w:r w:rsidR="006C4250">
        <w:t xml:space="preserve"> i</w:t>
      </w:r>
      <w:r w:rsidR="00984068" w:rsidRPr="00984068">
        <w:t xml:space="preserve"> art. 176 ust. 3 </w:t>
      </w:r>
      <w:proofErr w:type="spellStart"/>
      <w:r w:rsidR="00984068" w:rsidRPr="00984068">
        <w:t>u.o.n.d.f.p</w:t>
      </w:r>
      <w:proofErr w:type="spellEnd"/>
      <w:r w:rsidR="00984068" w:rsidRPr="00984068">
        <w:t xml:space="preserve">. </w:t>
      </w:r>
    </w:p>
    <w:p w14:paraId="6BDDC138" w14:textId="085ED911" w:rsidR="006151EC" w:rsidRDefault="006151EC" w:rsidP="009D5FF6">
      <w:pPr>
        <w:pStyle w:val="ARTartustawynprozporzdzenia"/>
        <w:ind w:firstLine="0"/>
      </w:pPr>
      <w:r w:rsidRPr="006151EC">
        <w:t xml:space="preserve">Należy podkreślić, że zarzuty TSUE z tego wyroku dotyczyły wyłącznie pierwszej części przepisu art. 165 § 2 </w:t>
      </w:r>
      <w:r>
        <w:t>k.p.c.</w:t>
      </w:r>
      <w:r w:rsidRPr="006151EC">
        <w:t>, który w ówczesnym brzmieniu zawężał skutki domniemania zachowania terminu do pism nadanych na terenie RP u operatora wyznaczonego. W tym kontekście zakres zmian zaproponowanych w poszczególnych zmienianych ustawach jest jednolity.</w:t>
      </w:r>
    </w:p>
    <w:p w14:paraId="3FEBF683" w14:textId="16B12DF3" w:rsidR="00ED3CA8" w:rsidRDefault="00071A42" w:rsidP="00D50492">
      <w:pPr>
        <w:pStyle w:val="ARTartustawynprozporzdzenia"/>
        <w:ind w:firstLine="0"/>
      </w:pPr>
      <w:r>
        <w:t>W</w:t>
      </w:r>
      <w:r w:rsidR="000D37D4">
        <w:t xml:space="preserve"> </w:t>
      </w:r>
      <w:r w:rsidR="000E6F04">
        <w:t xml:space="preserve">projekcie </w:t>
      </w:r>
      <w:r>
        <w:t>przewidziano</w:t>
      </w:r>
      <w:r w:rsidR="000E6F04">
        <w:t xml:space="preserve"> </w:t>
      </w:r>
      <w:r>
        <w:t xml:space="preserve">także </w:t>
      </w:r>
      <w:r w:rsidR="000E6F04" w:rsidRPr="000E6F04">
        <w:t xml:space="preserve">zmiany, które nie mają </w:t>
      </w:r>
      <w:r>
        <w:t xml:space="preserve">bezpośredniego </w:t>
      </w:r>
      <w:r w:rsidR="000E6F04" w:rsidRPr="000E6F04">
        <w:t>związku z</w:t>
      </w:r>
      <w:r>
        <w:t> </w:t>
      </w:r>
      <w:r w:rsidR="000E6F04" w:rsidRPr="000E6F04">
        <w:t xml:space="preserve">wykonaniem wyroku TSUE w sprawie </w:t>
      </w:r>
      <w:r w:rsidR="000E6F04" w:rsidRPr="002A3E4C">
        <w:rPr>
          <w:i/>
          <w:iCs/>
        </w:rPr>
        <w:t>Pawlak</w:t>
      </w:r>
      <w:r w:rsidR="000E6F04">
        <w:rPr>
          <w:i/>
          <w:iCs/>
        </w:rPr>
        <w:t xml:space="preserve">. </w:t>
      </w:r>
      <w:r>
        <w:t xml:space="preserve">Należy tu wskazać </w:t>
      </w:r>
      <w:r w:rsidR="00343655">
        <w:t xml:space="preserve">na </w:t>
      </w:r>
      <w:r>
        <w:t>rozszerzenie</w:t>
      </w:r>
      <w:r w:rsidR="000E6F04">
        <w:t xml:space="preserve"> </w:t>
      </w:r>
      <w:r>
        <w:t xml:space="preserve">regulacji </w:t>
      </w:r>
      <w:r w:rsidR="000E6F04" w:rsidRPr="000E6F04">
        <w:lastRenderedPageBreak/>
        <w:t xml:space="preserve">art. 9ta ust. 1 </w:t>
      </w:r>
      <w:proofErr w:type="spellStart"/>
      <w:r w:rsidR="000E6F04" w:rsidRPr="000E6F04">
        <w:t>u.u.c.p.g</w:t>
      </w:r>
      <w:proofErr w:type="spellEnd"/>
      <w:r w:rsidR="000E6F04">
        <w:t xml:space="preserve">. o kwestię nadawania </w:t>
      </w:r>
      <w:r w:rsidRPr="00071A42">
        <w:t>pism poza terytorium Rzecz</w:t>
      </w:r>
      <w:r w:rsidR="00E9365D">
        <w:t>y</w:t>
      </w:r>
      <w:r w:rsidRPr="00071A42">
        <w:t xml:space="preserve">pospolitej Polskiej. </w:t>
      </w:r>
      <w:r>
        <w:t xml:space="preserve">Jednocześnie zaproponowano ujednolicenie przepisów w </w:t>
      </w:r>
      <w:r w:rsidR="00F84ED2" w:rsidRPr="00F84ED2">
        <w:t xml:space="preserve">art. </w:t>
      </w:r>
      <w:r w:rsidR="00ED3CA8">
        <w:t xml:space="preserve">12 § 6 pkt 2 </w:t>
      </w:r>
      <w:proofErr w:type="spellStart"/>
      <w:r w:rsidR="00ED3CA8">
        <w:t>O.p</w:t>
      </w:r>
      <w:proofErr w:type="spellEnd"/>
      <w:r w:rsidR="00ED3CA8">
        <w:t>.</w:t>
      </w:r>
      <w:r w:rsidR="00AB321F">
        <w:t>,</w:t>
      </w:r>
      <w:r w:rsidR="00ED3CA8">
        <w:t xml:space="preserve"> art. </w:t>
      </w:r>
      <w:r w:rsidR="00F84ED2" w:rsidRPr="00F84ED2">
        <w:t>57 § 5 k.p.a.</w:t>
      </w:r>
      <w:r w:rsidR="00AB321F">
        <w:t xml:space="preserve"> i art. 176 ust. 3 </w:t>
      </w:r>
      <w:proofErr w:type="spellStart"/>
      <w:r w:rsidR="00AB321F">
        <w:rPr>
          <w:rFonts w:cs="Times New Roman"/>
          <w:szCs w:val="24"/>
        </w:rPr>
        <w:t>u.o.n.d.f.p</w:t>
      </w:r>
      <w:proofErr w:type="spellEnd"/>
      <w:r w:rsidR="00AB321F">
        <w:rPr>
          <w:rFonts w:cs="Times New Roman"/>
          <w:szCs w:val="24"/>
        </w:rPr>
        <w:t>.</w:t>
      </w:r>
      <w:r w:rsidR="00F84ED2">
        <w:t xml:space="preserve"> </w:t>
      </w:r>
      <w:r w:rsidR="003B1CBE">
        <w:t>w zakresie dotycz</w:t>
      </w:r>
      <w:r w:rsidR="00ED3CA8">
        <w:t>ącym</w:t>
      </w:r>
      <w:r w:rsidR="003B1CBE">
        <w:t xml:space="preserve"> </w:t>
      </w:r>
      <w:bookmarkStart w:id="0" w:name="_Hlk178846760"/>
      <w:r w:rsidR="003B1CBE">
        <w:t xml:space="preserve">nadawania pism poza </w:t>
      </w:r>
      <w:r w:rsidR="003B1CBE" w:rsidRPr="003B1CBE">
        <w:t>terytorium Rzecz</w:t>
      </w:r>
      <w:r w:rsidR="00E9365D">
        <w:t>y</w:t>
      </w:r>
      <w:r w:rsidR="003B1CBE" w:rsidRPr="003B1CBE">
        <w:t>pospolit</w:t>
      </w:r>
      <w:r w:rsidR="003B1CBE">
        <w:t>ej</w:t>
      </w:r>
      <w:r w:rsidR="003B1CBE" w:rsidRPr="003B1CBE">
        <w:t xml:space="preserve"> Polsk</w:t>
      </w:r>
      <w:r w:rsidR="003B1CBE">
        <w:t xml:space="preserve">iej. </w:t>
      </w:r>
      <w:bookmarkEnd w:id="0"/>
      <w:r w:rsidR="00ED3CA8">
        <w:t xml:space="preserve">W wyniku tych zmian </w:t>
      </w:r>
      <w:r w:rsidR="000E6F04">
        <w:t xml:space="preserve">domniemanie zachowania terminu przewidziane w art. 12 § 6 pkt 2 </w:t>
      </w:r>
      <w:proofErr w:type="spellStart"/>
      <w:r w:rsidR="000E6F04">
        <w:t>O.p</w:t>
      </w:r>
      <w:proofErr w:type="spellEnd"/>
      <w:r w:rsidR="000E6F04">
        <w:t>. zostanie rozszerzone na pisma</w:t>
      </w:r>
      <w:r w:rsidR="000E6F04" w:rsidRPr="000E6F04">
        <w:t xml:space="preserve"> </w:t>
      </w:r>
      <w:r w:rsidR="000E6F04">
        <w:t>nadane</w:t>
      </w:r>
      <w:r w:rsidR="000E6F04" w:rsidRPr="000E6F04">
        <w:t xml:space="preserve"> w placówkach pocztowych znajdujących się w</w:t>
      </w:r>
      <w:r w:rsidR="000E6F04">
        <w:t> </w:t>
      </w:r>
      <w:r w:rsidR="000E6F04" w:rsidRPr="000E6F04">
        <w:t xml:space="preserve">Konfederacji Szwajcarskiej oraz w państwach członkowskich EFTA </w:t>
      </w:r>
      <w:bookmarkStart w:id="1" w:name="_Hlk187650811"/>
      <w:r w:rsidR="000E6F04" w:rsidRPr="000E6F04">
        <w:t>–</w:t>
      </w:r>
      <w:bookmarkEnd w:id="1"/>
      <w:r w:rsidR="000E6F04" w:rsidRPr="000E6F04">
        <w:t xml:space="preserve"> stronach umowy o</w:t>
      </w:r>
      <w:r w:rsidR="000E6F04">
        <w:t> </w:t>
      </w:r>
      <w:r w:rsidR="000E6F04" w:rsidRPr="000E6F04">
        <w:t>Europejskim Obszarze Gospodarczym</w:t>
      </w:r>
      <w:r>
        <w:t xml:space="preserve">, tak jak </w:t>
      </w:r>
      <w:r w:rsidR="00976D72">
        <w:t xml:space="preserve">to </w:t>
      </w:r>
      <w:r>
        <w:t xml:space="preserve">funkcjonuje obecnie w </w:t>
      </w:r>
      <w:r w:rsidRPr="00071A42">
        <w:t>art. 57 § 5 k.p.a</w:t>
      </w:r>
      <w:r>
        <w:t>.</w:t>
      </w:r>
      <w:r w:rsidR="000E6F04">
        <w:t xml:space="preserve"> </w:t>
      </w:r>
      <w:r w:rsidR="008C3B7C">
        <w:t>B</w:t>
      </w:r>
      <w:r w:rsidR="008C3B7C" w:rsidRPr="008C3B7C">
        <w:t xml:space="preserve">rak jest uzasadnienia, aby w </w:t>
      </w:r>
      <w:r w:rsidR="008C3B7C">
        <w:t xml:space="preserve">ustawach </w:t>
      </w:r>
      <w:r w:rsidR="007E3690">
        <w:t xml:space="preserve">takich </w:t>
      </w:r>
      <w:r w:rsidR="008C3B7C">
        <w:t xml:space="preserve">jak </w:t>
      </w:r>
      <w:proofErr w:type="spellStart"/>
      <w:r w:rsidR="008C3B7C">
        <w:t>O.p</w:t>
      </w:r>
      <w:proofErr w:type="spellEnd"/>
      <w:r w:rsidR="008C3B7C">
        <w:t>.</w:t>
      </w:r>
      <w:r w:rsidR="00BC37A6">
        <w:t>,</w:t>
      </w:r>
      <w:r w:rsidR="008C3B7C">
        <w:t xml:space="preserve"> k.p.a</w:t>
      </w:r>
      <w:r w:rsidR="003C1CA8">
        <w:t>.</w:t>
      </w:r>
      <w:r w:rsidR="00BC37A6">
        <w:t xml:space="preserve"> i </w:t>
      </w:r>
      <w:proofErr w:type="spellStart"/>
      <w:r w:rsidR="00BC37A6">
        <w:t>u.o.n.d.f.p</w:t>
      </w:r>
      <w:proofErr w:type="spellEnd"/>
      <w:r w:rsidR="00BC37A6">
        <w:t>.,</w:t>
      </w:r>
      <w:r w:rsidR="008C3B7C" w:rsidRPr="008C3B7C">
        <w:t xml:space="preserve"> z</w:t>
      </w:r>
      <w:r w:rsidR="00ED3CA8">
        <w:t> </w:t>
      </w:r>
      <w:r w:rsidR="008C3B7C" w:rsidRPr="008C3B7C">
        <w:t>których jedna reguluje tryb postępowania podatkowego</w:t>
      </w:r>
      <w:r w:rsidR="007E3690">
        <w:t>,</w:t>
      </w:r>
      <w:r w:rsidR="00ED3CA8">
        <w:t xml:space="preserve"> </w:t>
      </w:r>
      <w:r w:rsidR="008C3B7C" w:rsidRPr="008C3B7C">
        <w:t>druga tryb postępowania administracyjnego,</w:t>
      </w:r>
      <w:r w:rsidR="00BC37A6">
        <w:t xml:space="preserve"> a trzecia zawiera podstawowe przepisy proceduralne z zakresu odpowiedzialności za nieprawidłowości w gospodarowaniu środkami publicznymi, </w:t>
      </w:r>
      <w:r w:rsidR="008C3B7C" w:rsidRPr="008C3B7C">
        <w:t>kwestie zachowania terminów w korespondencji z organami uregulowane były odmiennie.</w:t>
      </w:r>
    </w:p>
    <w:p w14:paraId="04368088" w14:textId="2CD6089C" w:rsidR="002069D0" w:rsidRDefault="003B1CBE" w:rsidP="009D5FF6">
      <w:pPr>
        <w:pStyle w:val="ARTartustawynprozporzdzenia"/>
        <w:ind w:firstLine="0"/>
      </w:pPr>
      <w:r w:rsidRPr="003B1CBE">
        <w:t xml:space="preserve">W kontekście </w:t>
      </w:r>
      <w:r>
        <w:t xml:space="preserve">proponowanych w projekcie </w:t>
      </w:r>
      <w:r w:rsidRPr="003B1CBE">
        <w:t xml:space="preserve">zmian prawa cywilnego procesowego, jak również prawa wekslowego, wskazać należy na zakończenie prac związanych z przywróceniem funkcjonowania Komisji Kodyfikacyjnej Prawa Cywilnego. W tej sytuacji nie jest zasadne dokonywanie w </w:t>
      </w:r>
      <w:r w:rsidR="003C1CA8">
        <w:t xml:space="preserve">art. </w:t>
      </w:r>
      <w:r w:rsidRPr="003B1CBE">
        <w:t xml:space="preserve">165 § 2 </w:t>
      </w:r>
      <w:r>
        <w:t xml:space="preserve">k.p.c. i art. 45 </w:t>
      </w:r>
      <w:proofErr w:type="spellStart"/>
      <w:r>
        <w:t>u.p.w</w:t>
      </w:r>
      <w:proofErr w:type="spellEnd"/>
      <w:r>
        <w:t>.</w:t>
      </w:r>
      <w:r w:rsidRPr="003B1CBE">
        <w:t xml:space="preserve"> zmian wykraczających ponad to, co jest niezbędne dla implementacji orzeczenia TSUE.</w:t>
      </w:r>
    </w:p>
    <w:p w14:paraId="256D13EA" w14:textId="263C727D" w:rsidR="009D5FF6" w:rsidRPr="00716FF9" w:rsidRDefault="00716FF9" w:rsidP="009D5FF6">
      <w:pPr>
        <w:pStyle w:val="ARTartustawynprozporzdzenia"/>
        <w:ind w:firstLine="0"/>
        <w:rPr>
          <w:b/>
        </w:rPr>
      </w:pPr>
      <w:r w:rsidRPr="00716FF9">
        <w:rPr>
          <w:b/>
        </w:rPr>
        <w:t xml:space="preserve">Art. 1 pkt 2 </w:t>
      </w:r>
      <w:r w:rsidR="008F2EFD">
        <w:rPr>
          <w:b/>
        </w:rPr>
        <w:t>(projektowan</w:t>
      </w:r>
      <w:r w:rsidR="005316A1">
        <w:rPr>
          <w:b/>
        </w:rPr>
        <w:t>e zmiany w</w:t>
      </w:r>
      <w:r w:rsidR="008F2EFD">
        <w:rPr>
          <w:b/>
        </w:rPr>
        <w:t xml:space="preserve"> art. 78 § </w:t>
      </w:r>
      <w:r w:rsidR="005316A1">
        <w:rPr>
          <w:b/>
        </w:rPr>
        <w:t>3</w:t>
      </w:r>
      <w:r w:rsidR="003C1CA8" w:rsidRPr="000E6F04">
        <w:t>–</w:t>
      </w:r>
      <w:r w:rsidR="008F2EFD">
        <w:rPr>
          <w:b/>
        </w:rPr>
        <w:t xml:space="preserve">5 </w:t>
      </w:r>
      <w:proofErr w:type="spellStart"/>
      <w:r w:rsidR="008F2EFD">
        <w:rPr>
          <w:b/>
        </w:rPr>
        <w:t>O.p</w:t>
      </w:r>
      <w:proofErr w:type="spellEnd"/>
      <w:r w:rsidR="008F2EFD">
        <w:rPr>
          <w:b/>
        </w:rPr>
        <w:t>.)</w:t>
      </w:r>
    </w:p>
    <w:p w14:paraId="7F568377" w14:textId="2BFAD5E8" w:rsidR="00EB1066" w:rsidRDefault="00E52A40" w:rsidP="000138F5">
      <w:pPr>
        <w:pStyle w:val="ARTartustawynprozporzdzenia"/>
        <w:ind w:firstLine="0"/>
      </w:pPr>
      <w:r>
        <w:t xml:space="preserve">Konsekwencją </w:t>
      </w:r>
      <w:r w:rsidR="00867793">
        <w:t>wyroku</w:t>
      </w:r>
      <w:r>
        <w:t xml:space="preserve"> TSUE w sprawie C-322/22 </w:t>
      </w:r>
      <w:r w:rsidRPr="00E52A40">
        <w:rPr>
          <w:i/>
        </w:rPr>
        <w:t>Dyrektor Izby Administracji Skarbowej we Wrocławiu</w:t>
      </w:r>
      <w:r>
        <w:t xml:space="preserve"> jest konieczność likwidacji przewidzianego w art. 78 § 5 </w:t>
      </w:r>
      <w:proofErr w:type="spellStart"/>
      <w:r>
        <w:t>O.p</w:t>
      </w:r>
      <w:proofErr w:type="spellEnd"/>
      <w:r>
        <w:t xml:space="preserve">. </w:t>
      </w:r>
      <w:r w:rsidR="007048FB">
        <w:t>ograniczenia</w:t>
      </w:r>
      <w:r w:rsidR="007048FB" w:rsidRPr="007048FB">
        <w:t xml:space="preserve"> </w:t>
      </w:r>
      <w:r w:rsidR="004A1722">
        <w:t xml:space="preserve">czasowego </w:t>
      </w:r>
      <w:r w:rsidR="007048FB" w:rsidRPr="007048FB">
        <w:t xml:space="preserve">na złożenie wniosku </w:t>
      </w:r>
      <w:r w:rsidR="007048FB">
        <w:t xml:space="preserve">o zwrot nadpłaty powstałej w wyniku orzeczenia Trybunału, </w:t>
      </w:r>
      <w:r w:rsidR="00324147">
        <w:t>przekroczenie którego nie pozwala na uzyskanie</w:t>
      </w:r>
      <w:r w:rsidR="007048FB" w:rsidRPr="007048FB">
        <w:t xml:space="preserve"> </w:t>
      </w:r>
      <w:r w:rsidR="00324147">
        <w:t xml:space="preserve">pełnego </w:t>
      </w:r>
      <w:r w:rsidR="007048FB" w:rsidRPr="007048FB">
        <w:t>oprocentowania</w:t>
      </w:r>
      <w:r w:rsidR="00324147">
        <w:t xml:space="preserve"> nadpłaty, tj. za okres od dnia powstania nadpłaty do dnia jej zwrotu</w:t>
      </w:r>
      <w:r w:rsidR="005E4721">
        <w:t>.</w:t>
      </w:r>
      <w:r w:rsidR="00867793">
        <w:t xml:space="preserve"> </w:t>
      </w:r>
    </w:p>
    <w:p w14:paraId="42D02317" w14:textId="7800DA28" w:rsidR="004B445C" w:rsidRDefault="00EB1066" w:rsidP="000138F5">
      <w:pPr>
        <w:pStyle w:val="ARTartustawynprozporzdzenia"/>
        <w:ind w:firstLine="0"/>
      </w:pPr>
      <w:r>
        <w:t xml:space="preserve">W swoich rozważaniach zawartych w wyroku </w:t>
      </w:r>
      <w:r w:rsidR="00342696">
        <w:t xml:space="preserve">w sprawie C-322/22 </w:t>
      </w:r>
      <w:r>
        <w:t xml:space="preserve">TSUE </w:t>
      </w:r>
      <w:r w:rsidR="00321059">
        <w:t>wskazał</w:t>
      </w:r>
      <w:r w:rsidR="004B445C">
        <w:t xml:space="preserve"> m.in.</w:t>
      </w:r>
      <w:r>
        <w:t>, że</w:t>
      </w:r>
      <w:r w:rsidR="004B445C">
        <w:t>:</w:t>
      </w:r>
    </w:p>
    <w:p w14:paraId="2B116F8F" w14:textId="106FAED8" w:rsidR="004B445C" w:rsidRDefault="004B445C" w:rsidP="00F724E4">
      <w:pPr>
        <w:pStyle w:val="ARTartustawynprozporzdzenia"/>
        <w:numPr>
          <w:ilvl w:val="0"/>
          <w:numId w:val="3"/>
        </w:numPr>
        <w:spacing w:before="0"/>
        <w:ind w:left="777" w:hanging="357"/>
      </w:pPr>
      <w:r>
        <w:t>podatnik niebędący stroną w sporze zakończonym wyrokiem TSUE może dowiedzi</w:t>
      </w:r>
      <w:r w:rsidR="00321059">
        <w:t xml:space="preserve">eć się o naruszeniu prawa Unii </w:t>
      </w:r>
      <w:r>
        <w:t>dopiero jakiś czas po upływie trzydziestodniowego terminu następującego po publikacji wyroku TSUE (pkt 49 wyroku);</w:t>
      </w:r>
    </w:p>
    <w:p w14:paraId="05602796" w14:textId="7065D65F" w:rsidR="003563F7" w:rsidRDefault="00EB1066" w:rsidP="00F724E4">
      <w:pPr>
        <w:pStyle w:val="ARTartustawynprozporzdzenia"/>
        <w:numPr>
          <w:ilvl w:val="0"/>
          <w:numId w:val="3"/>
        </w:numPr>
        <w:spacing w:before="0"/>
        <w:ind w:left="777" w:hanging="357"/>
      </w:pPr>
      <w:r w:rsidRPr="004B445C">
        <w:t xml:space="preserve">nawet </w:t>
      </w:r>
      <w:r w:rsidR="004B445C" w:rsidRPr="004B445C">
        <w:t>od podatnika</w:t>
      </w:r>
      <w:r w:rsidRPr="004B445C">
        <w:t xml:space="preserve"> będącego stroną w sporze zakończonym wyrokiem</w:t>
      </w:r>
      <w:r w:rsidR="004B445C" w:rsidRPr="004B445C">
        <w:t xml:space="preserve"> TSUE</w:t>
      </w:r>
      <w:r w:rsidRPr="004B445C">
        <w:t xml:space="preserve">, który co do zasady wiedział o tym wyroku w dniu jego wydania, nie zawsze można racjonalnie oczekiwać, że złoży wniosek o zwrot </w:t>
      </w:r>
      <w:r w:rsidR="004B445C" w:rsidRPr="004B445C">
        <w:t xml:space="preserve">nadpłaty </w:t>
      </w:r>
      <w:r w:rsidRPr="004B445C">
        <w:t xml:space="preserve">w terminie 30 dni od </w:t>
      </w:r>
      <w:r w:rsidR="004B445C" w:rsidRPr="004B445C">
        <w:t>publikacji wyroku</w:t>
      </w:r>
      <w:r w:rsidR="008C700A">
        <w:t xml:space="preserve"> (pkt 50 wyroku);</w:t>
      </w:r>
    </w:p>
    <w:p w14:paraId="77A0D705" w14:textId="41A87652" w:rsidR="008C700A" w:rsidRPr="004B445C" w:rsidRDefault="00321059" w:rsidP="00F724E4">
      <w:pPr>
        <w:pStyle w:val="ARTartustawynprozporzdzenia"/>
        <w:numPr>
          <w:ilvl w:val="0"/>
          <w:numId w:val="4"/>
        </w:numPr>
        <w:spacing w:before="0"/>
        <w:ind w:left="777" w:hanging="357"/>
      </w:pPr>
      <w:r>
        <w:lastRenderedPageBreak/>
        <w:t>podatnik nie zawsze może zapobiec poborowi podatku sprzecznemu z prawem Unii Europejskiej</w:t>
      </w:r>
      <w:r w:rsidR="00076464">
        <w:t xml:space="preserve">, szczególnie gdy płatnik informuje podatnika o poborze podatku </w:t>
      </w:r>
      <w:r w:rsidR="00342696">
        <w:t>z </w:t>
      </w:r>
      <w:r w:rsidR="00076464">
        <w:t xml:space="preserve">opóźnieniem </w:t>
      </w:r>
      <w:r w:rsidR="008D518B">
        <w:t>(pkt 52</w:t>
      </w:r>
      <w:r w:rsidR="003C1CA8" w:rsidRPr="000E6F04">
        <w:t>–</w:t>
      </w:r>
      <w:r w:rsidR="008D518B">
        <w:t>54 wyroku)</w:t>
      </w:r>
      <w:r w:rsidR="003C1CA8">
        <w:t>.</w:t>
      </w:r>
    </w:p>
    <w:p w14:paraId="33E2DDF1" w14:textId="25FEE1CF" w:rsidR="00023F04" w:rsidRPr="007D74AF" w:rsidRDefault="00023F04" w:rsidP="000138F5">
      <w:pPr>
        <w:pStyle w:val="ARTartustawynprozporzdzenia"/>
        <w:ind w:firstLine="0"/>
      </w:pPr>
      <w:r w:rsidRPr="00023F04">
        <w:t xml:space="preserve">TSUE zakwestionował nie tylko </w:t>
      </w:r>
      <w:r>
        <w:t xml:space="preserve">ograniczenie </w:t>
      </w:r>
      <w:r w:rsidR="00076464">
        <w:t xml:space="preserve">czasowe </w:t>
      </w:r>
      <w:r w:rsidRPr="00023F04">
        <w:t>przewidzian</w:t>
      </w:r>
      <w:r>
        <w:t>e</w:t>
      </w:r>
      <w:r w:rsidRPr="00023F04">
        <w:t xml:space="preserve"> w a</w:t>
      </w:r>
      <w:r w:rsidR="00C82706">
        <w:t xml:space="preserve">rt. 78 § 5 </w:t>
      </w:r>
      <w:proofErr w:type="spellStart"/>
      <w:r w:rsidR="00BA2B3E">
        <w:t>O.p</w:t>
      </w:r>
      <w:proofErr w:type="spellEnd"/>
      <w:r w:rsidR="00BA2B3E">
        <w:t>.</w:t>
      </w:r>
      <w:r w:rsidR="00C82706">
        <w:t xml:space="preserve">, </w:t>
      </w:r>
      <w:r w:rsidRPr="00023F04">
        <w:t>ale też kształtujące się w orzecznictwie polskich sądów administracyjnych rozwiązanie polegające na modyfikacji obowiązujących przepisów poprzez odroczenie upływu terminu na złożenie wniosku do 30</w:t>
      </w:r>
      <w:r w:rsidR="00C82706">
        <w:t xml:space="preserve">. </w:t>
      </w:r>
      <w:r w:rsidRPr="00023F04">
        <w:t>dnia od daty poboru podatku (pkt 56 wyroku).</w:t>
      </w:r>
    </w:p>
    <w:p w14:paraId="70F7BFF3" w14:textId="76D00359" w:rsidR="00A90A9E" w:rsidRDefault="00D679DC" w:rsidP="000138F5">
      <w:pPr>
        <w:jc w:val="both"/>
        <w:rPr>
          <w:rFonts w:cs="Times New Roman"/>
          <w:shd w:val="clear" w:color="auto" w:fill="FFFFFF"/>
        </w:rPr>
      </w:pPr>
      <w:r>
        <w:rPr>
          <w:rFonts w:cs="Times New Roman"/>
          <w:shd w:val="clear" w:color="auto" w:fill="FFFFFF"/>
        </w:rPr>
        <w:t>W związ</w:t>
      </w:r>
      <w:r w:rsidR="00037E33">
        <w:rPr>
          <w:rFonts w:cs="Times New Roman"/>
          <w:shd w:val="clear" w:color="auto" w:fill="FFFFFF"/>
        </w:rPr>
        <w:t>ku z koniecznością implementacji wyroku w sprawie C-322/22 należało zapewnić oprocentowanie nadpłat powstałych w</w:t>
      </w:r>
      <w:r w:rsidR="00365BC2">
        <w:rPr>
          <w:rFonts w:cs="Times New Roman"/>
          <w:shd w:val="clear" w:color="auto" w:fill="FFFFFF"/>
        </w:rPr>
        <w:t> </w:t>
      </w:r>
      <w:r w:rsidR="00037E33">
        <w:rPr>
          <w:rFonts w:cs="Times New Roman"/>
          <w:shd w:val="clear" w:color="auto" w:fill="FFFFFF"/>
        </w:rPr>
        <w:t xml:space="preserve">wyniku orzeczeń TSUE za okres od dnia powstania nadpłaty do dnia jej zwrotu, niezależnie od czasu złożenia wniosku </w:t>
      </w:r>
      <w:r w:rsidR="0038686A">
        <w:rPr>
          <w:rFonts w:cs="Times New Roman"/>
          <w:shd w:val="clear" w:color="auto" w:fill="FFFFFF"/>
        </w:rPr>
        <w:t xml:space="preserve">o zwrot nadpłaty </w:t>
      </w:r>
      <w:r w:rsidR="00037E33">
        <w:rPr>
          <w:rFonts w:cs="Times New Roman"/>
          <w:shd w:val="clear" w:color="auto" w:fill="FFFFFF"/>
        </w:rPr>
        <w:t>względem publikacji orzeczenia w Dzienn</w:t>
      </w:r>
      <w:r w:rsidR="00365BC2">
        <w:rPr>
          <w:rFonts w:cs="Times New Roman"/>
          <w:shd w:val="clear" w:color="auto" w:fill="FFFFFF"/>
        </w:rPr>
        <w:t>iku Urzędowym Unii Europejskiej</w:t>
      </w:r>
      <w:r w:rsidR="007B07A9">
        <w:rPr>
          <w:rFonts w:cs="Times New Roman"/>
          <w:shd w:val="clear" w:color="auto" w:fill="FFFFFF"/>
        </w:rPr>
        <w:t xml:space="preserve"> (</w:t>
      </w:r>
      <w:r w:rsidR="007B07A9" w:rsidRPr="007B07A9">
        <w:rPr>
          <w:rFonts w:cs="Times New Roman"/>
          <w:shd w:val="clear" w:color="auto" w:fill="FFFFFF"/>
        </w:rPr>
        <w:t xml:space="preserve">projektowany </w:t>
      </w:r>
      <w:r w:rsidR="007B07A9" w:rsidRPr="00813548">
        <w:rPr>
          <w:rFonts w:cs="Times New Roman"/>
          <w:b/>
          <w:bCs/>
          <w:shd w:val="clear" w:color="auto" w:fill="FFFFFF"/>
        </w:rPr>
        <w:t xml:space="preserve">art. 78 § 3 pkt </w:t>
      </w:r>
      <w:r w:rsidR="00470EC1">
        <w:rPr>
          <w:rFonts w:cs="Times New Roman"/>
          <w:b/>
          <w:bCs/>
          <w:shd w:val="clear" w:color="auto" w:fill="FFFFFF"/>
        </w:rPr>
        <w:t>3a</w:t>
      </w:r>
      <w:r w:rsidR="007B07A9" w:rsidRPr="007B07A9">
        <w:rPr>
          <w:rFonts w:cs="Times New Roman"/>
          <w:shd w:val="clear" w:color="auto" w:fill="FFFFFF"/>
        </w:rPr>
        <w:t xml:space="preserve"> </w:t>
      </w:r>
      <w:proofErr w:type="spellStart"/>
      <w:r w:rsidR="007B07A9" w:rsidRPr="007B07A9">
        <w:rPr>
          <w:rFonts w:cs="Times New Roman"/>
          <w:shd w:val="clear" w:color="auto" w:fill="FFFFFF"/>
        </w:rPr>
        <w:t>O.p</w:t>
      </w:r>
      <w:proofErr w:type="spellEnd"/>
      <w:r w:rsidR="007B07A9" w:rsidRPr="007B07A9">
        <w:rPr>
          <w:rFonts w:cs="Times New Roman"/>
          <w:shd w:val="clear" w:color="auto" w:fill="FFFFFF"/>
        </w:rPr>
        <w:t>.</w:t>
      </w:r>
      <w:r w:rsidR="007B07A9">
        <w:rPr>
          <w:rFonts w:cs="Times New Roman"/>
          <w:shd w:val="clear" w:color="auto" w:fill="FFFFFF"/>
        </w:rPr>
        <w:t>).</w:t>
      </w:r>
    </w:p>
    <w:p w14:paraId="472E7F73" w14:textId="251D6C30" w:rsidR="007B07A9" w:rsidRDefault="00A90A9E" w:rsidP="000138F5">
      <w:pPr>
        <w:jc w:val="both"/>
        <w:rPr>
          <w:rFonts w:cs="Times New Roman"/>
          <w:shd w:val="clear" w:color="auto" w:fill="FFFFFF"/>
        </w:rPr>
      </w:pPr>
      <w:r>
        <w:rPr>
          <w:rFonts w:cs="Times New Roman"/>
          <w:shd w:val="clear" w:color="auto" w:fill="FFFFFF"/>
        </w:rPr>
        <w:t>Taką samą</w:t>
      </w:r>
      <w:r w:rsidR="00D5215C">
        <w:rPr>
          <w:rFonts w:cs="Times New Roman"/>
          <w:shd w:val="clear" w:color="auto" w:fill="FFFFFF"/>
        </w:rPr>
        <w:t xml:space="preserve"> </w:t>
      </w:r>
      <w:r>
        <w:rPr>
          <w:rFonts w:cs="Times New Roman"/>
          <w:shd w:val="clear" w:color="auto" w:fill="FFFFFF"/>
        </w:rPr>
        <w:t xml:space="preserve">regułę oprocentowania przyjęto </w:t>
      </w:r>
      <w:r w:rsidR="00D5330E">
        <w:rPr>
          <w:rFonts w:cs="Times New Roman"/>
          <w:shd w:val="clear" w:color="auto" w:fill="FFFFFF"/>
        </w:rPr>
        <w:t xml:space="preserve">w </w:t>
      </w:r>
      <w:r>
        <w:rPr>
          <w:rFonts w:cs="Times New Roman"/>
          <w:shd w:val="clear" w:color="auto" w:fill="FFFFFF"/>
        </w:rPr>
        <w:t xml:space="preserve">projektowanym art. 78 § </w:t>
      </w:r>
      <w:r w:rsidR="007B07A9">
        <w:rPr>
          <w:rFonts w:cs="Times New Roman"/>
          <w:shd w:val="clear" w:color="auto" w:fill="FFFFFF"/>
        </w:rPr>
        <w:t xml:space="preserve">3 pkt </w:t>
      </w:r>
      <w:r w:rsidR="00470EC1">
        <w:rPr>
          <w:rFonts w:cs="Times New Roman"/>
          <w:shd w:val="clear" w:color="auto" w:fill="FFFFFF"/>
        </w:rPr>
        <w:t>3a</w:t>
      </w:r>
      <w:r>
        <w:rPr>
          <w:rFonts w:cs="Times New Roman"/>
          <w:shd w:val="clear" w:color="auto" w:fill="FFFFFF"/>
        </w:rPr>
        <w:t xml:space="preserve"> </w:t>
      </w:r>
      <w:proofErr w:type="spellStart"/>
      <w:r>
        <w:rPr>
          <w:rFonts w:cs="Times New Roman"/>
          <w:shd w:val="clear" w:color="auto" w:fill="FFFFFF"/>
        </w:rPr>
        <w:t>O.p</w:t>
      </w:r>
      <w:proofErr w:type="spellEnd"/>
      <w:r>
        <w:rPr>
          <w:rFonts w:cs="Times New Roman"/>
          <w:shd w:val="clear" w:color="auto" w:fill="FFFFFF"/>
        </w:rPr>
        <w:t xml:space="preserve">. w odniesieniu do nadpłat powstałych w wyniku orzeczeń Trybunału Konstytucyjnego. </w:t>
      </w:r>
      <w:r w:rsidR="00D5215C">
        <w:rPr>
          <w:rFonts w:cs="Times New Roman"/>
          <w:shd w:val="clear" w:color="auto" w:fill="FFFFFF"/>
        </w:rPr>
        <w:t xml:space="preserve">Zasada równoważności </w:t>
      </w:r>
      <w:r>
        <w:rPr>
          <w:rFonts w:cs="Times New Roman"/>
          <w:shd w:val="clear" w:color="auto" w:fill="FFFFFF"/>
        </w:rPr>
        <w:t xml:space="preserve">bowiem </w:t>
      </w:r>
      <w:r w:rsidR="00D5215C">
        <w:rPr>
          <w:rFonts w:cs="Times New Roman"/>
          <w:shd w:val="clear" w:color="auto" w:fill="FFFFFF"/>
        </w:rPr>
        <w:t>wymaga</w:t>
      </w:r>
      <w:r>
        <w:rPr>
          <w:rFonts w:cs="Times New Roman"/>
          <w:shd w:val="clear" w:color="auto" w:fill="FFFFFF"/>
        </w:rPr>
        <w:t>, a</w:t>
      </w:r>
      <w:r w:rsidRPr="00A90A9E">
        <w:rPr>
          <w:rFonts w:cs="Times New Roman"/>
          <w:shd w:val="clear" w:color="auto" w:fill="FFFFFF"/>
        </w:rPr>
        <w:t xml:space="preserve">by całość uregulowań dotyczących </w:t>
      </w:r>
      <w:r>
        <w:rPr>
          <w:rFonts w:cs="Times New Roman"/>
          <w:shd w:val="clear" w:color="auto" w:fill="FFFFFF"/>
        </w:rPr>
        <w:t xml:space="preserve">danego </w:t>
      </w:r>
      <w:r w:rsidRPr="00A90A9E">
        <w:rPr>
          <w:rFonts w:cs="Times New Roman"/>
          <w:shd w:val="clear" w:color="auto" w:fill="FFFFFF"/>
        </w:rPr>
        <w:t>środka prawnego</w:t>
      </w:r>
      <w:r w:rsidR="009201E7">
        <w:rPr>
          <w:rFonts w:cs="Times New Roman"/>
          <w:shd w:val="clear" w:color="auto" w:fill="FFFFFF"/>
        </w:rPr>
        <w:t xml:space="preserve"> </w:t>
      </w:r>
      <w:r w:rsidRPr="00A90A9E">
        <w:rPr>
          <w:rFonts w:cs="Times New Roman"/>
          <w:shd w:val="clear" w:color="auto" w:fill="FFFFFF"/>
        </w:rPr>
        <w:t xml:space="preserve">znajdowała zastosowanie jednakowo do środków prawnych opartych na naruszeniu prawa </w:t>
      </w:r>
      <w:r>
        <w:rPr>
          <w:rFonts w:cs="Times New Roman"/>
          <w:shd w:val="clear" w:color="auto" w:fill="FFFFFF"/>
        </w:rPr>
        <w:t>unijnego</w:t>
      </w:r>
      <w:r w:rsidRPr="00A90A9E">
        <w:rPr>
          <w:rFonts w:cs="Times New Roman"/>
          <w:shd w:val="clear" w:color="auto" w:fill="FFFFFF"/>
        </w:rPr>
        <w:t xml:space="preserve"> oraz tych opartych na naruszeniu prawa wewnętrznego.</w:t>
      </w:r>
    </w:p>
    <w:p w14:paraId="308065D3" w14:textId="79C246E1" w:rsidR="00E02F83" w:rsidRDefault="00CC128E" w:rsidP="000138F5">
      <w:pPr>
        <w:jc w:val="both"/>
        <w:rPr>
          <w:rFonts w:cs="Times New Roman"/>
          <w:shd w:val="clear" w:color="auto" w:fill="FFFFFF"/>
        </w:rPr>
      </w:pPr>
      <w:r>
        <w:rPr>
          <w:rFonts w:cs="Times New Roman"/>
          <w:shd w:val="clear" w:color="auto" w:fill="FFFFFF"/>
        </w:rPr>
        <w:t>K</w:t>
      </w:r>
      <w:r w:rsidRPr="00CC128E">
        <w:rPr>
          <w:rFonts w:cs="Times New Roman"/>
          <w:shd w:val="clear" w:color="auto" w:fill="FFFFFF"/>
        </w:rPr>
        <w:t xml:space="preserve">oniec okresu </w:t>
      </w:r>
      <w:r>
        <w:rPr>
          <w:rFonts w:cs="Times New Roman"/>
          <w:shd w:val="clear" w:color="auto" w:fill="FFFFFF"/>
        </w:rPr>
        <w:t xml:space="preserve">naliczania </w:t>
      </w:r>
      <w:r w:rsidR="00E02F83">
        <w:rPr>
          <w:rFonts w:cs="Times New Roman"/>
          <w:shd w:val="clear" w:color="auto" w:fill="FFFFFF"/>
        </w:rPr>
        <w:t xml:space="preserve">oprocentowania </w:t>
      </w:r>
      <w:r>
        <w:rPr>
          <w:rFonts w:cs="Times New Roman"/>
          <w:shd w:val="clear" w:color="auto" w:fill="FFFFFF"/>
        </w:rPr>
        <w:t xml:space="preserve">nadpłat powstałych w wyniku </w:t>
      </w:r>
      <w:r w:rsidRPr="00CC128E">
        <w:rPr>
          <w:rFonts w:cs="Times New Roman"/>
          <w:shd w:val="clear" w:color="auto" w:fill="FFFFFF"/>
        </w:rPr>
        <w:t>orzeczenia Trybunału Sprawiedliwości Unii Europejskiej</w:t>
      </w:r>
      <w:r>
        <w:rPr>
          <w:rFonts w:cs="Times New Roman"/>
          <w:shd w:val="clear" w:color="auto" w:fill="FFFFFF"/>
        </w:rPr>
        <w:t xml:space="preserve"> lub </w:t>
      </w:r>
      <w:r w:rsidRPr="00CC128E">
        <w:rPr>
          <w:rFonts w:cs="Times New Roman"/>
          <w:shd w:val="clear" w:color="auto" w:fill="FFFFFF"/>
        </w:rPr>
        <w:t xml:space="preserve">orzeczenia Trybunału Konstytucyjnego będzie wynikał z </w:t>
      </w:r>
      <w:r w:rsidRPr="00813548">
        <w:rPr>
          <w:rFonts w:cs="Times New Roman"/>
          <w:b/>
          <w:bCs/>
          <w:shd w:val="clear" w:color="auto" w:fill="FFFFFF"/>
        </w:rPr>
        <w:t>art. 78 § 4</w:t>
      </w:r>
      <w:r w:rsidR="00276CC8">
        <w:rPr>
          <w:rFonts w:cs="Times New Roman"/>
          <w:b/>
          <w:bCs/>
          <w:shd w:val="clear" w:color="auto" w:fill="FFFFFF"/>
        </w:rPr>
        <w:t xml:space="preserve"> </w:t>
      </w:r>
      <w:proofErr w:type="spellStart"/>
      <w:r w:rsidR="00276CC8" w:rsidRPr="00813548">
        <w:rPr>
          <w:rFonts w:cs="Times New Roman"/>
          <w:shd w:val="clear" w:color="auto" w:fill="FFFFFF"/>
        </w:rPr>
        <w:t>O.p</w:t>
      </w:r>
      <w:proofErr w:type="spellEnd"/>
      <w:r w:rsidR="00276CC8" w:rsidRPr="00813548">
        <w:rPr>
          <w:rFonts w:cs="Times New Roman"/>
          <w:shd w:val="clear" w:color="auto" w:fill="FFFFFF"/>
        </w:rPr>
        <w:t>.,</w:t>
      </w:r>
      <w:r w:rsidR="00276CC8">
        <w:rPr>
          <w:rFonts w:cs="Times New Roman"/>
          <w:b/>
          <w:bCs/>
          <w:shd w:val="clear" w:color="auto" w:fill="FFFFFF"/>
        </w:rPr>
        <w:t xml:space="preserve"> </w:t>
      </w:r>
      <w:r w:rsidR="00276CC8" w:rsidRPr="00813548">
        <w:rPr>
          <w:rFonts w:cs="Times New Roman"/>
          <w:shd w:val="clear" w:color="auto" w:fill="FFFFFF"/>
        </w:rPr>
        <w:t>w którym</w:t>
      </w:r>
      <w:r w:rsidR="00276CC8">
        <w:rPr>
          <w:rFonts w:cs="Times New Roman"/>
          <w:b/>
          <w:bCs/>
          <w:shd w:val="clear" w:color="auto" w:fill="FFFFFF"/>
        </w:rPr>
        <w:t xml:space="preserve"> </w:t>
      </w:r>
      <w:r w:rsidR="00276CC8" w:rsidRPr="00813548">
        <w:rPr>
          <w:rFonts w:cs="Times New Roman"/>
          <w:shd w:val="clear" w:color="auto" w:fill="FFFFFF"/>
        </w:rPr>
        <w:t>usunięto</w:t>
      </w:r>
      <w:r w:rsidR="00276CC8">
        <w:rPr>
          <w:rFonts w:cs="Times New Roman"/>
          <w:b/>
          <w:bCs/>
          <w:shd w:val="clear" w:color="auto" w:fill="FFFFFF"/>
        </w:rPr>
        <w:t xml:space="preserve"> </w:t>
      </w:r>
      <w:r w:rsidR="00276CC8">
        <w:rPr>
          <w:rFonts w:cs="Times New Roman"/>
          <w:shd w:val="clear" w:color="auto" w:fill="FFFFFF"/>
        </w:rPr>
        <w:t xml:space="preserve">zastrzeżenie odwołujące się do dotychczasowego </w:t>
      </w:r>
      <w:r w:rsidR="00276CC8" w:rsidRPr="00276CC8">
        <w:rPr>
          <w:rFonts w:cs="Times New Roman"/>
          <w:shd w:val="clear" w:color="auto" w:fill="FFFFFF"/>
        </w:rPr>
        <w:t>§ 5 pkt 2</w:t>
      </w:r>
      <w:r w:rsidR="00276CC8">
        <w:rPr>
          <w:rFonts w:cs="Times New Roman"/>
          <w:shd w:val="clear" w:color="auto" w:fill="FFFFFF"/>
        </w:rPr>
        <w:t xml:space="preserve">. </w:t>
      </w:r>
      <w:r w:rsidR="007B66B2">
        <w:rPr>
          <w:rFonts w:cs="Times New Roman"/>
          <w:shd w:val="clear" w:color="auto" w:fill="FFFFFF"/>
        </w:rPr>
        <w:t xml:space="preserve">Stosownie do art. 78 § 4 </w:t>
      </w:r>
      <w:proofErr w:type="spellStart"/>
      <w:r w:rsidR="007B66B2">
        <w:rPr>
          <w:rFonts w:cs="Times New Roman"/>
          <w:shd w:val="clear" w:color="auto" w:fill="FFFFFF"/>
        </w:rPr>
        <w:t>O.p</w:t>
      </w:r>
      <w:proofErr w:type="spellEnd"/>
      <w:r w:rsidR="007B66B2">
        <w:rPr>
          <w:rFonts w:cs="Times New Roman"/>
          <w:shd w:val="clear" w:color="auto" w:fill="FFFFFF"/>
        </w:rPr>
        <w:t>.</w:t>
      </w:r>
      <w:r w:rsidR="00276CC8" w:rsidRPr="00276CC8">
        <w:rPr>
          <w:rFonts w:cs="Times New Roman"/>
          <w:shd w:val="clear" w:color="auto" w:fill="FFFFFF"/>
        </w:rPr>
        <w:t xml:space="preserve"> </w:t>
      </w:r>
      <w:r w:rsidR="007B66B2">
        <w:rPr>
          <w:rFonts w:cs="Times New Roman"/>
          <w:shd w:val="clear" w:color="auto" w:fill="FFFFFF"/>
        </w:rPr>
        <w:t>o</w:t>
      </w:r>
      <w:r w:rsidR="007B66B2" w:rsidRPr="007B66B2">
        <w:rPr>
          <w:rFonts w:cs="Times New Roman"/>
          <w:shd w:val="clear" w:color="auto" w:fill="FFFFFF"/>
        </w:rPr>
        <w:t>procentowanie z tytułu nadpłaty przysługuje do dnia zwrotu nadpłaty, zaliczenia jej na poczet zaległych lub bieżących zobowiązań podatkowych lub dnia złożenia wniosku o zaliczenie nadpłaty na poczet przyszłych zobowiązań podatkowych</w:t>
      </w:r>
      <w:r w:rsidRPr="00CC128E">
        <w:rPr>
          <w:rFonts w:cs="Times New Roman"/>
          <w:shd w:val="clear" w:color="auto" w:fill="FFFFFF"/>
        </w:rPr>
        <w:t>.</w:t>
      </w:r>
    </w:p>
    <w:p w14:paraId="0BEBD1FE" w14:textId="59142047" w:rsidR="00CC128E" w:rsidRDefault="00E02F83" w:rsidP="000138F5">
      <w:pPr>
        <w:jc w:val="both"/>
        <w:rPr>
          <w:rFonts w:cs="Times New Roman"/>
          <w:shd w:val="clear" w:color="auto" w:fill="FFFFFF"/>
        </w:rPr>
      </w:pPr>
      <w:r>
        <w:rPr>
          <w:rFonts w:cs="Times New Roman"/>
          <w:shd w:val="clear" w:color="auto" w:fill="FFFFFF"/>
        </w:rPr>
        <w:t xml:space="preserve">W związku z tym, że okres naliczania oprocentowania nadpłat powstałych w wyniku </w:t>
      </w:r>
      <w:r w:rsidRPr="00E02F83">
        <w:rPr>
          <w:rFonts w:cs="Times New Roman"/>
          <w:shd w:val="clear" w:color="auto" w:fill="FFFFFF"/>
        </w:rPr>
        <w:t>orzeczenia Trybunału Sprawiedliwości Unii Europejskiej lub orzeczenia Trybunału Konstytucyjnego</w:t>
      </w:r>
      <w:r>
        <w:rPr>
          <w:rFonts w:cs="Times New Roman"/>
          <w:shd w:val="clear" w:color="auto" w:fill="FFFFFF"/>
        </w:rPr>
        <w:t xml:space="preserve"> będzie wyznaczony przez przepisy art. 78 § 3 i § 4 </w:t>
      </w:r>
      <w:proofErr w:type="spellStart"/>
      <w:r>
        <w:rPr>
          <w:rFonts w:cs="Times New Roman"/>
          <w:shd w:val="clear" w:color="auto" w:fill="FFFFFF"/>
        </w:rPr>
        <w:t>O.p</w:t>
      </w:r>
      <w:proofErr w:type="spellEnd"/>
      <w:r>
        <w:rPr>
          <w:rFonts w:cs="Times New Roman"/>
          <w:shd w:val="clear" w:color="auto" w:fill="FFFFFF"/>
        </w:rPr>
        <w:t xml:space="preserve">., uchylenia wymaga </w:t>
      </w:r>
      <w:r w:rsidRPr="00813548">
        <w:rPr>
          <w:rFonts w:cs="Times New Roman"/>
          <w:b/>
          <w:bCs/>
          <w:shd w:val="clear" w:color="auto" w:fill="FFFFFF"/>
        </w:rPr>
        <w:t>art. 78 § 5</w:t>
      </w:r>
      <w:r>
        <w:rPr>
          <w:rFonts w:cs="Times New Roman"/>
          <w:shd w:val="clear" w:color="auto" w:fill="FFFFFF"/>
        </w:rPr>
        <w:t xml:space="preserve"> </w:t>
      </w:r>
      <w:proofErr w:type="spellStart"/>
      <w:r w:rsidR="00BA2B3E">
        <w:rPr>
          <w:rFonts w:cs="Times New Roman"/>
          <w:shd w:val="clear" w:color="auto" w:fill="FFFFFF"/>
        </w:rPr>
        <w:t>O.p</w:t>
      </w:r>
      <w:proofErr w:type="spellEnd"/>
      <w:r>
        <w:rPr>
          <w:rFonts w:cs="Times New Roman"/>
          <w:shd w:val="clear" w:color="auto" w:fill="FFFFFF"/>
        </w:rPr>
        <w:t>.</w:t>
      </w:r>
      <w:r w:rsidR="009201E7">
        <w:rPr>
          <w:rFonts w:cs="Times New Roman"/>
          <w:shd w:val="clear" w:color="auto" w:fill="FFFFFF"/>
        </w:rPr>
        <w:t xml:space="preserve"> </w:t>
      </w:r>
    </w:p>
    <w:p w14:paraId="643604EF" w14:textId="675E44C4" w:rsidR="008F2EFD" w:rsidRDefault="00A90A9E" w:rsidP="00813548">
      <w:pPr>
        <w:ind w:firstLine="708"/>
        <w:jc w:val="both"/>
        <w:rPr>
          <w:rFonts w:cs="Times New Roman"/>
          <w:shd w:val="clear" w:color="auto" w:fill="FFFFFF"/>
        </w:rPr>
      </w:pPr>
      <w:r>
        <w:rPr>
          <w:rFonts w:cs="Times New Roman"/>
          <w:shd w:val="clear" w:color="auto" w:fill="FFFFFF"/>
        </w:rPr>
        <w:t xml:space="preserve"> </w:t>
      </w:r>
    </w:p>
    <w:p w14:paraId="2E022FA3" w14:textId="7AD8BD18" w:rsidR="00876A58" w:rsidRDefault="0066278C" w:rsidP="00882F3B">
      <w:pPr>
        <w:ind w:left="709"/>
        <w:jc w:val="both"/>
        <w:rPr>
          <w:rFonts w:cs="Times New Roman"/>
          <w:b/>
          <w:shd w:val="clear" w:color="auto" w:fill="FFFFFF"/>
        </w:rPr>
      </w:pPr>
      <w:r w:rsidRPr="0066278C">
        <w:rPr>
          <w:rFonts w:cs="Times New Roman"/>
          <w:b/>
          <w:shd w:val="clear" w:color="auto" w:fill="FFFFFF"/>
        </w:rPr>
        <w:t>II</w:t>
      </w:r>
      <w:r w:rsidR="002E7856">
        <w:rPr>
          <w:rFonts w:cs="Times New Roman"/>
          <w:b/>
          <w:shd w:val="clear" w:color="auto" w:fill="FFFFFF"/>
        </w:rPr>
        <w:t>I</w:t>
      </w:r>
      <w:r w:rsidRPr="0066278C">
        <w:rPr>
          <w:rFonts w:cs="Times New Roman"/>
          <w:b/>
          <w:shd w:val="clear" w:color="auto" w:fill="FFFFFF"/>
        </w:rPr>
        <w:t>.</w:t>
      </w:r>
      <w:r>
        <w:rPr>
          <w:rFonts w:cs="Times New Roman"/>
          <w:shd w:val="clear" w:color="auto" w:fill="FFFFFF"/>
        </w:rPr>
        <w:tab/>
      </w:r>
      <w:r>
        <w:rPr>
          <w:rFonts w:cs="Times New Roman"/>
          <w:b/>
          <w:shd w:val="clear" w:color="auto" w:fill="FFFFFF"/>
        </w:rPr>
        <w:t>P</w:t>
      </w:r>
      <w:r w:rsidR="008F2EFD" w:rsidRPr="008F2EFD">
        <w:rPr>
          <w:rFonts w:cs="Times New Roman"/>
          <w:b/>
          <w:shd w:val="clear" w:color="auto" w:fill="FFFFFF"/>
        </w:rPr>
        <w:t>rzepis</w:t>
      </w:r>
      <w:r w:rsidR="003D7DD5">
        <w:rPr>
          <w:rFonts w:cs="Times New Roman"/>
          <w:b/>
          <w:shd w:val="clear" w:color="auto" w:fill="FFFFFF"/>
        </w:rPr>
        <w:t>y</w:t>
      </w:r>
      <w:r w:rsidR="008F2EFD" w:rsidRPr="008F2EFD">
        <w:rPr>
          <w:rFonts w:cs="Times New Roman"/>
          <w:b/>
          <w:shd w:val="clear" w:color="auto" w:fill="FFFFFF"/>
        </w:rPr>
        <w:t xml:space="preserve"> przejściow</w:t>
      </w:r>
      <w:r w:rsidR="003D7DD5">
        <w:rPr>
          <w:rFonts w:cs="Times New Roman"/>
          <w:b/>
          <w:shd w:val="clear" w:color="auto" w:fill="FFFFFF"/>
        </w:rPr>
        <w:t>e</w:t>
      </w:r>
      <w:r>
        <w:rPr>
          <w:rFonts w:cs="Times New Roman"/>
          <w:b/>
          <w:shd w:val="clear" w:color="auto" w:fill="FFFFFF"/>
        </w:rPr>
        <w:t xml:space="preserve"> – art. </w:t>
      </w:r>
      <w:r w:rsidR="006C4250">
        <w:rPr>
          <w:rFonts w:cs="Times New Roman"/>
          <w:b/>
          <w:shd w:val="clear" w:color="auto" w:fill="FFFFFF"/>
        </w:rPr>
        <w:t xml:space="preserve">7 i </w:t>
      </w:r>
      <w:r w:rsidR="003C1CA8">
        <w:rPr>
          <w:rFonts w:cs="Times New Roman"/>
          <w:b/>
          <w:shd w:val="clear" w:color="auto" w:fill="FFFFFF"/>
        </w:rPr>
        <w:t xml:space="preserve">art. </w:t>
      </w:r>
      <w:r w:rsidR="00DC4AC4">
        <w:rPr>
          <w:rFonts w:cs="Times New Roman"/>
          <w:b/>
          <w:shd w:val="clear" w:color="auto" w:fill="FFFFFF"/>
        </w:rPr>
        <w:t>8</w:t>
      </w:r>
      <w:r>
        <w:rPr>
          <w:rFonts w:cs="Times New Roman"/>
          <w:b/>
          <w:shd w:val="clear" w:color="auto" w:fill="FFFFFF"/>
        </w:rPr>
        <w:t xml:space="preserve"> projektu</w:t>
      </w:r>
    </w:p>
    <w:p w14:paraId="604808D9" w14:textId="77777777" w:rsidR="00AE63E0" w:rsidRPr="008F2EFD" w:rsidRDefault="00AE63E0" w:rsidP="00882F3B">
      <w:pPr>
        <w:jc w:val="both"/>
        <w:rPr>
          <w:rFonts w:cs="Times New Roman"/>
          <w:b/>
          <w:shd w:val="clear" w:color="auto" w:fill="FFFFFF"/>
        </w:rPr>
      </w:pPr>
    </w:p>
    <w:p w14:paraId="081EF12E" w14:textId="1E0A061C" w:rsidR="00D70C8D" w:rsidRDefault="00D70C8D" w:rsidP="00D70C8D">
      <w:pPr>
        <w:pStyle w:val="ARTartustawynprozporzdzenia"/>
        <w:spacing w:before="0"/>
        <w:ind w:firstLine="0"/>
      </w:pPr>
      <w:r>
        <w:t>W art. 7 projektu proponuje się, aby do</w:t>
      </w:r>
      <w:r w:rsidRPr="006C4250">
        <w:t xml:space="preserve"> pism nadanych</w:t>
      </w:r>
      <w:r w:rsidR="00C21321">
        <w:t xml:space="preserve"> albo otrzymanych przez polską placówkę pocztową zgodnie z przepisami zmienianymi w art. 1 pkt 1 i art. 2</w:t>
      </w:r>
      <w:r w:rsidR="003C1CA8" w:rsidRPr="000E6F04">
        <w:t>–</w:t>
      </w:r>
      <w:r w:rsidR="00C21321">
        <w:t>6, w brzmieniu dotychczasowym, a nieotrzymanych przez adresata</w:t>
      </w:r>
      <w:r w:rsidRPr="006C4250">
        <w:t xml:space="preserve"> przed dniem wejścia w</w:t>
      </w:r>
      <w:r w:rsidR="00F9041D">
        <w:t> </w:t>
      </w:r>
      <w:r w:rsidRPr="006C4250">
        <w:t xml:space="preserve">życie </w:t>
      </w:r>
      <w:r w:rsidR="00BD338F">
        <w:t>niniejszej ustawy</w:t>
      </w:r>
      <w:r w:rsidR="00C21321">
        <w:t xml:space="preserve">, </w:t>
      </w:r>
      <w:r w:rsidR="004F0B66">
        <w:t>zastosowanie miały</w:t>
      </w:r>
      <w:r w:rsidR="00C21321">
        <w:t xml:space="preserve"> </w:t>
      </w:r>
      <w:r w:rsidR="00BD338F">
        <w:t xml:space="preserve">przepisy zmieniane </w:t>
      </w:r>
      <w:r w:rsidR="00BD338F" w:rsidRPr="006C4250">
        <w:t>w art. 1 pkt 1 i art. 2</w:t>
      </w:r>
      <w:r w:rsidR="003C1CA8" w:rsidRPr="000E6F04">
        <w:t>–</w:t>
      </w:r>
      <w:r w:rsidR="00BD338F" w:rsidRPr="006C4250">
        <w:t>6</w:t>
      </w:r>
      <w:r w:rsidR="00C21321">
        <w:t>,</w:t>
      </w:r>
      <w:r w:rsidRPr="006C4250">
        <w:t xml:space="preserve"> w</w:t>
      </w:r>
      <w:r w:rsidR="00F9041D">
        <w:t> </w:t>
      </w:r>
      <w:r w:rsidRPr="006C4250">
        <w:t xml:space="preserve">brzmieniu </w:t>
      </w:r>
      <w:r w:rsidR="00C21321">
        <w:t xml:space="preserve">nadanym </w:t>
      </w:r>
      <w:r w:rsidR="00C21321">
        <w:lastRenderedPageBreak/>
        <w:t>niniejszą ustawą</w:t>
      </w:r>
      <w:r w:rsidRPr="006C4250">
        <w:t>.</w:t>
      </w:r>
      <w:r>
        <w:t xml:space="preserve"> Proponowana regulacja przejściowa usunie ewentualne wątpliwości co do</w:t>
      </w:r>
      <w:r w:rsidRPr="00D70C8D">
        <w:t xml:space="preserve"> stosowani</w:t>
      </w:r>
      <w:r>
        <w:t>a</w:t>
      </w:r>
      <w:r w:rsidRPr="00D70C8D">
        <w:t xml:space="preserve"> domniemania zachowania terminów określonych w zmienianych ustawach</w:t>
      </w:r>
      <w:r>
        <w:t>.</w:t>
      </w:r>
    </w:p>
    <w:p w14:paraId="2A0A2F13" w14:textId="5D46A095" w:rsidR="000138F5" w:rsidRDefault="004C04D7" w:rsidP="00F724E4">
      <w:pPr>
        <w:pStyle w:val="ARTartustawynprozporzdzenia"/>
        <w:ind w:firstLine="0"/>
      </w:pPr>
      <w:r>
        <w:t>Projektowany przepis</w:t>
      </w:r>
      <w:r w:rsidR="00010E17">
        <w:t xml:space="preserve"> przejściow</w:t>
      </w:r>
      <w:r w:rsidR="007F3E29">
        <w:t>y</w:t>
      </w:r>
      <w:r w:rsidR="00010E17">
        <w:t xml:space="preserve"> </w:t>
      </w:r>
      <w:r w:rsidR="00D70C8D">
        <w:t xml:space="preserve">art. 8 </w:t>
      </w:r>
      <w:r w:rsidR="00010E17">
        <w:t>ma</w:t>
      </w:r>
      <w:r w:rsidR="00FB46D5">
        <w:t xml:space="preserve"> zapewnić jak najszersze stosowanie przepis</w:t>
      </w:r>
      <w:r w:rsidR="00010E17">
        <w:t>u</w:t>
      </w:r>
      <w:r w:rsidR="00FB46D5">
        <w:t xml:space="preserve"> </w:t>
      </w:r>
      <w:r w:rsidR="00010E17">
        <w:t>art.</w:t>
      </w:r>
      <w:r w:rsidR="005E559C">
        <w:t> </w:t>
      </w:r>
      <w:r w:rsidR="00010E17">
        <w:t xml:space="preserve">78 § 5 </w:t>
      </w:r>
      <w:proofErr w:type="spellStart"/>
      <w:r w:rsidR="00010E17">
        <w:t>O.p</w:t>
      </w:r>
      <w:proofErr w:type="spellEnd"/>
      <w:r w:rsidR="00010E17">
        <w:t xml:space="preserve">. </w:t>
      </w:r>
      <w:r w:rsidR="0066278C">
        <w:t>po zmianie wprowadzonej niniejszą ustawą</w:t>
      </w:r>
      <w:r w:rsidR="00AE3C29">
        <w:t xml:space="preserve">, a jednocześnie uniknięcie wątpliwości interpretacyjnych co do </w:t>
      </w:r>
      <w:r w:rsidR="0066278C">
        <w:t>jego</w:t>
      </w:r>
      <w:r w:rsidR="00AE3C29">
        <w:t xml:space="preserve"> stosowania w czasie</w:t>
      </w:r>
      <w:r w:rsidR="002026EE">
        <w:t xml:space="preserve">. </w:t>
      </w:r>
    </w:p>
    <w:p w14:paraId="0E16E26A" w14:textId="33D50624" w:rsidR="00F67914" w:rsidRDefault="00D70C8D" w:rsidP="00F724E4">
      <w:pPr>
        <w:pStyle w:val="ARTartustawynprozporzdzenia"/>
        <w:ind w:firstLine="0"/>
      </w:pPr>
      <w:r>
        <w:t>P</w:t>
      </w:r>
      <w:r w:rsidR="0066278C">
        <w:t>roponuje się,</w:t>
      </w:r>
      <w:r w:rsidR="00CE3561">
        <w:t xml:space="preserve"> </w:t>
      </w:r>
      <w:r w:rsidR="0066278C">
        <w:t>aby d</w:t>
      </w:r>
      <w:r w:rsidR="0066278C" w:rsidRPr="0066278C">
        <w:t>o oprocentowania nadpłat</w:t>
      </w:r>
      <w:r w:rsidR="0066278C">
        <w:t xml:space="preserve"> powstałych w wyniku orzeczenia TSUE lub orzeczenia Trybunału Konstytucyjnego, </w:t>
      </w:r>
      <w:r w:rsidR="0066278C" w:rsidRPr="0066278C">
        <w:t xml:space="preserve">niezwróconych przed dniem wejścia w życie </w:t>
      </w:r>
      <w:r w:rsidR="0066278C">
        <w:t>nowelizacji</w:t>
      </w:r>
      <w:r w:rsidR="003231C1">
        <w:t xml:space="preserve"> </w:t>
      </w:r>
      <w:r w:rsidR="003231C1" w:rsidRPr="003231C1">
        <w:t>lub niezaliczonych</w:t>
      </w:r>
      <w:r w:rsidR="003231C1">
        <w:t xml:space="preserve"> przed tym dniem na poczet zaległych albo bieżących zobowiązań podatkowych</w:t>
      </w:r>
      <w:r w:rsidR="0066278C" w:rsidRPr="0066278C">
        <w:t xml:space="preserve">, </w:t>
      </w:r>
      <w:r w:rsidR="0066278C">
        <w:t>miał</w:t>
      </w:r>
      <w:r w:rsidR="003231C1">
        <w:t>y</w:t>
      </w:r>
      <w:r w:rsidR="0066278C">
        <w:t xml:space="preserve"> zastosowanie </w:t>
      </w:r>
      <w:r w:rsidR="0066278C" w:rsidRPr="0066278C">
        <w:t>przepis</w:t>
      </w:r>
      <w:r w:rsidR="003231C1">
        <w:t>y</w:t>
      </w:r>
      <w:r w:rsidR="0066278C" w:rsidRPr="0066278C">
        <w:t xml:space="preserve"> art. 78 § </w:t>
      </w:r>
      <w:r w:rsidR="003231C1">
        <w:t xml:space="preserve">3 pkt </w:t>
      </w:r>
      <w:r w:rsidR="00470EC1">
        <w:t>3a</w:t>
      </w:r>
      <w:r w:rsidR="003231C1">
        <w:t xml:space="preserve"> i § 4</w:t>
      </w:r>
      <w:r w:rsidR="0066278C" w:rsidRPr="0066278C">
        <w:t xml:space="preserve"> </w:t>
      </w:r>
      <w:proofErr w:type="spellStart"/>
      <w:r w:rsidR="0066278C">
        <w:t>O.p</w:t>
      </w:r>
      <w:proofErr w:type="spellEnd"/>
      <w:r w:rsidR="0066278C">
        <w:t>. w brzmieniu</w:t>
      </w:r>
      <w:r w:rsidR="003231C1">
        <w:t xml:space="preserve"> nadanym nowelizacją.</w:t>
      </w:r>
    </w:p>
    <w:p w14:paraId="11CB1120" w14:textId="170D5394" w:rsidR="00F67914" w:rsidRDefault="00B26C01" w:rsidP="00F724E4">
      <w:pPr>
        <w:pStyle w:val="ARTartustawynprozporzdzenia"/>
        <w:ind w:firstLine="0"/>
      </w:pPr>
      <w:bookmarkStart w:id="2" w:name="_Hlk175050670"/>
      <w:r>
        <w:t>Jednocześnie należy zauważyć, że p</w:t>
      </w:r>
      <w:r w:rsidR="00F67914">
        <w:t xml:space="preserve">rzewidziane w Ordynacji podatkowej mechanizmy mające doprowadzić do stosowania polskiego prawa podatkowego w zgodzie z orzecznictwem TSUE (art. 74 i art. 240 § 1 pkt 11) wskazują na bezpośrednie stosowanie orzeczeń TSUE w wykładni prawa podatkowego, bez konieczności oczekiwania na ich uwzględnienie w treści przepisów krajowych. Stąd proponowana regulacja przejściowa nie zamyka podatnikom drogi do ubiegania się o dodatkowe oprocentowanie podmiotom, które przed publikacją wyroku TSUE w sprawie C-322/22 składały wnioski o nadpłatę wynikającą z orzeczeń TSUE i otrzymały niepełną kwotę oprocentowania (ze względu na złożenie wniosku po 30-dniowym terminie wynikającym z Ordynacji podatkowej). Wyrok TSUE sprawie C-322/22 stworzył także możliwość wystąpienia, na podstawie art. 240 § 1 pkt 11 Ordynacji podatkowej, z wnioskiem o wznowienie postępowania </w:t>
      </w:r>
      <w:r w:rsidR="003C1CA8">
        <w:t xml:space="preserve">w </w:t>
      </w:r>
      <w:r w:rsidR="00F67914">
        <w:t>sprawach zakończonych decyzjami ostatecznymi, w których wcześniej zapadły niekorzystne dla podatników rozstrzygnięcia w przedmiocie oprocentowania nadpłaty. Dotyczy to wszystkich podatników, którzy w przeszłości zapłacili podatek (nie tylko CIT) na podstawie przepisów krajowych niezgodnych z prawem Unii, a którym odmówiono należnego im oprocentowania. Wznowienie postępowania z przyczyny wymienionej w art. 240 § 1 pkt 11 Ordynacji podatkowej następuje tylko na żądanie strony wniesione w terminie miesiąca odpowiednio od dnia wejścia w życie orzeczenia Trybunału Konstytucyjnego lub publikacji sentencji orzeczenia Trybunału Sprawiedliwości Unii Europejskiej w Dzienniku Urzędowym Unii Europejskiej.</w:t>
      </w:r>
      <w:bookmarkEnd w:id="2"/>
    </w:p>
    <w:p w14:paraId="7868EA7C" w14:textId="02172240" w:rsidR="00274D5D" w:rsidRDefault="00274D5D">
      <w:pPr>
        <w:widowControl/>
        <w:autoSpaceDE/>
        <w:autoSpaceDN/>
        <w:adjustRightInd/>
        <w:spacing w:after="200" w:line="276" w:lineRule="auto"/>
        <w:rPr>
          <w:rFonts w:ascii="Times" w:hAnsi="Times"/>
          <w:b/>
        </w:rPr>
      </w:pPr>
      <w:r>
        <w:rPr>
          <w:b/>
        </w:rPr>
        <w:br w:type="page"/>
      </w:r>
    </w:p>
    <w:p w14:paraId="4C89A061" w14:textId="77777777" w:rsidR="002E7856" w:rsidRDefault="002E7856" w:rsidP="0066278C">
      <w:pPr>
        <w:pStyle w:val="ARTartustawynprozporzdzenia"/>
        <w:spacing w:before="0"/>
        <w:ind w:firstLine="0"/>
        <w:rPr>
          <w:b/>
        </w:rPr>
      </w:pPr>
    </w:p>
    <w:p w14:paraId="299B70DF" w14:textId="0C484416" w:rsidR="006F533F" w:rsidRDefault="002E7856" w:rsidP="00882F3B">
      <w:pPr>
        <w:pStyle w:val="ARTartustawynprozporzdzenia"/>
        <w:spacing w:before="0"/>
        <w:ind w:left="709" w:firstLine="0"/>
        <w:rPr>
          <w:b/>
        </w:rPr>
      </w:pPr>
      <w:r>
        <w:rPr>
          <w:b/>
        </w:rPr>
        <w:t>IV</w:t>
      </w:r>
      <w:r w:rsidR="0066278C">
        <w:rPr>
          <w:b/>
        </w:rPr>
        <w:t>.</w:t>
      </w:r>
      <w:r w:rsidR="0066278C">
        <w:rPr>
          <w:b/>
        </w:rPr>
        <w:tab/>
      </w:r>
      <w:r w:rsidR="006F533F">
        <w:rPr>
          <w:b/>
        </w:rPr>
        <w:t xml:space="preserve">Przepis końcowy – art. </w:t>
      </w:r>
      <w:r w:rsidR="00DC4AC4">
        <w:rPr>
          <w:b/>
        </w:rPr>
        <w:t>9</w:t>
      </w:r>
      <w:r w:rsidR="00E97419">
        <w:rPr>
          <w:b/>
        </w:rPr>
        <w:t xml:space="preserve"> </w:t>
      </w:r>
      <w:r w:rsidR="006F533F">
        <w:rPr>
          <w:b/>
        </w:rPr>
        <w:t>projektu</w:t>
      </w:r>
    </w:p>
    <w:p w14:paraId="166B722F" w14:textId="77777777" w:rsidR="00AE63E0" w:rsidRDefault="00AE63E0" w:rsidP="00882F3B">
      <w:pPr>
        <w:pStyle w:val="ARTartustawynprozporzdzenia"/>
        <w:spacing w:before="0"/>
        <w:ind w:left="709" w:firstLine="0"/>
        <w:rPr>
          <w:b/>
        </w:rPr>
      </w:pPr>
    </w:p>
    <w:p w14:paraId="56283CDB" w14:textId="58279C7A" w:rsidR="006F533F" w:rsidRPr="00A91CD8" w:rsidRDefault="00BA1489" w:rsidP="00882F3B">
      <w:pPr>
        <w:jc w:val="both"/>
        <w:rPr>
          <w:rFonts w:eastAsia="Calibri"/>
          <w:lang w:eastAsia="en-US"/>
        </w:rPr>
      </w:pPr>
      <w:r>
        <w:rPr>
          <w:rFonts w:eastAsia="Calibri"/>
          <w:lang w:eastAsia="en-US"/>
        </w:rPr>
        <w:t>Proponuje się, aby p</w:t>
      </w:r>
      <w:r w:rsidR="006F533F" w:rsidRPr="00A91CD8">
        <w:rPr>
          <w:rFonts w:eastAsia="Calibri"/>
          <w:lang w:eastAsia="en-US"/>
        </w:rPr>
        <w:t>rojektowan</w:t>
      </w:r>
      <w:r>
        <w:rPr>
          <w:rFonts w:eastAsia="Calibri"/>
          <w:lang w:eastAsia="en-US"/>
        </w:rPr>
        <w:t>a ustawa</w:t>
      </w:r>
      <w:r w:rsidR="006F533F">
        <w:rPr>
          <w:rFonts w:eastAsia="Calibri"/>
          <w:lang w:eastAsia="en-US"/>
        </w:rPr>
        <w:t xml:space="preserve"> </w:t>
      </w:r>
      <w:r>
        <w:rPr>
          <w:rFonts w:eastAsia="Calibri"/>
          <w:lang w:eastAsia="en-US"/>
        </w:rPr>
        <w:t xml:space="preserve">weszła w </w:t>
      </w:r>
      <w:r w:rsidR="006F533F" w:rsidRPr="00A91CD8">
        <w:rPr>
          <w:rFonts w:eastAsia="Calibri"/>
          <w:lang w:eastAsia="en-US"/>
        </w:rPr>
        <w:t>życie</w:t>
      </w:r>
      <w:r w:rsidR="006F533F">
        <w:rPr>
          <w:rFonts w:eastAsia="Calibri"/>
          <w:lang w:eastAsia="en-US"/>
        </w:rPr>
        <w:t xml:space="preserve"> </w:t>
      </w:r>
      <w:r>
        <w:rPr>
          <w:rFonts w:eastAsia="Calibri"/>
          <w:lang w:eastAsia="en-US"/>
        </w:rPr>
        <w:t>w terminie 14 dni od dnia jej ogłoszenia.</w:t>
      </w:r>
    </w:p>
    <w:p w14:paraId="60B390A6" w14:textId="77777777" w:rsidR="006F533F" w:rsidRDefault="006F533F" w:rsidP="006F533F">
      <w:pPr>
        <w:pStyle w:val="ARTartustawynprozporzdzenia"/>
        <w:spacing w:before="0"/>
        <w:ind w:left="1400" w:firstLine="0"/>
        <w:rPr>
          <w:b/>
        </w:rPr>
      </w:pPr>
    </w:p>
    <w:p w14:paraId="63C10A24" w14:textId="02AAD3C8" w:rsidR="00B83343" w:rsidRDefault="00E76A9A" w:rsidP="00AE63E0">
      <w:pPr>
        <w:pStyle w:val="ARTartustawynprozporzdzenia"/>
        <w:spacing w:before="0"/>
        <w:ind w:left="709" w:firstLine="0"/>
        <w:rPr>
          <w:b/>
        </w:rPr>
      </w:pPr>
      <w:r>
        <w:rPr>
          <w:b/>
        </w:rPr>
        <w:t>V.</w:t>
      </w:r>
      <w:r>
        <w:rPr>
          <w:b/>
        </w:rPr>
        <w:tab/>
      </w:r>
      <w:r w:rsidR="00B83343" w:rsidRPr="00734F14">
        <w:rPr>
          <w:b/>
        </w:rPr>
        <w:t>Kwestie dodatkowe</w:t>
      </w:r>
    </w:p>
    <w:p w14:paraId="5A1442E0" w14:textId="77777777" w:rsidR="00AE63E0" w:rsidRDefault="00AE63E0" w:rsidP="00882F3B">
      <w:pPr>
        <w:pStyle w:val="ARTartustawynprozporzdzenia"/>
        <w:spacing w:before="0"/>
        <w:ind w:left="709" w:firstLine="0"/>
        <w:rPr>
          <w:b/>
        </w:rPr>
      </w:pPr>
    </w:p>
    <w:p w14:paraId="13C5BC3F" w14:textId="10D6C9C3" w:rsidR="00AC07D5" w:rsidRPr="00AC07D5" w:rsidRDefault="00AC07D5" w:rsidP="00882F3B">
      <w:pPr>
        <w:pStyle w:val="NIEARTTEKSTtekstnieartykuowanynppodstprawnarozplubpreambua"/>
        <w:spacing w:before="0"/>
        <w:ind w:firstLine="0"/>
        <w:rPr>
          <w:rFonts w:ascii="Times New Roman" w:hAnsi="Times New Roman" w:cs="Times New Roman"/>
          <w:szCs w:val="24"/>
        </w:rPr>
      </w:pPr>
      <w:r w:rsidRPr="00AC07D5">
        <w:rPr>
          <w:rFonts w:ascii="Times New Roman" w:hAnsi="Times New Roman" w:cs="Times New Roman"/>
          <w:szCs w:val="24"/>
        </w:rPr>
        <w:t xml:space="preserve">Projekt ustawy </w:t>
      </w:r>
      <w:r>
        <w:rPr>
          <w:rFonts w:ascii="Times New Roman" w:hAnsi="Times New Roman" w:cs="Times New Roman"/>
          <w:szCs w:val="24"/>
        </w:rPr>
        <w:t xml:space="preserve">nie </w:t>
      </w:r>
      <w:r w:rsidRPr="00AC07D5">
        <w:rPr>
          <w:rFonts w:ascii="Times New Roman" w:hAnsi="Times New Roman" w:cs="Times New Roman"/>
          <w:szCs w:val="24"/>
        </w:rPr>
        <w:t xml:space="preserve">wpływa na działalność </w:t>
      </w:r>
      <w:proofErr w:type="spellStart"/>
      <w:r w:rsidRPr="00AC07D5">
        <w:rPr>
          <w:rFonts w:ascii="Times New Roman" w:hAnsi="Times New Roman" w:cs="Times New Roman"/>
          <w:szCs w:val="24"/>
        </w:rPr>
        <w:t>mikr</w:t>
      </w:r>
      <w:r>
        <w:rPr>
          <w:rFonts w:ascii="Times New Roman" w:hAnsi="Times New Roman" w:cs="Times New Roman"/>
          <w:szCs w:val="24"/>
        </w:rPr>
        <w:t>oprzedsiębiorców</w:t>
      </w:r>
      <w:proofErr w:type="spellEnd"/>
      <w:r>
        <w:rPr>
          <w:rFonts w:ascii="Times New Roman" w:hAnsi="Times New Roman" w:cs="Times New Roman"/>
          <w:szCs w:val="24"/>
        </w:rPr>
        <w:t xml:space="preserve"> oraz małych </w:t>
      </w:r>
      <w:r w:rsidRPr="00AC07D5">
        <w:rPr>
          <w:rFonts w:ascii="Times New Roman" w:hAnsi="Times New Roman" w:cs="Times New Roman"/>
          <w:szCs w:val="24"/>
        </w:rPr>
        <w:t>i średnich przedsiębiorców</w:t>
      </w:r>
      <w:r>
        <w:rPr>
          <w:rFonts w:ascii="Times New Roman" w:hAnsi="Times New Roman" w:cs="Times New Roman"/>
          <w:szCs w:val="24"/>
        </w:rPr>
        <w:t>.</w:t>
      </w:r>
      <w:r w:rsidRPr="00AC07D5">
        <w:rPr>
          <w:rFonts w:ascii="Times New Roman" w:hAnsi="Times New Roman" w:cs="Times New Roman"/>
          <w:szCs w:val="24"/>
        </w:rPr>
        <w:t xml:space="preserve"> </w:t>
      </w:r>
    </w:p>
    <w:p w14:paraId="23D36679" w14:textId="47EA6E2A" w:rsidR="00AC07D5" w:rsidRPr="00AC07D5" w:rsidRDefault="00AC07D5" w:rsidP="000138F5">
      <w:pPr>
        <w:pStyle w:val="NIEARTTEKSTtekstnieartykuowanynppodstprawnarozplubpreambua"/>
        <w:spacing w:before="240"/>
        <w:ind w:firstLine="0"/>
        <w:rPr>
          <w:rFonts w:ascii="Times New Roman" w:hAnsi="Times New Roman" w:cs="Times New Roman"/>
          <w:szCs w:val="24"/>
        </w:rPr>
      </w:pPr>
      <w:r w:rsidRPr="00AC07D5">
        <w:rPr>
          <w:rFonts w:ascii="Times New Roman" w:hAnsi="Times New Roman" w:cs="Times New Roman"/>
          <w:szCs w:val="24"/>
        </w:rPr>
        <w:t xml:space="preserve">Projekt ustawy jest </w:t>
      </w:r>
      <w:r>
        <w:rPr>
          <w:rFonts w:ascii="Times New Roman" w:hAnsi="Times New Roman" w:cs="Times New Roman"/>
          <w:szCs w:val="24"/>
        </w:rPr>
        <w:t>objęty</w:t>
      </w:r>
      <w:r w:rsidRPr="00AC07D5">
        <w:rPr>
          <w:rFonts w:ascii="Times New Roman" w:hAnsi="Times New Roman" w:cs="Times New Roman"/>
          <w:szCs w:val="24"/>
        </w:rPr>
        <w:t xml:space="preserve"> prawem Unii Europejskiej. </w:t>
      </w:r>
    </w:p>
    <w:p w14:paraId="5AE0D553" w14:textId="50E8D541" w:rsidR="00AC07D5" w:rsidRPr="00AC07D5" w:rsidRDefault="00AC07D5" w:rsidP="000138F5">
      <w:pPr>
        <w:pStyle w:val="NIEARTTEKSTtekstnieartykuowanynppodstprawnarozplubpreambua"/>
        <w:spacing w:before="240"/>
        <w:ind w:firstLine="0"/>
        <w:rPr>
          <w:rFonts w:ascii="Times New Roman" w:hAnsi="Times New Roman" w:cs="Times New Roman"/>
          <w:szCs w:val="24"/>
        </w:rPr>
      </w:pPr>
      <w:r w:rsidRPr="00AC07D5">
        <w:rPr>
          <w:rFonts w:ascii="Times New Roman" w:hAnsi="Times New Roman" w:cs="Times New Roman"/>
          <w:szCs w:val="24"/>
        </w:rPr>
        <w:t>Niniejszy projekt ustawy nie zawiera przepisów technicznych, w związku z czym nie podlega procedurze notyfikacji na zasadach przewidzianych w rozporządzeniu Rady Ministrów z dnia 23 grudnia 2002 r. w sprawie sposobu funkcjonowania kraj</w:t>
      </w:r>
      <w:r>
        <w:rPr>
          <w:rFonts w:ascii="Times New Roman" w:hAnsi="Times New Roman" w:cs="Times New Roman"/>
          <w:szCs w:val="24"/>
        </w:rPr>
        <w:t xml:space="preserve">owego systemu notyfikacji norm </w:t>
      </w:r>
      <w:r w:rsidRPr="00AC07D5">
        <w:rPr>
          <w:rFonts w:ascii="Times New Roman" w:hAnsi="Times New Roman" w:cs="Times New Roman"/>
          <w:szCs w:val="24"/>
        </w:rPr>
        <w:t>i</w:t>
      </w:r>
      <w:r w:rsidR="00741B8A">
        <w:rPr>
          <w:rFonts w:ascii="Times New Roman" w:hAnsi="Times New Roman" w:cs="Times New Roman"/>
          <w:szCs w:val="24"/>
        </w:rPr>
        <w:t> </w:t>
      </w:r>
      <w:r w:rsidRPr="00AC07D5">
        <w:rPr>
          <w:rFonts w:ascii="Times New Roman" w:hAnsi="Times New Roman" w:cs="Times New Roman"/>
          <w:szCs w:val="24"/>
        </w:rPr>
        <w:t xml:space="preserve">aktów prawnych (Dz. U. poz. 2039, z </w:t>
      </w:r>
      <w:proofErr w:type="spellStart"/>
      <w:r w:rsidRPr="00AC07D5">
        <w:rPr>
          <w:rFonts w:ascii="Times New Roman" w:hAnsi="Times New Roman" w:cs="Times New Roman"/>
          <w:szCs w:val="24"/>
        </w:rPr>
        <w:t>późn</w:t>
      </w:r>
      <w:proofErr w:type="spellEnd"/>
      <w:r w:rsidRPr="00AC07D5">
        <w:rPr>
          <w:rFonts w:ascii="Times New Roman" w:hAnsi="Times New Roman" w:cs="Times New Roman"/>
          <w:szCs w:val="24"/>
        </w:rPr>
        <w:t>. zm.).</w:t>
      </w:r>
    </w:p>
    <w:p w14:paraId="7E64BAA6" w14:textId="77777777" w:rsidR="00AC07D5" w:rsidRPr="00AC07D5" w:rsidRDefault="00AC07D5" w:rsidP="000138F5">
      <w:pPr>
        <w:pStyle w:val="NIEARTTEKSTtekstnieartykuowanynppodstprawnarozplubpreambua"/>
        <w:spacing w:before="240"/>
        <w:ind w:firstLine="0"/>
        <w:rPr>
          <w:rFonts w:ascii="Times New Roman" w:hAnsi="Times New Roman" w:cs="Times New Roman"/>
          <w:szCs w:val="24"/>
        </w:rPr>
      </w:pPr>
      <w:r w:rsidRPr="00AC07D5">
        <w:rPr>
          <w:rFonts w:ascii="Times New Roman" w:hAnsi="Times New Roman" w:cs="Times New Roman"/>
          <w:szCs w:val="24"/>
        </w:rPr>
        <w:t xml:space="preserve">Projekt ustawy nie wymaga przedstawienia właściwym instytucjom i organom Unii Europejskiej lub Europejskiemu Bankowi Centralnemu celem uzyskania opinii, dokonania konsultacji albo uzgodnienia, w przypadkach określonych w obowiązujących na terytorium Rzeczypospolitej Polskiej przepisach Unii Europejskiej. </w:t>
      </w:r>
    </w:p>
    <w:p w14:paraId="4B39AC05" w14:textId="23B9E0B0" w:rsidR="002662BD" w:rsidRPr="00E14CBE" w:rsidRDefault="00AC07D5" w:rsidP="00882F3B">
      <w:pPr>
        <w:pStyle w:val="NIEARTTEKSTtekstnieartykuowanynppodstprawnarozplubpreambua"/>
        <w:spacing w:before="240"/>
        <w:ind w:firstLine="0"/>
      </w:pPr>
      <w:r w:rsidRPr="00AC07D5">
        <w:rPr>
          <w:rFonts w:ascii="Times New Roman" w:hAnsi="Times New Roman" w:cs="Times New Roman"/>
          <w:szCs w:val="24"/>
        </w:rPr>
        <w:t>Stosownie do postanowień art. 5 ustawy z dnia 7 lipca 2005 r. o działalności lobb</w:t>
      </w:r>
      <w:r>
        <w:rPr>
          <w:rFonts w:ascii="Times New Roman" w:hAnsi="Times New Roman" w:cs="Times New Roman"/>
          <w:szCs w:val="24"/>
        </w:rPr>
        <w:t xml:space="preserve">ingowej </w:t>
      </w:r>
      <w:r w:rsidRPr="00AC07D5">
        <w:rPr>
          <w:rFonts w:ascii="Times New Roman" w:hAnsi="Times New Roman" w:cs="Times New Roman"/>
          <w:szCs w:val="24"/>
        </w:rPr>
        <w:t>w</w:t>
      </w:r>
      <w:r w:rsidR="00741B8A">
        <w:rPr>
          <w:rFonts w:ascii="Times New Roman" w:hAnsi="Times New Roman" w:cs="Times New Roman"/>
          <w:szCs w:val="24"/>
        </w:rPr>
        <w:t> </w:t>
      </w:r>
      <w:r w:rsidRPr="00AC07D5">
        <w:rPr>
          <w:rFonts w:ascii="Times New Roman" w:hAnsi="Times New Roman" w:cs="Times New Roman"/>
          <w:szCs w:val="24"/>
        </w:rPr>
        <w:t>procesie stanowienia prawa (Dz. U. z 2017 r. poz. 248</w:t>
      </w:r>
      <w:r w:rsidR="00FA1816">
        <w:rPr>
          <w:rFonts w:ascii="Times New Roman" w:hAnsi="Times New Roman" w:cs="Times New Roman"/>
          <w:szCs w:val="24"/>
        </w:rPr>
        <w:t xml:space="preserve">, z </w:t>
      </w:r>
      <w:proofErr w:type="spellStart"/>
      <w:r w:rsidR="00FA1816">
        <w:rPr>
          <w:rFonts w:ascii="Times New Roman" w:hAnsi="Times New Roman" w:cs="Times New Roman"/>
          <w:szCs w:val="24"/>
        </w:rPr>
        <w:t>późn</w:t>
      </w:r>
      <w:proofErr w:type="spellEnd"/>
      <w:r w:rsidR="00FA1816">
        <w:rPr>
          <w:rFonts w:ascii="Times New Roman" w:hAnsi="Times New Roman" w:cs="Times New Roman"/>
          <w:szCs w:val="24"/>
        </w:rPr>
        <w:t>. zm.</w:t>
      </w:r>
      <w:r w:rsidRPr="00AC07D5">
        <w:rPr>
          <w:rFonts w:ascii="Times New Roman" w:hAnsi="Times New Roman" w:cs="Times New Roman"/>
          <w:szCs w:val="24"/>
        </w:rPr>
        <w:t>) oraz § 52 ust. 1 uchwały nr 190 Rady Ministrów z dnia 29 października 2013 r. – Reg</w:t>
      </w:r>
      <w:r>
        <w:rPr>
          <w:rFonts w:ascii="Times New Roman" w:hAnsi="Times New Roman" w:cs="Times New Roman"/>
          <w:szCs w:val="24"/>
        </w:rPr>
        <w:t>ulamin pracy Rady Ministrów (M.</w:t>
      </w:r>
      <w:r w:rsidRPr="00AC07D5">
        <w:rPr>
          <w:rFonts w:ascii="Times New Roman" w:hAnsi="Times New Roman" w:cs="Times New Roman"/>
          <w:szCs w:val="24"/>
        </w:rPr>
        <w:t>P. z 202</w:t>
      </w:r>
      <w:r w:rsidR="000A1C51">
        <w:rPr>
          <w:rFonts w:ascii="Times New Roman" w:hAnsi="Times New Roman" w:cs="Times New Roman"/>
          <w:szCs w:val="24"/>
        </w:rPr>
        <w:t>4</w:t>
      </w:r>
      <w:r w:rsidRPr="00AC07D5">
        <w:rPr>
          <w:rFonts w:ascii="Times New Roman" w:hAnsi="Times New Roman" w:cs="Times New Roman"/>
          <w:szCs w:val="24"/>
        </w:rPr>
        <w:t xml:space="preserve"> r. poz. </w:t>
      </w:r>
      <w:r w:rsidR="000A1C51">
        <w:rPr>
          <w:rFonts w:ascii="Times New Roman" w:hAnsi="Times New Roman" w:cs="Times New Roman"/>
          <w:szCs w:val="24"/>
        </w:rPr>
        <w:t>806</w:t>
      </w:r>
      <w:r w:rsidRPr="00AC07D5">
        <w:rPr>
          <w:rFonts w:ascii="Times New Roman" w:hAnsi="Times New Roman" w:cs="Times New Roman"/>
          <w:szCs w:val="24"/>
        </w:rPr>
        <w:t xml:space="preserve">) projekt ustawy </w:t>
      </w:r>
      <w:r w:rsidR="000A1C51">
        <w:rPr>
          <w:rFonts w:ascii="Times New Roman" w:hAnsi="Times New Roman" w:cs="Times New Roman"/>
          <w:szCs w:val="24"/>
        </w:rPr>
        <w:t>został udostępniony</w:t>
      </w:r>
      <w:r w:rsidRPr="00AC07D5">
        <w:rPr>
          <w:rFonts w:ascii="Times New Roman" w:hAnsi="Times New Roman" w:cs="Times New Roman"/>
          <w:szCs w:val="24"/>
        </w:rPr>
        <w:t xml:space="preserve"> w Biuletynie Informacji Publicznej na stronie podmiotowej Rządowego Centrum Legislacji, w serwisie Rządowy Proces Legislacyjny.</w:t>
      </w:r>
    </w:p>
    <w:sectPr w:rsidR="002662BD" w:rsidRPr="00E14CBE" w:rsidSect="00882F3B">
      <w:footerReference w:type="default" r:id="rId8"/>
      <w:footerReference w:type="first" r:id="rId9"/>
      <w:pgSz w:w="11906" w:h="16838"/>
      <w:pgMar w:top="1417" w:right="1417" w:bottom="156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A058" w14:textId="77777777" w:rsidR="002C6280" w:rsidRDefault="002C6280" w:rsidP="00683CB6">
      <w:pPr>
        <w:spacing w:line="240" w:lineRule="auto"/>
      </w:pPr>
      <w:r>
        <w:separator/>
      </w:r>
    </w:p>
  </w:endnote>
  <w:endnote w:type="continuationSeparator" w:id="0">
    <w:p w14:paraId="7391AE4E" w14:textId="77777777" w:rsidR="002C6280" w:rsidRDefault="002C6280" w:rsidP="00683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920027"/>
      <w:docPartObj>
        <w:docPartGallery w:val="Page Numbers (Bottom of Page)"/>
        <w:docPartUnique/>
      </w:docPartObj>
    </w:sdtPr>
    <w:sdtEndPr/>
    <w:sdtContent>
      <w:p w14:paraId="42015DC1" w14:textId="1522BE9F" w:rsidR="00AE33E8" w:rsidRDefault="00AE33E8">
        <w:pPr>
          <w:pStyle w:val="Stopka"/>
          <w:jc w:val="center"/>
        </w:pPr>
        <w:r>
          <w:fldChar w:fldCharType="begin"/>
        </w:r>
        <w:r>
          <w:instrText>PAGE   \* MERGEFORMAT</w:instrText>
        </w:r>
        <w:r>
          <w:fldChar w:fldCharType="separate"/>
        </w:r>
        <w:r w:rsidR="001B4E9E">
          <w:rPr>
            <w:noProof/>
          </w:rPr>
          <w:t>5</w:t>
        </w:r>
        <w:r>
          <w:fldChar w:fldCharType="end"/>
        </w:r>
      </w:p>
    </w:sdtContent>
  </w:sdt>
  <w:p w14:paraId="10734FFD" w14:textId="77777777" w:rsidR="00683CB6" w:rsidRDefault="00683C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59BC" w14:textId="1666AB18" w:rsidR="00CF2BCB" w:rsidRDefault="00CF2BCB">
    <w:pPr>
      <w:pStyle w:val="Stopka"/>
      <w:jc w:val="center"/>
    </w:pPr>
  </w:p>
  <w:p w14:paraId="7B30AEFA" w14:textId="77777777" w:rsidR="00CF2BCB" w:rsidRDefault="00CF2B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E6A7" w14:textId="77777777" w:rsidR="002C6280" w:rsidRDefault="002C6280" w:rsidP="00683CB6">
      <w:pPr>
        <w:spacing w:line="240" w:lineRule="auto"/>
      </w:pPr>
      <w:r>
        <w:separator/>
      </w:r>
    </w:p>
  </w:footnote>
  <w:footnote w:type="continuationSeparator" w:id="0">
    <w:p w14:paraId="0F92F82F" w14:textId="77777777" w:rsidR="002C6280" w:rsidRDefault="002C6280" w:rsidP="00683C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FF1"/>
    <w:multiLevelType w:val="hybridMultilevel"/>
    <w:tmpl w:val="0ED45D0A"/>
    <w:lvl w:ilvl="0" w:tplc="B164D4EE">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1" w15:restartNumberingAfterBreak="0">
    <w:nsid w:val="09A64C62"/>
    <w:multiLevelType w:val="hybridMultilevel"/>
    <w:tmpl w:val="FB162D3E"/>
    <w:lvl w:ilvl="0" w:tplc="5E68323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7612BA3"/>
    <w:multiLevelType w:val="hybridMultilevel"/>
    <w:tmpl w:val="6C64AEF6"/>
    <w:lvl w:ilvl="0" w:tplc="5E683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A285988"/>
    <w:multiLevelType w:val="hybridMultilevel"/>
    <w:tmpl w:val="FB162D3E"/>
    <w:lvl w:ilvl="0" w:tplc="5E68323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7FC91632"/>
    <w:multiLevelType w:val="hybridMultilevel"/>
    <w:tmpl w:val="5E0AFF1E"/>
    <w:lvl w:ilvl="0" w:tplc="C5F026F6">
      <w:start w:val="1"/>
      <w:numFmt w:val="upperRoman"/>
      <w:lvlText w:val="%1."/>
      <w:lvlJc w:val="left"/>
      <w:pPr>
        <w:ind w:left="1400" w:hanging="72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2F"/>
    <w:rsid w:val="0000216B"/>
    <w:rsid w:val="00002BC5"/>
    <w:rsid w:val="00003C40"/>
    <w:rsid w:val="0000484F"/>
    <w:rsid w:val="00004943"/>
    <w:rsid w:val="00010E17"/>
    <w:rsid w:val="000138F5"/>
    <w:rsid w:val="000204DA"/>
    <w:rsid w:val="00020FE7"/>
    <w:rsid w:val="00023F04"/>
    <w:rsid w:val="00031AC2"/>
    <w:rsid w:val="00032EA9"/>
    <w:rsid w:val="000340B6"/>
    <w:rsid w:val="00036EC3"/>
    <w:rsid w:val="00037E33"/>
    <w:rsid w:val="00040A02"/>
    <w:rsid w:val="000416F6"/>
    <w:rsid w:val="00052CFB"/>
    <w:rsid w:val="0005727A"/>
    <w:rsid w:val="00063ED4"/>
    <w:rsid w:val="000654A6"/>
    <w:rsid w:val="0007161F"/>
    <w:rsid w:val="00071A42"/>
    <w:rsid w:val="00071ADC"/>
    <w:rsid w:val="00073A46"/>
    <w:rsid w:val="00076464"/>
    <w:rsid w:val="000816B5"/>
    <w:rsid w:val="00082EB0"/>
    <w:rsid w:val="0008323B"/>
    <w:rsid w:val="000854EC"/>
    <w:rsid w:val="0009794F"/>
    <w:rsid w:val="000A1C51"/>
    <w:rsid w:val="000A22A4"/>
    <w:rsid w:val="000A2998"/>
    <w:rsid w:val="000B7454"/>
    <w:rsid w:val="000B7C36"/>
    <w:rsid w:val="000C1D1B"/>
    <w:rsid w:val="000C3E7C"/>
    <w:rsid w:val="000C46BC"/>
    <w:rsid w:val="000D37D4"/>
    <w:rsid w:val="000D40CE"/>
    <w:rsid w:val="000D52BD"/>
    <w:rsid w:val="000D61D7"/>
    <w:rsid w:val="000D66A1"/>
    <w:rsid w:val="000E5851"/>
    <w:rsid w:val="000E5AD1"/>
    <w:rsid w:val="000E61F2"/>
    <w:rsid w:val="000E63D3"/>
    <w:rsid w:val="000E6F04"/>
    <w:rsid w:val="000E7E23"/>
    <w:rsid w:val="000F6C2D"/>
    <w:rsid w:val="000F7A9F"/>
    <w:rsid w:val="00105345"/>
    <w:rsid w:val="00106F82"/>
    <w:rsid w:val="00110161"/>
    <w:rsid w:val="0011262B"/>
    <w:rsid w:val="0011303A"/>
    <w:rsid w:val="00117220"/>
    <w:rsid w:val="001210D1"/>
    <w:rsid w:val="00121EEB"/>
    <w:rsid w:val="001227B8"/>
    <w:rsid w:val="0012486F"/>
    <w:rsid w:val="0012631B"/>
    <w:rsid w:val="00130914"/>
    <w:rsid w:val="001377DA"/>
    <w:rsid w:val="00137E5A"/>
    <w:rsid w:val="0014033C"/>
    <w:rsid w:val="00141840"/>
    <w:rsid w:val="00144DF9"/>
    <w:rsid w:val="0016395E"/>
    <w:rsid w:val="00166AF3"/>
    <w:rsid w:val="001701E3"/>
    <w:rsid w:val="00180F8B"/>
    <w:rsid w:val="00181068"/>
    <w:rsid w:val="00184ACB"/>
    <w:rsid w:val="00186CF4"/>
    <w:rsid w:val="00187E5E"/>
    <w:rsid w:val="00191222"/>
    <w:rsid w:val="00191E9C"/>
    <w:rsid w:val="00193175"/>
    <w:rsid w:val="0019317A"/>
    <w:rsid w:val="00196A37"/>
    <w:rsid w:val="001A2FE5"/>
    <w:rsid w:val="001B39C8"/>
    <w:rsid w:val="001B4E9E"/>
    <w:rsid w:val="001C1C7E"/>
    <w:rsid w:val="001C3B1D"/>
    <w:rsid w:val="001C4217"/>
    <w:rsid w:val="001C6C8F"/>
    <w:rsid w:val="001D26AF"/>
    <w:rsid w:val="001D4DF5"/>
    <w:rsid w:val="001E0C28"/>
    <w:rsid w:val="001E156E"/>
    <w:rsid w:val="001E2D57"/>
    <w:rsid w:val="001F063B"/>
    <w:rsid w:val="002005E3"/>
    <w:rsid w:val="002026EE"/>
    <w:rsid w:val="00202D3A"/>
    <w:rsid w:val="00203BD5"/>
    <w:rsid w:val="00204324"/>
    <w:rsid w:val="00205B24"/>
    <w:rsid w:val="002069D0"/>
    <w:rsid w:val="002116BE"/>
    <w:rsid w:val="002123EC"/>
    <w:rsid w:val="00215B0D"/>
    <w:rsid w:val="00216627"/>
    <w:rsid w:val="002167C6"/>
    <w:rsid w:val="00217177"/>
    <w:rsid w:val="0022037C"/>
    <w:rsid w:val="00222100"/>
    <w:rsid w:val="00224DF8"/>
    <w:rsid w:val="00230E28"/>
    <w:rsid w:val="00232C17"/>
    <w:rsid w:val="0023373B"/>
    <w:rsid w:val="00233C30"/>
    <w:rsid w:val="002367F6"/>
    <w:rsid w:val="00236A31"/>
    <w:rsid w:val="00236F8A"/>
    <w:rsid w:val="002419CE"/>
    <w:rsid w:val="002473B9"/>
    <w:rsid w:val="00250AC0"/>
    <w:rsid w:val="00250B6D"/>
    <w:rsid w:val="00251799"/>
    <w:rsid w:val="0025247B"/>
    <w:rsid w:val="00252AFE"/>
    <w:rsid w:val="002566FD"/>
    <w:rsid w:val="00256DE7"/>
    <w:rsid w:val="00260C54"/>
    <w:rsid w:val="0026215C"/>
    <w:rsid w:val="00263FC7"/>
    <w:rsid w:val="0026452D"/>
    <w:rsid w:val="00265304"/>
    <w:rsid w:val="0026567D"/>
    <w:rsid w:val="002662BD"/>
    <w:rsid w:val="0026714D"/>
    <w:rsid w:val="00271FA7"/>
    <w:rsid w:val="002730F4"/>
    <w:rsid w:val="00274D5D"/>
    <w:rsid w:val="00276CC8"/>
    <w:rsid w:val="0028101E"/>
    <w:rsid w:val="002834EC"/>
    <w:rsid w:val="0028351D"/>
    <w:rsid w:val="002842B3"/>
    <w:rsid w:val="002905CE"/>
    <w:rsid w:val="00295D53"/>
    <w:rsid w:val="0029706E"/>
    <w:rsid w:val="002A0868"/>
    <w:rsid w:val="002A0CF2"/>
    <w:rsid w:val="002A24D1"/>
    <w:rsid w:val="002A3E4C"/>
    <w:rsid w:val="002A4902"/>
    <w:rsid w:val="002A563E"/>
    <w:rsid w:val="002A5786"/>
    <w:rsid w:val="002A780E"/>
    <w:rsid w:val="002B2F32"/>
    <w:rsid w:val="002B444A"/>
    <w:rsid w:val="002C4468"/>
    <w:rsid w:val="002C4E7F"/>
    <w:rsid w:val="002C5164"/>
    <w:rsid w:val="002C56FC"/>
    <w:rsid w:val="002C5E99"/>
    <w:rsid w:val="002C6280"/>
    <w:rsid w:val="002C6803"/>
    <w:rsid w:val="002D0C04"/>
    <w:rsid w:val="002D12F5"/>
    <w:rsid w:val="002D1A4C"/>
    <w:rsid w:val="002D75FA"/>
    <w:rsid w:val="002D7E40"/>
    <w:rsid w:val="002E1D63"/>
    <w:rsid w:val="002E6F62"/>
    <w:rsid w:val="002E77FB"/>
    <w:rsid w:val="002E7856"/>
    <w:rsid w:val="002F1444"/>
    <w:rsid w:val="002F5A93"/>
    <w:rsid w:val="002F5F79"/>
    <w:rsid w:val="002F6957"/>
    <w:rsid w:val="003000A0"/>
    <w:rsid w:val="00301DB2"/>
    <w:rsid w:val="00304178"/>
    <w:rsid w:val="00304370"/>
    <w:rsid w:val="00310906"/>
    <w:rsid w:val="00312ADF"/>
    <w:rsid w:val="003133EE"/>
    <w:rsid w:val="00314F46"/>
    <w:rsid w:val="003154A7"/>
    <w:rsid w:val="00315EED"/>
    <w:rsid w:val="00316F34"/>
    <w:rsid w:val="00321059"/>
    <w:rsid w:val="00321659"/>
    <w:rsid w:val="003222B0"/>
    <w:rsid w:val="003231C1"/>
    <w:rsid w:val="00324147"/>
    <w:rsid w:val="003267C7"/>
    <w:rsid w:val="00326AC2"/>
    <w:rsid w:val="003279F7"/>
    <w:rsid w:val="00337A57"/>
    <w:rsid w:val="00342696"/>
    <w:rsid w:val="00343655"/>
    <w:rsid w:val="00345CCA"/>
    <w:rsid w:val="00351E4F"/>
    <w:rsid w:val="00353472"/>
    <w:rsid w:val="00353AB6"/>
    <w:rsid w:val="003544B7"/>
    <w:rsid w:val="003563F7"/>
    <w:rsid w:val="00356FEF"/>
    <w:rsid w:val="00363D8E"/>
    <w:rsid w:val="00365BC2"/>
    <w:rsid w:val="00367CC3"/>
    <w:rsid w:val="0037126C"/>
    <w:rsid w:val="00374B46"/>
    <w:rsid w:val="00377E4C"/>
    <w:rsid w:val="00383118"/>
    <w:rsid w:val="00383296"/>
    <w:rsid w:val="00384F85"/>
    <w:rsid w:val="0038686A"/>
    <w:rsid w:val="00395BF3"/>
    <w:rsid w:val="0039649D"/>
    <w:rsid w:val="003A1EC2"/>
    <w:rsid w:val="003B0E78"/>
    <w:rsid w:val="003B1CBE"/>
    <w:rsid w:val="003B2FCF"/>
    <w:rsid w:val="003C0126"/>
    <w:rsid w:val="003C06D2"/>
    <w:rsid w:val="003C1808"/>
    <w:rsid w:val="003C1CA8"/>
    <w:rsid w:val="003C1D0F"/>
    <w:rsid w:val="003C35CC"/>
    <w:rsid w:val="003D66B6"/>
    <w:rsid w:val="003D7DD5"/>
    <w:rsid w:val="003E0535"/>
    <w:rsid w:val="003E1FB0"/>
    <w:rsid w:val="003E2EC9"/>
    <w:rsid w:val="003E5B6F"/>
    <w:rsid w:val="003E67D3"/>
    <w:rsid w:val="003F06DA"/>
    <w:rsid w:val="003F1144"/>
    <w:rsid w:val="003F2951"/>
    <w:rsid w:val="003F7C1B"/>
    <w:rsid w:val="004054D1"/>
    <w:rsid w:val="00406082"/>
    <w:rsid w:val="0041092C"/>
    <w:rsid w:val="00415EE9"/>
    <w:rsid w:val="004171D8"/>
    <w:rsid w:val="00417C9D"/>
    <w:rsid w:val="00427C83"/>
    <w:rsid w:val="00431041"/>
    <w:rsid w:val="004313F9"/>
    <w:rsid w:val="0043628A"/>
    <w:rsid w:val="004413C4"/>
    <w:rsid w:val="004448D9"/>
    <w:rsid w:val="00445ED9"/>
    <w:rsid w:val="0045553B"/>
    <w:rsid w:val="0045634E"/>
    <w:rsid w:val="004563A2"/>
    <w:rsid w:val="00456CC7"/>
    <w:rsid w:val="00461D12"/>
    <w:rsid w:val="00470EC1"/>
    <w:rsid w:val="00481A4B"/>
    <w:rsid w:val="00491978"/>
    <w:rsid w:val="0049590E"/>
    <w:rsid w:val="00496B33"/>
    <w:rsid w:val="004A0512"/>
    <w:rsid w:val="004A1722"/>
    <w:rsid w:val="004A211A"/>
    <w:rsid w:val="004B3FB5"/>
    <w:rsid w:val="004B4278"/>
    <w:rsid w:val="004B445C"/>
    <w:rsid w:val="004B5157"/>
    <w:rsid w:val="004B5CC7"/>
    <w:rsid w:val="004C04D7"/>
    <w:rsid w:val="004C3E44"/>
    <w:rsid w:val="004C52D8"/>
    <w:rsid w:val="004C6A09"/>
    <w:rsid w:val="004C732E"/>
    <w:rsid w:val="004C753A"/>
    <w:rsid w:val="004C7EC7"/>
    <w:rsid w:val="004D1959"/>
    <w:rsid w:val="004D5004"/>
    <w:rsid w:val="004E45AA"/>
    <w:rsid w:val="004E7AEB"/>
    <w:rsid w:val="004F0306"/>
    <w:rsid w:val="004F0B66"/>
    <w:rsid w:val="004F1B22"/>
    <w:rsid w:val="00506FBB"/>
    <w:rsid w:val="0051199F"/>
    <w:rsid w:val="00521730"/>
    <w:rsid w:val="00523F2B"/>
    <w:rsid w:val="005309E7"/>
    <w:rsid w:val="005316A1"/>
    <w:rsid w:val="005356F1"/>
    <w:rsid w:val="0053579D"/>
    <w:rsid w:val="005407CA"/>
    <w:rsid w:val="00541FB9"/>
    <w:rsid w:val="00542B18"/>
    <w:rsid w:val="00543460"/>
    <w:rsid w:val="005500B8"/>
    <w:rsid w:val="00554EC1"/>
    <w:rsid w:val="00556543"/>
    <w:rsid w:val="00561828"/>
    <w:rsid w:val="0056704A"/>
    <w:rsid w:val="00567EEC"/>
    <w:rsid w:val="005747D1"/>
    <w:rsid w:val="00576143"/>
    <w:rsid w:val="00576C21"/>
    <w:rsid w:val="00582BA0"/>
    <w:rsid w:val="005935F2"/>
    <w:rsid w:val="00594C73"/>
    <w:rsid w:val="00597518"/>
    <w:rsid w:val="005A11D0"/>
    <w:rsid w:val="005A2506"/>
    <w:rsid w:val="005B1AE6"/>
    <w:rsid w:val="005B1EAD"/>
    <w:rsid w:val="005B2C37"/>
    <w:rsid w:val="005B3C50"/>
    <w:rsid w:val="005B4C88"/>
    <w:rsid w:val="005B60E5"/>
    <w:rsid w:val="005C1B23"/>
    <w:rsid w:val="005C2339"/>
    <w:rsid w:val="005C3ABA"/>
    <w:rsid w:val="005C5385"/>
    <w:rsid w:val="005C5589"/>
    <w:rsid w:val="005C6CC4"/>
    <w:rsid w:val="005D39BB"/>
    <w:rsid w:val="005E0135"/>
    <w:rsid w:val="005E1ECC"/>
    <w:rsid w:val="005E4721"/>
    <w:rsid w:val="005E559C"/>
    <w:rsid w:val="005E6E7B"/>
    <w:rsid w:val="005F1378"/>
    <w:rsid w:val="0060160C"/>
    <w:rsid w:val="006048F9"/>
    <w:rsid w:val="006075A0"/>
    <w:rsid w:val="006151EC"/>
    <w:rsid w:val="00615876"/>
    <w:rsid w:val="00616573"/>
    <w:rsid w:val="00623ABA"/>
    <w:rsid w:val="00624670"/>
    <w:rsid w:val="00626233"/>
    <w:rsid w:val="0062706D"/>
    <w:rsid w:val="006273DC"/>
    <w:rsid w:val="00630637"/>
    <w:rsid w:val="006309D8"/>
    <w:rsid w:val="00631E60"/>
    <w:rsid w:val="00634B6C"/>
    <w:rsid w:val="006352D8"/>
    <w:rsid w:val="00643503"/>
    <w:rsid w:val="0064548B"/>
    <w:rsid w:val="00652581"/>
    <w:rsid w:val="00653681"/>
    <w:rsid w:val="006567EC"/>
    <w:rsid w:val="006570BF"/>
    <w:rsid w:val="0066278C"/>
    <w:rsid w:val="00677C2D"/>
    <w:rsid w:val="00683316"/>
    <w:rsid w:val="00683CB6"/>
    <w:rsid w:val="00683DBF"/>
    <w:rsid w:val="0068581B"/>
    <w:rsid w:val="0069009E"/>
    <w:rsid w:val="00691194"/>
    <w:rsid w:val="0069725B"/>
    <w:rsid w:val="006A1DE3"/>
    <w:rsid w:val="006A363A"/>
    <w:rsid w:val="006A774B"/>
    <w:rsid w:val="006B68EA"/>
    <w:rsid w:val="006B6C51"/>
    <w:rsid w:val="006B6EB7"/>
    <w:rsid w:val="006C4250"/>
    <w:rsid w:val="006D4724"/>
    <w:rsid w:val="006D55B8"/>
    <w:rsid w:val="006D76A0"/>
    <w:rsid w:val="006E1C23"/>
    <w:rsid w:val="006F03BB"/>
    <w:rsid w:val="006F251A"/>
    <w:rsid w:val="006F533F"/>
    <w:rsid w:val="006F53F7"/>
    <w:rsid w:val="00700B9E"/>
    <w:rsid w:val="007010E0"/>
    <w:rsid w:val="00701F76"/>
    <w:rsid w:val="007048FB"/>
    <w:rsid w:val="00704CAD"/>
    <w:rsid w:val="00707607"/>
    <w:rsid w:val="00707F42"/>
    <w:rsid w:val="00711971"/>
    <w:rsid w:val="007139A6"/>
    <w:rsid w:val="007141AD"/>
    <w:rsid w:val="007169D4"/>
    <w:rsid w:val="00716FF9"/>
    <w:rsid w:val="007210A5"/>
    <w:rsid w:val="0072353B"/>
    <w:rsid w:val="00724D77"/>
    <w:rsid w:val="00724EFF"/>
    <w:rsid w:val="00730429"/>
    <w:rsid w:val="00732908"/>
    <w:rsid w:val="00733A42"/>
    <w:rsid w:val="00734F14"/>
    <w:rsid w:val="00741B8A"/>
    <w:rsid w:val="00742009"/>
    <w:rsid w:val="00747F2F"/>
    <w:rsid w:val="007507A0"/>
    <w:rsid w:val="0075304C"/>
    <w:rsid w:val="007531F5"/>
    <w:rsid w:val="00763517"/>
    <w:rsid w:val="00764E03"/>
    <w:rsid w:val="00765344"/>
    <w:rsid w:val="0077224C"/>
    <w:rsid w:val="00774F52"/>
    <w:rsid w:val="00777055"/>
    <w:rsid w:val="00781CE9"/>
    <w:rsid w:val="00783057"/>
    <w:rsid w:val="0078400E"/>
    <w:rsid w:val="00784EC4"/>
    <w:rsid w:val="00792E13"/>
    <w:rsid w:val="007958C4"/>
    <w:rsid w:val="007A0A02"/>
    <w:rsid w:val="007A7C73"/>
    <w:rsid w:val="007B07A9"/>
    <w:rsid w:val="007B61C9"/>
    <w:rsid w:val="007B66B2"/>
    <w:rsid w:val="007C04A9"/>
    <w:rsid w:val="007C0D81"/>
    <w:rsid w:val="007C1320"/>
    <w:rsid w:val="007C5437"/>
    <w:rsid w:val="007C68FA"/>
    <w:rsid w:val="007C7FEE"/>
    <w:rsid w:val="007D0677"/>
    <w:rsid w:val="007D0DC6"/>
    <w:rsid w:val="007D68DB"/>
    <w:rsid w:val="007D74AF"/>
    <w:rsid w:val="007E0724"/>
    <w:rsid w:val="007E3690"/>
    <w:rsid w:val="007F3C42"/>
    <w:rsid w:val="007F3E29"/>
    <w:rsid w:val="007F528F"/>
    <w:rsid w:val="00802152"/>
    <w:rsid w:val="00802C19"/>
    <w:rsid w:val="00804ACD"/>
    <w:rsid w:val="00810C40"/>
    <w:rsid w:val="008111F1"/>
    <w:rsid w:val="00811C61"/>
    <w:rsid w:val="008125B0"/>
    <w:rsid w:val="00813548"/>
    <w:rsid w:val="00813EEE"/>
    <w:rsid w:val="00813FAD"/>
    <w:rsid w:val="008145AA"/>
    <w:rsid w:val="0081768F"/>
    <w:rsid w:val="00821E61"/>
    <w:rsid w:val="00827E6F"/>
    <w:rsid w:val="00832C1E"/>
    <w:rsid w:val="00835404"/>
    <w:rsid w:val="00837EA1"/>
    <w:rsid w:val="00837F30"/>
    <w:rsid w:val="00844D46"/>
    <w:rsid w:val="008454E7"/>
    <w:rsid w:val="00847C99"/>
    <w:rsid w:val="008516C5"/>
    <w:rsid w:val="00854FE7"/>
    <w:rsid w:val="008568A5"/>
    <w:rsid w:val="00857746"/>
    <w:rsid w:val="008578FC"/>
    <w:rsid w:val="00860E75"/>
    <w:rsid w:val="00867793"/>
    <w:rsid w:val="00871E9C"/>
    <w:rsid w:val="00873F5C"/>
    <w:rsid w:val="008750BF"/>
    <w:rsid w:val="0087624F"/>
    <w:rsid w:val="00876A58"/>
    <w:rsid w:val="00882F3B"/>
    <w:rsid w:val="00885941"/>
    <w:rsid w:val="00885EEF"/>
    <w:rsid w:val="00886264"/>
    <w:rsid w:val="0089426E"/>
    <w:rsid w:val="008A5AA6"/>
    <w:rsid w:val="008A6F22"/>
    <w:rsid w:val="008B23D8"/>
    <w:rsid w:val="008B44C9"/>
    <w:rsid w:val="008B5AE9"/>
    <w:rsid w:val="008B75D2"/>
    <w:rsid w:val="008C009F"/>
    <w:rsid w:val="008C019D"/>
    <w:rsid w:val="008C3B7C"/>
    <w:rsid w:val="008C700A"/>
    <w:rsid w:val="008D15CC"/>
    <w:rsid w:val="008D518B"/>
    <w:rsid w:val="008D53D2"/>
    <w:rsid w:val="008D6922"/>
    <w:rsid w:val="008D77F6"/>
    <w:rsid w:val="008D785B"/>
    <w:rsid w:val="008E3406"/>
    <w:rsid w:val="008E4323"/>
    <w:rsid w:val="008E7248"/>
    <w:rsid w:val="008F2EFD"/>
    <w:rsid w:val="008F607D"/>
    <w:rsid w:val="0090062C"/>
    <w:rsid w:val="00902677"/>
    <w:rsid w:val="0090328B"/>
    <w:rsid w:val="00905031"/>
    <w:rsid w:val="00912153"/>
    <w:rsid w:val="009174C7"/>
    <w:rsid w:val="009201E7"/>
    <w:rsid w:val="00921430"/>
    <w:rsid w:val="00924E8E"/>
    <w:rsid w:val="009259B8"/>
    <w:rsid w:val="00931977"/>
    <w:rsid w:val="0093199C"/>
    <w:rsid w:val="00932C7A"/>
    <w:rsid w:val="009335DC"/>
    <w:rsid w:val="00933759"/>
    <w:rsid w:val="00942D18"/>
    <w:rsid w:val="009500C1"/>
    <w:rsid w:val="0095401D"/>
    <w:rsid w:val="00956808"/>
    <w:rsid w:val="00956D8E"/>
    <w:rsid w:val="00961DA9"/>
    <w:rsid w:val="00962571"/>
    <w:rsid w:val="0096521C"/>
    <w:rsid w:val="00970096"/>
    <w:rsid w:val="009755E7"/>
    <w:rsid w:val="00976D72"/>
    <w:rsid w:val="009816D3"/>
    <w:rsid w:val="00983E27"/>
    <w:rsid w:val="00984068"/>
    <w:rsid w:val="00990044"/>
    <w:rsid w:val="00993E64"/>
    <w:rsid w:val="00995DA0"/>
    <w:rsid w:val="009961AA"/>
    <w:rsid w:val="0099749E"/>
    <w:rsid w:val="009A4088"/>
    <w:rsid w:val="009A4EBE"/>
    <w:rsid w:val="009B0093"/>
    <w:rsid w:val="009B304B"/>
    <w:rsid w:val="009C108E"/>
    <w:rsid w:val="009C17B7"/>
    <w:rsid w:val="009D0122"/>
    <w:rsid w:val="009D1276"/>
    <w:rsid w:val="009D2750"/>
    <w:rsid w:val="009D3C0C"/>
    <w:rsid w:val="009D4503"/>
    <w:rsid w:val="009D5FF6"/>
    <w:rsid w:val="009E5245"/>
    <w:rsid w:val="009F141A"/>
    <w:rsid w:val="009F31F2"/>
    <w:rsid w:val="00A0521B"/>
    <w:rsid w:val="00A11DDB"/>
    <w:rsid w:val="00A136B7"/>
    <w:rsid w:val="00A16D23"/>
    <w:rsid w:val="00A16D82"/>
    <w:rsid w:val="00A17C22"/>
    <w:rsid w:val="00A23828"/>
    <w:rsid w:val="00A256FB"/>
    <w:rsid w:val="00A3009E"/>
    <w:rsid w:val="00A327DB"/>
    <w:rsid w:val="00A3410B"/>
    <w:rsid w:val="00A3605D"/>
    <w:rsid w:val="00A37545"/>
    <w:rsid w:val="00A43FB7"/>
    <w:rsid w:val="00A45E27"/>
    <w:rsid w:val="00A50B68"/>
    <w:rsid w:val="00A612D5"/>
    <w:rsid w:val="00A6280D"/>
    <w:rsid w:val="00A66D25"/>
    <w:rsid w:val="00A701A2"/>
    <w:rsid w:val="00A72C3C"/>
    <w:rsid w:val="00A74BCD"/>
    <w:rsid w:val="00A77A97"/>
    <w:rsid w:val="00A82C38"/>
    <w:rsid w:val="00A83DFE"/>
    <w:rsid w:val="00A90119"/>
    <w:rsid w:val="00A905F7"/>
    <w:rsid w:val="00A90A9E"/>
    <w:rsid w:val="00A9115B"/>
    <w:rsid w:val="00A92487"/>
    <w:rsid w:val="00A926E1"/>
    <w:rsid w:val="00AA1F3E"/>
    <w:rsid w:val="00AA36E0"/>
    <w:rsid w:val="00AA3E2A"/>
    <w:rsid w:val="00AB059B"/>
    <w:rsid w:val="00AB137F"/>
    <w:rsid w:val="00AB13A7"/>
    <w:rsid w:val="00AB321F"/>
    <w:rsid w:val="00AB40ED"/>
    <w:rsid w:val="00AC07D5"/>
    <w:rsid w:val="00AC292B"/>
    <w:rsid w:val="00AC3BAF"/>
    <w:rsid w:val="00AD0A71"/>
    <w:rsid w:val="00AD4C76"/>
    <w:rsid w:val="00AD4D90"/>
    <w:rsid w:val="00AE265F"/>
    <w:rsid w:val="00AE2886"/>
    <w:rsid w:val="00AE33E8"/>
    <w:rsid w:val="00AE3C29"/>
    <w:rsid w:val="00AE63E0"/>
    <w:rsid w:val="00AF0F03"/>
    <w:rsid w:val="00AF31F5"/>
    <w:rsid w:val="00AF3D2A"/>
    <w:rsid w:val="00AF47B4"/>
    <w:rsid w:val="00B05645"/>
    <w:rsid w:val="00B06D30"/>
    <w:rsid w:val="00B12D3E"/>
    <w:rsid w:val="00B17A68"/>
    <w:rsid w:val="00B17DEB"/>
    <w:rsid w:val="00B252E6"/>
    <w:rsid w:val="00B25981"/>
    <w:rsid w:val="00B26C01"/>
    <w:rsid w:val="00B275BE"/>
    <w:rsid w:val="00B307A2"/>
    <w:rsid w:val="00B34F83"/>
    <w:rsid w:val="00B514A1"/>
    <w:rsid w:val="00B52433"/>
    <w:rsid w:val="00B543FC"/>
    <w:rsid w:val="00B550E8"/>
    <w:rsid w:val="00B55FAA"/>
    <w:rsid w:val="00B64449"/>
    <w:rsid w:val="00B657A5"/>
    <w:rsid w:val="00B679EB"/>
    <w:rsid w:val="00B72465"/>
    <w:rsid w:val="00B802A7"/>
    <w:rsid w:val="00B80C65"/>
    <w:rsid w:val="00B80D04"/>
    <w:rsid w:val="00B83343"/>
    <w:rsid w:val="00B838D3"/>
    <w:rsid w:val="00B8419B"/>
    <w:rsid w:val="00B852C0"/>
    <w:rsid w:val="00BA1489"/>
    <w:rsid w:val="00BA14F9"/>
    <w:rsid w:val="00BA2B3E"/>
    <w:rsid w:val="00BB03CA"/>
    <w:rsid w:val="00BB0CEC"/>
    <w:rsid w:val="00BC361E"/>
    <w:rsid w:val="00BC37A6"/>
    <w:rsid w:val="00BC39BF"/>
    <w:rsid w:val="00BC3E80"/>
    <w:rsid w:val="00BC4825"/>
    <w:rsid w:val="00BD1C07"/>
    <w:rsid w:val="00BD338F"/>
    <w:rsid w:val="00BD62F9"/>
    <w:rsid w:val="00BD63E1"/>
    <w:rsid w:val="00BE732A"/>
    <w:rsid w:val="00BE7334"/>
    <w:rsid w:val="00BF7C62"/>
    <w:rsid w:val="00C00A45"/>
    <w:rsid w:val="00C05830"/>
    <w:rsid w:val="00C1014C"/>
    <w:rsid w:val="00C164C6"/>
    <w:rsid w:val="00C21321"/>
    <w:rsid w:val="00C214A1"/>
    <w:rsid w:val="00C230CD"/>
    <w:rsid w:val="00C23186"/>
    <w:rsid w:val="00C262AA"/>
    <w:rsid w:val="00C27BD3"/>
    <w:rsid w:val="00C32377"/>
    <w:rsid w:val="00C36EF7"/>
    <w:rsid w:val="00C44339"/>
    <w:rsid w:val="00C472F4"/>
    <w:rsid w:val="00C52FE1"/>
    <w:rsid w:val="00C54005"/>
    <w:rsid w:val="00C54FF6"/>
    <w:rsid w:val="00C566F5"/>
    <w:rsid w:val="00C61D57"/>
    <w:rsid w:val="00C61E5F"/>
    <w:rsid w:val="00C625AD"/>
    <w:rsid w:val="00C65D68"/>
    <w:rsid w:val="00C67835"/>
    <w:rsid w:val="00C7031F"/>
    <w:rsid w:val="00C72278"/>
    <w:rsid w:val="00C7363A"/>
    <w:rsid w:val="00C75200"/>
    <w:rsid w:val="00C769EC"/>
    <w:rsid w:val="00C82706"/>
    <w:rsid w:val="00C855EF"/>
    <w:rsid w:val="00C86E7D"/>
    <w:rsid w:val="00C86F07"/>
    <w:rsid w:val="00C91381"/>
    <w:rsid w:val="00C91A6A"/>
    <w:rsid w:val="00CA4479"/>
    <w:rsid w:val="00CA5DA4"/>
    <w:rsid w:val="00CA6F19"/>
    <w:rsid w:val="00CA7584"/>
    <w:rsid w:val="00CB1391"/>
    <w:rsid w:val="00CB5961"/>
    <w:rsid w:val="00CB7F13"/>
    <w:rsid w:val="00CC033A"/>
    <w:rsid w:val="00CC128E"/>
    <w:rsid w:val="00CC1497"/>
    <w:rsid w:val="00CC4F0C"/>
    <w:rsid w:val="00CC5238"/>
    <w:rsid w:val="00CC57A6"/>
    <w:rsid w:val="00CD0EE5"/>
    <w:rsid w:val="00CD195E"/>
    <w:rsid w:val="00CE3561"/>
    <w:rsid w:val="00CE68DF"/>
    <w:rsid w:val="00CF0EFF"/>
    <w:rsid w:val="00CF1078"/>
    <w:rsid w:val="00CF2BCB"/>
    <w:rsid w:val="00CF33CE"/>
    <w:rsid w:val="00D00D77"/>
    <w:rsid w:val="00D11DA6"/>
    <w:rsid w:val="00D12319"/>
    <w:rsid w:val="00D1411A"/>
    <w:rsid w:val="00D1609F"/>
    <w:rsid w:val="00D205CF"/>
    <w:rsid w:val="00D21893"/>
    <w:rsid w:val="00D2218F"/>
    <w:rsid w:val="00D224D8"/>
    <w:rsid w:val="00D22A61"/>
    <w:rsid w:val="00D26227"/>
    <w:rsid w:val="00D26E33"/>
    <w:rsid w:val="00D27862"/>
    <w:rsid w:val="00D30A93"/>
    <w:rsid w:val="00D41BC8"/>
    <w:rsid w:val="00D43689"/>
    <w:rsid w:val="00D45FAC"/>
    <w:rsid w:val="00D50492"/>
    <w:rsid w:val="00D51E3B"/>
    <w:rsid w:val="00D5215C"/>
    <w:rsid w:val="00D5330E"/>
    <w:rsid w:val="00D546A5"/>
    <w:rsid w:val="00D61B53"/>
    <w:rsid w:val="00D67493"/>
    <w:rsid w:val="00D679DC"/>
    <w:rsid w:val="00D7028C"/>
    <w:rsid w:val="00D70C8D"/>
    <w:rsid w:val="00D71159"/>
    <w:rsid w:val="00D722B8"/>
    <w:rsid w:val="00D7602A"/>
    <w:rsid w:val="00D76D4E"/>
    <w:rsid w:val="00D82C00"/>
    <w:rsid w:val="00D8615C"/>
    <w:rsid w:val="00D86319"/>
    <w:rsid w:val="00D92A7F"/>
    <w:rsid w:val="00DA5C2A"/>
    <w:rsid w:val="00DA75E9"/>
    <w:rsid w:val="00DA770F"/>
    <w:rsid w:val="00DB09A0"/>
    <w:rsid w:val="00DB4E1E"/>
    <w:rsid w:val="00DB6AF6"/>
    <w:rsid w:val="00DC360A"/>
    <w:rsid w:val="00DC4325"/>
    <w:rsid w:val="00DC4AC4"/>
    <w:rsid w:val="00DD2A1B"/>
    <w:rsid w:val="00DD4DB7"/>
    <w:rsid w:val="00DD6BAF"/>
    <w:rsid w:val="00DE383E"/>
    <w:rsid w:val="00DE446D"/>
    <w:rsid w:val="00DE685A"/>
    <w:rsid w:val="00DE70DF"/>
    <w:rsid w:val="00DE74C7"/>
    <w:rsid w:val="00DE7BDB"/>
    <w:rsid w:val="00DF0BE7"/>
    <w:rsid w:val="00DF1802"/>
    <w:rsid w:val="00DF1BEC"/>
    <w:rsid w:val="00DF3C10"/>
    <w:rsid w:val="00E00CA9"/>
    <w:rsid w:val="00E01F24"/>
    <w:rsid w:val="00E02B6E"/>
    <w:rsid w:val="00E02F83"/>
    <w:rsid w:val="00E0647F"/>
    <w:rsid w:val="00E14CBE"/>
    <w:rsid w:val="00E16DA9"/>
    <w:rsid w:val="00E1725B"/>
    <w:rsid w:val="00E235F7"/>
    <w:rsid w:val="00E23F1A"/>
    <w:rsid w:val="00E3685B"/>
    <w:rsid w:val="00E411F4"/>
    <w:rsid w:val="00E43A7E"/>
    <w:rsid w:val="00E44745"/>
    <w:rsid w:val="00E4756B"/>
    <w:rsid w:val="00E51250"/>
    <w:rsid w:val="00E52A40"/>
    <w:rsid w:val="00E53766"/>
    <w:rsid w:val="00E64295"/>
    <w:rsid w:val="00E704F5"/>
    <w:rsid w:val="00E70FA5"/>
    <w:rsid w:val="00E711D6"/>
    <w:rsid w:val="00E73333"/>
    <w:rsid w:val="00E76A9A"/>
    <w:rsid w:val="00E81316"/>
    <w:rsid w:val="00E81C8B"/>
    <w:rsid w:val="00E8390A"/>
    <w:rsid w:val="00E867F6"/>
    <w:rsid w:val="00E923C4"/>
    <w:rsid w:val="00E9365D"/>
    <w:rsid w:val="00E97419"/>
    <w:rsid w:val="00EA0068"/>
    <w:rsid w:val="00EA4B82"/>
    <w:rsid w:val="00EA65CA"/>
    <w:rsid w:val="00EB0DE0"/>
    <w:rsid w:val="00EB1066"/>
    <w:rsid w:val="00EB52C1"/>
    <w:rsid w:val="00EB5CE6"/>
    <w:rsid w:val="00EB76A7"/>
    <w:rsid w:val="00EC12B5"/>
    <w:rsid w:val="00EC1845"/>
    <w:rsid w:val="00EC2420"/>
    <w:rsid w:val="00EC28EE"/>
    <w:rsid w:val="00EC7B85"/>
    <w:rsid w:val="00ED25FB"/>
    <w:rsid w:val="00ED2BB4"/>
    <w:rsid w:val="00ED2C12"/>
    <w:rsid w:val="00ED2F20"/>
    <w:rsid w:val="00ED2FC9"/>
    <w:rsid w:val="00ED3CA8"/>
    <w:rsid w:val="00EF355C"/>
    <w:rsid w:val="00EF5AB5"/>
    <w:rsid w:val="00EF6455"/>
    <w:rsid w:val="00EF70A7"/>
    <w:rsid w:val="00F04F68"/>
    <w:rsid w:val="00F14E85"/>
    <w:rsid w:val="00F20CE2"/>
    <w:rsid w:val="00F2109C"/>
    <w:rsid w:val="00F243E0"/>
    <w:rsid w:val="00F267BF"/>
    <w:rsid w:val="00F27BDA"/>
    <w:rsid w:val="00F315C3"/>
    <w:rsid w:val="00F327F8"/>
    <w:rsid w:val="00F32B93"/>
    <w:rsid w:val="00F33721"/>
    <w:rsid w:val="00F345FF"/>
    <w:rsid w:val="00F34789"/>
    <w:rsid w:val="00F35EBF"/>
    <w:rsid w:val="00F46271"/>
    <w:rsid w:val="00F46F9F"/>
    <w:rsid w:val="00F47A99"/>
    <w:rsid w:val="00F50781"/>
    <w:rsid w:val="00F5088D"/>
    <w:rsid w:val="00F53317"/>
    <w:rsid w:val="00F56681"/>
    <w:rsid w:val="00F60154"/>
    <w:rsid w:val="00F60C04"/>
    <w:rsid w:val="00F627A3"/>
    <w:rsid w:val="00F67102"/>
    <w:rsid w:val="00F67914"/>
    <w:rsid w:val="00F67E05"/>
    <w:rsid w:val="00F724E4"/>
    <w:rsid w:val="00F7315A"/>
    <w:rsid w:val="00F75E43"/>
    <w:rsid w:val="00F760DD"/>
    <w:rsid w:val="00F77D4E"/>
    <w:rsid w:val="00F815D0"/>
    <w:rsid w:val="00F84ED2"/>
    <w:rsid w:val="00F9041D"/>
    <w:rsid w:val="00FA1235"/>
    <w:rsid w:val="00FA1816"/>
    <w:rsid w:val="00FA20A7"/>
    <w:rsid w:val="00FA2B61"/>
    <w:rsid w:val="00FA3A8A"/>
    <w:rsid w:val="00FA6219"/>
    <w:rsid w:val="00FA728B"/>
    <w:rsid w:val="00FA72C0"/>
    <w:rsid w:val="00FB035B"/>
    <w:rsid w:val="00FB2C95"/>
    <w:rsid w:val="00FB46D5"/>
    <w:rsid w:val="00FC07D0"/>
    <w:rsid w:val="00FC18D9"/>
    <w:rsid w:val="00FC5635"/>
    <w:rsid w:val="00FC7AD7"/>
    <w:rsid w:val="00FD2500"/>
    <w:rsid w:val="00FD2850"/>
    <w:rsid w:val="00FD3F3E"/>
    <w:rsid w:val="00FE13AB"/>
    <w:rsid w:val="00FE1BA8"/>
    <w:rsid w:val="00FE51C1"/>
    <w:rsid w:val="00FF2C21"/>
    <w:rsid w:val="00FF3DE9"/>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A9498"/>
  <w15:docId w15:val="{2423DBDA-B992-49B8-8424-47E25210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7F2F"/>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747F2F"/>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47F2F"/>
    <w:rPr>
      <w:bCs/>
    </w:rPr>
  </w:style>
  <w:style w:type="character" w:customStyle="1" w:styleId="Ppogrubienie">
    <w:name w:val="_P_ – pogrubienie"/>
    <w:basedOn w:val="Domylnaczcionkaakapitu"/>
    <w:uiPriority w:val="1"/>
    <w:qFormat/>
    <w:rsid w:val="00747F2F"/>
    <w:rPr>
      <w:b/>
    </w:rPr>
  </w:style>
  <w:style w:type="character" w:customStyle="1" w:styleId="IGindeksgrny">
    <w:name w:val="_IG_ – indeks górny"/>
    <w:basedOn w:val="Domylnaczcionkaakapitu"/>
    <w:uiPriority w:val="2"/>
    <w:qFormat/>
    <w:rsid w:val="007D74AF"/>
    <w:rPr>
      <w:b w:val="0"/>
      <w:i w:val="0"/>
      <w:vanish w:val="0"/>
      <w:spacing w:val="0"/>
      <w:vertAlign w:val="superscript"/>
    </w:rPr>
  </w:style>
  <w:style w:type="character" w:customStyle="1" w:styleId="articletitle">
    <w:name w:val="articletitle"/>
    <w:basedOn w:val="Domylnaczcionkaakapitu"/>
    <w:rsid w:val="002662BD"/>
  </w:style>
  <w:style w:type="paragraph" w:styleId="NormalnyWeb">
    <w:name w:val="Normal (Web)"/>
    <w:basedOn w:val="Normalny"/>
    <w:uiPriority w:val="99"/>
    <w:semiHidden/>
    <w:unhideWhenUsed/>
    <w:rsid w:val="004B3FB5"/>
    <w:pPr>
      <w:widowControl/>
      <w:autoSpaceDE/>
      <w:autoSpaceDN/>
      <w:adjustRightInd/>
      <w:spacing w:before="100" w:beforeAutospacing="1" w:after="100" w:afterAutospacing="1" w:line="240" w:lineRule="auto"/>
    </w:pPr>
    <w:rPr>
      <w:rFonts w:eastAsia="Times New Roman" w:cs="Times New Roman"/>
      <w:szCs w:val="24"/>
    </w:rPr>
  </w:style>
  <w:style w:type="character" w:styleId="Hipercze">
    <w:name w:val="Hyperlink"/>
    <w:basedOn w:val="Domylnaczcionkaakapitu"/>
    <w:uiPriority w:val="99"/>
    <w:semiHidden/>
    <w:unhideWhenUsed/>
    <w:rsid w:val="004B3FB5"/>
    <w:rPr>
      <w:color w:val="0000FF"/>
      <w:u w:val="single"/>
    </w:rPr>
  </w:style>
  <w:style w:type="character" w:customStyle="1" w:styleId="csec-nr">
    <w:name w:val="c_sec-nr"/>
    <w:basedOn w:val="Domylnaczcionkaakapitu"/>
    <w:rsid w:val="004B3FB5"/>
  </w:style>
  <w:style w:type="character" w:styleId="Odwoaniedokomentarza">
    <w:name w:val="annotation reference"/>
    <w:basedOn w:val="Domylnaczcionkaakapitu"/>
    <w:uiPriority w:val="99"/>
    <w:semiHidden/>
    <w:rsid w:val="00FA1235"/>
    <w:rPr>
      <w:sz w:val="16"/>
      <w:szCs w:val="16"/>
    </w:rPr>
  </w:style>
  <w:style w:type="paragraph" w:styleId="Tekstkomentarza">
    <w:name w:val="annotation text"/>
    <w:basedOn w:val="Normalny"/>
    <w:link w:val="TekstkomentarzaZnak"/>
    <w:uiPriority w:val="99"/>
    <w:rsid w:val="00FA1235"/>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FA1235"/>
    <w:rPr>
      <w:rFonts w:ascii="Times" w:eastAsia="Times New Roman" w:hAnsi="Times" w:cs="Times New Roman"/>
      <w:sz w:val="24"/>
      <w:szCs w:val="24"/>
      <w:lang w:eastAsia="pl-PL"/>
    </w:rPr>
  </w:style>
  <w:style w:type="paragraph" w:styleId="Tekstdymka">
    <w:name w:val="Balloon Text"/>
    <w:basedOn w:val="Normalny"/>
    <w:link w:val="TekstdymkaZnak"/>
    <w:uiPriority w:val="99"/>
    <w:semiHidden/>
    <w:unhideWhenUsed/>
    <w:rsid w:val="00FA123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1235"/>
    <w:rPr>
      <w:rFonts w:ascii="Tahoma" w:eastAsiaTheme="minorEastAsia" w:hAnsi="Tahoma" w:cs="Tahoma"/>
      <w:sz w:val="16"/>
      <w:szCs w:val="16"/>
      <w:lang w:eastAsia="pl-PL"/>
    </w:rPr>
  </w:style>
  <w:style w:type="paragraph" w:customStyle="1" w:styleId="ZUSTzmustartykuempunktem">
    <w:name w:val="Z/UST(§) – zm. ust. (§) artykułem (punktem)"/>
    <w:basedOn w:val="Normalny"/>
    <w:uiPriority w:val="30"/>
    <w:qFormat/>
    <w:rsid w:val="009A4088"/>
    <w:pPr>
      <w:widowControl/>
      <w:suppressAutoHyphens/>
      <w:ind w:left="510" w:firstLine="510"/>
      <w:jc w:val="both"/>
    </w:pPr>
    <w:rPr>
      <w:rFonts w:ascii="Times" w:hAnsi="Times"/>
    </w:rPr>
  </w:style>
  <w:style w:type="paragraph" w:styleId="Tematkomentarza">
    <w:name w:val="annotation subject"/>
    <w:basedOn w:val="Tekstkomentarza"/>
    <w:next w:val="Tekstkomentarza"/>
    <w:link w:val="TematkomentarzaZnak"/>
    <w:uiPriority w:val="99"/>
    <w:semiHidden/>
    <w:unhideWhenUsed/>
    <w:rsid w:val="00932C7A"/>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932C7A"/>
    <w:rPr>
      <w:rFonts w:ascii="Times New Roman" w:eastAsiaTheme="minorEastAsia" w:hAnsi="Times New Roman" w:cs="Arial"/>
      <w:b/>
      <w:bCs/>
      <w:sz w:val="20"/>
      <w:szCs w:val="20"/>
      <w:lang w:eastAsia="pl-PL"/>
    </w:rPr>
  </w:style>
  <w:style w:type="paragraph" w:styleId="Nagwek">
    <w:name w:val="header"/>
    <w:basedOn w:val="Normalny"/>
    <w:link w:val="NagwekZnak"/>
    <w:uiPriority w:val="99"/>
    <w:unhideWhenUsed/>
    <w:rsid w:val="00683CB6"/>
    <w:pPr>
      <w:tabs>
        <w:tab w:val="center" w:pos="4536"/>
        <w:tab w:val="right" w:pos="9072"/>
      </w:tabs>
      <w:spacing w:line="240" w:lineRule="auto"/>
    </w:pPr>
  </w:style>
  <w:style w:type="character" w:customStyle="1" w:styleId="NagwekZnak">
    <w:name w:val="Nagłówek Znak"/>
    <w:basedOn w:val="Domylnaczcionkaakapitu"/>
    <w:link w:val="Nagwek"/>
    <w:uiPriority w:val="99"/>
    <w:rsid w:val="00683CB6"/>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683CB6"/>
    <w:pPr>
      <w:tabs>
        <w:tab w:val="center" w:pos="4536"/>
        <w:tab w:val="right" w:pos="9072"/>
      </w:tabs>
      <w:spacing w:line="240" w:lineRule="auto"/>
    </w:pPr>
  </w:style>
  <w:style w:type="character" w:customStyle="1" w:styleId="StopkaZnak">
    <w:name w:val="Stopka Znak"/>
    <w:basedOn w:val="Domylnaczcionkaakapitu"/>
    <w:link w:val="Stopka"/>
    <w:uiPriority w:val="99"/>
    <w:rsid w:val="00683CB6"/>
    <w:rPr>
      <w:rFonts w:ascii="Times New Roman" w:eastAsiaTheme="minorEastAsia" w:hAnsi="Times New Roman" w:cs="Arial"/>
      <w:sz w:val="24"/>
      <w:szCs w:val="20"/>
      <w:lang w:eastAsia="pl-PL"/>
    </w:rPr>
  </w:style>
  <w:style w:type="paragraph" w:styleId="Poprawka">
    <w:name w:val="Revision"/>
    <w:hidden/>
    <w:uiPriority w:val="99"/>
    <w:semiHidden/>
    <w:rsid w:val="009A4EBE"/>
    <w:pPr>
      <w:spacing w:after="0" w:line="240" w:lineRule="auto"/>
    </w:pPr>
    <w:rPr>
      <w:rFonts w:ascii="Times New Roman" w:eastAsiaTheme="minorEastAsia" w:hAnsi="Times New Roman" w:cs="Arial"/>
      <w:sz w:val="24"/>
      <w:szCs w:val="20"/>
      <w:lang w:eastAsia="pl-PL"/>
    </w:rPr>
  </w:style>
  <w:style w:type="paragraph" w:styleId="Tekstprzypisudolnego">
    <w:name w:val="footnote text"/>
    <w:basedOn w:val="Normalny"/>
    <w:link w:val="TekstprzypisudolnegoZnak"/>
    <w:uiPriority w:val="99"/>
    <w:semiHidden/>
    <w:unhideWhenUsed/>
    <w:rsid w:val="00F77D4E"/>
    <w:pPr>
      <w:widowControl/>
      <w:autoSpaceDE/>
      <w:autoSpaceDN/>
      <w:adjustRightInd/>
      <w:spacing w:line="240" w:lineRule="auto"/>
    </w:pPr>
    <w:rPr>
      <w:rFonts w:asciiTheme="minorHAnsi" w:hAnsiTheme="minorHAnsi" w:cstheme="minorBidi"/>
      <w:sz w:val="20"/>
    </w:rPr>
  </w:style>
  <w:style w:type="character" w:customStyle="1" w:styleId="TekstprzypisudolnegoZnak">
    <w:name w:val="Tekst przypisu dolnego Znak"/>
    <w:basedOn w:val="Domylnaczcionkaakapitu"/>
    <w:link w:val="Tekstprzypisudolnego"/>
    <w:uiPriority w:val="99"/>
    <w:semiHidden/>
    <w:rsid w:val="00F77D4E"/>
    <w:rPr>
      <w:rFonts w:eastAsiaTheme="minorEastAsia"/>
      <w:sz w:val="20"/>
      <w:szCs w:val="20"/>
      <w:lang w:eastAsia="pl-PL"/>
    </w:rPr>
  </w:style>
  <w:style w:type="character" w:styleId="Odwoanieprzypisudolnego">
    <w:name w:val="footnote reference"/>
    <w:basedOn w:val="Domylnaczcionkaakapitu"/>
    <w:uiPriority w:val="99"/>
    <w:semiHidden/>
    <w:unhideWhenUsed/>
    <w:rsid w:val="00F7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012">
      <w:bodyDiv w:val="1"/>
      <w:marLeft w:val="0"/>
      <w:marRight w:val="0"/>
      <w:marTop w:val="0"/>
      <w:marBottom w:val="0"/>
      <w:divBdr>
        <w:top w:val="none" w:sz="0" w:space="0" w:color="auto"/>
        <w:left w:val="none" w:sz="0" w:space="0" w:color="auto"/>
        <w:bottom w:val="none" w:sz="0" w:space="0" w:color="auto"/>
        <w:right w:val="none" w:sz="0" w:space="0" w:color="auto"/>
      </w:divBdr>
    </w:div>
    <w:div w:id="85425738">
      <w:bodyDiv w:val="1"/>
      <w:marLeft w:val="0"/>
      <w:marRight w:val="0"/>
      <w:marTop w:val="0"/>
      <w:marBottom w:val="0"/>
      <w:divBdr>
        <w:top w:val="none" w:sz="0" w:space="0" w:color="auto"/>
        <w:left w:val="none" w:sz="0" w:space="0" w:color="auto"/>
        <w:bottom w:val="none" w:sz="0" w:space="0" w:color="auto"/>
        <w:right w:val="none" w:sz="0" w:space="0" w:color="auto"/>
      </w:divBdr>
    </w:div>
    <w:div w:id="108937384">
      <w:bodyDiv w:val="1"/>
      <w:marLeft w:val="0"/>
      <w:marRight w:val="0"/>
      <w:marTop w:val="0"/>
      <w:marBottom w:val="0"/>
      <w:divBdr>
        <w:top w:val="none" w:sz="0" w:space="0" w:color="auto"/>
        <w:left w:val="none" w:sz="0" w:space="0" w:color="auto"/>
        <w:bottom w:val="none" w:sz="0" w:space="0" w:color="auto"/>
        <w:right w:val="none" w:sz="0" w:space="0" w:color="auto"/>
      </w:divBdr>
    </w:div>
    <w:div w:id="780805373">
      <w:bodyDiv w:val="1"/>
      <w:marLeft w:val="0"/>
      <w:marRight w:val="0"/>
      <w:marTop w:val="0"/>
      <w:marBottom w:val="0"/>
      <w:divBdr>
        <w:top w:val="none" w:sz="0" w:space="0" w:color="auto"/>
        <w:left w:val="none" w:sz="0" w:space="0" w:color="auto"/>
        <w:bottom w:val="none" w:sz="0" w:space="0" w:color="auto"/>
        <w:right w:val="none" w:sz="0" w:space="0" w:color="auto"/>
      </w:divBdr>
    </w:div>
    <w:div w:id="1690833661">
      <w:bodyDiv w:val="1"/>
      <w:marLeft w:val="0"/>
      <w:marRight w:val="0"/>
      <w:marTop w:val="0"/>
      <w:marBottom w:val="0"/>
      <w:divBdr>
        <w:top w:val="none" w:sz="0" w:space="0" w:color="auto"/>
        <w:left w:val="none" w:sz="0" w:space="0" w:color="auto"/>
        <w:bottom w:val="none" w:sz="0" w:space="0" w:color="auto"/>
        <w:right w:val="none" w:sz="0" w:space="0" w:color="auto"/>
      </w:divBdr>
      <w:divsChild>
        <w:div w:id="3676008">
          <w:marLeft w:val="0"/>
          <w:marRight w:val="0"/>
          <w:marTop w:val="150"/>
          <w:marBottom w:val="168"/>
          <w:divBdr>
            <w:top w:val="none" w:sz="0" w:space="0" w:color="auto"/>
            <w:left w:val="none" w:sz="0" w:space="0" w:color="auto"/>
            <w:bottom w:val="none" w:sz="0" w:space="0" w:color="auto"/>
            <w:right w:val="none" w:sz="0" w:space="0" w:color="auto"/>
          </w:divBdr>
        </w:div>
        <w:div w:id="404886749">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1925334147">
          <w:marLeft w:val="0"/>
          <w:marRight w:val="0"/>
          <w:marTop w:val="0"/>
          <w:marBottom w:val="0"/>
          <w:divBdr>
            <w:top w:val="none" w:sz="0" w:space="0" w:color="auto"/>
            <w:left w:val="none" w:sz="0" w:space="0" w:color="auto"/>
            <w:bottom w:val="none" w:sz="0" w:space="0" w:color="auto"/>
            <w:right w:val="none" w:sz="0" w:space="0" w:color="auto"/>
          </w:divBdr>
        </w:div>
        <w:div w:id="1927761243">
          <w:marLeft w:val="0"/>
          <w:marRight w:val="0"/>
          <w:marTop w:val="0"/>
          <w:marBottom w:val="0"/>
          <w:divBdr>
            <w:top w:val="none" w:sz="0" w:space="0" w:color="auto"/>
            <w:left w:val="none" w:sz="0" w:space="0" w:color="auto"/>
            <w:bottom w:val="none" w:sz="0" w:space="0" w:color="auto"/>
            <w:right w:val="none" w:sz="0" w:space="0" w:color="auto"/>
          </w:divBdr>
        </w:div>
      </w:divsChild>
    </w:div>
    <w:div w:id="1716394137">
      <w:bodyDiv w:val="1"/>
      <w:marLeft w:val="0"/>
      <w:marRight w:val="0"/>
      <w:marTop w:val="0"/>
      <w:marBottom w:val="0"/>
      <w:divBdr>
        <w:top w:val="none" w:sz="0" w:space="0" w:color="auto"/>
        <w:left w:val="none" w:sz="0" w:space="0" w:color="auto"/>
        <w:bottom w:val="none" w:sz="0" w:space="0" w:color="auto"/>
        <w:right w:val="none" w:sz="0" w:space="0" w:color="auto"/>
      </w:divBdr>
      <w:divsChild>
        <w:div w:id="180709693">
          <w:marLeft w:val="0"/>
          <w:marRight w:val="0"/>
          <w:marTop w:val="0"/>
          <w:marBottom w:val="0"/>
          <w:divBdr>
            <w:top w:val="none" w:sz="0" w:space="0" w:color="auto"/>
            <w:left w:val="none" w:sz="0" w:space="0" w:color="auto"/>
            <w:bottom w:val="none" w:sz="0" w:space="0" w:color="auto"/>
            <w:right w:val="none" w:sz="0" w:space="0" w:color="auto"/>
          </w:divBdr>
          <w:divsChild>
            <w:div w:id="179634600">
              <w:marLeft w:val="0"/>
              <w:marRight w:val="0"/>
              <w:marTop w:val="240"/>
              <w:marBottom w:val="0"/>
              <w:divBdr>
                <w:top w:val="none" w:sz="0" w:space="0" w:color="auto"/>
                <w:left w:val="none" w:sz="0" w:space="0" w:color="auto"/>
                <w:bottom w:val="none" w:sz="0" w:space="0" w:color="auto"/>
                <w:right w:val="none" w:sz="0" w:space="0" w:color="auto"/>
              </w:divBdr>
            </w:div>
          </w:divsChild>
        </w:div>
        <w:div w:id="1780565721">
          <w:marLeft w:val="0"/>
          <w:marRight w:val="0"/>
          <w:marTop w:val="0"/>
          <w:marBottom w:val="0"/>
          <w:divBdr>
            <w:top w:val="none" w:sz="0" w:space="0" w:color="auto"/>
            <w:left w:val="none" w:sz="0" w:space="0" w:color="auto"/>
            <w:bottom w:val="none" w:sz="0" w:space="0" w:color="auto"/>
            <w:right w:val="none" w:sz="0" w:space="0" w:color="auto"/>
          </w:divBdr>
        </w:div>
      </w:divsChild>
    </w:div>
    <w:div w:id="19436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D259-CF29-48AB-A200-D991F971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2266</Words>
  <Characters>13597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Srokowska Agata  (DPE)</dc:creator>
  <cp:lastModifiedBy>Pracownik</cp:lastModifiedBy>
  <cp:revision>12</cp:revision>
  <cp:lastPrinted>2024-08-20T08:43:00Z</cp:lastPrinted>
  <dcterms:created xsi:type="dcterms:W3CDTF">2025-01-10T14:43:00Z</dcterms:created>
  <dcterms:modified xsi:type="dcterms:W3CDTF">2025-01-13T12:24:00Z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UxC4dwLulzfINJ8nQH+xvX5LNGipWa4BRSZhPgxsCvlW6aBRJwjR3fZnSVDwHAsyyW/0L+3FhSF+reWYyNvQHg==</vt:lpwstr>
  </property>
  <property fmtid="{D5CDD505-2E9C-101B-9397-08002B2CF9AE}" pid="4" name="MFClassificationDate">
    <vt:lpwstr>2023-07-28T13:22:36.4461860+02:00</vt:lpwstr>
  </property>
  <property fmtid="{D5CDD505-2E9C-101B-9397-08002B2CF9AE}" pid="5" name="MFClassifiedBySID">
    <vt:lpwstr>UxC4dwLulzfINJ8nQH+xvX5LNGipWa4BRSZhPgxsCvm42mrIC/DSDv0ggS+FjUN/2v1BBotkLlY5aAiEhoi6ubv9isMOAeM5z941Jz7ugbTlMPBd+BpNvHUl2I8SjDYu</vt:lpwstr>
  </property>
  <property fmtid="{D5CDD505-2E9C-101B-9397-08002B2CF9AE}" pid="6" name="MFGRNItemId">
    <vt:lpwstr>GRN-0f4c7ef6-e1cf-499d-b2f4-98d0c72da7f1</vt:lpwstr>
  </property>
  <property fmtid="{D5CDD505-2E9C-101B-9397-08002B2CF9AE}" pid="7" name="MFHash">
    <vt:lpwstr>bF749IXNgWF8CpUYYHpgTxeMZij1a7ZCs4mfZ/QO8gA=</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