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E368" w14:textId="77777777" w:rsidR="00203F73" w:rsidRPr="00F45C75" w:rsidRDefault="00203F73" w:rsidP="00203F73">
      <w:pPr>
        <w:pStyle w:val="OZNRODZAKTUtznustawalubrozporzdzenieiorganwydajcy"/>
      </w:pPr>
      <w:bookmarkStart w:id="0" w:name="_Hlk178014943"/>
      <w:r>
        <w:t xml:space="preserve">Autopoprawka </w:t>
      </w:r>
    </w:p>
    <w:p w14:paraId="0AFF9558" w14:textId="77777777" w:rsidR="006B57C7" w:rsidRDefault="00203F73" w:rsidP="006B57C7">
      <w:pPr>
        <w:pStyle w:val="TYTUAKTUprzedmiotregulacjiustawylubrozporzdzenia"/>
        <w:spacing w:after="0"/>
      </w:pPr>
      <w:r w:rsidRPr="0062244B">
        <w:t xml:space="preserve">do </w:t>
      </w:r>
      <w:r>
        <w:t xml:space="preserve">poselskiego </w:t>
      </w:r>
      <w:r w:rsidRPr="0062244B">
        <w:t xml:space="preserve">projektu ustawy o zmianie ustawy o sejmowej komisji śledczej </w:t>
      </w:r>
    </w:p>
    <w:p w14:paraId="37D4E87F" w14:textId="28C43A5C" w:rsidR="00203F73" w:rsidRPr="001F7E0A" w:rsidRDefault="00203F73" w:rsidP="00203F73">
      <w:pPr>
        <w:pStyle w:val="TYTUAKTUprzedmiotregulacjiustawylubrozporzdzenia"/>
        <w:rPr>
          <w:rStyle w:val="IGindeksgrny"/>
        </w:rPr>
      </w:pPr>
      <w:r w:rsidRPr="0062244B">
        <w:t>(numer w</w:t>
      </w:r>
      <w:r>
        <w:t xml:space="preserve"> wykazie projektów wniesionych:</w:t>
      </w:r>
      <w:r w:rsidRPr="0062244B">
        <w:t xml:space="preserve"> SH-020-168/24)</w:t>
      </w:r>
      <w:r>
        <w:rPr>
          <w:rStyle w:val="IGPindeksgrnyipogrubienie"/>
        </w:rPr>
        <w:t xml:space="preserve"> </w:t>
      </w:r>
    </w:p>
    <w:p w14:paraId="7DE81032" w14:textId="77777777" w:rsidR="00203F73" w:rsidRPr="00F45C75" w:rsidRDefault="00203F73" w:rsidP="006B57C7">
      <w:pPr>
        <w:pStyle w:val="ARTartustawynprozporzdzenia"/>
        <w:spacing w:after="120"/>
      </w:pPr>
      <w:r>
        <w:t>W</w:t>
      </w:r>
      <w:r w:rsidRPr="00F45C75">
        <w:t>prowadza się następujące zmiany:</w:t>
      </w:r>
    </w:p>
    <w:p w14:paraId="4AC259FB" w14:textId="77777777" w:rsidR="00203F73" w:rsidRPr="00BD41B1" w:rsidRDefault="00203F73" w:rsidP="006B57C7">
      <w:pPr>
        <w:pStyle w:val="PKTpunkt"/>
        <w:spacing w:after="120"/>
      </w:pPr>
      <w:r>
        <w:t>1)</w:t>
      </w:r>
      <w:r>
        <w:tab/>
        <w:t>w art. 1:</w:t>
      </w:r>
    </w:p>
    <w:p w14:paraId="1D02C9ED" w14:textId="77777777" w:rsidR="00203F73" w:rsidRDefault="00203F73" w:rsidP="00203F73">
      <w:pPr>
        <w:pStyle w:val="LITlitera"/>
      </w:pPr>
      <w:r>
        <w:t>a)</w:t>
      </w:r>
      <w:r w:rsidRPr="00C632A1">
        <w:t xml:space="preserve"> </w:t>
      </w:r>
      <w:r>
        <w:t>w pkt 1:</w:t>
      </w:r>
    </w:p>
    <w:p w14:paraId="0F09577A" w14:textId="77777777" w:rsidR="00203F73" w:rsidRDefault="00203F73" w:rsidP="00203F73">
      <w:pPr>
        <w:pStyle w:val="TIRtiret"/>
      </w:pPr>
      <w:r>
        <w:t>–</w:t>
      </w:r>
      <w:r>
        <w:tab/>
        <w:t>lit. a otrzymuje brzmienie:</w:t>
      </w:r>
    </w:p>
    <w:p w14:paraId="746D96A5" w14:textId="77777777" w:rsidR="00203F73" w:rsidRDefault="00203F73" w:rsidP="00203F73">
      <w:pPr>
        <w:pStyle w:val="ZTIRPKTzmpkttiret"/>
      </w:pPr>
      <w:r>
        <w:t>„</w:t>
      </w:r>
      <w:r w:rsidRPr="005A1A2B">
        <w:t>a</w:t>
      </w:r>
      <w:r>
        <w:t>)</w:t>
      </w:r>
      <w:r w:rsidRPr="005A1A2B">
        <w:t xml:space="preserve"> </w:t>
      </w:r>
      <w:r w:rsidRPr="00B62E4A">
        <w:rPr>
          <w:rFonts w:eastAsia="Times"/>
        </w:rPr>
        <w:t>ust. 1 otrzymuje brzmienie</w:t>
      </w:r>
      <w:r>
        <w:rPr>
          <w:rFonts w:eastAsia="Times"/>
        </w:rPr>
        <w:t>:</w:t>
      </w:r>
    </w:p>
    <w:p w14:paraId="2B39220B" w14:textId="77777777" w:rsidR="00203F73" w:rsidRDefault="00203F73" w:rsidP="00203F73">
      <w:pPr>
        <w:pStyle w:val="ZLITUSTzmustliter"/>
      </w:pPr>
      <w:r>
        <w:t>„</w:t>
      </w:r>
      <w:r w:rsidRPr="007F3C14">
        <w:t>1. </w:t>
      </w:r>
      <w:r w:rsidRPr="0062244B">
        <w:t xml:space="preserve">Komisję powołuje </w:t>
      </w:r>
      <w:r w:rsidRPr="00C632A1">
        <w:t xml:space="preserve">oraz wybiera i odwołuje jej skład osobowy </w:t>
      </w:r>
      <w:r w:rsidRPr="0062244B">
        <w:t xml:space="preserve">Sejm </w:t>
      </w:r>
      <w:r>
        <w:t>większością 115 głosów.</w:t>
      </w:r>
      <w:r w:rsidRPr="00B62E4A">
        <w:rPr>
          <w:rFonts w:eastAsia="Times"/>
        </w:rPr>
        <w:t>”</w:t>
      </w:r>
      <w:r>
        <w:t>,</w:t>
      </w:r>
      <w:r w:rsidRPr="001D6A3D">
        <w:t>”,</w:t>
      </w:r>
    </w:p>
    <w:p w14:paraId="49DBBB44" w14:textId="461D5F95" w:rsidR="00203F73" w:rsidRDefault="00203F73" w:rsidP="00203F73">
      <w:pPr>
        <w:pStyle w:val="TIRtiret"/>
      </w:pPr>
      <w:r>
        <w:t>–</w:t>
      </w:r>
      <w:r>
        <w:tab/>
      </w:r>
      <w:r w:rsidR="00BB71FA">
        <w:t>skreśla</w:t>
      </w:r>
      <w:r>
        <w:t xml:space="preserve"> się lit. b,</w:t>
      </w:r>
    </w:p>
    <w:p w14:paraId="0DABED2F" w14:textId="77777777" w:rsidR="00203F73" w:rsidRDefault="00203F73" w:rsidP="00203F73">
      <w:pPr>
        <w:pStyle w:val="TIRtiret"/>
      </w:pPr>
      <w:r>
        <w:t>–</w:t>
      </w:r>
      <w:r w:rsidRPr="00140251">
        <w:t xml:space="preserve"> </w:t>
      </w:r>
      <w:r>
        <w:tab/>
        <w:t>lit. d otrzymuje brzmienie:</w:t>
      </w:r>
    </w:p>
    <w:p w14:paraId="17B6D082" w14:textId="77777777" w:rsidR="00203F73" w:rsidRDefault="00203F73" w:rsidP="00203F73">
      <w:pPr>
        <w:pStyle w:val="ZLITUSTzmustliter"/>
      </w:pPr>
      <w:r>
        <w:t>„d)</w:t>
      </w:r>
      <w:r w:rsidRPr="005A1A2B">
        <w:t xml:space="preserve"> </w:t>
      </w:r>
      <w:r w:rsidRPr="00C632A1">
        <w:t>po ust. 2 dodaje się ust. 2a</w:t>
      </w:r>
      <w:r>
        <w:t>-2e</w:t>
      </w:r>
      <w:r w:rsidRPr="00C632A1">
        <w:t xml:space="preserve"> </w:t>
      </w:r>
      <w:r>
        <w:t>w brzmieniu:</w:t>
      </w:r>
    </w:p>
    <w:p w14:paraId="5B69DA0D" w14:textId="1427010A" w:rsidR="00203F73" w:rsidRPr="00B62E4A" w:rsidRDefault="00203F73" w:rsidP="00203F73">
      <w:pPr>
        <w:pStyle w:val="ZLITUSTzmustliter"/>
      </w:pPr>
      <w:r w:rsidRPr="00B62E4A">
        <w:t xml:space="preserve">„2a. Prezydium Sejmu ustala liczbę członków klubu lub koła poselskiego wchodzących w skład komisji </w:t>
      </w:r>
      <w:r w:rsidR="00E256A4">
        <w:t>zgodnie z ust. 2b-2e</w:t>
      </w:r>
      <w:r w:rsidRPr="00B62E4A">
        <w:t>.</w:t>
      </w:r>
    </w:p>
    <w:p w14:paraId="06DF01DD" w14:textId="77777777" w:rsidR="00203F73" w:rsidRPr="00B62E4A" w:rsidRDefault="00203F73" w:rsidP="00203F73">
      <w:pPr>
        <w:pStyle w:val="ZLITUSTzmustliter"/>
      </w:pPr>
      <w:r w:rsidRPr="00B62E4A">
        <w:t>2b. Oblicza się iloraz liczby członków klubu lub koła i liczby 460.</w:t>
      </w:r>
    </w:p>
    <w:p w14:paraId="3457264C" w14:textId="5E18C6F1" w:rsidR="00203F73" w:rsidRPr="00B62E4A" w:rsidRDefault="00203F73" w:rsidP="00203F73">
      <w:pPr>
        <w:pStyle w:val="ZLITUSTzmustliter"/>
      </w:pPr>
      <w:r w:rsidRPr="00B62E4A">
        <w:t>2c.</w:t>
      </w:r>
      <w:r w:rsidR="006B57C7">
        <w:t xml:space="preserve"> Iloraz, o którym mowa w ust. 2b</w:t>
      </w:r>
      <w:r w:rsidRPr="00B62E4A">
        <w:t>, mnoży się przez liczbę członków komisji.</w:t>
      </w:r>
    </w:p>
    <w:p w14:paraId="0E64EF21" w14:textId="11DB8CCA" w:rsidR="00203F73" w:rsidRPr="00B62E4A" w:rsidRDefault="00203F73" w:rsidP="00203F73">
      <w:pPr>
        <w:pStyle w:val="ZLITUSTzmustliter"/>
      </w:pPr>
      <w:r w:rsidRPr="00B62E4A">
        <w:t xml:space="preserve">2d. Wartość liczby całkowitej (przed przecinkiem) uzyskanego w ten sposób iloczynu oznacza liczbę </w:t>
      </w:r>
      <w:r w:rsidR="00A93CC2">
        <w:t>posłów</w:t>
      </w:r>
      <w:r w:rsidRPr="00B62E4A">
        <w:t xml:space="preserve"> danego klubu lub koła </w:t>
      </w:r>
      <w:r>
        <w:t>wchodzących w skład</w:t>
      </w:r>
      <w:r w:rsidRPr="00B62E4A">
        <w:t xml:space="preserve"> komisji.</w:t>
      </w:r>
    </w:p>
    <w:p w14:paraId="51367D55" w14:textId="45B0062C" w:rsidR="00203F73" w:rsidRDefault="00203F73" w:rsidP="00203F73">
      <w:pPr>
        <w:pStyle w:val="ZLITUSTzmustliter"/>
      </w:pPr>
      <w:r w:rsidRPr="00B62E4A">
        <w:t>2e. W przypadku gdy nie wszystkie miejsca w komisji zostaną przyporządkowane klubom lub kołom, pozostałe miejsca przydziela się tym klubom lub kołom, dla których wyliczone iloczyny wykazują po przecinku kolejno najwyższe</w:t>
      </w:r>
      <w:r w:rsidR="00A93CC2">
        <w:t xml:space="preserve"> wartości, uwzględniając także</w:t>
      </w:r>
      <w:r w:rsidRPr="00B62E4A">
        <w:t xml:space="preserve"> te, które nie uzyskały jeszcze żadnego miejsca w komisji.”</w:t>
      </w:r>
      <w:r w:rsidR="00086F5B">
        <w:t>.”</w:t>
      </w:r>
      <w:r>
        <w:t>,</w:t>
      </w:r>
    </w:p>
    <w:p w14:paraId="3273167F" w14:textId="7794ED08" w:rsidR="00203F73" w:rsidRDefault="00203F73" w:rsidP="00203F73">
      <w:pPr>
        <w:pStyle w:val="LITlitera"/>
      </w:pPr>
      <w:r>
        <w:t>b)</w:t>
      </w:r>
      <w:r>
        <w:tab/>
        <w:t>dodaje się pkt 3 w brzmieniu:</w:t>
      </w:r>
    </w:p>
    <w:p w14:paraId="0432E034" w14:textId="193DF4D1" w:rsidR="00203F73" w:rsidRDefault="00203F73" w:rsidP="00203F73">
      <w:pPr>
        <w:pStyle w:val="ZLITPKTzmpktliter"/>
      </w:pPr>
      <w:r w:rsidRPr="00823BD4">
        <w:t>„</w:t>
      </w:r>
      <w:r>
        <w:t>3)</w:t>
      </w:r>
      <w:r>
        <w:tab/>
        <w:t xml:space="preserve">w art. 5a wyrazy </w:t>
      </w:r>
      <w:r w:rsidRPr="00DA5742">
        <w:t>„art. 2 ust. 1 i 2”</w:t>
      </w:r>
      <w:r>
        <w:t xml:space="preserve"> zastępuje się wyrazami </w:t>
      </w:r>
      <w:r w:rsidRPr="00DA5742">
        <w:t>„art. 2 us</w:t>
      </w:r>
      <w:r>
        <w:t>t. 1-</w:t>
      </w:r>
      <w:r w:rsidRPr="00DA5742">
        <w:t>2</w:t>
      </w:r>
      <w:r>
        <w:t>e</w:t>
      </w:r>
      <w:r w:rsidRPr="00DA5742">
        <w:t>”</w:t>
      </w:r>
      <w:r>
        <w:t>.</w:t>
      </w:r>
      <w:bookmarkEnd w:id="0"/>
      <w:r w:rsidR="00CD0F63">
        <w:t>”.</w:t>
      </w:r>
    </w:p>
    <w:p w14:paraId="4C425E82" w14:textId="5CF6BCC1" w:rsidR="00CD0F63" w:rsidRPr="00F45C75" w:rsidRDefault="00CD0F63" w:rsidP="00203F73">
      <w:pPr>
        <w:pStyle w:val="ZLITPKTzmpktliter"/>
      </w:pPr>
    </w:p>
    <w:p w14:paraId="0000002B" w14:textId="6CF74119" w:rsidR="005F5A13" w:rsidRDefault="005F5A13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10"/>
        <w:jc w:val="both"/>
        <w:rPr>
          <w:rFonts w:ascii="Times" w:eastAsia="Times" w:hAnsi="Times" w:cs="Times"/>
          <w:sz w:val="24"/>
          <w:szCs w:val="24"/>
        </w:rPr>
      </w:pPr>
    </w:p>
    <w:p w14:paraId="64894A74" w14:textId="77777777" w:rsidR="00203F73" w:rsidRDefault="00203F73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10"/>
        <w:jc w:val="both"/>
        <w:rPr>
          <w:rFonts w:ascii="Times" w:eastAsia="Times" w:hAnsi="Times" w:cs="Times"/>
          <w:sz w:val="24"/>
          <w:szCs w:val="24"/>
        </w:rPr>
      </w:pPr>
    </w:p>
    <w:p w14:paraId="0000002C" w14:textId="0028359B" w:rsidR="005F5A13" w:rsidRDefault="000220D7">
      <w:pPr>
        <w:keepNext/>
        <w:spacing w:after="120" w:line="360" w:lineRule="auto"/>
        <w:jc w:val="center"/>
        <w:rPr>
          <w:rFonts w:ascii="Times" w:eastAsia="Times" w:hAnsi="Times" w:cs="Times"/>
          <w:b/>
          <w:smallCaps/>
          <w:sz w:val="24"/>
          <w:szCs w:val="24"/>
        </w:rPr>
      </w:pPr>
      <w:r>
        <w:rPr>
          <w:rFonts w:ascii="Times" w:eastAsia="Times" w:hAnsi="Times" w:cs="Times"/>
          <w:b/>
          <w:smallCaps/>
          <w:sz w:val="24"/>
          <w:szCs w:val="24"/>
        </w:rPr>
        <w:lastRenderedPageBreak/>
        <w:t xml:space="preserve">UZASADNIENIE </w:t>
      </w:r>
    </w:p>
    <w:p w14:paraId="219D383A" w14:textId="77777777" w:rsidR="00EB5C95" w:rsidRDefault="00EB5C95">
      <w:pPr>
        <w:keepNext/>
        <w:spacing w:after="12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14:paraId="0000002D" w14:textId="78E5A9C6" w:rsidR="005F5A13" w:rsidRDefault="000220D7" w:rsidP="00A365CD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Autopoprawka wprowadza dwie istotne zmiany</w:t>
      </w:r>
      <w:r w:rsidR="00A93CC2">
        <w:rPr>
          <w:rFonts w:ascii="Times" w:eastAsia="Times" w:hAnsi="Times" w:cs="Times"/>
          <w:sz w:val="24"/>
          <w:szCs w:val="24"/>
        </w:rPr>
        <w:t>: dotyczącą</w:t>
      </w:r>
      <w:r>
        <w:rPr>
          <w:rFonts w:ascii="Times" w:eastAsia="Times" w:hAnsi="Times" w:cs="Times"/>
          <w:sz w:val="24"/>
          <w:szCs w:val="24"/>
        </w:rPr>
        <w:t xml:space="preserve"> procedury powoływania komisji śledczej or</w:t>
      </w:r>
      <w:r w:rsidR="00A365CD">
        <w:rPr>
          <w:rFonts w:ascii="Times" w:eastAsia="Times" w:hAnsi="Times" w:cs="Times"/>
          <w:sz w:val="24"/>
          <w:szCs w:val="24"/>
        </w:rPr>
        <w:t>az sposobu ustalania jej składu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2F" w14:textId="7909B8F3" w:rsidR="005F5A13" w:rsidRDefault="00A365CD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Pierwsza </w:t>
      </w:r>
      <w:r w:rsidR="000220D7">
        <w:rPr>
          <w:rFonts w:ascii="Times" w:eastAsia="Times" w:hAnsi="Times" w:cs="Times"/>
          <w:sz w:val="24"/>
          <w:szCs w:val="24"/>
        </w:rPr>
        <w:t xml:space="preserve">zmiana wprowadza wymóg uzyskania </w:t>
      </w:r>
      <w:r>
        <w:rPr>
          <w:rFonts w:ascii="Times" w:eastAsia="Times" w:hAnsi="Times" w:cs="Times"/>
          <w:sz w:val="24"/>
          <w:szCs w:val="24"/>
        </w:rPr>
        <w:t xml:space="preserve">poparcia </w:t>
      </w:r>
      <w:r w:rsidR="000220D7">
        <w:rPr>
          <w:rFonts w:ascii="Times" w:eastAsia="Times" w:hAnsi="Times" w:cs="Times"/>
          <w:sz w:val="24"/>
          <w:szCs w:val="24"/>
        </w:rPr>
        <w:t xml:space="preserve">115 </w:t>
      </w:r>
      <w:r>
        <w:rPr>
          <w:rFonts w:ascii="Times" w:eastAsia="Times" w:hAnsi="Times" w:cs="Times"/>
          <w:sz w:val="24"/>
          <w:szCs w:val="24"/>
        </w:rPr>
        <w:t>posłów</w:t>
      </w:r>
      <w:r w:rsidR="000220D7">
        <w:rPr>
          <w:rFonts w:ascii="Times" w:eastAsia="Times" w:hAnsi="Times" w:cs="Times"/>
          <w:sz w:val="24"/>
          <w:szCs w:val="24"/>
        </w:rPr>
        <w:t xml:space="preserve"> w </w:t>
      </w:r>
      <w:r>
        <w:rPr>
          <w:rFonts w:ascii="Times" w:eastAsia="Times" w:hAnsi="Times" w:cs="Times"/>
          <w:sz w:val="24"/>
          <w:szCs w:val="24"/>
        </w:rPr>
        <w:t>celu powołania komisji śledczej. Z</w:t>
      </w:r>
      <w:r w:rsidR="000220D7">
        <w:rPr>
          <w:rFonts w:ascii="Times" w:eastAsia="Times" w:hAnsi="Times" w:cs="Times"/>
          <w:sz w:val="24"/>
          <w:szCs w:val="24"/>
        </w:rPr>
        <w:t>większ</w:t>
      </w:r>
      <w:r w:rsidR="00A93CC2">
        <w:rPr>
          <w:rFonts w:ascii="Times" w:eastAsia="Times" w:hAnsi="Times" w:cs="Times"/>
          <w:sz w:val="24"/>
          <w:szCs w:val="24"/>
        </w:rPr>
        <w:t>y to uprawnienia</w:t>
      </w:r>
      <w:r>
        <w:rPr>
          <w:rFonts w:ascii="Times" w:eastAsia="Times" w:hAnsi="Times" w:cs="Times"/>
          <w:sz w:val="24"/>
          <w:szCs w:val="24"/>
        </w:rPr>
        <w:t xml:space="preserve"> opozycji parlamentarnej, która z istoty rzeczy nie dysponuje większością w izbie, więc nie jest w stanie przeforsować swojego stanowiska. Z perspektywy funkcji kontrolnej legislatywy istotne jest, aby parlament mógł realizować swoje konstytucyjne obowiązki także w przypadku sprzeciwu czy braku zainteresowania </w:t>
      </w:r>
      <w:r w:rsidR="00A93CC2">
        <w:rPr>
          <w:rFonts w:ascii="Times" w:eastAsia="Times" w:hAnsi="Times" w:cs="Times"/>
          <w:sz w:val="24"/>
          <w:szCs w:val="24"/>
        </w:rPr>
        <w:t>zbadaniem</w:t>
      </w:r>
      <w:r>
        <w:rPr>
          <w:rFonts w:ascii="Times" w:eastAsia="Times" w:hAnsi="Times" w:cs="Times"/>
          <w:sz w:val="24"/>
          <w:szCs w:val="24"/>
        </w:rPr>
        <w:t xml:space="preserve"> danej sprawy przez aktualną większość</w:t>
      </w:r>
      <w:r w:rsidR="006B57C7">
        <w:rPr>
          <w:rFonts w:ascii="Times" w:eastAsia="Times" w:hAnsi="Times" w:cs="Times"/>
          <w:sz w:val="24"/>
          <w:szCs w:val="24"/>
        </w:rPr>
        <w:t xml:space="preserve"> rządowo-sejmową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30" w14:textId="14583436" w:rsidR="005F5A13" w:rsidRDefault="00EB5C95">
      <w:pPr>
        <w:spacing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Druga zmiana dotyczy sposobu ustalania składu politycznego komisji. </w:t>
      </w:r>
      <w:r w:rsidR="000220D7">
        <w:rPr>
          <w:rFonts w:ascii="Times" w:eastAsia="Times" w:hAnsi="Times" w:cs="Times"/>
          <w:sz w:val="24"/>
          <w:szCs w:val="24"/>
        </w:rPr>
        <w:t xml:space="preserve">Obecnie </w:t>
      </w:r>
      <w:r>
        <w:rPr>
          <w:rFonts w:ascii="Times" w:eastAsia="Times" w:hAnsi="Times" w:cs="Times"/>
          <w:sz w:val="24"/>
          <w:szCs w:val="24"/>
        </w:rPr>
        <w:t>obowiązująca</w:t>
      </w:r>
      <w:r w:rsidR="000220D7">
        <w:rPr>
          <w:rFonts w:ascii="Times" w:eastAsia="Times" w:hAnsi="Times" w:cs="Times"/>
          <w:sz w:val="24"/>
          <w:szCs w:val="24"/>
        </w:rPr>
        <w:t xml:space="preserve"> metoda </w:t>
      </w:r>
      <w:r>
        <w:rPr>
          <w:rFonts w:ascii="Times" w:eastAsia="Times" w:hAnsi="Times" w:cs="Times"/>
          <w:sz w:val="24"/>
          <w:szCs w:val="24"/>
        </w:rPr>
        <w:t>(„</w:t>
      </w:r>
      <w:r w:rsidRPr="00EB5C95">
        <w:rPr>
          <w:rFonts w:ascii="Times" w:eastAsia="Times" w:hAnsi="Times" w:cs="Times"/>
          <w:sz w:val="24"/>
          <w:szCs w:val="24"/>
        </w:rPr>
        <w:t>odpowiednio do jej liczebności</w:t>
      </w:r>
      <w:r>
        <w:rPr>
          <w:rFonts w:ascii="Times" w:eastAsia="Times" w:hAnsi="Times" w:cs="Times"/>
          <w:sz w:val="24"/>
          <w:szCs w:val="24"/>
        </w:rPr>
        <w:t>”)</w:t>
      </w:r>
      <w:r w:rsidRPr="00EB5C95">
        <w:rPr>
          <w:rFonts w:ascii="Times" w:eastAsia="Times" w:hAnsi="Times" w:cs="Times"/>
          <w:sz w:val="24"/>
          <w:szCs w:val="24"/>
        </w:rPr>
        <w:t xml:space="preserve"> </w:t>
      </w:r>
      <w:r w:rsidR="000220D7">
        <w:rPr>
          <w:rFonts w:ascii="Times" w:eastAsia="Times" w:hAnsi="Times" w:cs="Times"/>
          <w:sz w:val="24"/>
          <w:szCs w:val="24"/>
        </w:rPr>
        <w:t>jest nieprecyzyjna i może prowadzić do sporów interpretacyjnych przy ustalaniu reprezentacji klubów i kół poselskich w składzie komisji śledczej. Wprowadzenie metody Hare’a-Niemeyera jako podstawy ustalan</w:t>
      </w:r>
      <w:r>
        <w:rPr>
          <w:rFonts w:ascii="Times" w:eastAsia="Times" w:hAnsi="Times" w:cs="Times"/>
          <w:sz w:val="24"/>
          <w:szCs w:val="24"/>
        </w:rPr>
        <w:t>ia składu komisji pozwoli</w:t>
      </w:r>
      <w:r w:rsidR="000220D7">
        <w:rPr>
          <w:rFonts w:ascii="Times" w:eastAsia="Times" w:hAnsi="Times" w:cs="Times"/>
          <w:sz w:val="24"/>
          <w:szCs w:val="24"/>
        </w:rPr>
        <w:t xml:space="preserve"> na precyzyjne i powszechnie akceptowane rozwiązanie, które gwarantuje proporcjonalny podział miejsc zgodnie z </w:t>
      </w:r>
      <w:r w:rsidR="006B57C7">
        <w:rPr>
          <w:rFonts w:ascii="Times" w:eastAsia="Times" w:hAnsi="Times" w:cs="Times"/>
          <w:sz w:val="24"/>
          <w:szCs w:val="24"/>
        </w:rPr>
        <w:t>wielkością</w:t>
      </w:r>
      <w:r w:rsidR="000220D7">
        <w:rPr>
          <w:rFonts w:ascii="Times" w:eastAsia="Times" w:hAnsi="Times" w:cs="Times"/>
          <w:sz w:val="24"/>
          <w:szCs w:val="24"/>
        </w:rPr>
        <w:t xml:space="preserve"> poszczególnych ugrupowań w Sejmie.</w:t>
      </w:r>
    </w:p>
    <w:p w14:paraId="417DA782" w14:textId="77777777" w:rsidR="00A93CC2" w:rsidRDefault="000220D7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Metoda Hare’a-Niemeyera jest szeroko </w:t>
      </w:r>
      <w:r w:rsidR="00EB5C95">
        <w:rPr>
          <w:rFonts w:ascii="Times" w:eastAsia="Times" w:hAnsi="Times" w:cs="Times"/>
          <w:sz w:val="24"/>
          <w:szCs w:val="24"/>
        </w:rPr>
        <w:t>stosowana</w:t>
      </w:r>
      <w:r>
        <w:rPr>
          <w:rFonts w:ascii="Times" w:eastAsia="Times" w:hAnsi="Times" w:cs="Times"/>
          <w:sz w:val="24"/>
          <w:szCs w:val="24"/>
        </w:rPr>
        <w:t xml:space="preserve"> w praktyce wyborczej</w:t>
      </w:r>
      <w:r w:rsidR="00EB5C95">
        <w:rPr>
          <w:rFonts w:ascii="Times" w:eastAsia="Times" w:hAnsi="Times" w:cs="Times"/>
          <w:sz w:val="24"/>
          <w:szCs w:val="24"/>
        </w:rPr>
        <w:t>, także w prawie polskim (zob. art. 358 Kodeksu wyborczego)</w:t>
      </w:r>
      <w:r>
        <w:rPr>
          <w:rFonts w:ascii="Times" w:eastAsia="Times" w:hAnsi="Times" w:cs="Times"/>
          <w:sz w:val="24"/>
          <w:szCs w:val="24"/>
        </w:rPr>
        <w:t xml:space="preserve"> i zapewnia, że każdy klub lub koło poselskie będzie reprezentowane w sposób adekwatny do liczby swoich członków. Umożliwia to wyważone uwzględnienie interesów zarówno większych ugrupowań, jak i mniejszych </w:t>
      </w:r>
      <w:r w:rsidR="00A93CC2">
        <w:rPr>
          <w:rFonts w:ascii="Times" w:eastAsia="Times" w:hAnsi="Times" w:cs="Times"/>
          <w:sz w:val="24"/>
          <w:szCs w:val="24"/>
        </w:rPr>
        <w:t>sił</w:t>
      </w:r>
      <w:r>
        <w:rPr>
          <w:rFonts w:ascii="Times" w:eastAsia="Times" w:hAnsi="Times" w:cs="Times"/>
          <w:sz w:val="24"/>
          <w:szCs w:val="24"/>
        </w:rPr>
        <w:t xml:space="preserve"> parlamentarnych, co w pełni realizuje zasadę pluralizmu </w:t>
      </w:r>
      <w:r w:rsidR="00A93CC2">
        <w:rPr>
          <w:rFonts w:ascii="Times" w:eastAsia="Times" w:hAnsi="Times" w:cs="Times"/>
          <w:sz w:val="24"/>
          <w:szCs w:val="24"/>
        </w:rPr>
        <w:t xml:space="preserve">i proporcjonalności </w:t>
      </w:r>
      <w:r>
        <w:rPr>
          <w:rFonts w:ascii="Times" w:eastAsia="Times" w:hAnsi="Times" w:cs="Times"/>
          <w:sz w:val="24"/>
          <w:szCs w:val="24"/>
        </w:rPr>
        <w:t>w pracach komisji śledczej.</w:t>
      </w:r>
      <w:r w:rsidR="00EB5C95">
        <w:rPr>
          <w:rFonts w:ascii="Times" w:eastAsia="Times" w:hAnsi="Times" w:cs="Times"/>
          <w:sz w:val="24"/>
          <w:szCs w:val="24"/>
        </w:rPr>
        <w:t xml:space="preserve"> </w:t>
      </w:r>
    </w:p>
    <w:p w14:paraId="00000031" w14:textId="28EE4715" w:rsidR="005F5A13" w:rsidRDefault="00A93CC2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Nadmienić także warto, iż w</w:t>
      </w:r>
      <w:r w:rsidR="00EB5C95">
        <w:rPr>
          <w:rFonts w:ascii="Times" w:eastAsia="Times" w:hAnsi="Times" w:cs="Times"/>
          <w:sz w:val="24"/>
          <w:szCs w:val="24"/>
        </w:rPr>
        <w:t xml:space="preserve"> bardzo podobny sposób ustalany jest skład Komisji</w:t>
      </w:r>
      <w:r w:rsidR="00EB5C95" w:rsidRPr="00EB5C95">
        <w:rPr>
          <w:rFonts w:ascii="Times" w:eastAsia="Times" w:hAnsi="Times" w:cs="Times"/>
          <w:sz w:val="24"/>
          <w:szCs w:val="24"/>
        </w:rPr>
        <w:t xml:space="preserve"> do Spraw Unii Europejskiej</w:t>
      </w:r>
      <w:r w:rsidR="00EB5C95">
        <w:rPr>
          <w:rFonts w:ascii="Times" w:eastAsia="Times" w:hAnsi="Times" w:cs="Times"/>
          <w:sz w:val="24"/>
          <w:szCs w:val="24"/>
        </w:rPr>
        <w:t xml:space="preserve"> Sejmu (art. 148a ust. 3 regulaminu Sejmu).</w:t>
      </w:r>
    </w:p>
    <w:p w14:paraId="48171697" w14:textId="3799AB1D" w:rsidR="00BB71FA" w:rsidRDefault="007C57C0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 w:rsidRPr="007C57C0">
        <w:rPr>
          <w:rFonts w:ascii="Times" w:eastAsia="Times" w:hAnsi="Times" w:cs="Times"/>
          <w:sz w:val="24"/>
          <w:szCs w:val="24"/>
        </w:rPr>
        <w:t>Autopoprawka jest zgodna z prawem Unii Europejskiej.</w:t>
      </w:r>
    </w:p>
    <w:p w14:paraId="4C903ECC" w14:textId="77777777" w:rsidR="00BB71FA" w:rsidRDefault="00BB71FA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</w:p>
    <w:p w14:paraId="00000032" w14:textId="77777777" w:rsidR="005F5A13" w:rsidRDefault="005F5A13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10"/>
        <w:jc w:val="both"/>
        <w:rPr>
          <w:rFonts w:ascii="Times" w:eastAsia="Times" w:hAnsi="Times" w:cs="Times"/>
          <w:sz w:val="24"/>
          <w:szCs w:val="24"/>
        </w:rPr>
      </w:pPr>
    </w:p>
    <w:sectPr w:rsidR="005F5A13">
      <w:headerReference w:type="default" r:id="rId8"/>
      <w:pgSz w:w="11906" w:h="16838"/>
      <w:pgMar w:top="1560" w:right="1434" w:bottom="1560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C878" w14:textId="77777777" w:rsidR="009137D1" w:rsidRDefault="009137D1">
      <w:pPr>
        <w:spacing w:after="0" w:line="240" w:lineRule="auto"/>
      </w:pPr>
      <w:r>
        <w:separator/>
      </w:r>
    </w:p>
  </w:endnote>
  <w:endnote w:type="continuationSeparator" w:id="0">
    <w:p w14:paraId="6E8361A6" w14:textId="77777777" w:rsidR="009137D1" w:rsidRDefault="0091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9D13" w14:textId="77777777" w:rsidR="009137D1" w:rsidRDefault="009137D1">
      <w:pPr>
        <w:spacing w:after="0" w:line="240" w:lineRule="auto"/>
      </w:pPr>
      <w:r>
        <w:separator/>
      </w:r>
    </w:p>
  </w:footnote>
  <w:footnote w:type="continuationSeparator" w:id="0">
    <w:p w14:paraId="01168125" w14:textId="77777777" w:rsidR="009137D1" w:rsidRDefault="0091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3" w14:textId="5155884C" w:rsidR="005F5A13" w:rsidRDefault="000220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– </w:t>
    </w: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445BFB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32EB2"/>
    <w:multiLevelType w:val="hybridMultilevel"/>
    <w:tmpl w:val="1E20F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4746E"/>
    <w:multiLevelType w:val="hybridMultilevel"/>
    <w:tmpl w:val="0E3A31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87502">
    <w:abstractNumId w:val="1"/>
  </w:num>
  <w:num w:numId="2" w16cid:durableId="149633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13"/>
    <w:rsid w:val="00020D47"/>
    <w:rsid w:val="000220D7"/>
    <w:rsid w:val="00086F5B"/>
    <w:rsid w:val="00103991"/>
    <w:rsid w:val="00156216"/>
    <w:rsid w:val="00203F73"/>
    <w:rsid w:val="002F3C19"/>
    <w:rsid w:val="00445BFB"/>
    <w:rsid w:val="005F5A13"/>
    <w:rsid w:val="006948F1"/>
    <w:rsid w:val="006B57C7"/>
    <w:rsid w:val="007C57C0"/>
    <w:rsid w:val="00893F17"/>
    <w:rsid w:val="009137D1"/>
    <w:rsid w:val="00994682"/>
    <w:rsid w:val="00A365CD"/>
    <w:rsid w:val="00A93CC2"/>
    <w:rsid w:val="00BB71FA"/>
    <w:rsid w:val="00CB7BD1"/>
    <w:rsid w:val="00CD0F63"/>
    <w:rsid w:val="00E256A4"/>
    <w:rsid w:val="00EB5C95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DD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C0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rsid w:val="000F4C08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F4C08"/>
    <w:rPr>
      <w:rFonts w:ascii="Times" w:eastAsia="Times New Roman" w:hAnsi="Times" w:cs="Times New Roman"/>
      <w:kern w:val="1"/>
      <w:sz w:val="22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4C0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F4C0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F4C0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F4C0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F4C0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</w:rPr>
  </w:style>
  <w:style w:type="paragraph" w:customStyle="1" w:styleId="PKTpunkt">
    <w:name w:val="PKT – punkt"/>
    <w:uiPriority w:val="13"/>
    <w:qFormat/>
    <w:rsid w:val="000F4C0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0F4C08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F4C08"/>
    <w:pPr>
      <w:spacing w:line="360" w:lineRule="auto"/>
      <w:jc w:val="right"/>
    </w:pPr>
    <w:rPr>
      <w:rFonts w:ascii="Times New Roman" w:eastAsiaTheme="minorEastAsia" w:hAnsi="Times New Roman" w:cs="Arial"/>
      <w:szCs w:val="20"/>
      <w:u w:val="single"/>
    </w:rPr>
  </w:style>
  <w:style w:type="character" w:customStyle="1" w:styleId="Ppogrubienie">
    <w:name w:val="_P_ – pogrubienie"/>
    <w:basedOn w:val="Domylnaczcionkaakapitu"/>
    <w:uiPriority w:val="1"/>
    <w:qFormat/>
    <w:rsid w:val="000F4C08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3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B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0C1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Tlitera">
    <w:name w:val="LIT – litera"/>
    <w:basedOn w:val="PKTpunkt"/>
    <w:uiPriority w:val="14"/>
    <w:qFormat/>
    <w:rsid w:val="00203F73"/>
    <w:pPr>
      <w:spacing w:after="0"/>
      <w:ind w:left="986" w:hanging="476"/>
    </w:pPr>
    <w:rPr>
      <w:rFonts w:eastAsia="Times New Roman"/>
      <w:sz w:val="24"/>
    </w:rPr>
  </w:style>
  <w:style w:type="paragraph" w:customStyle="1" w:styleId="TIRtiret">
    <w:name w:val="TIR – tiret"/>
    <w:basedOn w:val="LITlitera"/>
    <w:uiPriority w:val="15"/>
    <w:qFormat/>
    <w:rsid w:val="00203F73"/>
    <w:pPr>
      <w:ind w:left="1384" w:hanging="397"/>
    </w:pPr>
  </w:style>
  <w:style w:type="paragraph" w:customStyle="1" w:styleId="ZLITUSTzmustliter">
    <w:name w:val="Z_LIT/UST(§) – zm. ust. (§) literą"/>
    <w:basedOn w:val="Normalny"/>
    <w:uiPriority w:val="46"/>
    <w:qFormat/>
    <w:rsid w:val="00203F73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PKTzmpktliter">
    <w:name w:val="Z_LIT/PKT – zm. pkt literą"/>
    <w:basedOn w:val="PKTpunkt"/>
    <w:uiPriority w:val="47"/>
    <w:qFormat/>
    <w:rsid w:val="00203F73"/>
    <w:pPr>
      <w:spacing w:after="0"/>
      <w:ind w:left="1497"/>
    </w:pPr>
    <w:rPr>
      <w:rFonts w:eastAsia="Times New Roman"/>
      <w:sz w:val="24"/>
    </w:rPr>
  </w:style>
  <w:style w:type="paragraph" w:customStyle="1" w:styleId="ZTIRPKTzmpkttiret">
    <w:name w:val="Z_TIR/PKT – zm. pkt tiret"/>
    <w:basedOn w:val="PKTpunkt"/>
    <w:qFormat/>
    <w:rsid w:val="00203F73"/>
    <w:pPr>
      <w:spacing w:after="0"/>
      <w:ind w:left="1893"/>
    </w:pPr>
    <w:rPr>
      <w:rFonts w:eastAsia="Times New Roman"/>
      <w:sz w:val="24"/>
    </w:rPr>
  </w:style>
  <w:style w:type="character" w:customStyle="1" w:styleId="IGindeksgrny">
    <w:name w:val="_IG_ – indeks górny"/>
    <w:uiPriority w:val="2"/>
    <w:qFormat/>
    <w:rsid w:val="00203F73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203F73"/>
    <w:rPr>
      <w:b/>
      <w:vanish w:val="0"/>
      <w:spacing w:val="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B71FA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B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20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8JUQOXbrw9Q9sWnOXo45nkagyA==">CgMxLjAyDmguMzRuM3pyNnY2OWJtMg5oLjVoaDg2ZDc5Z202bjIOaC4zM3NxYWRzM2Y5OWIyDmguYmp5cHg2NnZ4NWxqMghoLmdqZGd4czIJaC4zMGowemxsMgloLjFmb2I5dGUyCWguM3pueXNoNzgAciExb2V6bzkwajA1RTJXMkF6ZVlhaV9sZk4zYjZibmRmZEw=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2025-01-22T14:43:00Z</dcterms:created>
  <dcterms:modified xsi:type="dcterms:W3CDTF">2025-01-22T14:43:00Z</dcterms:modified>
</cp:coreProperties>
</file>