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8AD9E" w14:textId="77777777" w:rsidR="00B66613" w:rsidRPr="004D52FB" w:rsidRDefault="005A0903" w:rsidP="004D52FB">
      <w:pPr>
        <w:pStyle w:val="OZNRODZAKTUtznustawalubrozporzdzenieiorganwydajcy"/>
        <w:spacing w:after="240"/>
        <w:rPr>
          <w:rStyle w:val="Ppogrubienie"/>
          <w:rFonts w:ascii="Times New Roman" w:hAnsi="Times New Roman"/>
          <w:spacing w:val="0"/>
        </w:rPr>
      </w:pPr>
      <w:r w:rsidRPr="004D52FB">
        <w:rPr>
          <w:rStyle w:val="Ppogrubienie"/>
          <w:rFonts w:ascii="Times New Roman" w:hAnsi="Times New Roman"/>
          <w:spacing w:val="0"/>
        </w:rPr>
        <w:t>Uzasadnienie</w:t>
      </w:r>
    </w:p>
    <w:p w14:paraId="536928CA" w14:textId="5F69B3F5"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Nowelizacja ustawy z </w:t>
      </w:r>
      <w:r w:rsidR="00DE24C7" w:rsidRPr="004D52FB">
        <w:rPr>
          <w:rFonts w:ascii="Times New Roman" w:hAnsi="Times New Roman" w:cs="Times New Roman"/>
        </w:rPr>
        <w:t xml:space="preserve">dnia </w:t>
      </w:r>
      <w:r w:rsidRPr="004D52FB">
        <w:rPr>
          <w:rFonts w:ascii="Times New Roman" w:hAnsi="Times New Roman" w:cs="Times New Roman"/>
        </w:rPr>
        <w:t>9 listopada 1995 r. o ochronie zdrowia przed następstwami używania tytoniu i wyrobów tytoniowych (Dz. U</w:t>
      </w:r>
      <w:r w:rsidR="00AE1C28" w:rsidRPr="004D52FB">
        <w:rPr>
          <w:rFonts w:ascii="Times New Roman" w:hAnsi="Times New Roman" w:cs="Times New Roman"/>
        </w:rPr>
        <w:t>.</w:t>
      </w:r>
      <w:r w:rsidRPr="004D52FB">
        <w:rPr>
          <w:rFonts w:ascii="Times New Roman" w:hAnsi="Times New Roman" w:cs="Times New Roman"/>
        </w:rPr>
        <w:t xml:space="preserve"> z 2024 r. poz. 1162), zwanej dalej „ustawą tytoniową”, jest konieczna ze względu na pilną potrzebę ograniczenia zjawiska używania papierosów elektronicznych przez ludzi młodych. Wyroby te stanowią wyraźne zagrożenie dla zdrowia publicznego, w szczególności młodego pokolenia i osób niepalących, co powoduje konieczność wprowadzenia zakazu sprzedaży wszystkich rodzajów </w:t>
      </w:r>
      <w:r w:rsidR="00D3367F" w:rsidRPr="004D52FB">
        <w:rPr>
          <w:rFonts w:ascii="Times New Roman" w:hAnsi="Times New Roman" w:cs="Times New Roman"/>
        </w:rPr>
        <w:t xml:space="preserve">papierosów </w:t>
      </w:r>
      <w:r w:rsidRPr="004D52FB">
        <w:rPr>
          <w:rFonts w:ascii="Times New Roman" w:hAnsi="Times New Roman" w:cs="Times New Roman"/>
        </w:rPr>
        <w:t>elektronicznych oraz pojemników zapasowych osobom poniżej 18. roku życia, bez względu na to czy dany produkt posiada lub nie posiada w swoim składzie nikotyny.</w:t>
      </w:r>
    </w:p>
    <w:p w14:paraId="044EB58A" w14:textId="426EBCDF"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Ramy prawne dotyczące rynku papierosów elektronicznych określone ustawą tytoniową są konsekwencją implementacji do krajowego porządku prawnego dyrektywy Parlamentu Europejskiego i Rady 2014/40/UE z dnia 3 kwietnia 2014 r. w sprawie zbliżenia przepisów ustawowych, wykonawczych i administracyjnych państw członkowskich w sprawie produkcji, prezentowania i sprzedaży wyrobów tytoniowych i powiązanych wyrobów oraz uchylającej dyrektywę 2001/37/WE (Dz. Urz. UE L 127 z 29.04.2014, str. 1, z późn. zm.)</w:t>
      </w:r>
      <w:r w:rsidR="00AE1C28" w:rsidRPr="004D52FB">
        <w:rPr>
          <w:rFonts w:ascii="Times New Roman" w:hAnsi="Times New Roman" w:cs="Times New Roman"/>
        </w:rPr>
        <w:t>, zwanej dalej „dyrektywą 2014/40/WE”</w:t>
      </w:r>
      <w:r w:rsidR="00C55B06" w:rsidRPr="004D52FB">
        <w:rPr>
          <w:rFonts w:ascii="Times New Roman" w:hAnsi="Times New Roman" w:cs="Times New Roman"/>
        </w:rPr>
        <w:t>.</w:t>
      </w:r>
      <w:r w:rsidRPr="004D52FB">
        <w:rPr>
          <w:rFonts w:ascii="Times New Roman" w:hAnsi="Times New Roman" w:cs="Times New Roman"/>
        </w:rPr>
        <w:t xml:space="preserve"> Przepisy dyrektywy </w:t>
      </w:r>
      <w:r w:rsidR="00AE1C28" w:rsidRPr="004D52FB">
        <w:rPr>
          <w:rFonts w:ascii="Times New Roman" w:hAnsi="Times New Roman" w:cs="Times New Roman"/>
        </w:rPr>
        <w:t xml:space="preserve">2014/40/WE </w:t>
      </w:r>
      <w:r w:rsidRPr="004D52FB">
        <w:rPr>
          <w:rFonts w:ascii="Times New Roman" w:hAnsi="Times New Roman" w:cs="Times New Roman"/>
        </w:rPr>
        <w:t>regulują kwesti</w:t>
      </w:r>
      <w:r w:rsidR="007000CA" w:rsidRPr="004D52FB">
        <w:rPr>
          <w:rFonts w:ascii="Times New Roman" w:hAnsi="Times New Roman" w:cs="Times New Roman"/>
        </w:rPr>
        <w:t>e</w:t>
      </w:r>
      <w:r w:rsidRPr="004D52FB">
        <w:rPr>
          <w:rFonts w:ascii="Times New Roman" w:hAnsi="Times New Roman" w:cs="Times New Roman"/>
        </w:rPr>
        <w:t xml:space="preserve"> dotyczące rynku płynów do</w:t>
      </w:r>
      <w:r w:rsidR="00BF122A" w:rsidRPr="004D52FB">
        <w:rPr>
          <w:rFonts w:ascii="Times New Roman" w:hAnsi="Times New Roman" w:cs="Times New Roman"/>
        </w:rPr>
        <w:t xml:space="preserve"> papierosów</w:t>
      </w:r>
      <w:r w:rsidRPr="004D52FB">
        <w:rPr>
          <w:rFonts w:ascii="Times New Roman" w:hAnsi="Times New Roman" w:cs="Times New Roman"/>
        </w:rPr>
        <w:t xml:space="preserve"> elektronicznych posiadających w swoim składzie nikotynę. </w:t>
      </w:r>
    </w:p>
    <w:p w14:paraId="5A9725AE" w14:textId="612A454A"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Zaproponowane regulacje spowodują objęciem ww. przepisami również tzw. „płyn</w:t>
      </w:r>
      <w:r w:rsidR="00AE1C28" w:rsidRPr="004D52FB">
        <w:rPr>
          <w:rFonts w:ascii="Times New Roman" w:hAnsi="Times New Roman" w:cs="Times New Roman"/>
        </w:rPr>
        <w:t>ów</w:t>
      </w:r>
      <w:r w:rsidRPr="004D52FB">
        <w:rPr>
          <w:rFonts w:ascii="Times New Roman" w:hAnsi="Times New Roman" w:cs="Times New Roman"/>
        </w:rPr>
        <w:t xml:space="preserve"> beznikotynow</w:t>
      </w:r>
      <w:r w:rsidR="00AE1C28" w:rsidRPr="004D52FB">
        <w:rPr>
          <w:rFonts w:ascii="Times New Roman" w:hAnsi="Times New Roman" w:cs="Times New Roman"/>
        </w:rPr>
        <w:t>ych</w:t>
      </w:r>
      <w:r w:rsidRPr="004D52FB">
        <w:rPr>
          <w:rFonts w:ascii="Times New Roman" w:hAnsi="Times New Roman" w:cs="Times New Roman"/>
        </w:rPr>
        <w:t>”. Należy zaznaczyć, że zagrożenie stwarzane przez te wyroby nie jest istotnie mniejsze od zagrożenia stwarzanego przez wyroby zawierające nikotynę. Popularność wyrobów bez nikotyny zwiększa ryzyko dostępu młodych ludzi do wyrobów tytoniowych w tym samym stopniu, w którym czynią to papierosy elektroniczne z nikotyną. Mając to na uwadze, za zasadne należy uznać ograniczenie sprzedaży płynów beznikotynowych osobom poniżej 18. roku życia, jak również zakaz ich sprzedaży w automatach, czy też za pomocą Internetu.</w:t>
      </w:r>
    </w:p>
    <w:p w14:paraId="738D670A" w14:textId="16592970"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W art. 2 ustawy tytoniowej, zawierającym definicje ustawowe, proponuje się zmiany w poszczególnych definicjach. W pierwszej kolejności zmianie ulega definicja „palenia </w:t>
      </w:r>
      <w:r w:rsidR="00BF122A" w:rsidRPr="004D52FB">
        <w:rPr>
          <w:rFonts w:ascii="Times New Roman" w:hAnsi="Times New Roman" w:cs="Times New Roman"/>
        </w:rPr>
        <w:t xml:space="preserve">papierosów </w:t>
      </w:r>
      <w:r w:rsidRPr="004D52FB">
        <w:rPr>
          <w:rFonts w:ascii="Times New Roman" w:hAnsi="Times New Roman" w:cs="Times New Roman"/>
        </w:rPr>
        <w:t xml:space="preserve">elektronicznych” (art. 2 pkt 17 ustawy tytoniowej). Zmiana spowoduje, że używanie </w:t>
      </w:r>
      <w:r w:rsidR="00D3367F" w:rsidRPr="004D52FB">
        <w:rPr>
          <w:rFonts w:ascii="Times New Roman" w:hAnsi="Times New Roman" w:cs="Times New Roman"/>
        </w:rPr>
        <w:t xml:space="preserve">papierosów </w:t>
      </w:r>
      <w:r w:rsidRPr="004D52FB">
        <w:rPr>
          <w:rFonts w:ascii="Times New Roman" w:hAnsi="Times New Roman" w:cs="Times New Roman"/>
        </w:rPr>
        <w:t xml:space="preserve">elektronicznych z płynem beznikotynowym (wydzielających parę niezawierającą nikotyny) będzie zakazane w miejscach publicznych, gdzie obecnie obowiązuje zakaz używania </w:t>
      </w:r>
      <w:r w:rsidR="00D3367F" w:rsidRPr="004D52FB">
        <w:rPr>
          <w:rFonts w:ascii="Times New Roman" w:hAnsi="Times New Roman" w:cs="Times New Roman"/>
        </w:rPr>
        <w:t xml:space="preserve">papierosów </w:t>
      </w:r>
      <w:r w:rsidRPr="004D52FB">
        <w:rPr>
          <w:rFonts w:ascii="Times New Roman" w:hAnsi="Times New Roman" w:cs="Times New Roman"/>
        </w:rPr>
        <w:t xml:space="preserve">elektronicznych z płynem zawierającym nikotynę (wydzielających parę zawierającą nikotynę), tj. m.in. na terenie jednostek organizacyjnych systemu oświaty, na </w:t>
      </w:r>
      <w:r w:rsidRPr="004D52FB">
        <w:rPr>
          <w:rFonts w:ascii="Times New Roman" w:hAnsi="Times New Roman" w:cs="Times New Roman"/>
        </w:rPr>
        <w:lastRenderedPageBreak/>
        <w:t xml:space="preserve">przystankach komunikacji publicznej, czy też w ogólnodostępnych miejscach przeznaczonych do zabaw dzieci. </w:t>
      </w:r>
    </w:p>
    <w:p w14:paraId="2D4E442C" w14:textId="0942C464" w:rsidR="0048750C" w:rsidRPr="004D52FB" w:rsidRDefault="00026914"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Kolejna zmiana dotyczy </w:t>
      </w:r>
      <w:r w:rsidR="008749F8" w:rsidRPr="004D52FB">
        <w:rPr>
          <w:rFonts w:ascii="Times New Roman" w:hAnsi="Times New Roman" w:cs="Times New Roman"/>
        </w:rPr>
        <w:t>pojęcia</w:t>
      </w:r>
      <w:r w:rsidRPr="004D52FB">
        <w:rPr>
          <w:rFonts w:ascii="Times New Roman" w:hAnsi="Times New Roman" w:cs="Times New Roman"/>
        </w:rPr>
        <w:t xml:space="preserve"> „pojemnika zapasowego”. Pierwsza część definicji nie uległa zmianie w stosunku do dotychczas obowiązując</w:t>
      </w:r>
      <w:r w:rsidR="00BA29DB" w:rsidRPr="004D52FB">
        <w:rPr>
          <w:rFonts w:ascii="Times New Roman" w:hAnsi="Times New Roman" w:cs="Times New Roman"/>
        </w:rPr>
        <w:t>ego</w:t>
      </w:r>
      <w:r w:rsidRPr="004D52FB">
        <w:rPr>
          <w:rFonts w:ascii="Times New Roman" w:hAnsi="Times New Roman" w:cs="Times New Roman"/>
        </w:rPr>
        <w:t xml:space="preserve"> przepis</w:t>
      </w:r>
      <w:r w:rsidR="00BA29DB" w:rsidRPr="004D52FB">
        <w:rPr>
          <w:rFonts w:ascii="Times New Roman" w:hAnsi="Times New Roman" w:cs="Times New Roman"/>
        </w:rPr>
        <w:t>u</w:t>
      </w:r>
      <w:r w:rsidRPr="004D52FB">
        <w:rPr>
          <w:rFonts w:ascii="Times New Roman" w:hAnsi="Times New Roman" w:cs="Times New Roman"/>
        </w:rPr>
        <w:t xml:space="preserve"> art. 2 pkt 18 ustaw</w:t>
      </w:r>
      <w:r w:rsidR="007156F6" w:rsidRPr="004D52FB">
        <w:rPr>
          <w:rFonts w:ascii="Times New Roman" w:hAnsi="Times New Roman" w:cs="Times New Roman"/>
        </w:rPr>
        <w:t xml:space="preserve">y tytoniowej, </w:t>
      </w:r>
      <w:r w:rsidRPr="004D52FB">
        <w:rPr>
          <w:rFonts w:ascii="Times New Roman" w:hAnsi="Times New Roman" w:cs="Times New Roman"/>
        </w:rPr>
        <w:t xml:space="preserve">natomiast </w:t>
      </w:r>
      <w:r w:rsidR="007156F6" w:rsidRPr="004D52FB">
        <w:rPr>
          <w:rFonts w:ascii="Times New Roman" w:hAnsi="Times New Roman" w:cs="Times New Roman"/>
        </w:rPr>
        <w:t>dodano do niej</w:t>
      </w:r>
      <w:r w:rsidR="008749F8" w:rsidRPr="004D52FB">
        <w:rPr>
          <w:rFonts w:ascii="Times New Roman" w:hAnsi="Times New Roman" w:cs="Times New Roman"/>
        </w:rPr>
        <w:t xml:space="preserve"> drugą część określającą, ż</w:t>
      </w:r>
      <w:r w:rsidR="003A4213" w:rsidRPr="004D52FB">
        <w:rPr>
          <w:rFonts w:ascii="Times New Roman" w:hAnsi="Times New Roman" w:cs="Times New Roman"/>
        </w:rPr>
        <w:t>e</w:t>
      </w:r>
      <w:r w:rsidR="007156F6" w:rsidRPr="004D52FB">
        <w:rPr>
          <w:rFonts w:ascii="Times New Roman" w:hAnsi="Times New Roman" w:cs="Times New Roman"/>
        </w:rPr>
        <w:t xml:space="preserve"> pojemnikiem zapasowym jest także</w:t>
      </w:r>
      <w:r w:rsidRPr="004D52FB">
        <w:rPr>
          <w:rFonts w:ascii="Times New Roman" w:hAnsi="Times New Roman" w:cs="Times New Roman"/>
        </w:rPr>
        <w:t xml:space="preserve"> naczynie z płynem niezawierającym nikotyny, który jest przeznaczony do wykorzystania w papierosach elektronicznych. Doprecyzowanie, ż</w:t>
      </w:r>
      <w:r w:rsidR="003A4213" w:rsidRPr="004D52FB">
        <w:rPr>
          <w:rFonts w:ascii="Times New Roman" w:hAnsi="Times New Roman" w:cs="Times New Roman"/>
        </w:rPr>
        <w:t>e</w:t>
      </w:r>
      <w:r w:rsidRPr="004D52FB">
        <w:rPr>
          <w:rFonts w:ascii="Times New Roman" w:hAnsi="Times New Roman" w:cs="Times New Roman"/>
        </w:rPr>
        <w:t xml:space="preserve"> definicją są objęte płyny </w:t>
      </w:r>
      <w:r w:rsidR="007156F6" w:rsidRPr="004D52FB">
        <w:rPr>
          <w:rFonts w:ascii="Times New Roman" w:hAnsi="Times New Roman" w:cs="Times New Roman"/>
        </w:rPr>
        <w:t>bez nikotyny</w:t>
      </w:r>
      <w:r w:rsidRPr="004D52FB">
        <w:rPr>
          <w:rFonts w:ascii="Times New Roman" w:hAnsi="Times New Roman" w:cs="Times New Roman"/>
        </w:rPr>
        <w:t>, które intencjonalnie są przeznaczone do wykorzystania w papierosach elektronicznych</w:t>
      </w:r>
      <w:r w:rsidR="00BA29DB" w:rsidRPr="004D52FB">
        <w:rPr>
          <w:rFonts w:ascii="Times New Roman" w:hAnsi="Times New Roman" w:cs="Times New Roman"/>
        </w:rPr>
        <w:t>,</w:t>
      </w:r>
      <w:r w:rsidRPr="004D52FB">
        <w:rPr>
          <w:rFonts w:ascii="Times New Roman" w:hAnsi="Times New Roman" w:cs="Times New Roman"/>
        </w:rPr>
        <w:t xml:space="preserve"> ma na celu usunięcie wątpliwości interpretacyjnych, co do objęcia definicją </w:t>
      </w:r>
      <w:r w:rsidR="008749F8" w:rsidRPr="004D52FB">
        <w:rPr>
          <w:rFonts w:ascii="Times New Roman" w:hAnsi="Times New Roman" w:cs="Times New Roman"/>
        </w:rPr>
        <w:t>„</w:t>
      </w:r>
      <w:r w:rsidRPr="004D52FB">
        <w:rPr>
          <w:rFonts w:ascii="Times New Roman" w:hAnsi="Times New Roman" w:cs="Times New Roman"/>
        </w:rPr>
        <w:t>pojemnika zapasowego</w:t>
      </w:r>
      <w:r w:rsidR="008749F8" w:rsidRPr="004D52FB">
        <w:rPr>
          <w:rFonts w:ascii="Times New Roman" w:hAnsi="Times New Roman" w:cs="Times New Roman"/>
        </w:rPr>
        <w:t>”</w:t>
      </w:r>
      <w:r w:rsidRPr="004D52FB">
        <w:rPr>
          <w:rFonts w:ascii="Times New Roman" w:hAnsi="Times New Roman" w:cs="Times New Roman"/>
        </w:rPr>
        <w:t xml:space="preserve"> wyrobów, które nie są przeznaczone do wykorzystania w papierosach elektronicznych, ale ze względu na skład i właściwości fizykochemiczne mogłyby być </w:t>
      </w:r>
      <w:r w:rsidR="008749F8" w:rsidRPr="004D52FB">
        <w:rPr>
          <w:rFonts w:ascii="Times New Roman" w:hAnsi="Times New Roman" w:cs="Times New Roman"/>
        </w:rPr>
        <w:t xml:space="preserve">potencjalnie </w:t>
      </w:r>
      <w:r w:rsidRPr="004D52FB">
        <w:rPr>
          <w:rFonts w:ascii="Times New Roman" w:hAnsi="Times New Roman" w:cs="Times New Roman"/>
        </w:rPr>
        <w:t>użyte w papierosach elektronicznych. Dotyczy to dostępnych powszechnie w obrocie wyrobów zawierających w</w:t>
      </w:r>
      <w:r w:rsidR="007156F6" w:rsidRPr="004D52FB">
        <w:rPr>
          <w:rFonts w:ascii="Times New Roman" w:hAnsi="Times New Roman" w:cs="Times New Roman"/>
        </w:rPr>
        <w:t> </w:t>
      </w:r>
      <w:r w:rsidRPr="004D52FB">
        <w:rPr>
          <w:rFonts w:ascii="Times New Roman" w:hAnsi="Times New Roman" w:cs="Times New Roman"/>
        </w:rPr>
        <w:t>swoim składzie glikol i glicerynę</w:t>
      </w:r>
      <w:r w:rsidR="008749F8" w:rsidRPr="004D52FB">
        <w:rPr>
          <w:rFonts w:ascii="Times New Roman" w:hAnsi="Times New Roman" w:cs="Times New Roman"/>
        </w:rPr>
        <w:t>, które mogą być wykorzystywane w przemyśle chemicznym czy kosmetycznym</w:t>
      </w:r>
      <w:r w:rsidRPr="004D52FB">
        <w:rPr>
          <w:rFonts w:ascii="Times New Roman" w:hAnsi="Times New Roman" w:cs="Times New Roman"/>
        </w:rPr>
        <w:t>.</w:t>
      </w:r>
    </w:p>
    <w:p w14:paraId="7B10F917" w14:textId="1D8650AD"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Zgodnie z przepisami art. 7 ust. 1 ustawy tytoniowej, implementującym do prawa krajowego przepisy art. 17 dyrektywy 2014/40/WE</w:t>
      </w:r>
      <w:r w:rsidR="0087222F" w:rsidRPr="004D52FB">
        <w:rPr>
          <w:rFonts w:ascii="Times New Roman" w:hAnsi="Times New Roman" w:cs="Times New Roman"/>
        </w:rPr>
        <w:t>,</w:t>
      </w:r>
      <w:r w:rsidRPr="004D52FB">
        <w:rPr>
          <w:rFonts w:ascii="Times New Roman" w:hAnsi="Times New Roman" w:cs="Times New Roman"/>
        </w:rPr>
        <w:t xml:space="preserve"> zabroniona jest produkcja i wprowadzanie do obrotu tytoniu do</w:t>
      </w:r>
      <w:r w:rsidR="006E09D4" w:rsidRPr="004D52FB">
        <w:rPr>
          <w:rFonts w:ascii="Times New Roman" w:hAnsi="Times New Roman" w:cs="Times New Roman"/>
        </w:rPr>
        <w:t xml:space="preserve"> </w:t>
      </w:r>
      <w:r w:rsidRPr="004D52FB">
        <w:rPr>
          <w:rFonts w:ascii="Times New Roman" w:hAnsi="Times New Roman" w:cs="Times New Roman"/>
        </w:rPr>
        <w:t>stosowania doustnego (z wyjątkiem tytoniu przeznaczon</w:t>
      </w:r>
      <w:r w:rsidR="006E09D4" w:rsidRPr="004D52FB">
        <w:rPr>
          <w:rFonts w:ascii="Times New Roman" w:hAnsi="Times New Roman" w:cs="Times New Roman"/>
        </w:rPr>
        <w:t>ego</w:t>
      </w:r>
      <w:r w:rsidRPr="004D52FB">
        <w:rPr>
          <w:rFonts w:ascii="Times New Roman" w:hAnsi="Times New Roman" w:cs="Times New Roman"/>
        </w:rPr>
        <w:t xml:space="preserve"> do inhalacji albo żucia), wytworzonego całkowicie lub częściowo z tytoniu, w postaci proszku, cząstek lub też połączenia tych postaci, szczególnie taki</w:t>
      </w:r>
      <w:r w:rsidR="0087222F" w:rsidRPr="004D52FB">
        <w:rPr>
          <w:rFonts w:ascii="Times New Roman" w:hAnsi="Times New Roman" w:cs="Times New Roman"/>
        </w:rPr>
        <w:t>ch</w:t>
      </w:r>
      <w:r w:rsidRPr="004D52FB">
        <w:rPr>
          <w:rFonts w:ascii="Times New Roman" w:hAnsi="Times New Roman" w:cs="Times New Roman"/>
        </w:rPr>
        <w:t>, które są porcjowane w saszetki lub dostępne w perforowanych saszetkach.</w:t>
      </w:r>
    </w:p>
    <w:p w14:paraId="5530E95B" w14:textId="3CE7607F"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Obecnie dostępne na rynku woreczki z syntetyczną nikotyną nie są wyrobem tytoniowym, wobec tego nie są uregulowane ww. przepisami ustawy. Ponadto zgodnie ze stanowiskiem Urzędu Rejestracji Produktów Leczniczych, Wyrobów Medycznych i Produktów Biobójczych mają one charakter niefarmaceutyczny i są sprzedawane jako produkty konsumpcyjne. </w:t>
      </w:r>
    </w:p>
    <w:p w14:paraId="5E828733" w14:textId="72618064" w:rsidR="006E1E84" w:rsidRPr="004D52FB" w:rsidRDefault="00BE6555" w:rsidP="004D52FB">
      <w:pPr>
        <w:pStyle w:val="ARTartustawynprozporzdzenia"/>
        <w:ind w:firstLine="0"/>
        <w:rPr>
          <w:rFonts w:ascii="Times New Roman" w:hAnsi="Times New Roman" w:cs="Times New Roman"/>
          <w:color w:val="000000" w:themeColor="text1"/>
          <w:szCs w:val="24"/>
        </w:rPr>
      </w:pPr>
      <w:r w:rsidRPr="004D52FB">
        <w:rPr>
          <w:rFonts w:ascii="Times New Roman" w:hAnsi="Times New Roman" w:cs="Times New Roman"/>
          <w:color w:val="000000" w:themeColor="text1"/>
          <w:szCs w:val="24"/>
        </w:rPr>
        <w:t>Aktualn</w:t>
      </w:r>
      <w:r w:rsidR="00F63B5C" w:rsidRPr="004D52FB">
        <w:rPr>
          <w:rFonts w:ascii="Times New Roman" w:hAnsi="Times New Roman" w:cs="Times New Roman"/>
          <w:color w:val="000000" w:themeColor="text1"/>
          <w:szCs w:val="24"/>
        </w:rPr>
        <w:t xml:space="preserve">y brak regulacji dopuszczalnego maksymalnego stężenia nikotyny w woreczkach nikotynowych oraz </w:t>
      </w:r>
      <w:r w:rsidR="00607D28" w:rsidRPr="004D52FB">
        <w:rPr>
          <w:rFonts w:ascii="Times New Roman" w:hAnsi="Times New Roman" w:cs="Times New Roman"/>
          <w:color w:val="000000" w:themeColor="text1"/>
          <w:szCs w:val="24"/>
        </w:rPr>
        <w:t xml:space="preserve">brak </w:t>
      </w:r>
      <w:r w:rsidR="00F63B5C" w:rsidRPr="004D52FB">
        <w:rPr>
          <w:rFonts w:ascii="Times New Roman" w:hAnsi="Times New Roman" w:cs="Times New Roman"/>
          <w:color w:val="000000" w:themeColor="text1"/>
          <w:szCs w:val="24"/>
        </w:rPr>
        <w:t xml:space="preserve">ograniczeń wiekowych </w:t>
      </w:r>
      <w:r w:rsidR="00607D28" w:rsidRPr="004D52FB">
        <w:rPr>
          <w:rFonts w:ascii="Times New Roman" w:hAnsi="Times New Roman" w:cs="Times New Roman"/>
          <w:color w:val="000000" w:themeColor="text1"/>
          <w:szCs w:val="24"/>
        </w:rPr>
        <w:t>dotyczących</w:t>
      </w:r>
      <w:r w:rsidR="00F63B5C" w:rsidRPr="004D52FB">
        <w:rPr>
          <w:rFonts w:ascii="Times New Roman" w:hAnsi="Times New Roman" w:cs="Times New Roman"/>
          <w:color w:val="000000" w:themeColor="text1"/>
          <w:szCs w:val="24"/>
        </w:rPr>
        <w:t xml:space="preserve"> możliwości ich zakupu </w:t>
      </w:r>
      <w:r w:rsidR="00607D28" w:rsidRPr="004D52FB">
        <w:rPr>
          <w:rFonts w:ascii="Times New Roman" w:hAnsi="Times New Roman" w:cs="Times New Roman"/>
          <w:color w:val="000000" w:themeColor="text1"/>
          <w:szCs w:val="24"/>
        </w:rPr>
        <w:t>należy uznać za</w:t>
      </w:r>
      <w:r w:rsidR="00F63B5C" w:rsidRPr="004D52FB">
        <w:rPr>
          <w:rFonts w:ascii="Times New Roman" w:hAnsi="Times New Roman" w:cs="Times New Roman"/>
          <w:color w:val="000000" w:themeColor="text1"/>
          <w:szCs w:val="24"/>
        </w:rPr>
        <w:t xml:space="preserve"> </w:t>
      </w:r>
      <w:r w:rsidR="00607D28" w:rsidRPr="004D52FB">
        <w:rPr>
          <w:rFonts w:ascii="Times New Roman" w:hAnsi="Times New Roman" w:cs="Times New Roman"/>
          <w:color w:val="000000" w:themeColor="text1"/>
          <w:szCs w:val="24"/>
        </w:rPr>
        <w:t xml:space="preserve">bezpośrednie </w:t>
      </w:r>
      <w:r w:rsidR="00F63B5C" w:rsidRPr="004D52FB">
        <w:rPr>
          <w:rFonts w:ascii="Times New Roman" w:hAnsi="Times New Roman" w:cs="Times New Roman"/>
          <w:color w:val="000000" w:themeColor="text1"/>
          <w:szCs w:val="24"/>
        </w:rPr>
        <w:t xml:space="preserve">zagrożenie zdrowia konsumentów. </w:t>
      </w:r>
      <w:r w:rsidR="00607D28" w:rsidRPr="004D52FB">
        <w:rPr>
          <w:rFonts w:ascii="Times New Roman" w:hAnsi="Times New Roman" w:cs="Times New Roman"/>
          <w:color w:val="000000" w:themeColor="text1"/>
          <w:szCs w:val="24"/>
        </w:rPr>
        <w:t>Należy podkreślić, że n</w:t>
      </w:r>
      <w:r w:rsidR="00F63B5C" w:rsidRPr="004D52FB">
        <w:rPr>
          <w:rFonts w:ascii="Times New Roman" w:hAnsi="Times New Roman" w:cs="Times New Roman"/>
          <w:color w:val="000000" w:themeColor="text1"/>
          <w:szCs w:val="24"/>
        </w:rPr>
        <w:t xml:space="preserve">ikotyna jest substancją psychoaktywną, która ma zdolność oddziaływania na ośrodkowy układ nerwowy i odpowiada za wystąpienie uzależnienia fizycznego. Saszetki nikotynowe mogą prowadzić do raka jamy ustnej, </w:t>
      </w:r>
      <w:r w:rsidR="00607D28" w:rsidRPr="004D52FB">
        <w:rPr>
          <w:rFonts w:ascii="Times New Roman" w:hAnsi="Times New Roman" w:cs="Times New Roman"/>
          <w:color w:val="000000" w:themeColor="text1"/>
          <w:szCs w:val="24"/>
        </w:rPr>
        <w:t xml:space="preserve">jak również </w:t>
      </w:r>
      <w:r w:rsidR="00F63B5C" w:rsidRPr="004D52FB">
        <w:rPr>
          <w:rFonts w:ascii="Times New Roman" w:hAnsi="Times New Roman" w:cs="Times New Roman"/>
          <w:color w:val="000000" w:themeColor="text1"/>
          <w:szCs w:val="24"/>
        </w:rPr>
        <w:t xml:space="preserve">zwiększać ryzyko wystąpienia leukoplakii w jamie ustnej. Niestety zmiany te są nieodwracalne. </w:t>
      </w:r>
      <w:r w:rsidRPr="004D52FB">
        <w:rPr>
          <w:rFonts w:ascii="Times New Roman" w:hAnsi="Times New Roman" w:cs="Times New Roman"/>
          <w:color w:val="000000" w:themeColor="text1"/>
          <w:szCs w:val="24"/>
        </w:rPr>
        <w:t>W</w:t>
      </w:r>
      <w:r w:rsidR="00F63B5C" w:rsidRPr="004D52FB">
        <w:rPr>
          <w:rFonts w:ascii="Times New Roman" w:hAnsi="Times New Roman" w:cs="Times New Roman"/>
          <w:color w:val="000000" w:themeColor="text1"/>
          <w:szCs w:val="24"/>
        </w:rPr>
        <w:t>oreczki nikotynowe dostarczają nikotynę tak szybko i w podobnym stężeniu</w:t>
      </w:r>
      <w:r w:rsidR="0087222F" w:rsidRPr="004D52FB">
        <w:rPr>
          <w:rFonts w:ascii="Times New Roman" w:hAnsi="Times New Roman" w:cs="Times New Roman"/>
          <w:color w:val="000000" w:themeColor="text1"/>
          <w:szCs w:val="24"/>
        </w:rPr>
        <w:t>,</w:t>
      </w:r>
      <w:r w:rsidR="00F63B5C" w:rsidRPr="004D52FB">
        <w:rPr>
          <w:rFonts w:ascii="Times New Roman" w:hAnsi="Times New Roman" w:cs="Times New Roman"/>
          <w:color w:val="000000" w:themeColor="text1"/>
          <w:szCs w:val="24"/>
        </w:rPr>
        <w:t xml:space="preserve"> jak inne produkty bezdymne. Tego rodzaju produkt</w:t>
      </w:r>
      <w:r w:rsidR="00607D28" w:rsidRPr="004D52FB">
        <w:rPr>
          <w:rFonts w:ascii="Times New Roman" w:hAnsi="Times New Roman" w:cs="Times New Roman"/>
          <w:color w:val="000000" w:themeColor="text1"/>
          <w:szCs w:val="24"/>
        </w:rPr>
        <w:t>y</w:t>
      </w:r>
      <w:r w:rsidR="00F63B5C" w:rsidRPr="004D52FB">
        <w:rPr>
          <w:rFonts w:ascii="Times New Roman" w:hAnsi="Times New Roman" w:cs="Times New Roman"/>
          <w:color w:val="000000" w:themeColor="text1"/>
          <w:szCs w:val="24"/>
        </w:rPr>
        <w:t xml:space="preserve"> mogą mieć </w:t>
      </w:r>
      <w:r w:rsidR="00F63B5C" w:rsidRPr="004D52FB">
        <w:rPr>
          <w:rFonts w:ascii="Times New Roman" w:hAnsi="Times New Roman" w:cs="Times New Roman"/>
          <w:color w:val="000000" w:themeColor="text1"/>
          <w:szCs w:val="24"/>
        </w:rPr>
        <w:lastRenderedPageBreak/>
        <w:t>szkodliwy wpływ zwłaszcza na młodych ludzi</w:t>
      </w:r>
      <w:r w:rsidR="00607D28" w:rsidRPr="004D52FB">
        <w:rPr>
          <w:rFonts w:ascii="Times New Roman" w:hAnsi="Times New Roman" w:cs="Times New Roman"/>
          <w:color w:val="000000" w:themeColor="text1"/>
          <w:szCs w:val="24"/>
        </w:rPr>
        <w:t>,</w:t>
      </w:r>
      <w:r w:rsidR="00F63B5C" w:rsidRPr="004D52FB">
        <w:rPr>
          <w:rFonts w:ascii="Times New Roman" w:hAnsi="Times New Roman" w:cs="Times New Roman"/>
          <w:color w:val="000000" w:themeColor="text1"/>
          <w:szCs w:val="24"/>
        </w:rPr>
        <w:t xml:space="preserve"> niebędących użytkownikami produktów tytoniowych</w:t>
      </w:r>
      <w:r w:rsidR="00607D28" w:rsidRPr="004D52FB">
        <w:rPr>
          <w:rFonts w:ascii="Times New Roman" w:hAnsi="Times New Roman" w:cs="Times New Roman"/>
          <w:color w:val="000000" w:themeColor="text1"/>
          <w:szCs w:val="24"/>
        </w:rPr>
        <w:t xml:space="preserve">. </w:t>
      </w:r>
      <w:r w:rsidRPr="004D52FB">
        <w:rPr>
          <w:rFonts w:ascii="Times New Roman" w:hAnsi="Times New Roman" w:cs="Times New Roman"/>
          <w:color w:val="000000" w:themeColor="text1"/>
          <w:szCs w:val="24"/>
        </w:rPr>
        <w:t>Dodatkowo</w:t>
      </w:r>
      <w:r w:rsidR="00607D28" w:rsidRPr="004D52FB">
        <w:rPr>
          <w:rFonts w:ascii="Times New Roman" w:hAnsi="Times New Roman" w:cs="Times New Roman"/>
          <w:color w:val="000000" w:themeColor="text1"/>
          <w:szCs w:val="24"/>
        </w:rPr>
        <w:t>,</w:t>
      </w:r>
      <w:r w:rsidR="00F63B5C" w:rsidRPr="004D52FB">
        <w:rPr>
          <w:rFonts w:ascii="Times New Roman" w:hAnsi="Times New Roman" w:cs="Times New Roman"/>
          <w:color w:val="000000" w:themeColor="text1"/>
          <w:szCs w:val="24"/>
        </w:rPr>
        <w:t xml:space="preserve"> ze </w:t>
      </w:r>
      <w:r w:rsidR="006E1E84" w:rsidRPr="004D52FB">
        <w:rPr>
          <w:rFonts w:ascii="Times New Roman" w:hAnsi="Times New Roman" w:cs="Times New Roman"/>
          <w:color w:val="000000" w:themeColor="text1"/>
          <w:szCs w:val="24"/>
        </w:rPr>
        <w:t xml:space="preserve">względu na bardzo prawdopodobne </w:t>
      </w:r>
      <w:r w:rsidR="008A48AF" w:rsidRPr="004D52FB">
        <w:rPr>
          <w:rFonts w:ascii="Times New Roman" w:hAnsi="Times New Roman" w:cs="Times New Roman"/>
          <w:color w:val="000000" w:themeColor="text1"/>
          <w:szCs w:val="24"/>
        </w:rPr>
        <w:t xml:space="preserve">wystąpienie efektów kardiologicznych krótko po spożyciu produktu, przynajmniej u </w:t>
      </w:r>
      <w:r w:rsidR="00607D28" w:rsidRPr="004D52FB">
        <w:rPr>
          <w:rFonts w:ascii="Times New Roman" w:hAnsi="Times New Roman" w:cs="Times New Roman"/>
          <w:color w:val="000000" w:themeColor="text1"/>
          <w:szCs w:val="24"/>
        </w:rPr>
        <w:t>niektórych konsumentów</w:t>
      </w:r>
      <w:r w:rsidR="006E1E84" w:rsidRPr="004D52FB">
        <w:rPr>
          <w:rFonts w:ascii="Times New Roman" w:hAnsi="Times New Roman" w:cs="Times New Roman"/>
          <w:color w:val="000000" w:themeColor="text1"/>
          <w:szCs w:val="24"/>
        </w:rPr>
        <w:t xml:space="preserve"> </w:t>
      </w:r>
      <w:r w:rsidR="00607D28" w:rsidRPr="004D52FB">
        <w:rPr>
          <w:rFonts w:ascii="Times New Roman" w:hAnsi="Times New Roman" w:cs="Times New Roman"/>
          <w:color w:val="000000" w:themeColor="text1"/>
          <w:szCs w:val="24"/>
        </w:rPr>
        <w:t>(wzrost częstości akcji serca, który z kolei jest ważnym czynnikiem ryzyka zachorowalności i śmiertelności z przyczyn</w:t>
      </w:r>
      <w:r w:rsidR="006C1591" w:rsidRPr="004D52FB">
        <w:rPr>
          <w:rFonts w:ascii="Times New Roman" w:hAnsi="Times New Roman" w:cs="Times New Roman"/>
          <w:color w:val="000000" w:themeColor="text1"/>
          <w:szCs w:val="24"/>
        </w:rPr>
        <w:t xml:space="preserve"> </w:t>
      </w:r>
      <w:r w:rsidR="00607D28" w:rsidRPr="004D52FB">
        <w:rPr>
          <w:rFonts w:ascii="Times New Roman" w:hAnsi="Times New Roman" w:cs="Times New Roman"/>
          <w:color w:val="000000" w:themeColor="text1"/>
          <w:szCs w:val="24"/>
        </w:rPr>
        <w:t>sercowo-naczyniowych),</w:t>
      </w:r>
      <w:r w:rsidR="008A48AF" w:rsidRPr="004D52FB">
        <w:rPr>
          <w:rFonts w:ascii="Times New Roman" w:hAnsi="Times New Roman" w:cs="Times New Roman"/>
          <w:color w:val="000000" w:themeColor="text1"/>
          <w:szCs w:val="24"/>
        </w:rPr>
        <w:t xml:space="preserve"> omawiane produkty</w:t>
      </w:r>
      <w:r w:rsidR="00607D28" w:rsidRPr="004D52FB">
        <w:rPr>
          <w:rFonts w:ascii="Times New Roman" w:hAnsi="Times New Roman" w:cs="Times New Roman"/>
          <w:color w:val="000000" w:themeColor="text1"/>
          <w:szCs w:val="24"/>
        </w:rPr>
        <w:t xml:space="preserve"> należy </w:t>
      </w:r>
      <w:r w:rsidR="006E1E84" w:rsidRPr="004D52FB">
        <w:rPr>
          <w:rFonts w:ascii="Times New Roman" w:hAnsi="Times New Roman" w:cs="Times New Roman"/>
          <w:color w:val="000000" w:themeColor="text1"/>
          <w:szCs w:val="24"/>
        </w:rPr>
        <w:t>ocenić jako szkodliw</w:t>
      </w:r>
      <w:r w:rsidR="00607D28" w:rsidRPr="004D52FB">
        <w:rPr>
          <w:rFonts w:ascii="Times New Roman" w:hAnsi="Times New Roman" w:cs="Times New Roman"/>
          <w:color w:val="000000" w:themeColor="text1"/>
          <w:szCs w:val="24"/>
        </w:rPr>
        <w:t>e</w:t>
      </w:r>
      <w:r w:rsidR="006E1E84" w:rsidRPr="004D52FB">
        <w:rPr>
          <w:rFonts w:ascii="Times New Roman" w:hAnsi="Times New Roman" w:cs="Times New Roman"/>
          <w:color w:val="000000" w:themeColor="text1"/>
          <w:szCs w:val="24"/>
        </w:rPr>
        <w:t xml:space="preserve"> dla zdrowia</w:t>
      </w:r>
      <w:r w:rsidR="008A48AF" w:rsidRPr="004D52FB">
        <w:rPr>
          <w:rFonts w:ascii="Times New Roman" w:hAnsi="Times New Roman" w:cs="Times New Roman"/>
          <w:color w:val="000000" w:themeColor="text1"/>
          <w:szCs w:val="24"/>
        </w:rPr>
        <w:t>.</w:t>
      </w:r>
      <w:r w:rsidR="006E1E84" w:rsidRPr="004D52FB">
        <w:rPr>
          <w:rFonts w:ascii="Times New Roman" w:hAnsi="Times New Roman" w:cs="Times New Roman"/>
          <w:color w:val="000000" w:themeColor="text1"/>
          <w:szCs w:val="24"/>
        </w:rPr>
        <w:t xml:space="preserve"> </w:t>
      </w:r>
    </w:p>
    <w:p w14:paraId="0B23E7F4" w14:textId="61EA2B61" w:rsidR="006E1E84" w:rsidRPr="004D52FB" w:rsidRDefault="00BE6555" w:rsidP="004D52FB">
      <w:pPr>
        <w:pStyle w:val="ARTartustawynprozporzdzenia"/>
        <w:ind w:firstLine="0"/>
        <w:rPr>
          <w:rFonts w:ascii="Times New Roman" w:hAnsi="Times New Roman" w:cs="Times New Roman"/>
          <w:color w:val="000000" w:themeColor="text1"/>
          <w:szCs w:val="24"/>
        </w:rPr>
      </w:pPr>
      <w:r w:rsidRPr="004D52FB">
        <w:rPr>
          <w:rFonts w:ascii="Times New Roman" w:hAnsi="Times New Roman" w:cs="Times New Roman"/>
          <w:color w:val="000000" w:themeColor="text1"/>
          <w:szCs w:val="24"/>
        </w:rPr>
        <w:t>Mając powyższe na uwadze</w:t>
      </w:r>
      <w:r w:rsidR="00607D28" w:rsidRPr="004D52FB">
        <w:rPr>
          <w:rFonts w:ascii="Times New Roman" w:hAnsi="Times New Roman" w:cs="Times New Roman"/>
          <w:color w:val="000000" w:themeColor="text1"/>
          <w:szCs w:val="24"/>
        </w:rPr>
        <w:t>, w ocenie Ministerstwa Zdrowia</w:t>
      </w:r>
      <w:r w:rsidRPr="004D52FB">
        <w:rPr>
          <w:rFonts w:ascii="Times New Roman" w:hAnsi="Times New Roman" w:cs="Times New Roman"/>
          <w:color w:val="000000" w:themeColor="text1"/>
          <w:szCs w:val="24"/>
        </w:rPr>
        <w:t xml:space="preserve"> </w:t>
      </w:r>
      <w:r w:rsidR="0087222F" w:rsidRPr="004D52FB">
        <w:rPr>
          <w:rFonts w:ascii="Times New Roman" w:hAnsi="Times New Roman" w:cs="Times New Roman"/>
          <w:color w:val="000000" w:themeColor="text1"/>
          <w:szCs w:val="24"/>
        </w:rPr>
        <w:t xml:space="preserve">jest </w:t>
      </w:r>
      <w:r w:rsidRPr="004D52FB">
        <w:rPr>
          <w:rFonts w:ascii="Times New Roman" w:hAnsi="Times New Roman" w:cs="Times New Roman"/>
          <w:color w:val="000000" w:themeColor="text1"/>
          <w:szCs w:val="24"/>
        </w:rPr>
        <w:t>niezbędnym pilne uregulowanie rynku woreczków nikotynowych.</w:t>
      </w:r>
    </w:p>
    <w:p w14:paraId="50752797" w14:textId="4F7EBBC3"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Zaproponowane regulacje przewidują zaklasyfikowanie woreczków nikotynowych jako wyroby powiązane (art. 2 pkt 21 ustawy tytoniowej) oraz definiują je jako wszystkie wyroby do stosowania doustnego</w:t>
      </w:r>
      <w:r w:rsidR="000F1980">
        <w:rPr>
          <w:rFonts w:ascii="Times New Roman" w:hAnsi="Times New Roman" w:cs="Times New Roman"/>
        </w:rPr>
        <w:t>,</w:t>
      </w:r>
      <w:r w:rsidRPr="004D52FB">
        <w:rPr>
          <w:rFonts w:ascii="Times New Roman" w:hAnsi="Times New Roman" w:cs="Times New Roman"/>
        </w:rPr>
        <w:t xml:space="preserve"> z wyjątkiem tych przeznaczonych do inhalacji, niezawierające tytoniu, lecz zawierające nikotynę, zmieszan</w:t>
      </w:r>
      <w:r w:rsidR="00E44B41" w:rsidRPr="004D52FB">
        <w:rPr>
          <w:rFonts w:ascii="Times New Roman" w:hAnsi="Times New Roman" w:cs="Times New Roman"/>
        </w:rPr>
        <w:t>ą</w:t>
      </w:r>
      <w:r w:rsidRPr="004D52FB">
        <w:rPr>
          <w:rFonts w:ascii="Times New Roman" w:hAnsi="Times New Roman" w:cs="Times New Roman"/>
        </w:rPr>
        <w:t xml:space="preserve"> lub niezmieszan</w:t>
      </w:r>
      <w:r w:rsidR="00E44B41" w:rsidRPr="004D52FB">
        <w:rPr>
          <w:rFonts w:ascii="Times New Roman" w:hAnsi="Times New Roman" w:cs="Times New Roman"/>
        </w:rPr>
        <w:t>ą</w:t>
      </w:r>
      <w:r w:rsidRPr="004D52FB">
        <w:rPr>
          <w:rFonts w:ascii="Times New Roman" w:hAnsi="Times New Roman" w:cs="Times New Roman"/>
        </w:rPr>
        <w:t xml:space="preserve"> z innymi składnikami, które są porcjowane w woreczki lub dostępne w woreczkach. Projekt ustawy wprowadza także zakaz ich reklamy i promocji, co wymaga </w:t>
      </w:r>
      <w:r w:rsidR="0087222F" w:rsidRPr="004D52FB">
        <w:rPr>
          <w:rFonts w:ascii="Times New Roman" w:hAnsi="Times New Roman" w:cs="Times New Roman"/>
        </w:rPr>
        <w:t xml:space="preserve">rozszerzenia </w:t>
      </w:r>
      <w:r w:rsidRPr="004D52FB">
        <w:rPr>
          <w:rFonts w:ascii="Times New Roman" w:hAnsi="Times New Roman" w:cs="Times New Roman"/>
        </w:rPr>
        <w:t xml:space="preserve">definicji „promocji” oraz „reklamy” określonych w art. 2 pkt 23–25 </w:t>
      </w:r>
      <w:r w:rsidR="0087222F" w:rsidRPr="004D52FB">
        <w:rPr>
          <w:rFonts w:ascii="Times New Roman" w:hAnsi="Times New Roman" w:cs="Times New Roman"/>
        </w:rPr>
        <w:t xml:space="preserve">i </w:t>
      </w:r>
      <w:r w:rsidRPr="004D52FB">
        <w:rPr>
          <w:rFonts w:ascii="Times New Roman" w:hAnsi="Times New Roman" w:cs="Times New Roman"/>
        </w:rPr>
        <w:t>28 ustawy tytoniowej.</w:t>
      </w:r>
    </w:p>
    <w:p w14:paraId="397CBC66" w14:textId="12F5F1C8"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Projekt ustawy dopuszcza również możliwość przekazania dokumentacji dotyczącej woreczków nikotynowych w języku angielskim, przy jednoczesnej możliwości żądania przez Prezesa Biura </w:t>
      </w:r>
      <w:r w:rsidR="00B9677E" w:rsidRPr="004D52FB">
        <w:rPr>
          <w:rFonts w:ascii="Times New Roman" w:hAnsi="Times New Roman" w:cs="Times New Roman"/>
        </w:rPr>
        <w:t xml:space="preserve">do spraw Substancji Chemicznych </w:t>
      </w:r>
      <w:r w:rsidRPr="004D52FB">
        <w:rPr>
          <w:rFonts w:ascii="Times New Roman" w:hAnsi="Times New Roman" w:cs="Times New Roman"/>
        </w:rPr>
        <w:t>składania wyjaśnień w języku polskim (art. 3a ust. 4 i 5 ustawy tytoniowej).</w:t>
      </w:r>
    </w:p>
    <w:p w14:paraId="01546828" w14:textId="04E31337"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Ponadto przepisy wprowadzają zakaz sprzedaży woreczków nikotynowych osobom do lat 18, zakazują ich sprzedaży na terenie podmiotów wykonujących działalność leczniczą w rozumieniu przepisów o działalności leczniczej, </w:t>
      </w:r>
      <w:r w:rsidR="00F010EF" w:rsidRPr="00F010EF">
        <w:rPr>
          <w:rFonts w:ascii="Times New Roman" w:hAnsi="Times New Roman" w:cs="Times New Roman"/>
        </w:rPr>
        <w:t>jednostek organizacyjnych systemu oświaty, o których mowa w przepisach o systemie oświaty</w:t>
      </w:r>
      <w:r w:rsidR="00F37B31">
        <w:rPr>
          <w:rFonts w:ascii="Times New Roman" w:hAnsi="Times New Roman" w:cs="Times New Roman"/>
        </w:rPr>
        <w:t>,</w:t>
      </w:r>
      <w:r w:rsidR="00F010EF" w:rsidRPr="00F010EF">
        <w:rPr>
          <w:rFonts w:ascii="Times New Roman" w:hAnsi="Times New Roman" w:cs="Times New Roman"/>
        </w:rPr>
        <w:t xml:space="preserve"> </w:t>
      </w:r>
      <w:r w:rsidRPr="004D52FB">
        <w:rPr>
          <w:rFonts w:ascii="Times New Roman" w:hAnsi="Times New Roman" w:cs="Times New Roman"/>
        </w:rPr>
        <w:t xml:space="preserve">oraz obiektów sportowo-rekreacyjnych, jak również wprowadzają zakaz sprzedaży w automatach </w:t>
      </w:r>
      <w:r w:rsidR="0087222F" w:rsidRPr="004D52FB">
        <w:rPr>
          <w:rFonts w:ascii="Times New Roman" w:hAnsi="Times New Roman" w:cs="Times New Roman"/>
        </w:rPr>
        <w:t xml:space="preserve">i systemach samoobsługowych </w:t>
      </w:r>
      <w:r w:rsidRPr="004D52FB">
        <w:rPr>
          <w:rFonts w:ascii="Times New Roman" w:hAnsi="Times New Roman" w:cs="Times New Roman"/>
        </w:rPr>
        <w:t>(art. 6 ustawy tytoniowej).</w:t>
      </w:r>
    </w:p>
    <w:p w14:paraId="1E2C6481" w14:textId="77777777"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Projekt ustawy wprowadza także zakaz sprzedaży na odległość woreczków z nikotyną (art. 7f ustawy tytoniowej), analogicznie jak w przypadku wyrobów tytoniowych bezdymnych. Należy zaznaczyć, że sprzedaż wysyłkowa z wykorzystaniem Internetu, podobnie jak sprzedaż za pomocą urządzeń automatycznych, jest jedną z form udostępniania wyrobów nikotynowych osobom niepełnoletnim, które mają być chronione przed uzależnieniem od nikotyny. Rozwiązanie polegające na rejestrowaniu podmiotów podejmujących sprzedaż wysyłkową oraz wprowadzaniu urządzeń weryfikujących wiek klienta nie zasługują na akceptację ze względu </w:t>
      </w:r>
      <w:r w:rsidRPr="004D52FB">
        <w:rPr>
          <w:rFonts w:ascii="Times New Roman" w:hAnsi="Times New Roman" w:cs="Times New Roman"/>
        </w:rPr>
        <w:lastRenderedPageBreak/>
        <w:t>na iluzoryczność kontroli i nieskuteczność ograniczenia możliwości zakupu przez osoby nieuprawnione.</w:t>
      </w:r>
    </w:p>
    <w:p w14:paraId="28187585" w14:textId="2CEB6938" w:rsidR="0048750C"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Proponowane zmiany w art. 8 ustawy tytoniowej spowodują obj</w:t>
      </w:r>
      <w:r w:rsidR="0087222F" w:rsidRPr="004D52FB">
        <w:rPr>
          <w:rFonts w:ascii="Times New Roman" w:hAnsi="Times New Roman" w:cs="Times New Roman"/>
        </w:rPr>
        <w:t>ę</w:t>
      </w:r>
      <w:r w:rsidRPr="004D52FB">
        <w:rPr>
          <w:rFonts w:ascii="Times New Roman" w:hAnsi="Times New Roman" w:cs="Times New Roman"/>
        </w:rPr>
        <w:t xml:space="preserve">cie </w:t>
      </w:r>
      <w:r w:rsidR="0041763E" w:rsidRPr="004D52FB">
        <w:rPr>
          <w:rFonts w:ascii="Times New Roman" w:hAnsi="Times New Roman" w:cs="Times New Roman"/>
        </w:rPr>
        <w:t xml:space="preserve">woreczków nikotynowych </w:t>
      </w:r>
      <w:r w:rsidRPr="004D52FB">
        <w:rPr>
          <w:rFonts w:ascii="Times New Roman" w:hAnsi="Times New Roman" w:cs="Times New Roman"/>
        </w:rPr>
        <w:t>przepisami zakazującymi reklamy i promocji.</w:t>
      </w:r>
    </w:p>
    <w:p w14:paraId="7081A531" w14:textId="6219132A" w:rsidR="00026914" w:rsidRPr="004D52FB" w:rsidRDefault="0048750C"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W projekcie ustawy zaproponowano wprowadzenie w art. 8a ust. 4 pkt 1 ustawy tytoniowej nazwy skróconej rozporządzenia Parlamentu Europejskiego i Rady (WE) nr 1272/2008 z dnia 16 grudnia 2008 r. w sprawie klasyfikacji, oznakowania i pakowania substancji i mieszanin, </w:t>
      </w:r>
      <w:r w:rsidR="0041763E" w:rsidRPr="004D52FB">
        <w:rPr>
          <w:rFonts w:ascii="Times New Roman" w:hAnsi="Times New Roman" w:cs="Times New Roman"/>
        </w:rPr>
        <w:t xml:space="preserve">zmieniającego </w:t>
      </w:r>
      <w:r w:rsidRPr="004D52FB">
        <w:rPr>
          <w:rFonts w:ascii="Times New Roman" w:hAnsi="Times New Roman" w:cs="Times New Roman"/>
        </w:rPr>
        <w:t xml:space="preserve">i </w:t>
      </w:r>
      <w:r w:rsidR="0041763E" w:rsidRPr="004D52FB">
        <w:rPr>
          <w:rFonts w:ascii="Times New Roman" w:hAnsi="Times New Roman" w:cs="Times New Roman"/>
        </w:rPr>
        <w:t xml:space="preserve">uchylającego </w:t>
      </w:r>
      <w:r w:rsidRPr="004D52FB">
        <w:rPr>
          <w:rFonts w:ascii="Times New Roman" w:hAnsi="Times New Roman" w:cs="Times New Roman"/>
        </w:rPr>
        <w:t xml:space="preserve">dyrektywy 67/548/EWG i 1999/45/WE oraz </w:t>
      </w:r>
      <w:r w:rsidR="0041763E" w:rsidRPr="004D52FB">
        <w:rPr>
          <w:rFonts w:ascii="Times New Roman" w:hAnsi="Times New Roman" w:cs="Times New Roman"/>
        </w:rPr>
        <w:t xml:space="preserve">zmieniającego </w:t>
      </w:r>
      <w:r w:rsidRPr="004D52FB">
        <w:rPr>
          <w:rFonts w:ascii="Times New Roman" w:hAnsi="Times New Roman" w:cs="Times New Roman"/>
        </w:rPr>
        <w:t>rozporządzenie (WE) nr 1907/2006 (Dz. Urz. UE L 353 z 31.12.2008, str. 1, z późn. zm.), zwanego dalej „rozporządzeniem nr 1272/2008”. Zmiana ta jest związana z proponowanym dodaniem w ustawie tytoniowej art. 11hc ust. 2, który odnosi się do rozporządzeni</w:t>
      </w:r>
      <w:r w:rsidR="008A6451" w:rsidRPr="004D52FB">
        <w:rPr>
          <w:rFonts w:ascii="Times New Roman" w:hAnsi="Times New Roman" w:cs="Times New Roman"/>
        </w:rPr>
        <w:t>a</w:t>
      </w:r>
      <w:r w:rsidRPr="004D52FB">
        <w:rPr>
          <w:rFonts w:ascii="Times New Roman" w:hAnsi="Times New Roman" w:cs="Times New Roman"/>
        </w:rPr>
        <w:t xml:space="preserve"> nr 1272/2008</w:t>
      </w:r>
      <w:r w:rsidR="008A6451" w:rsidRPr="004D52FB">
        <w:rPr>
          <w:rFonts w:ascii="Times New Roman" w:hAnsi="Times New Roman" w:cs="Times New Roman"/>
        </w:rPr>
        <w:t>.</w:t>
      </w:r>
      <w:r w:rsidRPr="004D52FB">
        <w:rPr>
          <w:rFonts w:ascii="Times New Roman" w:hAnsi="Times New Roman" w:cs="Times New Roman"/>
        </w:rPr>
        <w:t xml:space="preserve"> Po wprowadzeniu skrótu w art. 8a ust. 4 pkt 1 ustawy tytoniowej, w art. 11hc </w:t>
      </w:r>
      <w:r w:rsidR="0041763E" w:rsidRPr="004D52FB">
        <w:rPr>
          <w:rFonts w:ascii="Times New Roman" w:hAnsi="Times New Roman" w:cs="Times New Roman"/>
        </w:rPr>
        <w:t xml:space="preserve">będzie </w:t>
      </w:r>
      <w:r w:rsidRPr="004D52FB">
        <w:rPr>
          <w:rFonts w:ascii="Times New Roman" w:hAnsi="Times New Roman" w:cs="Times New Roman"/>
        </w:rPr>
        <w:t>możliwe zastosowanie nazwy skróconej rozporządzenia nr 1272/2008 zamiast powoływania pełne</w:t>
      </w:r>
      <w:r w:rsidR="008A6451" w:rsidRPr="004D52FB">
        <w:rPr>
          <w:rFonts w:ascii="Times New Roman" w:hAnsi="Times New Roman" w:cs="Times New Roman"/>
        </w:rPr>
        <w:t>go tytułu</w:t>
      </w:r>
      <w:r w:rsidRPr="004D52FB">
        <w:rPr>
          <w:rFonts w:ascii="Times New Roman" w:hAnsi="Times New Roman" w:cs="Times New Roman"/>
        </w:rPr>
        <w:t xml:space="preserve"> tego rozporządzenia</w:t>
      </w:r>
      <w:r w:rsidR="000A40AD" w:rsidRPr="004D52FB">
        <w:rPr>
          <w:rFonts w:ascii="Times New Roman" w:hAnsi="Times New Roman" w:cs="Times New Roman"/>
        </w:rPr>
        <w:t>.</w:t>
      </w:r>
    </w:p>
    <w:p w14:paraId="0BF7A11D" w14:textId="05E1B13D" w:rsidR="00B66613" w:rsidRPr="004D52FB" w:rsidRDefault="007156F6"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R</w:t>
      </w:r>
      <w:r w:rsidR="005A0903" w:rsidRPr="004D52FB">
        <w:rPr>
          <w:rFonts w:ascii="Times New Roman" w:hAnsi="Times New Roman" w:cs="Times New Roman"/>
        </w:rPr>
        <w:t>ozszerzenie definicji „pojemnika zapasowego” (art. 2 pkt 18 ustawy tytoniowej) oraz „</w:t>
      </w:r>
      <w:r w:rsidR="00D3367F" w:rsidRPr="004D52FB">
        <w:rPr>
          <w:rFonts w:ascii="Times New Roman" w:hAnsi="Times New Roman" w:cs="Times New Roman"/>
        </w:rPr>
        <w:t xml:space="preserve">papierosa </w:t>
      </w:r>
      <w:r w:rsidR="005A0903" w:rsidRPr="004D52FB">
        <w:rPr>
          <w:rFonts w:ascii="Times New Roman" w:hAnsi="Times New Roman" w:cs="Times New Roman"/>
        </w:rPr>
        <w:t xml:space="preserve">elektronicznego” (art. 2 pkt 20 ustawy tytoniowej) o wyroby zawierające płyn beznikotynowy (umożliwiające spożycie pary niezawierającej nikotyny) spowoduje wprowadzenie zakazu sprzedaży tego rodzaju produktów osobom poniżej 18. roku życia, wprowadzi zakaz ich sprzedaży w automatach oraz zakaz sprzedaży na odległość, np. przez Internet, jak również spowoduje objęcie ich zakazem reklamy i promocji, analogicznym jak ma to obecnie miejsce w przypadku </w:t>
      </w:r>
      <w:r w:rsidR="00D3367F" w:rsidRPr="004D52FB">
        <w:rPr>
          <w:rFonts w:ascii="Times New Roman" w:hAnsi="Times New Roman" w:cs="Times New Roman"/>
        </w:rPr>
        <w:t xml:space="preserve">papierosów </w:t>
      </w:r>
      <w:r w:rsidR="005A0903" w:rsidRPr="004D52FB">
        <w:rPr>
          <w:rFonts w:ascii="Times New Roman" w:hAnsi="Times New Roman" w:cs="Times New Roman"/>
        </w:rPr>
        <w:t>elektronicznych z płynem zawierającym nikotynę oraz wyrobów tytoniowych.</w:t>
      </w:r>
    </w:p>
    <w:p w14:paraId="4FA71A5F" w14:textId="77777777"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Propozycje zmian w art. 11c ust. 1 ustawy tytoniowej wynikają z potrzeby dostosowania tego przepisu do wymagań dla płynów beznikotynowych. </w:t>
      </w:r>
    </w:p>
    <w:p w14:paraId="58AB9038" w14:textId="7F3AF7BA" w:rsidR="00B66613" w:rsidRPr="004D52FB" w:rsidRDefault="00BA29DB"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Nadanie nowego brzmienia </w:t>
      </w:r>
      <w:r w:rsidR="005A0903" w:rsidRPr="004D52FB">
        <w:rPr>
          <w:rFonts w:ascii="Times New Roman" w:hAnsi="Times New Roman" w:cs="Times New Roman"/>
        </w:rPr>
        <w:t>art. 11c ust. 2 ma na celu doprecyzowanie, że normy techniczne, o których mowa w art. 11c ust. 2 decyzji wykonawczej Komisji (UE) 2016/586 z dnia 14 kwietnia 2016 r. w sprawie norm technicznych mechanizmu ponownego napełniania papierosów elektronicznych (Dz. Urz. UE L 101 z 16.04.2016, str. 15)</w:t>
      </w:r>
      <w:r w:rsidR="00295A39" w:rsidRPr="004D52FB">
        <w:rPr>
          <w:rFonts w:ascii="Times New Roman" w:hAnsi="Times New Roman" w:cs="Times New Roman"/>
        </w:rPr>
        <w:t>,</w:t>
      </w:r>
      <w:r w:rsidR="005A0903" w:rsidRPr="004D52FB">
        <w:rPr>
          <w:rFonts w:ascii="Times New Roman" w:hAnsi="Times New Roman" w:cs="Times New Roman"/>
        </w:rPr>
        <w:t xml:space="preserve"> odnoszą się również do papierosów elektronicznych i pojemników zapasowych, które nie mają w swoim składzie nikotyny.</w:t>
      </w:r>
    </w:p>
    <w:p w14:paraId="6730757D" w14:textId="2E2A64BE" w:rsidR="007156F6"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Ponadto w art. 11c (dodawany ust. 7a w tym artykule) proponuje się, aby na opakowaniach zbiorczych oraz jednostkowych pojemnikach zapasowych oraz </w:t>
      </w:r>
      <w:r w:rsidR="00D3367F" w:rsidRPr="004D52FB">
        <w:rPr>
          <w:rFonts w:ascii="Times New Roman" w:hAnsi="Times New Roman" w:cs="Times New Roman"/>
        </w:rPr>
        <w:t xml:space="preserve">papierosów </w:t>
      </w:r>
      <w:r w:rsidRPr="004D52FB">
        <w:rPr>
          <w:rFonts w:ascii="Times New Roman" w:hAnsi="Times New Roman" w:cs="Times New Roman"/>
        </w:rPr>
        <w:t xml:space="preserve">elektronicznych bez nikotyny </w:t>
      </w:r>
      <w:r w:rsidR="00BA29DB" w:rsidRPr="004D52FB">
        <w:rPr>
          <w:rFonts w:ascii="Times New Roman" w:hAnsi="Times New Roman" w:cs="Times New Roman"/>
        </w:rPr>
        <w:t xml:space="preserve">zostało </w:t>
      </w:r>
      <w:r w:rsidRPr="004D52FB">
        <w:rPr>
          <w:rFonts w:ascii="Times New Roman" w:hAnsi="Times New Roman" w:cs="Times New Roman"/>
        </w:rPr>
        <w:t>umieszczone ostrzeżenie zdrowotne: „Wyrób szkodliwy dla zdrowia</w:t>
      </w:r>
      <w:r w:rsidR="00B9677E" w:rsidRPr="004D52FB">
        <w:rPr>
          <w:rFonts w:ascii="Times New Roman" w:hAnsi="Times New Roman" w:cs="Times New Roman"/>
        </w:rPr>
        <w:t>.</w:t>
      </w:r>
      <w:r w:rsidRPr="004D52FB">
        <w:rPr>
          <w:rFonts w:ascii="Times New Roman" w:hAnsi="Times New Roman" w:cs="Times New Roman"/>
        </w:rPr>
        <w:t xml:space="preserve">”. </w:t>
      </w:r>
      <w:r w:rsidR="007156F6" w:rsidRPr="004D52FB">
        <w:rPr>
          <w:rFonts w:ascii="Times New Roman" w:hAnsi="Times New Roman" w:cs="Times New Roman"/>
        </w:rPr>
        <w:lastRenderedPageBreak/>
        <w:t>Podkreślenia wymaga, że ostrzeżenie to zamieszcza się w przypadku papierosów elektronicznych, które mogą być wykorzystywane wyłącznie do spożycia pary niezawierającej nikotyny, i pojemników zapasowych z płynem niezawierającym nikotyny</w:t>
      </w:r>
      <w:r w:rsidR="00926275" w:rsidRPr="004D52FB">
        <w:rPr>
          <w:rFonts w:ascii="Times New Roman" w:hAnsi="Times New Roman" w:cs="Times New Roman"/>
        </w:rPr>
        <w:t xml:space="preserve">. </w:t>
      </w:r>
      <w:r w:rsidR="007156F6" w:rsidRPr="004D52FB">
        <w:rPr>
          <w:rFonts w:ascii="Times New Roman" w:hAnsi="Times New Roman" w:cs="Times New Roman"/>
        </w:rPr>
        <w:t xml:space="preserve">W przypadku opakowań, które mogą być przeznaczone </w:t>
      </w:r>
      <w:r w:rsidR="00055DFF" w:rsidRPr="004D52FB">
        <w:rPr>
          <w:rFonts w:ascii="Times New Roman" w:hAnsi="Times New Roman" w:cs="Times New Roman"/>
        </w:rPr>
        <w:t>zarówno</w:t>
      </w:r>
      <w:r w:rsidR="007156F6" w:rsidRPr="004D52FB">
        <w:rPr>
          <w:rFonts w:ascii="Times New Roman" w:hAnsi="Times New Roman" w:cs="Times New Roman"/>
        </w:rPr>
        <w:t xml:space="preserve"> do wyrobów z nikotyną</w:t>
      </w:r>
      <w:r w:rsidR="00295A39" w:rsidRPr="004D52FB">
        <w:rPr>
          <w:rFonts w:ascii="Times New Roman" w:hAnsi="Times New Roman" w:cs="Times New Roman"/>
        </w:rPr>
        <w:t>,</w:t>
      </w:r>
      <w:r w:rsidR="007156F6" w:rsidRPr="004D52FB">
        <w:rPr>
          <w:rFonts w:ascii="Times New Roman" w:hAnsi="Times New Roman" w:cs="Times New Roman"/>
        </w:rPr>
        <w:t xml:space="preserve"> jak i bez nikotyny</w:t>
      </w:r>
      <w:r w:rsidR="00C55B06" w:rsidRPr="004D52FB">
        <w:rPr>
          <w:rFonts w:ascii="Times New Roman" w:hAnsi="Times New Roman" w:cs="Times New Roman"/>
        </w:rPr>
        <w:t>,</w:t>
      </w:r>
      <w:r w:rsidR="007156F6" w:rsidRPr="004D52FB">
        <w:rPr>
          <w:rFonts w:ascii="Times New Roman" w:hAnsi="Times New Roman" w:cs="Times New Roman"/>
        </w:rPr>
        <w:t xml:space="preserve"> </w:t>
      </w:r>
      <w:r w:rsidR="00926275" w:rsidRPr="004D52FB">
        <w:rPr>
          <w:rFonts w:ascii="Times New Roman" w:hAnsi="Times New Roman" w:cs="Times New Roman"/>
        </w:rPr>
        <w:t>stosuje się ostrzeżenie dotyczące wyrobów z nikotyną stosownie do art. 1 pkt 2 lit</w:t>
      </w:r>
      <w:r w:rsidR="00295A39" w:rsidRPr="004D52FB">
        <w:rPr>
          <w:rFonts w:ascii="Times New Roman" w:hAnsi="Times New Roman" w:cs="Times New Roman"/>
        </w:rPr>
        <w:t>.</w:t>
      </w:r>
      <w:r w:rsidR="00926275" w:rsidRPr="004D52FB">
        <w:rPr>
          <w:rFonts w:ascii="Times New Roman" w:hAnsi="Times New Roman" w:cs="Times New Roman"/>
        </w:rPr>
        <w:t xml:space="preserve"> c projektowanej ustawy (dotyczy zmian w art. 11c ust. 7 ustawy tytoniowej)</w:t>
      </w:r>
      <w:r w:rsidR="00295A39" w:rsidRPr="004D52FB">
        <w:rPr>
          <w:rFonts w:ascii="Times New Roman" w:hAnsi="Times New Roman" w:cs="Times New Roman"/>
        </w:rPr>
        <w:t xml:space="preserve"> </w:t>
      </w:r>
      <w:r w:rsidR="00926275" w:rsidRPr="004D52FB">
        <w:rPr>
          <w:rFonts w:ascii="Times New Roman" w:hAnsi="Times New Roman" w:cs="Times New Roman"/>
        </w:rPr>
        <w:t>– „Wyrób zawiera nikotynę, która powoduje szybkie uzależnienie</w:t>
      </w:r>
      <w:r w:rsidR="00B9677E" w:rsidRPr="004D52FB">
        <w:rPr>
          <w:rFonts w:ascii="Times New Roman" w:hAnsi="Times New Roman" w:cs="Times New Roman"/>
        </w:rPr>
        <w:t>.</w:t>
      </w:r>
      <w:r w:rsidR="00926275" w:rsidRPr="004D52FB">
        <w:rPr>
          <w:rFonts w:ascii="Times New Roman" w:hAnsi="Times New Roman" w:cs="Times New Roman"/>
        </w:rPr>
        <w:t>”.</w:t>
      </w:r>
    </w:p>
    <w:p w14:paraId="50347C0F" w14:textId="6742C645" w:rsidR="00B66613" w:rsidRPr="004D52FB" w:rsidRDefault="005A0903" w:rsidP="004D52FB">
      <w:pPr>
        <w:pStyle w:val="ARTartustawynprozporzdzenia"/>
        <w:ind w:firstLine="0"/>
        <w:rPr>
          <w:rFonts w:ascii="Times New Roman" w:hAnsi="Times New Roman" w:cs="Times New Roman"/>
        </w:rPr>
      </w:pPr>
      <w:r w:rsidRPr="004D52FB">
        <w:rPr>
          <w:rFonts w:ascii="Times New Roman" w:hAnsi="Times New Roman" w:cs="Times New Roman"/>
        </w:rPr>
        <w:t>W art. 11f ustawy tytoniowej została uregulowana procedura wstrzymania wytwarzania lub wprowadzania do obrotu lub nakazania wycofania z obrotu papierosów elektronicznych i pojemników zapasowych, które mogą stanowić poważne zagrożenie dla zdrowia ludzkiego na czas niezbędny dla dokonania oceny przez Komisję Europejską. Przepis ten stanowi implementację art. 20 ust. 11 dyrektywy 2014/40/UE, która odnosi się wyłącznie do papierosów elektronicznych, które mogą być wykorzystywane do spożycia pary zawierającej nikotynę za pomocą ustnika i pojemników zapasowych z płynem zawierającym nikotynę. Państwo członkowskie nie może wykorzystać procedury dokonania oceny przez Komisję Europejską do wyrobów, które nie odpowiadają definicjom papierosa elektronicznego i pojemnika zapasowego określonym w art. 2 pkt 16 i 17 dyrektywy 2014/40/UE, ponieważ stanowiłoby to wyjście poza zakres tej dyrektywy. Należy więc doprecyzować w treści art. 11f ustawy tytoniowej, że przepis ten znajdzie zastosowanie wyłącznie w stosunku do papierosów elektronicznych, które mogą być wykorzystywane do spożycia pary zawierającej nikotynę lub pojemników zapasowych z płynem zawierającym nikotynę albo danego rodzaju papierosów elektronicznych, które mogą być wykorzystywane do spożycia pary zawierającej nikotynę lub pojemników zapasowych z płynem zawierającym nikotynę.</w:t>
      </w:r>
    </w:p>
    <w:p w14:paraId="6FD19786" w14:textId="3261D14C" w:rsidR="0048750C" w:rsidRPr="004D52FB" w:rsidRDefault="00F62863"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Do ustawy tytoniowej proponuje się dodanie art. 11ha, który nakłada obowiązek na producentów lub importerów woreczków nikotynowych przekazywania Prezesowi Biura </w:t>
      </w:r>
      <w:r w:rsidR="00B9677E" w:rsidRPr="004D52FB">
        <w:rPr>
          <w:rFonts w:ascii="Times New Roman" w:hAnsi="Times New Roman" w:cs="Times New Roman"/>
        </w:rPr>
        <w:t xml:space="preserve">do spraw Substancji Chemicznych </w:t>
      </w:r>
      <w:r w:rsidRPr="004D52FB">
        <w:rPr>
          <w:rFonts w:ascii="Times New Roman" w:hAnsi="Times New Roman" w:cs="Times New Roman"/>
        </w:rPr>
        <w:t>wykaz</w:t>
      </w:r>
      <w:r w:rsidR="0041763E" w:rsidRPr="004D52FB">
        <w:rPr>
          <w:rFonts w:ascii="Times New Roman" w:hAnsi="Times New Roman" w:cs="Times New Roman"/>
        </w:rPr>
        <w:t>u</w:t>
      </w:r>
      <w:r w:rsidRPr="004D52FB">
        <w:rPr>
          <w:rFonts w:ascii="Times New Roman" w:hAnsi="Times New Roman" w:cs="Times New Roman"/>
        </w:rPr>
        <w:t xml:space="preserve"> wszystkich składników, z podaniem ich ilości, używanych do produkcji tych wyrobów, w podziale na marki i rodzaje. </w:t>
      </w:r>
      <w:bookmarkStart w:id="0" w:name="_Hlk184281918"/>
      <w:r w:rsidRPr="004D52FB">
        <w:rPr>
          <w:rFonts w:ascii="Times New Roman" w:hAnsi="Times New Roman" w:cs="Times New Roman"/>
        </w:rPr>
        <w:t>Przedmiotowe informacje, z uwzględnieniem tajemnicy handlowej, będą publiczn</w:t>
      </w:r>
      <w:r w:rsidR="000F1980">
        <w:rPr>
          <w:rFonts w:ascii="Times New Roman" w:hAnsi="Times New Roman" w:cs="Times New Roman"/>
        </w:rPr>
        <w:t>i</w:t>
      </w:r>
      <w:r w:rsidRPr="004D52FB">
        <w:rPr>
          <w:rFonts w:ascii="Times New Roman" w:hAnsi="Times New Roman" w:cs="Times New Roman"/>
        </w:rPr>
        <w:t xml:space="preserve">e dostępne w Biuletynie Informacji Publicznej na stronie urzędu obsługującego Prezesa </w:t>
      </w:r>
      <w:bookmarkEnd w:id="0"/>
      <w:r w:rsidRPr="004D52FB">
        <w:rPr>
          <w:rFonts w:ascii="Times New Roman" w:hAnsi="Times New Roman" w:cs="Times New Roman"/>
        </w:rPr>
        <w:t xml:space="preserve">Biura </w:t>
      </w:r>
      <w:bookmarkStart w:id="1" w:name="_Hlk184680186"/>
      <w:r w:rsidRPr="004D52FB">
        <w:rPr>
          <w:rFonts w:ascii="Times New Roman" w:hAnsi="Times New Roman" w:cs="Times New Roman"/>
        </w:rPr>
        <w:t>do spraw Substancji Chemicznych</w:t>
      </w:r>
      <w:bookmarkEnd w:id="1"/>
      <w:r w:rsidRPr="004D52FB">
        <w:rPr>
          <w:rFonts w:ascii="Times New Roman" w:hAnsi="Times New Roman" w:cs="Times New Roman"/>
        </w:rPr>
        <w:t>. Producent lub importer woreczków nikotynowych będzie zobowiązany do wniesienia opłaty rocznej do Prezesa B</w:t>
      </w:r>
      <w:r w:rsidR="000F1980">
        <w:rPr>
          <w:rFonts w:ascii="Times New Roman" w:hAnsi="Times New Roman" w:cs="Times New Roman"/>
        </w:rPr>
        <w:t>i</w:t>
      </w:r>
      <w:r w:rsidRPr="004D52FB">
        <w:rPr>
          <w:rFonts w:ascii="Times New Roman" w:hAnsi="Times New Roman" w:cs="Times New Roman"/>
        </w:rPr>
        <w:t xml:space="preserve">ura do Spraw Substancji Chemicznych za otrzymywanie, przechowywanie, przetwarzanie, analizę i publikowanie ww. informacji. Format przekazywania przez producentów i importerów woreczków nikotynowych informacji </w:t>
      </w:r>
      <w:r w:rsidRPr="004D52FB">
        <w:rPr>
          <w:rFonts w:ascii="Times New Roman" w:hAnsi="Times New Roman" w:cs="Times New Roman"/>
        </w:rPr>
        <w:lastRenderedPageBreak/>
        <w:t xml:space="preserve">do Prezesa Biura do spraw Substancji Chemicznych określa decyzja wykonawcza Komisji (UE) 2015/2186 z dnia 25 listopada 2015 r. </w:t>
      </w:r>
      <w:r w:rsidR="0041763E" w:rsidRPr="004D52FB">
        <w:rPr>
          <w:rFonts w:ascii="Times New Roman" w:hAnsi="Times New Roman" w:cs="Times New Roman"/>
        </w:rPr>
        <w:t xml:space="preserve">ustanawiająca </w:t>
      </w:r>
      <w:r w:rsidRPr="004D52FB">
        <w:rPr>
          <w:rFonts w:ascii="Times New Roman" w:hAnsi="Times New Roman" w:cs="Times New Roman"/>
        </w:rPr>
        <w:t xml:space="preserve">format przekazywania i udostępniania informacji o wyrobach tytoniowych (Dz. Urz. UE L 312 z 27.11.2015, str. 5), zwana dalej „decyzją wykonawczą nr 2015/2186”. Informacje </w:t>
      </w:r>
      <w:r w:rsidR="00B9362C" w:rsidRPr="004D52FB">
        <w:rPr>
          <w:rFonts w:ascii="Times New Roman" w:hAnsi="Times New Roman" w:cs="Times New Roman"/>
        </w:rPr>
        <w:t xml:space="preserve">są </w:t>
      </w:r>
      <w:r w:rsidRPr="004D52FB">
        <w:rPr>
          <w:rFonts w:ascii="Times New Roman" w:hAnsi="Times New Roman" w:cs="Times New Roman"/>
        </w:rPr>
        <w:t>przekazywane za pośrednictwem Wspólnego Elektronicznego Punktu Przekazywania Danych</w:t>
      </w:r>
      <w:r w:rsidR="004C003E" w:rsidRPr="004D52FB">
        <w:rPr>
          <w:rFonts w:ascii="Times New Roman" w:hAnsi="Times New Roman" w:cs="Times New Roman"/>
        </w:rPr>
        <w:t xml:space="preserve"> </w:t>
      </w:r>
      <w:r w:rsidRPr="004D52FB">
        <w:rPr>
          <w:rFonts w:ascii="Times New Roman" w:hAnsi="Times New Roman" w:cs="Times New Roman"/>
        </w:rPr>
        <w:t>(system EU-CEG). Format określony w decyzji wykonawczej nr 2015/2186 powstał w celu przekazywania informacji o wyrobach tytoniowych, ale pozwala on na przekazanie informacji także w przypadku innych rodzajów wyrobów. Obecnie format ten jest wykorzystywany do przekazywania informacji o wyrobach tytoniowych i wyrobach ziołowych do</w:t>
      </w:r>
      <w:r w:rsidR="006E09D4" w:rsidRPr="004D52FB">
        <w:rPr>
          <w:rFonts w:ascii="Times New Roman" w:hAnsi="Times New Roman" w:cs="Times New Roman"/>
        </w:rPr>
        <w:t xml:space="preserve"> </w:t>
      </w:r>
      <w:r w:rsidRPr="004D52FB">
        <w:rPr>
          <w:rFonts w:ascii="Times New Roman" w:hAnsi="Times New Roman" w:cs="Times New Roman"/>
        </w:rPr>
        <w:t>palenia. W przypadku przekazywania informacji o woreczkach nikotynowych w systemie EU-CEG istnieje możliwość wskazania, że informacje te nie dotyczą wyrobu tytoniowego albo wyrobu ziołowego do</w:t>
      </w:r>
      <w:r w:rsidR="000F1980">
        <w:rPr>
          <w:rFonts w:ascii="Times New Roman" w:hAnsi="Times New Roman" w:cs="Times New Roman"/>
        </w:rPr>
        <w:t xml:space="preserve"> </w:t>
      </w:r>
      <w:r w:rsidRPr="004D52FB">
        <w:rPr>
          <w:rFonts w:ascii="Times New Roman" w:hAnsi="Times New Roman" w:cs="Times New Roman"/>
        </w:rPr>
        <w:t>palenia, lecz innego rodzaju wyrobu. Pozwala to</w:t>
      </w:r>
      <w:r w:rsidR="006E09D4" w:rsidRPr="004D52FB">
        <w:rPr>
          <w:rFonts w:ascii="Times New Roman" w:hAnsi="Times New Roman" w:cs="Times New Roman"/>
        </w:rPr>
        <w:t xml:space="preserve"> </w:t>
      </w:r>
      <w:r w:rsidRPr="004D52FB">
        <w:rPr>
          <w:rFonts w:ascii="Times New Roman" w:hAnsi="Times New Roman" w:cs="Times New Roman"/>
        </w:rPr>
        <w:t xml:space="preserve">na stosowanie wprost formatu określonego w decyzji wykonawczej nr 2015/2186 do przekazywania informacji </w:t>
      </w:r>
      <w:r w:rsidR="006E09D4" w:rsidRPr="004D52FB">
        <w:rPr>
          <w:rFonts w:ascii="Times New Roman" w:hAnsi="Times New Roman" w:cs="Times New Roman"/>
        </w:rPr>
        <w:t xml:space="preserve">o </w:t>
      </w:r>
      <w:r w:rsidRPr="004D52FB">
        <w:rPr>
          <w:rFonts w:ascii="Times New Roman" w:hAnsi="Times New Roman" w:cs="Times New Roman"/>
        </w:rPr>
        <w:t>woreczkach nikotynowych.</w:t>
      </w:r>
    </w:p>
    <w:p w14:paraId="0D10A710" w14:textId="5EEF42C7" w:rsidR="0048750C" w:rsidRPr="004D52FB" w:rsidRDefault="0048750C" w:rsidP="004D52FB">
      <w:pPr>
        <w:pStyle w:val="ARTartustawynprozporzdzenia"/>
        <w:ind w:firstLine="0"/>
        <w:rPr>
          <w:rFonts w:ascii="Times New Roman" w:hAnsi="Times New Roman" w:cs="Times New Roman"/>
        </w:rPr>
      </w:pPr>
      <w:r w:rsidRPr="004D52FB">
        <w:rPr>
          <w:rFonts w:ascii="Times New Roman" w:hAnsi="Times New Roman" w:cs="Times New Roman"/>
        </w:rPr>
        <w:t>Aktualnie na rynku nie ma regulacji dotyczących maksymalnego dopuszczaln</w:t>
      </w:r>
      <w:r w:rsidR="006E09D4" w:rsidRPr="004D52FB">
        <w:rPr>
          <w:rFonts w:ascii="Times New Roman" w:hAnsi="Times New Roman" w:cs="Times New Roman"/>
        </w:rPr>
        <w:t>ego</w:t>
      </w:r>
      <w:r w:rsidRPr="004D52FB">
        <w:rPr>
          <w:rFonts w:ascii="Times New Roman" w:hAnsi="Times New Roman" w:cs="Times New Roman"/>
        </w:rPr>
        <w:t xml:space="preserve"> stężenia nikotyny w woreczkach nikotynowych (obecnie stężeni</w:t>
      </w:r>
      <w:r w:rsidR="006E09D4" w:rsidRPr="004D52FB">
        <w:rPr>
          <w:rFonts w:ascii="Times New Roman" w:hAnsi="Times New Roman" w:cs="Times New Roman"/>
        </w:rPr>
        <w:t>e</w:t>
      </w:r>
      <w:r w:rsidRPr="004D52FB">
        <w:rPr>
          <w:rFonts w:ascii="Times New Roman" w:hAnsi="Times New Roman" w:cs="Times New Roman"/>
        </w:rPr>
        <w:t xml:space="preserve"> nikotyny w tych produktach mieści się między 0–8 mg/g do nawet stężeń powyżej 60 mg/g). Zgodnie z rekomendacjami Krajowego Konsultanta w dziedzinie Toksykologii Klinicznej </w:t>
      </w:r>
      <w:r w:rsidR="006E09D4" w:rsidRPr="004D52FB">
        <w:rPr>
          <w:rFonts w:ascii="Times New Roman" w:hAnsi="Times New Roman" w:cs="Times New Roman"/>
        </w:rPr>
        <w:t>m</w:t>
      </w:r>
      <w:r w:rsidRPr="004D52FB">
        <w:rPr>
          <w:rFonts w:ascii="Times New Roman" w:hAnsi="Times New Roman" w:cs="Times New Roman"/>
        </w:rPr>
        <w:t>aksymalna zawartość nikotyny w tych produktach powinna być określona w odniesieniu do stężenia</w:t>
      </w:r>
      <w:r w:rsidR="0041763E" w:rsidRPr="004D52FB">
        <w:rPr>
          <w:rFonts w:ascii="Times New Roman" w:hAnsi="Times New Roman" w:cs="Times New Roman"/>
        </w:rPr>
        <w:t>,</w:t>
      </w:r>
      <w:r w:rsidRPr="004D52FB">
        <w:rPr>
          <w:rFonts w:ascii="Times New Roman" w:hAnsi="Times New Roman" w:cs="Times New Roman"/>
        </w:rPr>
        <w:t xml:space="preserve"> tzn. mg/g materiału</w:t>
      </w:r>
      <w:r w:rsidR="0041763E" w:rsidRPr="004D52FB">
        <w:rPr>
          <w:rFonts w:ascii="Times New Roman" w:hAnsi="Times New Roman" w:cs="Times New Roman"/>
        </w:rPr>
        <w:t>,</w:t>
      </w:r>
      <w:r w:rsidR="006E09D4" w:rsidRPr="004D52FB">
        <w:rPr>
          <w:rFonts w:ascii="Times New Roman" w:hAnsi="Times New Roman" w:cs="Times New Roman"/>
        </w:rPr>
        <w:t xml:space="preserve"> w </w:t>
      </w:r>
      <w:r w:rsidR="004679EB" w:rsidRPr="004D52FB">
        <w:rPr>
          <w:rFonts w:ascii="Times New Roman" w:hAnsi="Times New Roman" w:cs="Times New Roman"/>
        </w:rPr>
        <w:t>ilości</w:t>
      </w:r>
      <w:r w:rsidR="006E09D4" w:rsidRPr="004D52FB">
        <w:rPr>
          <w:rFonts w:ascii="Times New Roman" w:hAnsi="Times New Roman" w:cs="Times New Roman"/>
        </w:rPr>
        <w:t xml:space="preserve"> </w:t>
      </w:r>
      <w:r w:rsidRPr="004D52FB">
        <w:rPr>
          <w:rFonts w:ascii="Times New Roman" w:hAnsi="Times New Roman" w:cs="Times New Roman"/>
        </w:rPr>
        <w:t xml:space="preserve">20 mg/g (proponowany art. 11hb ust. 1 pkt </w:t>
      </w:r>
      <w:r w:rsidR="006E09D4" w:rsidRPr="004D52FB">
        <w:rPr>
          <w:rFonts w:ascii="Times New Roman" w:hAnsi="Times New Roman" w:cs="Times New Roman"/>
        </w:rPr>
        <w:t>1</w:t>
      </w:r>
      <w:r w:rsidRPr="004D52FB">
        <w:rPr>
          <w:rFonts w:ascii="Times New Roman" w:hAnsi="Times New Roman" w:cs="Times New Roman"/>
        </w:rPr>
        <w:t xml:space="preserve"> ustawy tytoniowej).</w:t>
      </w:r>
    </w:p>
    <w:p w14:paraId="52E5CDCE" w14:textId="1BE1B831" w:rsidR="0048750C" w:rsidRPr="004D52FB" w:rsidRDefault="0048750C" w:rsidP="004D52FB">
      <w:pPr>
        <w:pStyle w:val="ARTartustawynprozporzdzenia"/>
        <w:ind w:firstLine="0"/>
        <w:rPr>
          <w:rFonts w:ascii="Times New Roman" w:hAnsi="Times New Roman" w:cs="Times New Roman"/>
        </w:rPr>
      </w:pPr>
      <w:r w:rsidRPr="004D52FB">
        <w:rPr>
          <w:rFonts w:ascii="Times New Roman" w:hAnsi="Times New Roman" w:cs="Times New Roman"/>
        </w:rPr>
        <w:t>Zaproponowane regulacje zabr</w:t>
      </w:r>
      <w:r w:rsidR="006E09D4" w:rsidRPr="004D52FB">
        <w:rPr>
          <w:rFonts w:ascii="Times New Roman" w:hAnsi="Times New Roman" w:cs="Times New Roman"/>
        </w:rPr>
        <w:t>o</w:t>
      </w:r>
      <w:r w:rsidRPr="004D52FB">
        <w:rPr>
          <w:rFonts w:ascii="Times New Roman" w:hAnsi="Times New Roman" w:cs="Times New Roman"/>
        </w:rPr>
        <w:t>n</w:t>
      </w:r>
      <w:r w:rsidR="006E09D4" w:rsidRPr="004D52FB">
        <w:rPr>
          <w:rFonts w:ascii="Times New Roman" w:hAnsi="Times New Roman" w:cs="Times New Roman"/>
        </w:rPr>
        <w:t>i</w:t>
      </w:r>
      <w:r w:rsidRPr="004D52FB">
        <w:rPr>
          <w:rFonts w:ascii="Times New Roman" w:hAnsi="Times New Roman" w:cs="Times New Roman"/>
        </w:rPr>
        <w:t xml:space="preserve">ą wprowadzać do obrotu woreczki nikotynowe zawierające dodatki, w tym takie ich ilości lub stężenia, które zwiększają znacznie lub w wymiernym stopniu właściwości uzależniające, toksyczność lub właściwości CMR wyrobu tytoniowego na etapie spożycia (proponowany art. 11hb ust. 1 pkt </w:t>
      </w:r>
      <w:r w:rsidR="003A10E8" w:rsidRPr="004D52FB">
        <w:rPr>
          <w:rFonts w:ascii="Times New Roman" w:hAnsi="Times New Roman" w:cs="Times New Roman"/>
        </w:rPr>
        <w:t>2</w:t>
      </w:r>
      <w:r w:rsidR="006C1591" w:rsidRPr="004D52FB">
        <w:rPr>
          <w:rFonts w:ascii="Times New Roman" w:hAnsi="Times New Roman" w:cs="Times New Roman"/>
        </w:rPr>
        <w:t xml:space="preserve"> i </w:t>
      </w:r>
      <w:r w:rsidR="003A10E8" w:rsidRPr="004D52FB">
        <w:rPr>
          <w:rFonts w:ascii="Times New Roman" w:hAnsi="Times New Roman" w:cs="Times New Roman"/>
        </w:rPr>
        <w:t>3</w:t>
      </w:r>
      <w:r w:rsidRPr="004D52FB">
        <w:rPr>
          <w:rFonts w:ascii="Times New Roman" w:hAnsi="Times New Roman" w:cs="Times New Roman"/>
        </w:rPr>
        <w:t xml:space="preserve"> ustawy tytoniowej).</w:t>
      </w:r>
    </w:p>
    <w:p w14:paraId="55152C21" w14:textId="670C6896" w:rsidR="0048750C" w:rsidRPr="004D52FB" w:rsidRDefault="0048750C" w:rsidP="004D52FB">
      <w:pPr>
        <w:pStyle w:val="ARTartustawynprozporzdzenia"/>
        <w:ind w:firstLine="0"/>
        <w:rPr>
          <w:rFonts w:ascii="Times New Roman" w:hAnsi="Times New Roman" w:cs="Times New Roman"/>
        </w:rPr>
      </w:pPr>
      <w:r w:rsidRPr="004D52FB">
        <w:rPr>
          <w:rFonts w:ascii="Times New Roman" w:hAnsi="Times New Roman" w:cs="Times New Roman"/>
        </w:rPr>
        <w:t>W związku z tym, że używanie woreczków nikotynowych może prowadzić do uszczerbku na zdrowiu poszczególnych konsumentów, zwłaszcza ze względu na swój potencjał uzależniający wrażliwych grup populacji</w:t>
      </w:r>
      <w:r w:rsidR="0041763E" w:rsidRPr="004D52FB">
        <w:rPr>
          <w:rFonts w:ascii="Times New Roman" w:hAnsi="Times New Roman" w:cs="Times New Roman"/>
        </w:rPr>
        <w:t>,</w:t>
      </w:r>
      <w:r w:rsidRPr="004D52FB">
        <w:rPr>
          <w:rFonts w:ascii="Times New Roman" w:hAnsi="Times New Roman" w:cs="Times New Roman"/>
        </w:rPr>
        <w:t xml:space="preserve"> takich jak: dzieci, młodzież i osoby niepalące oraz kobiety w ciąży i karmiące piersią</w:t>
      </w:r>
      <w:r w:rsidR="00024D9C" w:rsidRPr="004D52FB">
        <w:rPr>
          <w:rFonts w:ascii="Times New Roman" w:hAnsi="Times New Roman" w:cs="Times New Roman"/>
        </w:rPr>
        <w:t xml:space="preserve"> </w:t>
      </w:r>
      <w:r w:rsidRPr="004D52FB">
        <w:rPr>
          <w:rFonts w:ascii="Times New Roman" w:hAnsi="Times New Roman" w:cs="Times New Roman"/>
        </w:rPr>
        <w:t>oraz osoby cierpiące na choroby układu krążenia, zakłada się, że na opakowaniu jednostkowym i opakowaniu zbiorczym woreczków nikotynowych powinno zostać umieszczone następujące ostrzeżenie zdrowotne: „Ten wyrób szkodzi Twojemu zdrowiu i powoduje uzależnienie” oraz określa wymagania techniczne ww. ostrzeżenia (proponowany art. 11hb ust</w:t>
      </w:r>
      <w:r w:rsidR="003A10E8" w:rsidRPr="004D52FB">
        <w:rPr>
          <w:rFonts w:ascii="Times New Roman" w:hAnsi="Times New Roman" w:cs="Times New Roman"/>
        </w:rPr>
        <w:t>.</w:t>
      </w:r>
      <w:r w:rsidRPr="004D52FB">
        <w:rPr>
          <w:rFonts w:ascii="Times New Roman" w:hAnsi="Times New Roman" w:cs="Times New Roman"/>
        </w:rPr>
        <w:t xml:space="preserve"> 2–5 ustawy tytoniowej).</w:t>
      </w:r>
    </w:p>
    <w:p w14:paraId="284AD517" w14:textId="3D63F8DB" w:rsidR="0048750C" w:rsidRPr="004D52FB" w:rsidRDefault="0048750C" w:rsidP="004D52FB">
      <w:pPr>
        <w:pStyle w:val="ARTartustawynprozporzdzenia"/>
        <w:ind w:firstLine="0"/>
        <w:rPr>
          <w:rFonts w:ascii="Times New Roman" w:hAnsi="Times New Roman" w:cs="Times New Roman"/>
        </w:rPr>
      </w:pPr>
      <w:r w:rsidRPr="004D52FB">
        <w:rPr>
          <w:rFonts w:ascii="Times New Roman" w:hAnsi="Times New Roman" w:cs="Times New Roman"/>
        </w:rPr>
        <w:lastRenderedPageBreak/>
        <w:t>Zaproponowane regulacje gwarantują, że opakowania woreczków nikotynowych nie będą sugerować, że mają one charakter ożywczy, dodają energii, mają lecznicze, odmładzające, naturalne, organiczne właściwości lub że przynoszą inne korzyści związane ze zdrowiem lub stylem życia (proponowany art. 11hb ust</w:t>
      </w:r>
      <w:r w:rsidR="004C003E" w:rsidRPr="004D52FB">
        <w:rPr>
          <w:rFonts w:ascii="Times New Roman" w:hAnsi="Times New Roman" w:cs="Times New Roman"/>
        </w:rPr>
        <w:t>.</w:t>
      </w:r>
      <w:r w:rsidRPr="004D52FB">
        <w:rPr>
          <w:rFonts w:ascii="Times New Roman" w:hAnsi="Times New Roman" w:cs="Times New Roman"/>
        </w:rPr>
        <w:t xml:space="preserve"> 6 ustawy tytoniowej).</w:t>
      </w:r>
    </w:p>
    <w:p w14:paraId="41916A90" w14:textId="50DC3299" w:rsidR="00024D9C" w:rsidRPr="004D52FB" w:rsidRDefault="00024D9C" w:rsidP="004D52FB">
      <w:pPr>
        <w:pStyle w:val="ARTartustawynprozporzdzenia"/>
        <w:ind w:firstLine="0"/>
        <w:rPr>
          <w:rFonts w:ascii="Times New Roman" w:hAnsi="Times New Roman" w:cs="Times New Roman"/>
        </w:rPr>
      </w:pPr>
      <w:r w:rsidRPr="004D52FB">
        <w:rPr>
          <w:rFonts w:ascii="Times New Roman" w:hAnsi="Times New Roman" w:cs="Times New Roman"/>
        </w:rPr>
        <w:t>Proponuje się</w:t>
      </w:r>
      <w:r w:rsidR="0041763E" w:rsidRPr="004D52FB">
        <w:rPr>
          <w:rFonts w:ascii="Times New Roman" w:hAnsi="Times New Roman" w:cs="Times New Roman"/>
        </w:rPr>
        <w:t>,</w:t>
      </w:r>
      <w:r w:rsidRPr="004D52FB">
        <w:rPr>
          <w:rFonts w:ascii="Times New Roman" w:hAnsi="Times New Roman" w:cs="Times New Roman"/>
        </w:rPr>
        <w:t xml:space="preserve"> </w:t>
      </w:r>
      <w:r w:rsidR="0041763E" w:rsidRPr="004D52FB">
        <w:rPr>
          <w:rFonts w:ascii="Times New Roman" w:hAnsi="Times New Roman" w:cs="Times New Roman"/>
        </w:rPr>
        <w:t>a</w:t>
      </w:r>
      <w:r w:rsidRPr="004D52FB">
        <w:rPr>
          <w:rFonts w:ascii="Times New Roman" w:hAnsi="Times New Roman" w:cs="Times New Roman"/>
        </w:rPr>
        <w:t>by przepisy ustawy nie dotyczyły woreczków nikotynowych, na które należy uzyskać pozwolenie na dopuszczenie do obrotu na podstawie przepisów Prawa farmaceutycznego lub które podlegają wymaganiom określonym w przepisach o wyrobach medycznych (proponowany art. 11h</w:t>
      </w:r>
      <w:r w:rsidR="004C003E" w:rsidRPr="004D52FB">
        <w:rPr>
          <w:rFonts w:ascii="Times New Roman" w:hAnsi="Times New Roman" w:cs="Times New Roman"/>
        </w:rPr>
        <w:t>c ust. 1</w:t>
      </w:r>
      <w:r w:rsidRPr="004D52FB">
        <w:rPr>
          <w:rFonts w:ascii="Times New Roman" w:hAnsi="Times New Roman" w:cs="Times New Roman"/>
        </w:rPr>
        <w:t xml:space="preserve"> ustawy tytoniowej). W przypadku wyrobów tytoniowych państwa członkowskie stosownie do przepisów dyrektywy Parlamentu Europejskiego i Rady nr 2014/40/UE mają obowiązek nałożenia na producentów i importerów wyrobów tytoniowych wymogu przedkładania właściwym organom m.in. wykazu wszystkich składników. Wykazowi składników towarzyszy oświadczenie określające powody użycia takich składników w tych wyrobach tytoniowych. W wykazie tym podaje się również status składników, w tym wskazuje się, czy zostały one zarejestrowane na podstawie rozporządzenia (WE)</w:t>
      </w:r>
      <w:r w:rsidR="00C46C91">
        <w:rPr>
          <w:rFonts w:ascii="Times New Roman" w:hAnsi="Times New Roman" w:cs="Times New Roman"/>
        </w:rPr>
        <w:t xml:space="preserve"> </w:t>
      </w:r>
      <w:r w:rsidRPr="004D52FB">
        <w:rPr>
          <w:rFonts w:ascii="Times New Roman" w:hAnsi="Times New Roman" w:cs="Times New Roman"/>
        </w:rPr>
        <w:t>nr 1907/2006 Parlamentu Europejskiego i Rady, a także podaje się klasyfikację tych składników zgodnie z rozporządzeniem Parlamentu Europejskiego i Rady (WE)</w:t>
      </w:r>
      <w:r w:rsidR="00C46C91">
        <w:rPr>
          <w:rFonts w:ascii="Times New Roman" w:hAnsi="Times New Roman" w:cs="Times New Roman"/>
        </w:rPr>
        <w:t xml:space="preserve"> </w:t>
      </w:r>
      <w:r w:rsidRPr="004D52FB">
        <w:rPr>
          <w:rFonts w:ascii="Times New Roman" w:hAnsi="Times New Roman" w:cs="Times New Roman"/>
        </w:rPr>
        <w:t>nr 1272/2008. Mając na uwadze, że projektowana zmiana ustawy dotyczy wprowadzenia nowej kategorii wyrobów powiązanych</w:t>
      </w:r>
      <w:r w:rsidR="0041763E" w:rsidRPr="004D52FB">
        <w:rPr>
          <w:rFonts w:ascii="Times New Roman" w:hAnsi="Times New Roman" w:cs="Times New Roman"/>
        </w:rPr>
        <w:t>,</w:t>
      </w:r>
      <w:r w:rsidRPr="004D52FB">
        <w:rPr>
          <w:rFonts w:ascii="Times New Roman" w:hAnsi="Times New Roman" w:cs="Times New Roman"/>
        </w:rPr>
        <w:t xml:space="preserve"> jakimi są woreczki nikotynowe</w:t>
      </w:r>
      <w:r w:rsidR="0041763E" w:rsidRPr="004D52FB">
        <w:rPr>
          <w:rFonts w:ascii="Times New Roman" w:hAnsi="Times New Roman" w:cs="Times New Roman"/>
        </w:rPr>
        <w:t>,</w:t>
      </w:r>
      <w:r w:rsidRPr="004D52FB">
        <w:rPr>
          <w:rFonts w:ascii="Times New Roman" w:hAnsi="Times New Roman" w:cs="Times New Roman"/>
        </w:rPr>
        <w:t xml:space="preserve"> to istotnym jest, uwzględniając oddziaływanie tych mieszanin na zdrowie człowieka, wskazanie przedsiębiorcom, że obok wymagań, które muszą spełniać na podstawie ustawy tytoniowej</w:t>
      </w:r>
      <w:r w:rsidR="0041763E" w:rsidRPr="004D52FB">
        <w:rPr>
          <w:rFonts w:ascii="Times New Roman" w:hAnsi="Times New Roman" w:cs="Times New Roman"/>
        </w:rPr>
        <w:t>,</w:t>
      </w:r>
      <w:r w:rsidRPr="004D52FB">
        <w:rPr>
          <w:rFonts w:ascii="Times New Roman" w:hAnsi="Times New Roman" w:cs="Times New Roman"/>
        </w:rPr>
        <w:t xml:space="preserve"> </w:t>
      </w:r>
      <w:r w:rsidR="0041763E" w:rsidRPr="004D52FB">
        <w:rPr>
          <w:rFonts w:ascii="Times New Roman" w:hAnsi="Times New Roman" w:cs="Times New Roman"/>
        </w:rPr>
        <w:t xml:space="preserve">muszą być </w:t>
      </w:r>
      <w:r w:rsidRPr="004D52FB">
        <w:rPr>
          <w:rFonts w:ascii="Times New Roman" w:hAnsi="Times New Roman" w:cs="Times New Roman"/>
        </w:rPr>
        <w:t>realizowane także obowiązki rejestracyjne wynikające z rozporządzenia (WE) nr 1907/2006 oraz związane z odpowiednią klasyfikacją składników zgodnie z rozporządzeniem (WE) 1272/2008. Wprowadzona regulacja ma na celu zapewnienie, aby przepisy określone w wyżej wskazanych rozporządzeniach były odpowiednio stosowane</w:t>
      </w:r>
      <w:r w:rsidR="004C003E" w:rsidRPr="004D52FB">
        <w:rPr>
          <w:rFonts w:ascii="Times New Roman" w:hAnsi="Times New Roman" w:cs="Times New Roman"/>
        </w:rPr>
        <w:t xml:space="preserve"> (proponowany art. 11hc ust. 2 ustawy tytoniowej)</w:t>
      </w:r>
      <w:r w:rsidRPr="004D52FB">
        <w:rPr>
          <w:rFonts w:ascii="Times New Roman" w:hAnsi="Times New Roman" w:cs="Times New Roman"/>
        </w:rPr>
        <w:t>.</w:t>
      </w:r>
    </w:p>
    <w:p w14:paraId="4743DC10" w14:textId="14B8F81A" w:rsidR="0048750C" w:rsidRPr="004D52FB" w:rsidRDefault="0048750C"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Zmiany w art. 11i ustawy tytoniowej gwarantują uprawnienie Prezesowi Biura </w:t>
      </w:r>
      <w:r w:rsidR="00B9677E" w:rsidRPr="004D52FB">
        <w:rPr>
          <w:rFonts w:ascii="Times New Roman" w:hAnsi="Times New Roman" w:cs="Times New Roman"/>
        </w:rPr>
        <w:t xml:space="preserve">do spraw Substancji Chemicznych </w:t>
      </w:r>
      <w:r w:rsidRPr="004D52FB">
        <w:rPr>
          <w:rFonts w:ascii="Times New Roman" w:hAnsi="Times New Roman" w:cs="Times New Roman"/>
        </w:rPr>
        <w:t>do żądania wykonania w drodze egzekucji administracyjnej należności budżetowych wynikających z opłat rejestracyjnych woreczków nikotynowych stanowiących dochód budżetu państwa.</w:t>
      </w:r>
    </w:p>
    <w:p w14:paraId="08881AA7" w14:textId="7BA7757B" w:rsidR="00B66613" w:rsidRPr="004D52FB" w:rsidRDefault="005A0903"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Za uzasadnione należy uznać bezpośrednie wskazanie w projekcie ustawy organów odpowiedzialnych za nadzór nad rynkiem wyrobów tytoniowych i powiązanych (dodanie art. 11j w ustawie tytoniowej). Organem wiodącym w omawianym zakresie powinna być Inspekcja Handlowa, która jest odpowiednim podmiotem do podejmowania działań nadzoru rynku, </w:t>
      </w:r>
      <w:r w:rsidRPr="004D52FB">
        <w:rPr>
          <w:rFonts w:ascii="Times New Roman" w:hAnsi="Times New Roman" w:cs="Times New Roman"/>
        </w:rPr>
        <w:lastRenderedPageBreak/>
        <w:t>bowiem posiada zarówno odpowiednio przeszkolony i posiadający wieloletnie doświadczenie kontrolne personel, sieć placówek w całym kraju oraz wypracowane wewnętrzne metodyki kontroli. Ponadto Inspekcja Handlowa aktualnie posiada kompetencje do kontroli wyrobów tytoniowych i wyrobów powiązanych. Stosownie do art. 3 ust. 1 pkt 1a oraz pkt 1aa ustawy z dnia 15 grudnia 2000 r. o Inspekcji Handlowej (Dz. U. z 2024 r. poz. 312</w:t>
      </w:r>
      <w:r w:rsidR="00295A39" w:rsidRPr="004D52FB">
        <w:rPr>
          <w:rFonts w:ascii="Times New Roman" w:hAnsi="Times New Roman" w:cs="Times New Roman"/>
        </w:rPr>
        <w:t xml:space="preserve"> i 1222</w:t>
      </w:r>
      <w:r w:rsidRPr="004D52FB">
        <w:rPr>
          <w:rFonts w:ascii="Times New Roman" w:hAnsi="Times New Roman" w:cs="Times New Roman"/>
        </w:rPr>
        <w:t>) prowadzenie kontroli spełniania przez wyroby przeznaczone dla konsumentów zasadniczych, szczegółowych lub innych wymagań w rozumieniu ustawy z dnia 30 sierpnia 2002 r. o systemie oceny zgodności (Dz. U. z 2023 r. poz. 215) należy do zadań Inspekcji Handlowej. Dotyczy to m.in. wymagań określonych w ustawie tytoniowej dla papierosów elektronicznych i pojemników zapasowych. Inspekcja Handlowa jest też właściwym organem w przedmiocie kontroli produktów znajdujących się w obrocie handlowym lub przeznaczonych do wprowadzenia do takiego obrotu oraz kontroli legalności i rzetelności działania przedsiębiorców prowadzących działalność gospodarczą w rozumieniu przepisów odrębnych w zakresie produkcji, handlu i usług. Kompetencje Inspekcji Handlowej w zakresie sprawowania nadzoru na</w:t>
      </w:r>
      <w:r w:rsidR="00C46C91">
        <w:rPr>
          <w:rFonts w:ascii="Times New Roman" w:hAnsi="Times New Roman" w:cs="Times New Roman"/>
        </w:rPr>
        <w:t>d</w:t>
      </w:r>
      <w:r w:rsidRPr="004D52FB">
        <w:rPr>
          <w:rFonts w:ascii="Times New Roman" w:hAnsi="Times New Roman" w:cs="Times New Roman"/>
        </w:rPr>
        <w:t xml:space="preserve"> przestrzeganiem przepisów ustawy tytoniowej zostały potwierdzone na podstawie art. 26 dyrektywy 2014/40/UE, który stanowi, że państwa członkowskie wyznaczają właściwe organy, które są odpowiedzialne za wykonywanie i egzekwowanie obowiązków określonych w tej dyrektywie w </w:t>
      </w:r>
      <w:r w:rsidR="00295A39" w:rsidRPr="004D52FB">
        <w:rPr>
          <w:rFonts w:ascii="Times New Roman" w:hAnsi="Times New Roman" w:cs="Times New Roman"/>
        </w:rPr>
        <w:t>okresie</w:t>
      </w:r>
      <w:r w:rsidRPr="004D52FB">
        <w:rPr>
          <w:rFonts w:ascii="Times New Roman" w:hAnsi="Times New Roman" w:cs="Times New Roman"/>
        </w:rPr>
        <w:t xml:space="preserve"> 3 miesięcy od dnia 20 maja 2016 r. Zgodnie z Wykazem właściwych organów zgodnie z art. 26 dyrektywy Parlamentu Europejskiego i Rady 2014/40/UE (Dz. Urz. UE </w:t>
      </w:r>
      <w:r w:rsidR="008D498A" w:rsidRPr="004D52FB">
        <w:rPr>
          <w:rFonts w:ascii="Times New Roman" w:hAnsi="Times New Roman" w:cs="Times New Roman"/>
        </w:rPr>
        <w:t>C</w:t>
      </w:r>
      <w:r w:rsidRPr="004D52FB">
        <w:rPr>
          <w:rFonts w:ascii="Times New Roman" w:hAnsi="Times New Roman" w:cs="Times New Roman"/>
        </w:rPr>
        <w:t xml:space="preserve"> 136</w:t>
      </w:r>
      <w:r w:rsidR="008D498A" w:rsidRPr="004D52FB">
        <w:rPr>
          <w:rFonts w:ascii="Times New Roman" w:hAnsi="Times New Roman" w:cs="Times New Roman"/>
        </w:rPr>
        <w:t xml:space="preserve"> z 12.04.2019, str. 13</w:t>
      </w:r>
      <w:r w:rsidRPr="004D52FB">
        <w:rPr>
          <w:rFonts w:ascii="Times New Roman" w:hAnsi="Times New Roman" w:cs="Times New Roman"/>
        </w:rPr>
        <w:t>) Rzeczpospolita Polska wskazała jako właściwe organy odpowiedzialne za wykonywanie i egzekwowanie dyrektywy tytoniowej Prezesa Urzędu Ochrony Konkurencji i Konsumentów oraz podlegającą mu Inspekcję Handlową.</w:t>
      </w:r>
    </w:p>
    <w:p w14:paraId="68732BEB" w14:textId="155109D6" w:rsidR="00B66613" w:rsidRPr="004D52FB" w:rsidRDefault="005A0903" w:rsidP="004D52FB">
      <w:pPr>
        <w:pStyle w:val="ARTartustawynprozporzdzenia"/>
        <w:ind w:firstLine="0"/>
        <w:rPr>
          <w:rFonts w:ascii="Times New Roman" w:hAnsi="Times New Roman" w:cs="Times New Roman"/>
        </w:rPr>
      </w:pPr>
      <w:r w:rsidRPr="004D52FB">
        <w:rPr>
          <w:rFonts w:ascii="Times New Roman" w:hAnsi="Times New Roman" w:cs="Times New Roman"/>
        </w:rPr>
        <w:t>Dodatkowo zgodnie z przepisem</w:t>
      </w:r>
      <w:r w:rsidR="00CF7AFD">
        <w:rPr>
          <w:rFonts w:ascii="Times New Roman" w:hAnsi="Times New Roman" w:cs="Times New Roman"/>
        </w:rPr>
        <w:t xml:space="preserve"> art.</w:t>
      </w:r>
      <w:r w:rsidRPr="004D52FB">
        <w:rPr>
          <w:rFonts w:ascii="Times New Roman" w:hAnsi="Times New Roman" w:cs="Times New Roman"/>
        </w:rPr>
        <w:t xml:space="preserve"> 3 ust. 1 pkt 1aa ustawy z dnia 15 grudnia 2000 r. o Inspekcji Handlowej do zadań Inspekcji Handlowej zalicza się kontrolę spełniania przez wyroby przeznaczone dla konsumentów wymagań w rozumieniu ustawy </w:t>
      </w:r>
      <w:r w:rsidR="00BD7A42" w:rsidRPr="004D52FB">
        <w:rPr>
          <w:rFonts w:ascii="Times New Roman" w:hAnsi="Times New Roman" w:cs="Times New Roman"/>
        </w:rPr>
        <w:t xml:space="preserve">z dnia 13 kwietnia 2016 r. </w:t>
      </w:r>
      <w:r w:rsidRPr="004D52FB">
        <w:rPr>
          <w:rFonts w:ascii="Times New Roman" w:hAnsi="Times New Roman" w:cs="Times New Roman"/>
        </w:rPr>
        <w:t>o systemach oceny zgodności i nadzoru rynku</w:t>
      </w:r>
      <w:r w:rsidR="00BD7A42" w:rsidRPr="004D52FB">
        <w:rPr>
          <w:rFonts w:ascii="Times New Roman" w:hAnsi="Times New Roman" w:cs="Times New Roman"/>
        </w:rPr>
        <w:t xml:space="preserve"> (Dz. U. z 2022 r. poz. 1854</w:t>
      </w:r>
      <w:r w:rsidR="00C46C91">
        <w:rPr>
          <w:rFonts w:ascii="Times New Roman" w:hAnsi="Times New Roman" w:cs="Times New Roman"/>
        </w:rPr>
        <w:t xml:space="preserve"> i z 2024 r. poz. 1089</w:t>
      </w:r>
      <w:r w:rsidR="00BD7A42" w:rsidRPr="004D52FB">
        <w:rPr>
          <w:rFonts w:ascii="Times New Roman" w:hAnsi="Times New Roman" w:cs="Times New Roman"/>
        </w:rPr>
        <w:t>)</w:t>
      </w:r>
      <w:r w:rsidRPr="004D52FB">
        <w:rPr>
          <w:rFonts w:ascii="Times New Roman" w:hAnsi="Times New Roman" w:cs="Times New Roman"/>
        </w:rPr>
        <w:t>, czyli wymagań, o których mowa w przepisach wdrażających unijne prawodawstwo harmonizacyjne. Ustawa tytoniowa wdraża unijne prawodawstwo harmonizacyjne, do którego zalicza się dyrektywa tytoniowa.</w:t>
      </w:r>
    </w:p>
    <w:p w14:paraId="376D3533" w14:textId="700F5E62" w:rsidR="0048750C" w:rsidRPr="004D52FB" w:rsidRDefault="0048750C"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Należy podkreślić, że dokonano także niezbędnych modyfikacji obecnych sankcji karnych zapewniających przestrzeganie zaproponowanych nowych regulacji ustawowych w zakresie </w:t>
      </w:r>
      <w:r w:rsidRPr="004D52FB">
        <w:rPr>
          <w:rFonts w:ascii="Times New Roman" w:hAnsi="Times New Roman" w:cs="Times New Roman"/>
        </w:rPr>
        <w:lastRenderedPageBreak/>
        <w:t>woreczków nikotynowych (zmiany w art. 12,</w:t>
      </w:r>
      <w:r w:rsidR="0041763E" w:rsidRPr="004D52FB">
        <w:rPr>
          <w:rFonts w:ascii="Times New Roman" w:hAnsi="Times New Roman" w:cs="Times New Roman"/>
        </w:rPr>
        <w:t xml:space="preserve"> ar</w:t>
      </w:r>
      <w:r w:rsidR="0080442E" w:rsidRPr="004D52FB">
        <w:rPr>
          <w:rFonts w:ascii="Times New Roman" w:hAnsi="Times New Roman" w:cs="Times New Roman"/>
        </w:rPr>
        <w:t>t</w:t>
      </w:r>
      <w:r w:rsidR="0041763E" w:rsidRPr="004D52FB">
        <w:rPr>
          <w:rFonts w:ascii="Times New Roman" w:hAnsi="Times New Roman" w:cs="Times New Roman"/>
        </w:rPr>
        <w:t>.</w:t>
      </w:r>
      <w:r w:rsidRPr="004D52FB">
        <w:rPr>
          <w:rFonts w:ascii="Times New Roman" w:hAnsi="Times New Roman" w:cs="Times New Roman"/>
        </w:rPr>
        <w:t xml:space="preserve"> 12c, </w:t>
      </w:r>
      <w:r w:rsidR="0041763E" w:rsidRPr="004D52FB">
        <w:rPr>
          <w:rFonts w:ascii="Times New Roman" w:hAnsi="Times New Roman" w:cs="Times New Roman"/>
        </w:rPr>
        <w:t xml:space="preserve">art. </w:t>
      </w:r>
      <w:r w:rsidRPr="004D52FB">
        <w:rPr>
          <w:rFonts w:ascii="Times New Roman" w:hAnsi="Times New Roman" w:cs="Times New Roman"/>
        </w:rPr>
        <w:t xml:space="preserve">13, </w:t>
      </w:r>
      <w:r w:rsidR="0041763E" w:rsidRPr="004D52FB">
        <w:rPr>
          <w:rFonts w:ascii="Times New Roman" w:hAnsi="Times New Roman" w:cs="Times New Roman"/>
        </w:rPr>
        <w:t xml:space="preserve">art. </w:t>
      </w:r>
      <w:r w:rsidRPr="004D52FB">
        <w:rPr>
          <w:rFonts w:ascii="Times New Roman" w:hAnsi="Times New Roman" w:cs="Times New Roman"/>
        </w:rPr>
        <w:t>15</w:t>
      </w:r>
      <w:r w:rsidR="0041763E" w:rsidRPr="004D52FB">
        <w:rPr>
          <w:rFonts w:ascii="Times New Roman" w:hAnsi="Times New Roman" w:cs="Times New Roman"/>
        </w:rPr>
        <w:t xml:space="preserve"> i</w:t>
      </w:r>
      <w:r w:rsidRPr="004D52FB">
        <w:rPr>
          <w:rFonts w:ascii="Times New Roman" w:hAnsi="Times New Roman" w:cs="Times New Roman"/>
        </w:rPr>
        <w:t xml:space="preserve"> </w:t>
      </w:r>
      <w:r w:rsidR="0041763E" w:rsidRPr="004D52FB">
        <w:rPr>
          <w:rFonts w:ascii="Times New Roman" w:hAnsi="Times New Roman" w:cs="Times New Roman"/>
        </w:rPr>
        <w:t xml:space="preserve">art. </w:t>
      </w:r>
      <w:r w:rsidRPr="004D52FB">
        <w:rPr>
          <w:rFonts w:ascii="Times New Roman" w:hAnsi="Times New Roman" w:cs="Times New Roman"/>
        </w:rPr>
        <w:t>15a ustawy tytoniowej).</w:t>
      </w:r>
    </w:p>
    <w:p w14:paraId="5E5BFCCE" w14:textId="41FFCA4E" w:rsidR="00C11237"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W przypadku papierosów elektronicznych i pojemników zapasowych posiadających płyn beznikotynowy, wprowadzonych do obrotu przed dniem wejścia w życie ustawy</w:t>
      </w:r>
      <w:r w:rsidR="009B02BC" w:rsidRPr="004D52FB">
        <w:rPr>
          <w:rFonts w:ascii="Times New Roman" w:hAnsi="Times New Roman" w:cs="Times New Roman"/>
        </w:rPr>
        <w:t>,</w:t>
      </w:r>
      <w:r w:rsidRPr="004D52FB">
        <w:rPr>
          <w:rFonts w:ascii="Times New Roman" w:hAnsi="Times New Roman" w:cs="Times New Roman"/>
        </w:rPr>
        <w:t xml:space="preserve"> proponuje się</w:t>
      </w:r>
      <w:r w:rsidR="009B02BC" w:rsidRPr="004D52FB">
        <w:rPr>
          <w:rFonts w:ascii="Times New Roman" w:hAnsi="Times New Roman" w:cs="Times New Roman"/>
        </w:rPr>
        <w:t>,</w:t>
      </w:r>
      <w:r w:rsidRPr="004D52FB">
        <w:rPr>
          <w:rFonts w:ascii="Times New Roman" w:hAnsi="Times New Roman" w:cs="Times New Roman"/>
        </w:rPr>
        <w:t xml:space="preserve"> </w:t>
      </w:r>
      <w:r w:rsidR="0025078C" w:rsidRPr="004D52FB">
        <w:rPr>
          <w:rFonts w:ascii="Times New Roman" w:hAnsi="Times New Roman" w:cs="Times New Roman"/>
        </w:rPr>
        <w:t>a</w:t>
      </w:r>
      <w:r w:rsidRPr="004D52FB">
        <w:rPr>
          <w:rFonts w:ascii="Times New Roman" w:hAnsi="Times New Roman" w:cs="Times New Roman"/>
        </w:rPr>
        <w:t xml:space="preserve">by zgłoszenie danego wyrobu </w:t>
      </w:r>
      <w:r w:rsidR="007000CA" w:rsidRPr="004D52FB">
        <w:rPr>
          <w:rFonts w:ascii="Times New Roman" w:hAnsi="Times New Roman" w:cs="Times New Roman"/>
        </w:rPr>
        <w:t>oraz wyznaczeni</w:t>
      </w:r>
      <w:r w:rsidR="0040261D" w:rsidRPr="004D52FB">
        <w:rPr>
          <w:rFonts w:ascii="Times New Roman" w:hAnsi="Times New Roman" w:cs="Times New Roman"/>
        </w:rPr>
        <w:t>e</w:t>
      </w:r>
      <w:r w:rsidR="007000CA" w:rsidRPr="004D52FB">
        <w:rPr>
          <w:rFonts w:ascii="Times New Roman" w:hAnsi="Times New Roman" w:cs="Times New Roman"/>
        </w:rPr>
        <w:t xml:space="preserve"> osoby prawnej lub fizycznej do kontaktu na terytorium Unii Europejskiej</w:t>
      </w:r>
      <w:r w:rsidR="0040261D" w:rsidRPr="004D52FB">
        <w:rPr>
          <w:rFonts w:ascii="Times New Roman" w:hAnsi="Times New Roman" w:cs="Times New Roman"/>
        </w:rPr>
        <w:t>, o których mowa w art. 11b ust. 1 ustawy tytoniowej,</w:t>
      </w:r>
      <w:r w:rsidR="007000CA" w:rsidRPr="004D52FB">
        <w:rPr>
          <w:rFonts w:ascii="Times New Roman" w:hAnsi="Times New Roman" w:cs="Times New Roman"/>
        </w:rPr>
        <w:t xml:space="preserve"> </w:t>
      </w:r>
      <w:r w:rsidRPr="004D52FB">
        <w:rPr>
          <w:rFonts w:ascii="Times New Roman" w:hAnsi="Times New Roman" w:cs="Times New Roman"/>
        </w:rPr>
        <w:t>do Prezesa Biura do spraw Substancji Chemicznych</w:t>
      </w:r>
      <w:r w:rsidR="0040261D" w:rsidRPr="004D52FB">
        <w:rPr>
          <w:rFonts w:ascii="Times New Roman" w:hAnsi="Times New Roman" w:cs="Times New Roman"/>
        </w:rPr>
        <w:t xml:space="preserve"> </w:t>
      </w:r>
      <w:r w:rsidRPr="004D52FB">
        <w:rPr>
          <w:rFonts w:ascii="Times New Roman" w:hAnsi="Times New Roman" w:cs="Times New Roman"/>
        </w:rPr>
        <w:t xml:space="preserve">zostało dokonane w terminie do 6 miesięcy od dnia wejścia w życie </w:t>
      </w:r>
      <w:r w:rsidR="0025078C" w:rsidRPr="004D52FB">
        <w:rPr>
          <w:rFonts w:ascii="Times New Roman" w:hAnsi="Times New Roman" w:cs="Times New Roman"/>
        </w:rPr>
        <w:t>projektowanej</w:t>
      </w:r>
      <w:r w:rsidRPr="004D52FB">
        <w:rPr>
          <w:rFonts w:ascii="Times New Roman" w:hAnsi="Times New Roman" w:cs="Times New Roman"/>
        </w:rPr>
        <w:t xml:space="preserve"> ustawy. Ponadto </w:t>
      </w:r>
      <w:r w:rsidR="00C11237" w:rsidRPr="004D52FB">
        <w:rPr>
          <w:rFonts w:ascii="Times New Roman" w:hAnsi="Times New Roman" w:cs="Times New Roman"/>
        </w:rPr>
        <w:t>projekt ustawy przewiduje, że zarówno papierosy elektroniczne</w:t>
      </w:r>
      <w:r w:rsidR="0025078C" w:rsidRPr="004D52FB">
        <w:rPr>
          <w:rFonts w:ascii="Times New Roman" w:hAnsi="Times New Roman" w:cs="Times New Roman"/>
        </w:rPr>
        <w:t>,</w:t>
      </w:r>
      <w:r w:rsidR="00C11237" w:rsidRPr="004D52FB">
        <w:rPr>
          <w:rFonts w:ascii="Times New Roman" w:hAnsi="Times New Roman" w:cs="Times New Roman"/>
        </w:rPr>
        <w:t xml:space="preserve"> jak i pojemniki zapasowe (obie kategorie) niespełniające nowych wymagań, które są wprowadzane projektowaną ustawą, </w:t>
      </w:r>
      <w:r w:rsidR="0025078C" w:rsidRPr="004D52FB">
        <w:rPr>
          <w:rFonts w:ascii="Times New Roman" w:hAnsi="Times New Roman" w:cs="Times New Roman"/>
        </w:rPr>
        <w:t xml:space="preserve">będą </w:t>
      </w:r>
      <w:r w:rsidR="00C11237" w:rsidRPr="004D52FB">
        <w:rPr>
          <w:rFonts w:ascii="Times New Roman" w:hAnsi="Times New Roman" w:cs="Times New Roman"/>
        </w:rPr>
        <w:t>mog</w:t>
      </w:r>
      <w:r w:rsidR="0025078C" w:rsidRPr="004D52FB">
        <w:rPr>
          <w:rFonts w:ascii="Times New Roman" w:hAnsi="Times New Roman" w:cs="Times New Roman"/>
        </w:rPr>
        <w:t>ły</w:t>
      </w:r>
      <w:r w:rsidR="00C11237" w:rsidRPr="004D52FB">
        <w:rPr>
          <w:rFonts w:ascii="Times New Roman" w:hAnsi="Times New Roman" w:cs="Times New Roman"/>
        </w:rPr>
        <w:t xml:space="preserve"> pozostawać w obrocie nie dłużej niż przez okres 6 miesięcy od dnia wejścia w życie ustawy. Oznacza to, że wymagania zawarte w zmienianych przepisach art. 11c ust. 1 pkt 1 i 3</w:t>
      </w:r>
      <w:r w:rsidR="0071712E" w:rsidRPr="004D52FB">
        <w:rPr>
          <w:rFonts w:ascii="Times New Roman" w:hAnsi="Times New Roman" w:cs="Times New Roman"/>
        </w:rPr>
        <w:t>–</w:t>
      </w:r>
      <w:r w:rsidR="00C11237" w:rsidRPr="004D52FB">
        <w:rPr>
          <w:rFonts w:ascii="Times New Roman" w:hAnsi="Times New Roman" w:cs="Times New Roman"/>
        </w:rPr>
        <w:t>5, ust. 2 i 7a ustawy nowelizowanej, muszą zostać wdrożone najpóźniej we wskazanym okresie. Po jego upływie wyroby niespełniające tych wymagań nie będą mogły być przedmiotem obrotu</w:t>
      </w:r>
      <w:r w:rsidR="0025078C" w:rsidRPr="004D52FB">
        <w:rPr>
          <w:rFonts w:ascii="Times New Roman" w:hAnsi="Times New Roman" w:cs="Times New Roman"/>
        </w:rPr>
        <w:t>.</w:t>
      </w:r>
    </w:p>
    <w:p w14:paraId="36159A18" w14:textId="28B1EDDE" w:rsidR="007C76DA" w:rsidRPr="004D52FB" w:rsidRDefault="00F62863"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Zaproponowano, że </w:t>
      </w:r>
      <w:r w:rsidR="00CA5AD2" w:rsidRPr="004D52FB">
        <w:rPr>
          <w:rFonts w:ascii="Times New Roman" w:hAnsi="Times New Roman" w:cs="Times New Roman"/>
        </w:rPr>
        <w:t>t</w:t>
      </w:r>
      <w:r w:rsidR="00CA5AD2" w:rsidRPr="004D52FB">
        <w:rPr>
          <w:rFonts w:ascii="Times New Roman" w:hAnsi="Times New Roman" w:cs="Times New Roman"/>
          <w:bCs/>
        </w:rPr>
        <w:t>reść informacji, o której mowa w art. 6 ust. 1 ustawy zmienianej w art. 1, umieszczonej w punkcie detalicznym przed dniem wejścia w życie niniejszej ustawy, należy dostosować do treści informacji, o której mowa w art. 6 ust. 1 ustawy zmienianej w art. 1, w brzmieniu nadanym niniejszą ustawą, w terminie 6 miesięcy od dnia wejścia w życie niniejszej ustawy.</w:t>
      </w:r>
      <w:r w:rsidR="00CA5AD2" w:rsidRPr="004D52FB">
        <w:rPr>
          <w:rFonts w:ascii="Times New Roman" w:hAnsi="Times New Roman" w:cs="Times New Roman"/>
          <w:b/>
        </w:rPr>
        <w:t xml:space="preserve"> </w:t>
      </w:r>
      <w:r w:rsidRPr="004D52FB">
        <w:rPr>
          <w:rFonts w:ascii="Times New Roman" w:hAnsi="Times New Roman" w:cs="Times New Roman"/>
        </w:rPr>
        <w:t xml:space="preserve">Woreczki nikotynowe będą mogły </w:t>
      </w:r>
      <w:r w:rsidR="00B9677E" w:rsidRPr="004D52FB">
        <w:rPr>
          <w:rFonts w:ascii="Times New Roman" w:hAnsi="Times New Roman" w:cs="Times New Roman"/>
        </w:rPr>
        <w:t xml:space="preserve">pozostawać w </w:t>
      </w:r>
      <w:r w:rsidRPr="004D52FB">
        <w:rPr>
          <w:rFonts w:ascii="Times New Roman" w:hAnsi="Times New Roman" w:cs="Times New Roman"/>
        </w:rPr>
        <w:t>obro</w:t>
      </w:r>
      <w:r w:rsidR="00B9677E" w:rsidRPr="004D52FB">
        <w:rPr>
          <w:rFonts w:ascii="Times New Roman" w:hAnsi="Times New Roman" w:cs="Times New Roman"/>
        </w:rPr>
        <w:t>cie</w:t>
      </w:r>
      <w:r w:rsidRPr="004D52FB">
        <w:rPr>
          <w:rFonts w:ascii="Times New Roman" w:hAnsi="Times New Roman" w:cs="Times New Roman"/>
        </w:rPr>
        <w:t xml:space="preserve"> w automatach lub w systemie samoobsługowym przez okres 6 miesięcy od dnia wejścia w życie niniejszej ustawy. W przypadku woreczków nikotynowych wprowadzonych do obrotu przed dniem wejścia w życie niniejszej ustawy, przekazania informacji, o którym mowa w proponowanym art. 11ha</w:t>
      </w:r>
      <w:r w:rsidR="00B9677E" w:rsidRPr="004D52FB">
        <w:rPr>
          <w:rFonts w:ascii="Times New Roman" w:hAnsi="Times New Roman" w:cs="Times New Roman"/>
        </w:rPr>
        <w:t xml:space="preserve"> </w:t>
      </w:r>
      <w:r w:rsidRPr="004D52FB">
        <w:rPr>
          <w:rFonts w:ascii="Times New Roman" w:hAnsi="Times New Roman" w:cs="Times New Roman"/>
        </w:rPr>
        <w:t xml:space="preserve">ust. 1 ustawy tytoniowej, dokonuje się w terminie 6 miesięcy od dnia wejścia w życie niniejszej ustawy. Woreczki nikotynowe, które nie spełniają wymagań określonych w proponowanym art. 11hb ustawy tytoniowej, </w:t>
      </w:r>
      <w:r w:rsidR="0041763E" w:rsidRPr="004D52FB">
        <w:rPr>
          <w:rFonts w:ascii="Times New Roman" w:hAnsi="Times New Roman" w:cs="Times New Roman"/>
        </w:rPr>
        <w:t xml:space="preserve">będą mogły </w:t>
      </w:r>
      <w:r w:rsidRPr="004D52FB">
        <w:rPr>
          <w:rFonts w:ascii="Times New Roman" w:hAnsi="Times New Roman" w:cs="Times New Roman"/>
        </w:rPr>
        <w:t>pozostawać w obrocie nie dłużej niż przez okres 6 miesięcy od dnia wejścia w życie niniejszej ustawy.</w:t>
      </w:r>
    </w:p>
    <w:p w14:paraId="6F840FB6" w14:textId="28224956" w:rsidR="00B66613" w:rsidRPr="004D52FB" w:rsidRDefault="005A0903" w:rsidP="004D52FB">
      <w:pPr>
        <w:pStyle w:val="ARTartustawynprozporzdzenia"/>
        <w:ind w:firstLine="0"/>
        <w:rPr>
          <w:rFonts w:ascii="Times New Roman" w:hAnsi="Times New Roman" w:cs="Times New Roman"/>
        </w:rPr>
      </w:pPr>
      <w:r w:rsidRPr="004D52FB">
        <w:rPr>
          <w:rFonts w:ascii="Times New Roman" w:hAnsi="Times New Roman" w:cs="Times New Roman"/>
        </w:rPr>
        <w:t xml:space="preserve">Przewiduje się, </w:t>
      </w:r>
      <w:r w:rsidR="00F662D1" w:rsidRPr="004D52FB">
        <w:rPr>
          <w:rFonts w:ascii="Times New Roman" w:hAnsi="Times New Roman" w:cs="Times New Roman"/>
        </w:rPr>
        <w:t>ż</w:t>
      </w:r>
      <w:r w:rsidRPr="004D52FB">
        <w:rPr>
          <w:rFonts w:ascii="Times New Roman" w:hAnsi="Times New Roman" w:cs="Times New Roman"/>
        </w:rPr>
        <w:t>e ustawa wejdzie w życie po upływie 14 dni od dnia ogłoszenia.</w:t>
      </w:r>
    </w:p>
    <w:p w14:paraId="385BB5CC" w14:textId="77777777"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Projektowana ustawa jest zgodna z prawem Unii Europejskiej.</w:t>
      </w:r>
    </w:p>
    <w:p w14:paraId="315A368A" w14:textId="466443A8"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 xml:space="preserve">Projektowane regulacje nie mieszczą się w zakresie przedmiotowym zagadnień podlegających konsultacjom z Europejskim Bankiem Centralnym zgodnie z art. 2 ust. 1 decyzji Rady z dnia 29 czerwca 1998 r. w sprawie konsultacji Europejskiego Banku Centralnego, udzielanych </w:t>
      </w:r>
      <w:r w:rsidRPr="004D52FB">
        <w:rPr>
          <w:rFonts w:ascii="Times New Roman" w:hAnsi="Times New Roman" w:cs="Times New Roman"/>
        </w:rPr>
        <w:lastRenderedPageBreak/>
        <w:t>władzom krajowym w sprawie projektów przepisów prawnych (Dz. Urz. UE L 189 z 03.07.1998, str. 42; Dz. Urz. UE Polskie wydanie specjalne, rozdz. 1, t. 1, str. 446).</w:t>
      </w:r>
    </w:p>
    <w:p w14:paraId="6CEB2765" w14:textId="0F844E97"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Projekt ustawy wymaga notyfikacji w rozumieniu przepisów rozporządzenia Rady Ministrów z dnia 23 grudnia 2002 r. w sprawie sposobu funkcjonowania krajowego systemu notyfikacji norm i aktów prawnych (Dz. U. poz. 2039 oraz z 2004 r. poz. 597), które wdraża dyrektywę (UE) 2015/1535 Parlamentu Europejskiego i Rady z dnia 9 września 2015 r. ustanawiającą procedurę udzielania informacji w dziedzinie przepisów technicznych oraz zasad dotyczących usług społeczeństwa informacyjnego (ujednolicenie) (Dz. Urz. UE L 241 z 17.09.2015, str. 1).</w:t>
      </w:r>
    </w:p>
    <w:p w14:paraId="145330AD" w14:textId="6E950B06"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Projektowana regulacja będzie miała wpływ na działalność mikro-, małych i średnich przedsiębiorców zajmujących się obrotem wyrobami bez nikotyny</w:t>
      </w:r>
      <w:r w:rsidR="006933CF" w:rsidRPr="004D52FB">
        <w:rPr>
          <w:rFonts w:ascii="Times New Roman" w:hAnsi="Times New Roman" w:cs="Times New Roman"/>
        </w:rPr>
        <w:t xml:space="preserve"> lub woreczkami nikotynowymi</w:t>
      </w:r>
      <w:r w:rsidRPr="004D52FB">
        <w:rPr>
          <w:rFonts w:ascii="Times New Roman" w:hAnsi="Times New Roman" w:cs="Times New Roman"/>
        </w:rPr>
        <w:t>.</w:t>
      </w:r>
    </w:p>
    <w:p w14:paraId="567F0E60" w14:textId="6252ECD0" w:rsidR="00B66613" w:rsidRPr="004D52FB" w:rsidRDefault="005A0903" w:rsidP="004D52FB">
      <w:pPr>
        <w:pStyle w:val="ARTartustawynprozporzdzenia"/>
        <w:ind w:firstLine="0"/>
        <w:rPr>
          <w:rFonts w:ascii="Times New Roman" w:hAnsi="Times New Roman" w:cs="Times New Roman"/>
        </w:rPr>
      </w:pPr>
      <w:r w:rsidRPr="004D52FB">
        <w:rPr>
          <w:rFonts w:ascii="Times New Roman" w:hAnsi="Times New Roman" w:cs="Times New Roman"/>
        </w:rPr>
        <w:t>Projekt ustawy nie wywiera wpływu na obszar danych osobowych. W związku z tym nie przeprowadzono oceny skutków dla ochrony danych osobowych, o której mowa w art. 35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p w14:paraId="286BE3E3" w14:textId="04294755" w:rsidR="00B66613" w:rsidRPr="004D52FB" w:rsidRDefault="005A0903" w:rsidP="004D52FB">
      <w:pPr>
        <w:pStyle w:val="NIEARTTEKSTtekstnieartykuowanynppodstprawnarozplubpreambua"/>
        <w:ind w:firstLine="0"/>
        <w:rPr>
          <w:rFonts w:ascii="Times New Roman" w:hAnsi="Times New Roman" w:cs="Times New Roman"/>
        </w:rPr>
      </w:pPr>
      <w:r w:rsidRPr="004D52FB">
        <w:rPr>
          <w:rFonts w:ascii="Times New Roman" w:hAnsi="Times New Roman" w:cs="Times New Roman"/>
        </w:rPr>
        <w:t>Nie ma możliwości podjęcia alternatywnych w stosunku do projektowane</w:t>
      </w:r>
      <w:r w:rsidR="00046526">
        <w:rPr>
          <w:rFonts w:ascii="Times New Roman" w:hAnsi="Times New Roman" w:cs="Times New Roman"/>
          <w:bCs w:val="0"/>
        </w:rPr>
        <w:t>j</w:t>
      </w:r>
      <w:r w:rsidRPr="004D52FB">
        <w:rPr>
          <w:rFonts w:ascii="Times New Roman" w:hAnsi="Times New Roman" w:cs="Times New Roman"/>
        </w:rPr>
        <w:t xml:space="preserve"> ustawy środków umożliwiających osiągnięcie zamierzonego celu.</w:t>
      </w:r>
    </w:p>
    <w:sectPr w:rsidR="00B66613" w:rsidRPr="004D52FB" w:rsidSect="004D52FB">
      <w:footerReference w:type="default" r:id="rId12"/>
      <w:footnotePr>
        <w:numRestart w:val="eachSect"/>
      </w:footnotePr>
      <w:pgSz w:w="11906" w:h="16838"/>
      <w:pgMar w:top="1418" w:right="1418" w:bottom="1418" w:left="1418" w:header="709" w:footer="68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8936D" w14:textId="77777777" w:rsidR="00E00083" w:rsidRDefault="00E00083">
      <w:pPr>
        <w:spacing w:line="240" w:lineRule="auto"/>
      </w:pPr>
      <w:r>
        <w:separator/>
      </w:r>
    </w:p>
  </w:endnote>
  <w:endnote w:type="continuationSeparator" w:id="0">
    <w:p w14:paraId="0A62FA3F" w14:textId="77777777" w:rsidR="00E00083" w:rsidRDefault="00E00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459286"/>
      <w:docPartObj>
        <w:docPartGallery w:val="Page Numbers (Bottom of Page)"/>
        <w:docPartUnique/>
      </w:docPartObj>
    </w:sdtPr>
    <w:sdtEndPr/>
    <w:sdtContent>
      <w:p w14:paraId="45E737F4" w14:textId="42EC4A2F" w:rsidR="00C264D5" w:rsidRDefault="00C264D5" w:rsidP="00C264D5">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0310" w14:textId="77777777" w:rsidR="00E00083" w:rsidRDefault="00E00083">
      <w:r>
        <w:separator/>
      </w:r>
    </w:p>
  </w:footnote>
  <w:footnote w:type="continuationSeparator" w:id="0">
    <w:p w14:paraId="39B6F43A" w14:textId="77777777" w:rsidR="00E00083" w:rsidRDefault="00E0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07C2D"/>
    <w:multiLevelType w:val="hybridMultilevel"/>
    <w:tmpl w:val="ADFC1318"/>
    <w:lvl w:ilvl="0" w:tplc="E03E4CBE">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num w:numId="1" w16cid:durableId="1063409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170"/>
  <w:autoHyphenation/>
  <w:hyphenationZone w:val="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613"/>
    <w:rsid w:val="000113F0"/>
    <w:rsid w:val="00022790"/>
    <w:rsid w:val="00024D9C"/>
    <w:rsid w:val="00026434"/>
    <w:rsid w:val="00026914"/>
    <w:rsid w:val="0003148C"/>
    <w:rsid w:val="00036ED3"/>
    <w:rsid w:val="000424EA"/>
    <w:rsid w:val="00046526"/>
    <w:rsid w:val="00055DFF"/>
    <w:rsid w:val="00072857"/>
    <w:rsid w:val="000767E7"/>
    <w:rsid w:val="000A007B"/>
    <w:rsid w:val="000A40AD"/>
    <w:rsid w:val="000A74F9"/>
    <w:rsid w:val="000C0177"/>
    <w:rsid w:val="000F1980"/>
    <w:rsid w:val="00113D68"/>
    <w:rsid w:val="00115BCB"/>
    <w:rsid w:val="001169BB"/>
    <w:rsid w:val="00132348"/>
    <w:rsid w:val="00145F3D"/>
    <w:rsid w:val="0014790F"/>
    <w:rsid w:val="0015268E"/>
    <w:rsid w:val="00163DFF"/>
    <w:rsid w:val="00164364"/>
    <w:rsid w:val="00165773"/>
    <w:rsid w:val="0017733C"/>
    <w:rsid w:val="00180F30"/>
    <w:rsid w:val="0018262C"/>
    <w:rsid w:val="00184247"/>
    <w:rsid w:val="001A76DB"/>
    <w:rsid w:val="001B0C0C"/>
    <w:rsid w:val="001B4E48"/>
    <w:rsid w:val="001C7B7D"/>
    <w:rsid w:val="00215C63"/>
    <w:rsid w:val="00220959"/>
    <w:rsid w:val="00244C3B"/>
    <w:rsid w:val="0025078C"/>
    <w:rsid w:val="002532BC"/>
    <w:rsid w:val="002702DC"/>
    <w:rsid w:val="0028730B"/>
    <w:rsid w:val="002922F4"/>
    <w:rsid w:val="00295A39"/>
    <w:rsid w:val="002A24F6"/>
    <w:rsid w:val="002A5361"/>
    <w:rsid w:val="002B1B9B"/>
    <w:rsid w:val="002D43B1"/>
    <w:rsid w:val="00312EF6"/>
    <w:rsid w:val="00315019"/>
    <w:rsid w:val="0033759C"/>
    <w:rsid w:val="00346542"/>
    <w:rsid w:val="00354E53"/>
    <w:rsid w:val="00363753"/>
    <w:rsid w:val="003644C9"/>
    <w:rsid w:val="003800F0"/>
    <w:rsid w:val="003803FA"/>
    <w:rsid w:val="003A10E8"/>
    <w:rsid w:val="003A3B60"/>
    <w:rsid w:val="003A4213"/>
    <w:rsid w:val="003D4DE8"/>
    <w:rsid w:val="003E0422"/>
    <w:rsid w:val="003E2102"/>
    <w:rsid w:val="003F489A"/>
    <w:rsid w:val="0040261D"/>
    <w:rsid w:val="004056F3"/>
    <w:rsid w:val="00407FA3"/>
    <w:rsid w:val="0041763E"/>
    <w:rsid w:val="00420893"/>
    <w:rsid w:val="0042130E"/>
    <w:rsid w:val="0043571F"/>
    <w:rsid w:val="00436C36"/>
    <w:rsid w:val="00443E48"/>
    <w:rsid w:val="004679EB"/>
    <w:rsid w:val="0048750C"/>
    <w:rsid w:val="004B5C17"/>
    <w:rsid w:val="004C003E"/>
    <w:rsid w:val="004D52FB"/>
    <w:rsid w:val="004E3579"/>
    <w:rsid w:val="004F3083"/>
    <w:rsid w:val="005022A8"/>
    <w:rsid w:val="00504D02"/>
    <w:rsid w:val="0051572C"/>
    <w:rsid w:val="005167EF"/>
    <w:rsid w:val="00524690"/>
    <w:rsid w:val="00531783"/>
    <w:rsid w:val="0053603D"/>
    <w:rsid w:val="0055006A"/>
    <w:rsid w:val="00552098"/>
    <w:rsid w:val="00580460"/>
    <w:rsid w:val="005820D0"/>
    <w:rsid w:val="0058756D"/>
    <w:rsid w:val="005A0903"/>
    <w:rsid w:val="005B120E"/>
    <w:rsid w:val="005C5197"/>
    <w:rsid w:val="005C5344"/>
    <w:rsid w:val="005E76AC"/>
    <w:rsid w:val="005F1C48"/>
    <w:rsid w:val="005F506C"/>
    <w:rsid w:val="00607D28"/>
    <w:rsid w:val="0063490C"/>
    <w:rsid w:val="00655FE3"/>
    <w:rsid w:val="006613F6"/>
    <w:rsid w:val="006933CF"/>
    <w:rsid w:val="006B1340"/>
    <w:rsid w:val="006C1591"/>
    <w:rsid w:val="006C7B2D"/>
    <w:rsid w:val="006E09D4"/>
    <w:rsid w:val="006E1E84"/>
    <w:rsid w:val="007000CA"/>
    <w:rsid w:val="007116B1"/>
    <w:rsid w:val="007156F6"/>
    <w:rsid w:val="00715FC0"/>
    <w:rsid w:val="0071712E"/>
    <w:rsid w:val="00750B4A"/>
    <w:rsid w:val="00762E2F"/>
    <w:rsid w:val="007A7BC8"/>
    <w:rsid w:val="007B0776"/>
    <w:rsid w:val="007C0DFE"/>
    <w:rsid w:val="007C3F2A"/>
    <w:rsid w:val="007C76DA"/>
    <w:rsid w:val="0080442E"/>
    <w:rsid w:val="008232EA"/>
    <w:rsid w:val="0085289F"/>
    <w:rsid w:val="0085311D"/>
    <w:rsid w:val="0087222F"/>
    <w:rsid w:val="008749F8"/>
    <w:rsid w:val="00893823"/>
    <w:rsid w:val="008952B9"/>
    <w:rsid w:val="008A48AF"/>
    <w:rsid w:val="008A548F"/>
    <w:rsid w:val="008A6451"/>
    <w:rsid w:val="008C420E"/>
    <w:rsid w:val="008C6BF3"/>
    <w:rsid w:val="008D498A"/>
    <w:rsid w:val="008E1C37"/>
    <w:rsid w:val="009104F1"/>
    <w:rsid w:val="00910EA8"/>
    <w:rsid w:val="00914B72"/>
    <w:rsid w:val="009154EE"/>
    <w:rsid w:val="00926275"/>
    <w:rsid w:val="0096478A"/>
    <w:rsid w:val="00981A41"/>
    <w:rsid w:val="009B02BC"/>
    <w:rsid w:val="009B317C"/>
    <w:rsid w:val="009B31BC"/>
    <w:rsid w:val="009C04D4"/>
    <w:rsid w:val="009C218A"/>
    <w:rsid w:val="009D64B9"/>
    <w:rsid w:val="009D7CF0"/>
    <w:rsid w:val="009F06C5"/>
    <w:rsid w:val="009F430D"/>
    <w:rsid w:val="009F4CE6"/>
    <w:rsid w:val="00A62902"/>
    <w:rsid w:val="00A8088E"/>
    <w:rsid w:val="00A80B28"/>
    <w:rsid w:val="00A86FE0"/>
    <w:rsid w:val="00A93B35"/>
    <w:rsid w:val="00A93C7A"/>
    <w:rsid w:val="00A94ED5"/>
    <w:rsid w:val="00AA03A2"/>
    <w:rsid w:val="00AA5F7C"/>
    <w:rsid w:val="00AA71C0"/>
    <w:rsid w:val="00AB7C67"/>
    <w:rsid w:val="00AC0012"/>
    <w:rsid w:val="00AC2065"/>
    <w:rsid w:val="00AD0A95"/>
    <w:rsid w:val="00AE1C28"/>
    <w:rsid w:val="00AE1DA2"/>
    <w:rsid w:val="00AF2798"/>
    <w:rsid w:val="00B1222A"/>
    <w:rsid w:val="00B35B1B"/>
    <w:rsid w:val="00B66613"/>
    <w:rsid w:val="00B9362C"/>
    <w:rsid w:val="00B9677E"/>
    <w:rsid w:val="00BA29DB"/>
    <w:rsid w:val="00BB1ABC"/>
    <w:rsid w:val="00BD7A42"/>
    <w:rsid w:val="00BE0489"/>
    <w:rsid w:val="00BE6555"/>
    <w:rsid w:val="00BF122A"/>
    <w:rsid w:val="00C11237"/>
    <w:rsid w:val="00C15563"/>
    <w:rsid w:val="00C20DE8"/>
    <w:rsid w:val="00C264D5"/>
    <w:rsid w:val="00C403D9"/>
    <w:rsid w:val="00C46C91"/>
    <w:rsid w:val="00C54BEB"/>
    <w:rsid w:val="00C55B06"/>
    <w:rsid w:val="00C64F32"/>
    <w:rsid w:val="00C6695A"/>
    <w:rsid w:val="00C66C45"/>
    <w:rsid w:val="00C70C0D"/>
    <w:rsid w:val="00C90192"/>
    <w:rsid w:val="00CA33A0"/>
    <w:rsid w:val="00CA3499"/>
    <w:rsid w:val="00CA5AD2"/>
    <w:rsid w:val="00CC234F"/>
    <w:rsid w:val="00CC77E8"/>
    <w:rsid w:val="00CD4A16"/>
    <w:rsid w:val="00CE22C9"/>
    <w:rsid w:val="00CE6329"/>
    <w:rsid w:val="00CF7AFD"/>
    <w:rsid w:val="00D04CB2"/>
    <w:rsid w:val="00D052A7"/>
    <w:rsid w:val="00D10563"/>
    <w:rsid w:val="00D2676F"/>
    <w:rsid w:val="00D3367F"/>
    <w:rsid w:val="00D40B36"/>
    <w:rsid w:val="00D42C0D"/>
    <w:rsid w:val="00D52D6F"/>
    <w:rsid w:val="00D671E9"/>
    <w:rsid w:val="00DA0A13"/>
    <w:rsid w:val="00DB310E"/>
    <w:rsid w:val="00DC14F7"/>
    <w:rsid w:val="00DE24C7"/>
    <w:rsid w:val="00DE7BBC"/>
    <w:rsid w:val="00DF2C14"/>
    <w:rsid w:val="00E00083"/>
    <w:rsid w:val="00E01F9F"/>
    <w:rsid w:val="00E32642"/>
    <w:rsid w:val="00E33E8E"/>
    <w:rsid w:val="00E44B41"/>
    <w:rsid w:val="00E5065F"/>
    <w:rsid w:val="00E63CA2"/>
    <w:rsid w:val="00EB2A37"/>
    <w:rsid w:val="00EB3A36"/>
    <w:rsid w:val="00EE42E9"/>
    <w:rsid w:val="00EF4469"/>
    <w:rsid w:val="00EF50BF"/>
    <w:rsid w:val="00F010EF"/>
    <w:rsid w:val="00F150EF"/>
    <w:rsid w:val="00F23DF3"/>
    <w:rsid w:val="00F37B31"/>
    <w:rsid w:val="00F626EE"/>
    <w:rsid w:val="00F62863"/>
    <w:rsid w:val="00F62883"/>
    <w:rsid w:val="00F63B5C"/>
    <w:rsid w:val="00F662D1"/>
    <w:rsid w:val="00F81C65"/>
    <w:rsid w:val="00FC1FA7"/>
    <w:rsid w:val="00FE4FBF"/>
    <w:rsid w:val="00FE6194"/>
    <w:rsid w:val="00FF05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75C3A"/>
  <w15:docId w15:val="{5E29A1DF-0324-4C6C-A339-7B1E90A8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spacing w:line="360" w:lineRule="auto"/>
    </w:pPr>
    <w:rPr>
      <w:rFonts w:ascii="Times New Roman" w:eastAsiaTheme="minorEastAsia" w:hAnsi="Times New Roman" w:cs="Arial"/>
      <w:szCs w:val="20"/>
    </w:rPr>
  </w:style>
  <w:style w:type="paragraph" w:styleId="Nagwek1">
    <w:name w:val="heading 1"/>
    <w:basedOn w:val="Normalny"/>
    <w:next w:val="Normalny"/>
    <w:link w:val="Nagwek1Znak"/>
    <w:uiPriority w:val="99"/>
    <w:semiHidden/>
    <w:qFormat/>
    <w:rsid w:val="001E1E73"/>
    <w:pPr>
      <w:keepNext/>
      <w:keepLines/>
      <w:spacing w:before="480"/>
      <w:outlineLvl w:val="0"/>
    </w:pPr>
    <w:rPr>
      <w:rFonts w:asciiTheme="majorHAnsi" w:eastAsiaTheme="majorEastAsia" w:hAnsiTheme="majorHAnsi" w:cstheme="majorBidi"/>
      <w:b/>
      <w:bCs/>
      <w:color w:val="365F91" w:themeColor="accent1" w:themeShade="BF"/>
      <w:kern w:val="2"/>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uiPriority w:val="99"/>
    <w:semiHidden/>
    <w:qFormat/>
    <w:rsid w:val="004C3F97"/>
    <w:rPr>
      <w:rFonts w:cs="Times New Roman"/>
      <w:vertAlign w:val="superscript"/>
    </w:rPr>
  </w:style>
  <w:style w:type="character" w:styleId="Odwoanieprzypisudolnego">
    <w:name w:val="footnote reference"/>
    <w:rPr>
      <w:rFonts w:cs="Times New Roman"/>
      <w:vertAlign w:val="superscript"/>
    </w:rPr>
  </w:style>
  <w:style w:type="character" w:customStyle="1" w:styleId="NagwekZnak">
    <w:name w:val="Nagłówek Znak"/>
    <w:link w:val="Nagwek"/>
    <w:uiPriority w:val="99"/>
    <w:semiHidden/>
    <w:qFormat/>
    <w:rsid w:val="00060076"/>
    <w:rPr>
      <w:rFonts w:eastAsiaTheme="minorEastAsia" w:cs="Arial"/>
      <w:kern w:val="2"/>
      <w:sz w:val="20"/>
      <w:szCs w:val="20"/>
      <w:lang w:eastAsia="ar-SA"/>
    </w:rPr>
  </w:style>
  <w:style w:type="character" w:customStyle="1" w:styleId="StopkaZnak">
    <w:name w:val="Stopka Znak"/>
    <w:link w:val="Stopka"/>
    <w:uiPriority w:val="99"/>
    <w:qFormat/>
    <w:rsid w:val="00060076"/>
    <w:rPr>
      <w:rFonts w:eastAsiaTheme="minorEastAsia" w:cs="Arial"/>
      <w:kern w:val="2"/>
      <w:sz w:val="20"/>
      <w:szCs w:val="20"/>
      <w:lang w:eastAsia="ar-SA"/>
    </w:rPr>
  </w:style>
  <w:style w:type="character" w:customStyle="1" w:styleId="TekstdymkaZnak">
    <w:name w:val="Tekst dymka Znak"/>
    <w:link w:val="Tekstdymka"/>
    <w:uiPriority w:val="99"/>
    <w:semiHidden/>
    <w:qFormat/>
    <w:rsid w:val="004C3F97"/>
    <w:rPr>
      <w:rFonts w:ascii="Tahoma" w:eastAsiaTheme="minorEastAsia" w:hAnsi="Tahoma" w:cs="Tahoma"/>
      <w:kern w:val="2"/>
      <w:sz w:val="16"/>
      <w:szCs w:val="16"/>
      <w:lang w:eastAsia="ar-SA"/>
    </w:rPr>
  </w:style>
  <w:style w:type="character" w:customStyle="1" w:styleId="Nagwek1Znak">
    <w:name w:val="Nagłówek 1 Znak"/>
    <w:basedOn w:val="Domylnaczcionkaakapitu"/>
    <w:link w:val="Nagwek1"/>
    <w:uiPriority w:val="99"/>
    <w:semiHidden/>
    <w:qFormat/>
    <w:rsid w:val="004504C0"/>
    <w:rPr>
      <w:rFonts w:asciiTheme="majorHAnsi" w:eastAsiaTheme="majorEastAsia" w:hAnsiTheme="majorHAnsi" w:cstheme="majorBidi"/>
      <w:b/>
      <w:bCs/>
      <w:color w:val="365F91" w:themeColor="accent1" w:themeShade="BF"/>
      <w:kern w:val="2"/>
      <w:sz w:val="28"/>
      <w:szCs w:val="28"/>
      <w:lang w:eastAsia="ar-SA"/>
    </w:rPr>
  </w:style>
  <w:style w:type="character" w:customStyle="1" w:styleId="TekstprzypisudolnegoZnak">
    <w:name w:val="Tekst przypisu dolnego Znak"/>
    <w:basedOn w:val="Domylnaczcionkaakapitu"/>
    <w:link w:val="Tekstprzypisudolnego"/>
    <w:uiPriority w:val="99"/>
    <w:semiHidden/>
    <w:qFormat/>
    <w:rsid w:val="006E0FCC"/>
    <w:rPr>
      <w:sz w:val="20"/>
    </w:rPr>
  </w:style>
  <w:style w:type="character" w:styleId="Odwoaniedokomentarza">
    <w:name w:val="annotation reference"/>
    <w:basedOn w:val="Domylnaczcionkaakapitu"/>
    <w:uiPriority w:val="99"/>
    <w:semiHidden/>
    <w:qFormat/>
    <w:rsid w:val="00023F13"/>
    <w:rPr>
      <w:sz w:val="16"/>
      <w:szCs w:val="16"/>
    </w:rPr>
  </w:style>
  <w:style w:type="character" w:customStyle="1" w:styleId="TekstkomentarzaZnak">
    <w:name w:val="Tekst komentarza Znak"/>
    <w:basedOn w:val="Domylnaczcionkaakapitu"/>
    <w:link w:val="Tekstkomentarza"/>
    <w:uiPriority w:val="99"/>
    <w:semiHidden/>
    <w:qFormat/>
    <w:rsid w:val="004504C0"/>
    <w:rPr>
      <w:sz w:val="20"/>
    </w:rPr>
  </w:style>
  <w:style w:type="character" w:customStyle="1" w:styleId="TematkomentarzaZnak">
    <w:name w:val="Temat komentarza Znak"/>
    <w:basedOn w:val="TekstkomentarzaZnak"/>
    <w:link w:val="Tematkomentarza"/>
    <w:uiPriority w:val="99"/>
    <w:semiHidden/>
    <w:qFormat/>
    <w:rsid w:val="004504C0"/>
    <w:rPr>
      <w:b/>
      <w:bCs/>
      <w:sz w:val="20"/>
    </w:r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vertAlign w:val="superscript"/>
    </w:rPr>
  </w:style>
  <w:style w:type="character" w:styleId="Tekstzastpczy">
    <w:name w:val="Placeholder Text"/>
    <w:basedOn w:val="Domylnaczcionkaakapitu"/>
    <w:uiPriority w:val="99"/>
    <w:semiHidden/>
    <w:qFormat/>
    <w:rsid w:val="00341A6A"/>
    <w:rPr>
      <w:color w:val="808080"/>
    </w:rPr>
  </w:style>
  <w:style w:type="character" w:customStyle="1" w:styleId="InternetLink">
    <w:name w:val="Internet Link"/>
    <w:basedOn w:val="Domylnaczcionkaakapitu"/>
    <w:uiPriority w:val="99"/>
    <w:semiHidden/>
    <w:unhideWhenUsed/>
    <w:qFormat/>
    <w:rsid w:val="00352BDA"/>
    <w:rPr>
      <w:color w:val="0000FF"/>
      <w:u w:val="single"/>
    </w:rPr>
  </w:style>
  <w:style w:type="character" w:customStyle="1" w:styleId="LineNumbering">
    <w:name w:val="Line Numbering"/>
    <w:qFormat/>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LineNumbering1">
    <w:name w:val="Line Numbering1"/>
    <w:qFormat/>
  </w:style>
  <w:style w:type="character" w:styleId="Numerwiersza">
    <w:name w:val="line number"/>
  </w:style>
  <w:style w:type="paragraph" w:styleId="Nagwek">
    <w:name w:val="header"/>
    <w:basedOn w:val="Normalny"/>
    <w:next w:val="Tekstpodstawowy"/>
    <w:link w:val="NagwekZnak"/>
    <w:uiPriority w:val="99"/>
    <w:semiHidden/>
    <w:rsid w:val="004C3F97"/>
    <w:pPr>
      <w:tabs>
        <w:tab w:val="center" w:pos="4536"/>
        <w:tab w:val="right" w:pos="9072"/>
      </w:tabs>
    </w:pPr>
    <w:rPr>
      <w:rFonts w:ascii="Times" w:eastAsia="Times New Roman" w:hAnsi="Times" w:cs="Times New Roman"/>
      <w:kern w:val="2"/>
      <w:szCs w:val="24"/>
      <w:lang w:eastAsia="ar-SA"/>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szCs w:val="24"/>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paragraph" w:styleId="Stopka">
    <w:name w:val="footer"/>
    <w:basedOn w:val="Normalny"/>
    <w:link w:val="StopkaZnak"/>
    <w:uiPriority w:val="99"/>
    <w:rsid w:val="004C3F97"/>
    <w:pPr>
      <w:tabs>
        <w:tab w:val="center" w:pos="4536"/>
        <w:tab w:val="right" w:pos="9072"/>
      </w:tabs>
    </w:pPr>
    <w:rPr>
      <w:rFonts w:ascii="Times" w:eastAsia="Times New Roman" w:hAnsi="Times" w:cs="Times New Roman"/>
      <w:kern w:val="2"/>
      <w:szCs w:val="24"/>
      <w:lang w:eastAsia="ar-SA"/>
    </w:rPr>
  </w:style>
  <w:style w:type="paragraph" w:styleId="Tekstdymka">
    <w:name w:val="Balloon Text"/>
    <w:basedOn w:val="Normalny"/>
    <w:link w:val="TekstdymkaZnak"/>
    <w:uiPriority w:val="99"/>
    <w:semiHidden/>
    <w:qFormat/>
    <w:rsid w:val="004C3F97"/>
    <w:rPr>
      <w:rFonts w:ascii="Tahoma" w:eastAsia="Times New Roman" w:hAnsi="Tahoma" w:cs="Tahoma"/>
      <w:kern w:val="2"/>
      <w:szCs w:val="16"/>
      <w:lang w:eastAsia="ar-SA"/>
    </w:rPr>
  </w:style>
  <w:style w:type="paragraph" w:customStyle="1" w:styleId="ARTartustawynprozporzdzenia">
    <w:name w:val="ART(§) – art. ustawy (§ np. rozporządzenia)"/>
    <w:uiPriority w:val="11"/>
    <w:qFormat/>
    <w:rsid w:val="006A748A"/>
    <w:pPr>
      <w:spacing w:before="120" w:line="360" w:lineRule="auto"/>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styleId="Bezodstpw">
    <w:name w:val="No Spacing"/>
    <w:uiPriority w:val="99"/>
    <w:semiHidden/>
    <w:qFormat/>
    <w:rsid w:val="004C3F97"/>
    <w:pPr>
      <w:widowControl w:val="0"/>
      <w:spacing w:line="360" w:lineRule="auto"/>
    </w:pPr>
    <w:rPr>
      <w:kern w:val="2"/>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pacing w:before="120" w:after="120" w:line="360" w:lineRule="auto"/>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pacing w:before="120" w:after="360" w:line="360" w:lineRule="auto"/>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pacing w:before="120" w:line="360" w:lineRule="auto"/>
      <w:jc w:val="center"/>
    </w:pPr>
    <w:rPr>
      <w:b/>
      <w:bCs/>
      <w:caps/>
      <w:kern w:val="2"/>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pacing w:after="120" w:line="360" w:lineRule="auto"/>
      <w:jc w:val="center"/>
    </w:pPr>
    <w:rPr>
      <w:b/>
      <w:bCs/>
      <w:caps/>
      <w:spacing w:val="54"/>
      <w:kern w:val="2"/>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spacing w:line="360" w:lineRule="auto"/>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pacing w:before="120" w:line="360" w:lineRule="auto"/>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eastAsiaTheme="minorEastAsia" w:cs="Arial"/>
      <w:bCs/>
      <w:caps/>
      <w:kern w:val="2"/>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pacing w:line="360" w:lineRule="auto"/>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pacing w:line="360" w:lineRule="auto"/>
      <w:ind w:left="510"/>
      <w:jc w:val="center"/>
    </w:pPr>
    <w:rPr>
      <w:rFonts w:eastAsiaTheme="minorEastAsia" w:cs="Arial"/>
      <w:bCs/>
      <w:kern w:val="2"/>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paragraph" w:styleId="Tematkomentarza">
    <w:name w:val="annotation subject"/>
    <w:basedOn w:val="Tekstkomentarza"/>
    <w:next w:val="Tekstkomentarza"/>
    <w:link w:val="TematkomentarzaZnak"/>
    <w:uiPriority w:val="99"/>
    <w:semiHidden/>
    <w:qFormat/>
    <w:rsid w:val="00023F13"/>
    <w:rPr>
      <w:b/>
      <w:bCs/>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pacing w:before="120" w:line="360" w:lineRule="auto"/>
      <w:jc w:val="center"/>
    </w:pPr>
    <w:rPr>
      <w:rFonts w:eastAsiaTheme="minorEastAsia" w:cs="Arial"/>
      <w:bCs/>
      <w:kern w:val="2"/>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pacing w:before="120" w:line="360" w:lineRule="auto"/>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paragraph" w:customStyle="1" w:styleId="ODNONIKSPECtreodnonikadoodnonika">
    <w:name w:val="ODNOŚNIK_SPEC – treść odnośnika do odnośnika"/>
    <w:basedOn w:val="Normalny"/>
    <w:uiPriority w:val="19"/>
    <w:qFormat/>
    <w:rsid w:val="00263522"/>
    <w:pPr>
      <w:widowControl/>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ind w:firstLine="510"/>
    </w:pPr>
    <w:rPr>
      <w:rFonts w:ascii="Times" w:hAnsi="Times"/>
      <w:bCs/>
      <w:kern w:val="2"/>
    </w:rPr>
  </w:style>
  <w:style w:type="paragraph" w:customStyle="1" w:styleId="TEKSTwTABELIWYRODKOWANYtekstwyrodkowanywpoziomie">
    <w:name w:val="TEKST_w_TABELI_WYŚRODKOWANY – tekst wyśrodkowany w poziomie"/>
    <w:basedOn w:val="Normalny"/>
    <w:uiPriority w:val="23"/>
    <w:qFormat/>
    <w:rsid w:val="007A789F"/>
    <w:pPr>
      <w:widowControl/>
      <w:jc w:val="center"/>
    </w:pPr>
    <w:rPr>
      <w:rFonts w:ascii="Times" w:hAnsi="Times"/>
      <w:bCs/>
      <w:kern w:val="2"/>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paragraph" w:styleId="Akapitzlist">
    <w:name w:val="List Paragraph"/>
    <w:basedOn w:val="Normalny"/>
    <w:uiPriority w:val="34"/>
    <w:qFormat/>
    <w:rsid w:val="00064227"/>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Poprawka">
    <w:name w:val="Revision"/>
    <w:uiPriority w:val="99"/>
    <w:semiHidden/>
    <w:qFormat/>
    <w:rsid w:val="00C472E4"/>
    <w:rPr>
      <w:rFonts w:ascii="Times New Roman" w:eastAsiaTheme="minorEastAsia" w:hAnsi="Times New Roman" w:cs="Arial"/>
      <w:szCs w:val="20"/>
    </w:rPr>
  </w:style>
  <w:style w:type="paragraph" w:customStyle="1" w:styleId="Komentarz">
    <w:name w:val="Komentarz"/>
    <w:basedOn w:val="Normalny"/>
    <w:qFormat/>
    <w:pPr>
      <w:spacing w:before="56"/>
      <w:ind w:left="56" w:right="56"/>
    </w:pPr>
    <w:rPr>
      <w:sz w:val="20"/>
    </w:rPr>
  </w:style>
  <w:style w:type="table" w:styleId="Tabela-Siatka">
    <w:name w:val="Table Grid"/>
    <w:basedOn w:val="Standardowy"/>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1952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cPr>
      <w:shd w:val="clear" w:color="auto" w:fill="auto"/>
    </w:tcPr>
    <w:tblStylePr w:type="firstRow">
      <w:rPr>
        <w:caps/>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style>
  <w:style w:type="table" w:customStyle="1" w:styleId="TABELA3zszablonu">
    <w:name w:val="TABELA 3 z szablonu"/>
    <w:basedOn w:val="TABELA2zszablonu"/>
    <w:uiPriority w:val="99"/>
    <w:rsid w:val="001329AC"/>
    <w:tblPr/>
    <w:tcPr>
      <w:shd w:val="clear" w:color="auto" w:fill="auto"/>
    </w:tcPr>
    <w:tblStylePr w:type="firstRow">
      <w:rPr>
        <w:caps/>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51154">
      <w:bodyDiv w:val="1"/>
      <w:marLeft w:val="0"/>
      <w:marRight w:val="0"/>
      <w:marTop w:val="0"/>
      <w:marBottom w:val="0"/>
      <w:divBdr>
        <w:top w:val="none" w:sz="0" w:space="0" w:color="auto"/>
        <w:left w:val="none" w:sz="0" w:space="0" w:color="auto"/>
        <w:bottom w:val="none" w:sz="0" w:space="0" w:color="auto"/>
        <w:right w:val="none" w:sz="0" w:space="0" w:color="auto"/>
      </w:divBdr>
    </w:div>
    <w:div w:id="296843085">
      <w:bodyDiv w:val="1"/>
      <w:marLeft w:val="0"/>
      <w:marRight w:val="0"/>
      <w:marTop w:val="0"/>
      <w:marBottom w:val="0"/>
      <w:divBdr>
        <w:top w:val="none" w:sz="0" w:space="0" w:color="auto"/>
        <w:left w:val="none" w:sz="0" w:space="0" w:color="auto"/>
        <w:bottom w:val="none" w:sz="0" w:space="0" w:color="auto"/>
        <w:right w:val="none" w:sz="0" w:space="0" w:color="auto"/>
      </w:divBdr>
    </w:div>
    <w:div w:id="298925618">
      <w:bodyDiv w:val="1"/>
      <w:marLeft w:val="0"/>
      <w:marRight w:val="0"/>
      <w:marTop w:val="0"/>
      <w:marBottom w:val="0"/>
      <w:divBdr>
        <w:top w:val="none" w:sz="0" w:space="0" w:color="auto"/>
        <w:left w:val="none" w:sz="0" w:space="0" w:color="auto"/>
        <w:bottom w:val="none" w:sz="0" w:space="0" w:color="auto"/>
        <w:right w:val="none" w:sz="0" w:space="0" w:color="auto"/>
      </w:divBdr>
    </w:div>
    <w:div w:id="344021413">
      <w:bodyDiv w:val="1"/>
      <w:marLeft w:val="0"/>
      <w:marRight w:val="0"/>
      <w:marTop w:val="0"/>
      <w:marBottom w:val="0"/>
      <w:divBdr>
        <w:top w:val="none" w:sz="0" w:space="0" w:color="auto"/>
        <w:left w:val="none" w:sz="0" w:space="0" w:color="auto"/>
        <w:bottom w:val="none" w:sz="0" w:space="0" w:color="auto"/>
        <w:right w:val="none" w:sz="0" w:space="0" w:color="auto"/>
      </w:divBdr>
    </w:div>
    <w:div w:id="729964620">
      <w:bodyDiv w:val="1"/>
      <w:marLeft w:val="0"/>
      <w:marRight w:val="0"/>
      <w:marTop w:val="0"/>
      <w:marBottom w:val="0"/>
      <w:divBdr>
        <w:top w:val="none" w:sz="0" w:space="0" w:color="auto"/>
        <w:left w:val="none" w:sz="0" w:space="0" w:color="auto"/>
        <w:bottom w:val="none" w:sz="0" w:space="0" w:color="auto"/>
        <w:right w:val="none" w:sz="0" w:space="0" w:color="auto"/>
      </w:divBdr>
    </w:div>
    <w:div w:id="821967535">
      <w:bodyDiv w:val="1"/>
      <w:marLeft w:val="0"/>
      <w:marRight w:val="0"/>
      <w:marTop w:val="0"/>
      <w:marBottom w:val="0"/>
      <w:divBdr>
        <w:top w:val="none" w:sz="0" w:space="0" w:color="auto"/>
        <w:left w:val="none" w:sz="0" w:space="0" w:color="auto"/>
        <w:bottom w:val="none" w:sz="0" w:space="0" w:color="auto"/>
        <w:right w:val="none" w:sz="0" w:space="0" w:color="auto"/>
      </w:divBdr>
    </w:div>
    <w:div w:id="864293545">
      <w:bodyDiv w:val="1"/>
      <w:marLeft w:val="0"/>
      <w:marRight w:val="0"/>
      <w:marTop w:val="0"/>
      <w:marBottom w:val="0"/>
      <w:divBdr>
        <w:top w:val="none" w:sz="0" w:space="0" w:color="auto"/>
        <w:left w:val="none" w:sz="0" w:space="0" w:color="auto"/>
        <w:bottom w:val="none" w:sz="0" w:space="0" w:color="auto"/>
        <w:right w:val="none" w:sz="0" w:space="0" w:color="auto"/>
      </w:divBdr>
    </w:div>
    <w:div w:id="1032536376">
      <w:bodyDiv w:val="1"/>
      <w:marLeft w:val="0"/>
      <w:marRight w:val="0"/>
      <w:marTop w:val="0"/>
      <w:marBottom w:val="0"/>
      <w:divBdr>
        <w:top w:val="none" w:sz="0" w:space="0" w:color="auto"/>
        <w:left w:val="none" w:sz="0" w:space="0" w:color="auto"/>
        <w:bottom w:val="none" w:sz="0" w:space="0" w:color="auto"/>
        <w:right w:val="none" w:sz="0" w:space="0" w:color="auto"/>
      </w:divBdr>
    </w:div>
    <w:div w:id="1049231839">
      <w:bodyDiv w:val="1"/>
      <w:marLeft w:val="0"/>
      <w:marRight w:val="0"/>
      <w:marTop w:val="0"/>
      <w:marBottom w:val="0"/>
      <w:divBdr>
        <w:top w:val="none" w:sz="0" w:space="0" w:color="auto"/>
        <w:left w:val="none" w:sz="0" w:space="0" w:color="auto"/>
        <w:bottom w:val="none" w:sz="0" w:space="0" w:color="auto"/>
        <w:right w:val="none" w:sz="0" w:space="0" w:color="auto"/>
      </w:divBdr>
    </w:div>
    <w:div w:id="1066415372">
      <w:bodyDiv w:val="1"/>
      <w:marLeft w:val="0"/>
      <w:marRight w:val="0"/>
      <w:marTop w:val="0"/>
      <w:marBottom w:val="0"/>
      <w:divBdr>
        <w:top w:val="none" w:sz="0" w:space="0" w:color="auto"/>
        <w:left w:val="none" w:sz="0" w:space="0" w:color="auto"/>
        <w:bottom w:val="none" w:sz="0" w:space="0" w:color="auto"/>
        <w:right w:val="none" w:sz="0" w:space="0" w:color="auto"/>
      </w:divBdr>
    </w:div>
    <w:div w:id="1149438509">
      <w:bodyDiv w:val="1"/>
      <w:marLeft w:val="0"/>
      <w:marRight w:val="0"/>
      <w:marTop w:val="0"/>
      <w:marBottom w:val="0"/>
      <w:divBdr>
        <w:top w:val="none" w:sz="0" w:space="0" w:color="auto"/>
        <w:left w:val="none" w:sz="0" w:space="0" w:color="auto"/>
        <w:bottom w:val="none" w:sz="0" w:space="0" w:color="auto"/>
        <w:right w:val="none" w:sz="0" w:space="0" w:color="auto"/>
      </w:divBdr>
    </w:div>
    <w:div w:id="1263293765">
      <w:bodyDiv w:val="1"/>
      <w:marLeft w:val="0"/>
      <w:marRight w:val="0"/>
      <w:marTop w:val="0"/>
      <w:marBottom w:val="0"/>
      <w:divBdr>
        <w:top w:val="none" w:sz="0" w:space="0" w:color="auto"/>
        <w:left w:val="none" w:sz="0" w:space="0" w:color="auto"/>
        <w:bottom w:val="none" w:sz="0" w:space="0" w:color="auto"/>
        <w:right w:val="none" w:sz="0" w:space="0" w:color="auto"/>
      </w:divBdr>
    </w:div>
    <w:div w:id="1291546245">
      <w:bodyDiv w:val="1"/>
      <w:marLeft w:val="0"/>
      <w:marRight w:val="0"/>
      <w:marTop w:val="0"/>
      <w:marBottom w:val="0"/>
      <w:divBdr>
        <w:top w:val="none" w:sz="0" w:space="0" w:color="auto"/>
        <w:left w:val="none" w:sz="0" w:space="0" w:color="auto"/>
        <w:bottom w:val="none" w:sz="0" w:space="0" w:color="auto"/>
        <w:right w:val="none" w:sz="0" w:space="0" w:color="auto"/>
      </w:divBdr>
    </w:div>
    <w:div w:id="1353726591">
      <w:bodyDiv w:val="1"/>
      <w:marLeft w:val="0"/>
      <w:marRight w:val="0"/>
      <w:marTop w:val="0"/>
      <w:marBottom w:val="0"/>
      <w:divBdr>
        <w:top w:val="none" w:sz="0" w:space="0" w:color="auto"/>
        <w:left w:val="none" w:sz="0" w:space="0" w:color="auto"/>
        <w:bottom w:val="none" w:sz="0" w:space="0" w:color="auto"/>
        <w:right w:val="none" w:sz="0" w:space="0" w:color="auto"/>
      </w:divBdr>
    </w:div>
    <w:div w:id="1585604519">
      <w:bodyDiv w:val="1"/>
      <w:marLeft w:val="0"/>
      <w:marRight w:val="0"/>
      <w:marTop w:val="0"/>
      <w:marBottom w:val="0"/>
      <w:divBdr>
        <w:top w:val="none" w:sz="0" w:space="0" w:color="auto"/>
        <w:left w:val="none" w:sz="0" w:space="0" w:color="auto"/>
        <w:bottom w:val="none" w:sz="0" w:space="0" w:color="auto"/>
        <w:right w:val="none" w:sz="0" w:space="0" w:color="auto"/>
      </w:divBdr>
    </w:div>
    <w:div w:id="1852991514">
      <w:bodyDiv w:val="1"/>
      <w:marLeft w:val="0"/>
      <w:marRight w:val="0"/>
      <w:marTop w:val="0"/>
      <w:marBottom w:val="0"/>
      <w:divBdr>
        <w:top w:val="none" w:sz="0" w:space="0" w:color="auto"/>
        <w:left w:val="none" w:sz="0" w:space="0" w:color="auto"/>
        <w:bottom w:val="none" w:sz="0" w:space="0" w:color="auto"/>
        <w:right w:val="none" w:sz="0" w:space="0" w:color="auto"/>
      </w:divBdr>
    </w:div>
    <w:div w:id="1926568869">
      <w:bodyDiv w:val="1"/>
      <w:marLeft w:val="0"/>
      <w:marRight w:val="0"/>
      <w:marTop w:val="0"/>
      <w:marBottom w:val="0"/>
      <w:divBdr>
        <w:top w:val="none" w:sz="0" w:space="0" w:color="auto"/>
        <w:left w:val="none" w:sz="0" w:space="0" w:color="auto"/>
        <w:bottom w:val="none" w:sz="0" w:space="0" w:color="auto"/>
        <w:right w:val="none" w:sz="0" w:space="0" w:color="auto"/>
      </w:divBdr>
    </w:div>
    <w:div w:id="1977680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A9E193A559FC04B8F4A26AD569210C0" ma:contentTypeVersion="5" ma:contentTypeDescription="Utwórz nowy dokument." ma:contentTypeScope="" ma:versionID="5b6f5150cd0c1ecfe3f1b920c905f4a7">
  <xsd:schema xmlns:xsd="http://www.w3.org/2001/XMLSchema" xmlns:xs="http://www.w3.org/2001/XMLSchema" xmlns:p="http://schemas.microsoft.com/office/2006/metadata/properties" xmlns:ns3="423be030-83f1-452f-a933-003be82a4740" targetNamespace="http://schemas.microsoft.com/office/2006/metadata/properties" ma:root="true" ma:fieldsID="4ce468ad31bca1f297da30308aff1e59" ns3:_="">
    <xsd:import namespace="423be030-83f1-452f-a933-003be82a474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be030-83f1-452f-a933-003be82a4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423be030-83f1-452f-a933-003be82a474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E995C0-C5DD-41A0-AA11-75D4F2294210}">
  <ds:schemaRefs>
    <ds:schemaRef ds:uri="http://schemas.openxmlformats.org/officeDocument/2006/bibliography"/>
  </ds:schemaRefs>
</ds:datastoreItem>
</file>

<file path=customXml/itemProps3.xml><?xml version="1.0" encoding="utf-8"?>
<ds:datastoreItem xmlns:ds="http://schemas.openxmlformats.org/officeDocument/2006/customXml" ds:itemID="{E074A10A-9846-40ED-BA14-18F088FD7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be030-83f1-452f-a933-003be82a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C3680-43CD-43B3-86E6-0F747964E1E0}">
  <ds:schemaRefs>
    <ds:schemaRef ds:uri="http://schemas.microsoft.com/sharepoint/v3/contenttype/forms"/>
  </ds:schemaRefs>
</ds:datastoreItem>
</file>

<file path=customXml/itemProps5.xml><?xml version="1.0" encoding="utf-8"?>
<ds:datastoreItem xmlns:ds="http://schemas.openxmlformats.org/officeDocument/2006/customXml" ds:itemID="{950C28A8-3B5A-43E9-8265-857A4F223234}">
  <ds:schemaRefs>
    <ds:schemaRef ds:uri="http://schemas.microsoft.com/office/2006/metadata/properties"/>
    <ds:schemaRef ds:uri="http://schemas.microsoft.com/office/infopath/2007/PartnerControls"/>
    <ds:schemaRef ds:uri="423be030-83f1-452f-a933-003be82a47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3554</Words>
  <Characters>21328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 Michel</dc:creator>
  <dc:description/>
  <cp:lastModifiedBy>Bodych Dominika</cp:lastModifiedBy>
  <cp:revision>2</cp:revision>
  <dcterms:created xsi:type="dcterms:W3CDTF">2025-01-22T09:44:00Z</dcterms:created>
  <dcterms:modified xsi:type="dcterms:W3CDTF">2025-01-22T09:44:00Z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0x0101004A9E193A559FC04B8F4A26AD569210C0</vt:lpwstr>
  </property>
</Properties>
</file>