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249E" w14:textId="027637AF" w:rsidR="000B25D6" w:rsidRPr="00F5685B" w:rsidRDefault="000B25D6" w:rsidP="00F5685B">
      <w:pPr>
        <w:pStyle w:val="CZKSIGAoznaczenieiprzedmiotczcilubksigi"/>
        <w:keepNext w:val="0"/>
        <w:spacing w:after="120"/>
        <w:rPr>
          <w:rFonts w:ascii="Times New Roman" w:hAnsi="Times New Roman"/>
          <w:b w:val="0"/>
          <w:bCs w:val="0"/>
        </w:rPr>
      </w:pPr>
      <w:r w:rsidRPr="00F5685B">
        <w:rPr>
          <w:rFonts w:ascii="Times New Roman" w:hAnsi="Times New Roman"/>
          <w:b w:val="0"/>
          <w:bCs w:val="0"/>
        </w:rPr>
        <w:t>UZASADNIENIE</w:t>
      </w:r>
    </w:p>
    <w:p w14:paraId="0549336F" w14:textId="77777777" w:rsidR="000B25D6" w:rsidRPr="00F5685B" w:rsidRDefault="000B25D6" w:rsidP="00F5685B">
      <w:pPr>
        <w:pStyle w:val="NIEARTTEKSTtekstnieartykuowanynppodstprawnarozplubpreambu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Projektowana ustawa ma na celu wykonanie wyroku Trybunału Sprawiedliwości Unii Europejskiej z dnia 16 listopada 2021 r. w sprawach połączonych od C‑748/19 do C‑754/19.</w:t>
      </w:r>
    </w:p>
    <w:p w14:paraId="6446EFC1" w14:textId="59736E63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W wyroku tym Trybunał stwierdził, że: „Artykuł 19 ust. 1 akapit drugi TUE odczytywany w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świetle art. 2 TUE oraz art. 6 ust. 1 i 2 dyrektywy Parlamentu Europejskiego i Rady (UE) 2016/343 z dnia 9 marca 2016 r. w sprawie wzmocnienia niektórych aspektów domniemania niewinności i prawa do obecności na rozprawie w postępowaniu karnym należy interpretować w ten sposób, że stoją one na przeszkodzie przepisom krajowym, zgodnie z którymi minister sprawiedliwości państwa członkowskiego może, na podstawie kryteriów, które nie zostały podane do publicznej wiadomości, z jednej strony delegować sędziego do sądu karnego wyższej instancji na czas określony albo na czas nieokreślony, zaś z drugiej strony w każdym czasie, na podstawie decyzji, która nie zawiera uzasadnienia, odwołać sędziego z tego delegowania, niezależnie od tego, czy nastąpiło ono na czas określony, czy na czas nieokreślony.” Jak podkreślono w uzasadnieniu wyroku: „aby uniknąć uznaniowości i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ryzyka manipulacji, decyzja dotycząca delegowania sędziego i decyzja o zakończeniu tego delegowania, w szczególności gdy chodzi o delegowanie do sądu wyższej instancji, powinny być podejmowane na podstawie znanych wcześniej kryteriów i być należycie uzasadnione”, jednocześnie zaś: „możliwość odwołania sędziego z delegowania w każdym czasie i bez publicznie znanych motywów mogłaby także wywołać u sędziego delegowanego poczucie, że powinien on spełnić oczekiwania Ministra Sprawiedliwości, co mogłoby w konsekwencji powodować, że w samych sędziach zrodzi się wrażenie, iż są oni »podporządkowani« Ministrowi Sprawiedliwości, w sposób niezgodny z zasadą nieusuwalności sędziów.”</w:t>
      </w:r>
      <w:r w:rsidR="00497D84">
        <w:rPr>
          <w:rFonts w:ascii="Times New Roman" w:hAnsi="Times New Roman" w:cs="Times New Roman"/>
        </w:rPr>
        <w:t>.</w:t>
      </w:r>
    </w:p>
    <w:p w14:paraId="1068B56E" w14:textId="120E7378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W konsekwencji powyższego orzeczenia projektodawca podjął decyzję o konieczności wprowadzenia zmian do ustawy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dnia 27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lipca 2001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– Prawo o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ustroju sądów powszechnych (Dz.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U.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2024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poz.</w:t>
      </w:r>
      <w:r w:rsidR="00FC4CE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334, </w:t>
      </w:r>
      <w:r w:rsidR="00450158">
        <w:rPr>
          <w:rFonts w:ascii="Times New Roman" w:hAnsi="Times New Roman" w:cs="Times New Roman"/>
        </w:rPr>
        <w:t xml:space="preserve">z późn. zm., </w:t>
      </w:r>
      <w:r w:rsidRPr="00F5685B">
        <w:rPr>
          <w:rFonts w:ascii="Times New Roman" w:hAnsi="Times New Roman" w:cs="Times New Roman"/>
        </w:rPr>
        <w:t>zwanej dalej „u.s.p.”) modyfikujących dotychczasowy model tzw.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delegacji orzeczniczych, wprowadzając dodatkowe elementy warunkujące dopuszczalność delegowania (i odwołania z delegowania) oraz towarzyszącą delegowaniu procedurę, a także dokonując zmian w zakresie przyznawania dodatków do wynagrodzenia z tytułu delegowania.</w:t>
      </w:r>
    </w:p>
    <w:p w14:paraId="1C04E92C" w14:textId="77777777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Zmiana brzmienia art. 77 § 1 pkt 1 u.s.p. sprowadza się do wyeliminowania ogólnie określonej w tej normie przesłanki delegowania w postaci konieczności uwzględnienia racjonalnego </w:t>
      </w:r>
      <w:r w:rsidRPr="00F5685B">
        <w:rPr>
          <w:rFonts w:ascii="Times New Roman" w:hAnsi="Times New Roman" w:cs="Times New Roman"/>
        </w:rPr>
        <w:lastRenderedPageBreak/>
        <w:t xml:space="preserve">wykorzystania kadr sądownictwa, albowiem przewiduje się zastąpienie jej szczegółowymi regulacjami ujętymi w dodawanych do art. 77 u.s.p. przepisach § 3c i 3d. </w:t>
      </w:r>
    </w:p>
    <w:p w14:paraId="0371F6E8" w14:textId="478C25CD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Istota dodawanej normy art. 77 § 3c u.s.p. sprowadza się do wskazania, w jakich przypadkach delegowanie sędziego do innego sądu jest dopuszczalne. Minister Sprawiedliwości, w miejsce odwołania się do blankietowej normy warunkującej dopuszczalność delegowania racjonalnym wykorzystaniem kadr sądownictwa, będzie zobligowany do dokonania analizy obciążenia pracą sędziów i asesorów sądu (oraz pionu orzeczniczego), do którego miałoby nastąpić delegowanie, na tle innych sądów, w</w:t>
      </w:r>
      <w:r w:rsidR="00FC4CE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szczególności sąsiednich sądów równorzędnych, biorąc przy tym pod uwagę uwarunkowania dotyczące ich bieżącego funkcjonowania, jak choćby liczb</w:t>
      </w:r>
      <w:r w:rsidR="00FC4CE2">
        <w:rPr>
          <w:rFonts w:ascii="Times New Roman" w:hAnsi="Times New Roman" w:cs="Times New Roman"/>
        </w:rPr>
        <w:t>ę</w:t>
      </w:r>
      <w:r w:rsidRPr="00F5685B">
        <w:rPr>
          <w:rFonts w:ascii="Times New Roman" w:hAnsi="Times New Roman" w:cs="Times New Roman"/>
        </w:rPr>
        <w:t xml:space="preserve"> wolnych etatów sędziowskich czy asesorskich, długotrwałe nieobecności orzeczników czy planowane przejścia w stan spoczynku, mogące przemawiać za potrzebą tymczasowego, kadrowego wzmocnienia albo też wskazujące na niezasadność delegowania (przykładowo wobec możliwości obsadzenia stanowisk nowymi sędziami albo asesorami w krótkim czasie albo nieodległego w czasie planowanego powrotu sędziów z długotrwałych nieobecności wynikających ze stanu zdrowia lub rodzicielstwa).</w:t>
      </w:r>
    </w:p>
    <w:p w14:paraId="4619E56B" w14:textId="6692F23A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Projektowany art. 77 § 3d u.s.p. reguluje kolejny krok w procedurze delegowania orzeczniczego, podejmowany po zdiagnozowaniu potrzeby wzmocnienia danego sądu przez</w:t>
      </w:r>
      <w:r w:rsidR="00214490">
        <w:rPr>
          <w:rFonts w:ascii="Times New Roman" w:hAnsi="Times New Roman" w:cs="Times New Roman"/>
        </w:rPr>
        <w:t xml:space="preserve"> –</w:t>
      </w:r>
      <w:r w:rsidRPr="00F5685B">
        <w:rPr>
          <w:rFonts w:ascii="Times New Roman" w:hAnsi="Times New Roman" w:cs="Times New Roman"/>
        </w:rPr>
        <w:t xml:space="preserve"> co do zasady </w:t>
      </w:r>
      <w:r w:rsidR="00214490">
        <w:rPr>
          <w:rFonts w:ascii="Times New Roman" w:hAnsi="Times New Roman" w:cs="Times New Roman"/>
        </w:rPr>
        <w:t xml:space="preserve">– </w:t>
      </w:r>
      <w:r w:rsidRPr="00F5685B">
        <w:rPr>
          <w:rFonts w:ascii="Times New Roman" w:hAnsi="Times New Roman" w:cs="Times New Roman"/>
        </w:rPr>
        <w:t xml:space="preserve">czasowe przeniesienie do niego sędziego, to jest sposób wyboru osoby albo osób, którym delegowanie może zostać zaproponowane. Czynniki, jakie </w:t>
      </w:r>
      <w:r w:rsidR="00FC4CE2">
        <w:rPr>
          <w:rFonts w:ascii="Times New Roman" w:hAnsi="Times New Roman" w:cs="Times New Roman"/>
        </w:rPr>
        <w:t>po</w:t>
      </w:r>
      <w:r w:rsidRPr="00F5685B">
        <w:rPr>
          <w:rFonts w:ascii="Times New Roman" w:hAnsi="Times New Roman" w:cs="Times New Roman"/>
        </w:rPr>
        <w:t xml:space="preserve">winny zostać wzięte pod uwagę, obejmują w szczególności ocenę wpływu delegowania danego sędziego na sąd będący miejscem pełnienia przez niego służby (w szczególności w zakresie relacji sytuacji, jaka powstanie po uszczupleniu zasobu kadrowego tego sądu względem sytuacji w sądzie będącym miejscem delegowania, uzasadniającej skorzystanie z instytucji delegowania), jak i ocenę efektywności pracy oraz dotychczasowego dorobku zawodowego kandydata, co ma szczególne znaczenie w przypadku potrzeby wzmocnienia kadrowego sądu wyższego rzędu aniżeli ten, w którym kandydat do delegowania orzeka. </w:t>
      </w:r>
    </w:p>
    <w:p w14:paraId="6A830A1E" w14:textId="2F6F62E1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Uzupełnienie przepisu art. 77 § 4 u.s.p. o normę stanowiącą, że odwołanie z delegowania do innego sądu wymaga uzasadnienia realizuje, w powiązaniu z wcześniej opisanymi zmianami (ale także w powiązaniu ze zmianą polegającą na dodaniu art. 77 § 4a u.s.p.), istotę omówionego wyroku Trybunału Sprawiedliwości Unii Europejskiej przez zapewnienie wewnętrznej transparentności działań Ministra Sprawiedliwości w zakresie ewentualnego odwołania sędziego delegowanego z delegowania, nakładając na Ministra </w:t>
      </w:r>
      <w:r w:rsidR="004B09FB" w:rsidRPr="00E5486A">
        <w:rPr>
          <w:rFonts w:ascii="Times New Roman" w:hAnsi="Times New Roman" w:cs="Times New Roman"/>
        </w:rPr>
        <w:t>Sprawiedliwości</w:t>
      </w:r>
      <w:r w:rsidR="004B09FB" w:rsidRPr="004B09FB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obowiązek uzasadnienia podjętej decyzji, w szczególności przez odwołanie się, </w:t>
      </w:r>
      <w:r w:rsidRPr="00F5685B">
        <w:rPr>
          <w:rStyle w:val="Kkursywa"/>
          <w:rFonts w:ascii="Times New Roman" w:hAnsi="Times New Roman" w:cs="Times New Roman"/>
        </w:rPr>
        <w:t>a contrario</w:t>
      </w:r>
      <w:r w:rsidRPr="00F5685B">
        <w:rPr>
          <w:rFonts w:ascii="Times New Roman" w:hAnsi="Times New Roman" w:cs="Times New Roman"/>
        </w:rPr>
        <w:t xml:space="preserve">, </w:t>
      </w:r>
      <w:r w:rsidRPr="00F5685B">
        <w:rPr>
          <w:rFonts w:ascii="Times New Roman" w:hAnsi="Times New Roman" w:cs="Times New Roman"/>
        </w:rPr>
        <w:lastRenderedPageBreak/>
        <w:t>albo do przesłanek uzasadniających delegowanie do konkretnego sądu (na przykład ustanie potrzeby wzmocnienia kadrowego danego sądu) albo sędziego z danego sądu (na przykład zmiana warunków w sądzie będącym miejscem służbowym delegowanego sędziego i znaczące pogorszenie się stopnia opanowania spraw w tym sądzie), ewentualnie zaś, w szczególnych przypadkach, przez wykazanie braku efektywności delegowania konkretnego sędziego, o ile okaże się, że jakość jego pracy w</w:t>
      </w:r>
      <w:r w:rsidR="000F1D23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nowym miejscu pełnienia służby nie służy zrealizowaniu celów delegowania.</w:t>
      </w:r>
    </w:p>
    <w:p w14:paraId="40280F58" w14:textId="400F2080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Należy przy tym wskazać, że projektodawca uznaje interwencję legislacyjną w zakresie odnoszącym się do uregulowania zagadnienia odwołania z delegowania do innego sądu za wystarczającą, bez konieczności szczegółowego normowania przesłanek odwołania z delegowania. Projektowana ustawa wykonująca wyrok Trybunału Sprawiedliwości Unii Europejskiej z dnia 16 listopada 2021 r. w sprawach połączonych od C‑748/19 do C‑754/19 realizuje postanowienia jego sentencji, odnoszące się do wymogu podania do publicznej wiadomości kryteriów delegowania sędziego oraz wymogu uzasadnienia decyzji o odwołaniu z delegowania. Jak wskazano w uzasadnieniu przywołanego wyroku: „rozpatrywane łącznie okoliczności wskazane w pkt 76–86 niniejszego wyroku, z zastrzeżeniem końcowej oceny, która należy w tym względzie do sądu odsyłającego, mogą prowadzić do wniosku, że Minister Sprawiedliwości, który jest zarazem Prokuratorem Generalnym, dysponuje – na podstawie kryteriów, które nie są publicznie znane – uprawnieniem do delegowania sędziów do sądów wyższej instancji oraz do odwoływania ich z delegowania w każdym czasie i bez obowiązku uzasadniania tej decyzji, co skutkuje tym, że w okresie delegowania sędziowie ci nie są objęci gwarancjami niezawisłości i bezstronności, jakim zwykle powinni podlegać wszyscy sędziowie w państwie prawnym”. Ustanowienie ustawą bardziej jednoznacznych kryteriów delegowania oraz obowiązku uzasadnienia odwołania z delegowania, wraz z podaniem do publicznej wiadomości motywów każdego delegowania i odwołania z delegowania</w:t>
      </w:r>
      <w:r w:rsidR="004B09FB">
        <w:rPr>
          <w:rFonts w:ascii="Times New Roman" w:hAnsi="Times New Roman" w:cs="Times New Roman"/>
        </w:rPr>
        <w:t>,</w:t>
      </w:r>
      <w:r w:rsidRPr="00F5685B">
        <w:rPr>
          <w:rFonts w:ascii="Times New Roman" w:hAnsi="Times New Roman" w:cs="Times New Roman"/>
        </w:rPr>
        <w:t xml:space="preserve"> tworzy stan transparentności postępowań w tym zakresie. Należy przy tym mieć na uwadze, że nie istnieje możliwość kazuistycznego, w szczególności enumeratywnego określenia przesłanek odwołania sędziego z delegowania, albowiem decydujące znaczenie </w:t>
      </w:r>
      <w:r w:rsidR="00FB6B34">
        <w:rPr>
          <w:rFonts w:ascii="Times New Roman" w:hAnsi="Times New Roman" w:cs="Times New Roman"/>
        </w:rPr>
        <w:t>po</w:t>
      </w:r>
      <w:r w:rsidRPr="00F5685B">
        <w:rPr>
          <w:rFonts w:ascii="Times New Roman" w:hAnsi="Times New Roman" w:cs="Times New Roman"/>
        </w:rPr>
        <w:t>winny mieć w tym zakresie w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 xml:space="preserve">szczególności uwarunkowania dotyczące funkcjonowania sądu miejsca służbowego i sądu, do którego sędzia został delegowany, czy też kwestie związane z osobistymi czynnikami dotyczącymi sędziego i jego efektywności w miejscu delegowania, co wymaga każdorazowej oceny </w:t>
      </w:r>
      <w:r w:rsidRPr="00F5685B">
        <w:rPr>
          <w:rStyle w:val="Kkursywa"/>
          <w:rFonts w:ascii="Times New Roman" w:hAnsi="Times New Roman" w:cs="Times New Roman"/>
        </w:rPr>
        <w:t>ad casum</w:t>
      </w:r>
      <w:r w:rsidRPr="00F5685B">
        <w:rPr>
          <w:rFonts w:ascii="Times New Roman" w:hAnsi="Times New Roman" w:cs="Times New Roman"/>
        </w:rPr>
        <w:t xml:space="preserve">. Nie wydaje się zaś zasadne powielanie – na potrzeby regulacji dotyczących odwołania z delegowania – </w:t>
      </w:r>
      <w:r w:rsidRPr="00F5685B">
        <w:rPr>
          <w:rStyle w:val="Kkursywa"/>
          <w:rFonts w:ascii="Times New Roman" w:hAnsi="Times New Roman" w:cs="Times New Roman"/>
        </w:rPr>
        <w:t>a contrario</w:t>
      </w:r>
      <w:r w:rsidRPr="00F5685B">
        <w:rPr>
          <w:rFonts w:ascii="Times New Roman" w:hAnsi="Times New Roman" w:cs="Times New Roman"/>
        </w:rPr>
        <w:t xml:space="preserve">, przesłanek uzasadniających delegowanie, przy </w:t>
      </w:r>
      <w:r w:rsidRPr="00F5685B">
        <w:rPr>
          <w:rFonts w:ascii="Times New Roman" w:hAnsi="Times New Roman" w:cs="Times New Roman"/>
        </w:rPr>
        <w:lastRenderedPageBreak/>
        <w:t xml:space="preserve">jednoczesnym zobowiązaniu Ministra Sprawiedliwości do wyjaśnienia przyczyn podjętej decyzji tak w uzasadnieniu odwołania z delegowania, jak i w węższym zakresie w ogłaszanej publicznie informacji o zasadniczych przyczynach zakończenia delegacji. Szczegółowe określenie przesłanek odwołania z delegowania jest </w:t>
      </w:r>
      <w:r w:rsidR="00FB6B34">
        <w:rPr>
          <w:rFonts w:ascii="Times New Roman" w:hAnsi="Times New Roman" w:cs="Times New Roman"/>
        </w:rPr>
        <w:t>po</w:t>
      </w:r>
      <w:r w:rsidRPr="00F5685B">
        <w:rPr>
          <w:rFonts w:ascii="Times New Roman" w:hAnsi="Times New Roman" w:cs="Times New Roman"/>
        </w:rPr>
        <w:t xml:space="preserve">nadto zbędne, zważywszy że projektodawca nie przewiduje sądowej kontroli decyzji o odwołaniu z delegowania. Odwołanie z delegowania nie powoduje zmiany miejsca służbowego sędziego, a jedynie jego powrót do wykonywania obowiązków w miejscu służbowym z miejsca delegowania, co od samego początku delegowania </w:t>
      </w:r>
      <w:r w:rsidR="00FB6B34">
        <w:rPr>
          <w:rFonts w:ascii="Times New Roman" w:hAnsi="Times New Roman" w:cs="Times New Roman"/>
        </w:rPr>
        <w:t>po</w:t>
      </w:r>
      <w:r w:rsidRPr="00F5685B">
        <w:rPr>
          <w:rFonts w:ascii="Times New Roman" w:hAnsi="Times New Roman" w:cs="Times New Roman"/>
        </w:rPr>
        <w:t>winno stanowić oczywistą perspektywę dla sędziego delegowanego, przy uwzględnieniu celu i charakteru delegowania, instytucji nakierowanej na czasowe wsparcie orzecznicze danego sądu. Delegowanie nie jest formą awansu, dowartościowania sędziego czy elementem rozwoju jego kariery, lecz realizacją potrzeby wymiaru sprawiedliwości zaspokajaną z udziałem sędziego, który wyraża zgodę na podjęcie się obowiązków orzeczniczych w innym sądzie w zamian za dodatkowe świadczenie w postaci dodatku, ze świadomością, że czas trwania delegowania nie jest zależny od jego woli i chęci, a faktycznych potrzeb sądownictwa.</w:t>
      </w:r>
    </w:p>
    <w:p w14:paraId="5BE172C4" w14:textId="38D95140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Nowa regulacja zaproponowana w art. 77 § 4a u.s.p. gwarantuje, obok wewnętrznej (między organem dokonującym delegowania i z niego odwołującym a danym sędzią), także zewnętrzną, udostępnianą </w:t>
      </w:r>
      <w:r w:rsidRPr="00F5685B">
        <w:rPr>
          <w:rStyle w:val="Kkursywa"/>
          <w:rFonts w:ascii="Times New Roman" w:hAnsi="Times New Roman" w:cs="Times New Roman"/>
        </w:rPr>
        <w:t>erga omnes</w:t>
      </w:r>
      <w:r w:rsidRPr="00F5685B">
        <w:rPr>
          <w:rFonts w:ascii="Times New Roman" w:hAnsi="Times New Roman" w:cs="Times New Roman"/>
        </w:rPr>
        <w:t xml:space="preserve"> informację o delegowaniu i jego zakończeniu, i – o ile nastąpiło wskutek odwołania – o przyczynach wydanej decyzji. Zapewni to powszechną dostępność wiadomości o wszelkich przesunięciach kadrowych w wymiarze sprawiedliwości wraz z</w:t>
      </w:r>
      <w:r w:rsidR="00C5189B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 xml:space="preserve">motywami podejmowanych przez Ministra Sprawiedliwości decyzji w tym zakresie, gwarantując tym samym transparentność procesów związanych z delegowaniami. Dodatkowo zaś jawność i poddanie publicznemu osądowi wykonywania przez Ministra Sprawiedliwości uprawnień w zakresie delegowania sędziów do wykonywania czynności orzeczniczych w innych sądach </w:t>
      </w:r>
      <w:r w:rsidR="00A6478D">
        <w:rPr>
          <w:rFonts w:ascii="Times New Roman" w:hAnsi="Times New Roman" w:cs="Times New Roman"/>
        </w:rPr>
        <w:t>po</w:t>
      </w:r>
      <w:r w:rsidRPr="00F5685B">
        <w:rPr>
          <w:rFonts w:ascii="Times New Roman" w:hAnsi="Times New Roman" w:cs="Times New Roman"/>
        </w:rPr>
        <w:t>winno przyczynić się do prowadzenia racjonalnej i przekonującej polityki kadrowej.</w:t>
      </w:r>
    </w:p>
    <w:p w14:paraId="72FCB433" w14:textId="040ED194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Projektodawca postanowił uchylić art. 77 § 7 u.s.p. stanowiący, że sędziemu delegowanemu wyłącznie do sądu równorzędnego przysługiwał dodatek funkcyjny wizytatora sądu okręgowego na rzecz zapewnienia – w przepisie epizodycznym art. 4 – dodatku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tytułu delegowania określonego jako procent podstawy ustalenia wynagrodzenia zasadniczego sędziego na rzecz każdego delegowanego (do innego sądu) sędziego.</w:t>
      </w:r>
    </w:p>
    <w:p w14:paraId="6399F10D" w14:textId="02263831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W pierwszej kolejności należy wyjaśnić, że projektodawca nie rezygnuje w sposób systemowy z dodatkowego gratyfikowania sędziów delegowanych do innego sądu, a zatem wyrażających </w:t>
      </w:r>
      <w:r w:rsidRPr="00F5685B">
        <w:rPr>
          <w:rFonts w:ascii="Times New Roman" w:hAnsi="Times New Roman" w:cs="Times New Roman"/>
        </w:rPr>
        <w:lastRenderedPageBreak/>
        <w:t>zgodę na podjęcie, w interesie wymiaru sprawiedliwości, służby w innym niż dotychczasowe miejscu. Zaprojektowana w tym zakresie zmiana jest nakierowana na unormowanie dodatków z tytułu delegowania w przepisie epizodycznym mającym obowiązywać przez dwa lata, to jest do czasu, gdy – zgodnie z założeniem projektodawcy – zostaną opracowane i wejdą w życie nowe, kompleksowe regulacje dotyczące funkcjonowania sądownictwa powszechnego, które obejmą zakresem sw</w:t>
      </w:r>
      <w:r w:rsidR="00DE30A6">
        <w:rPr>
          <w:rFonts w:ascii="Times New Roman" w:hAnsi="Times New Roman" w:cs="Times New Roman"/>
        </w:rPr>
        <w:t>oj</w:t>
      </w:r>
      <w:r w:rsidRPr="00F5685B">
        <w:rPr>
          <w:rFonts w:ascii="Times New Roman" w:hAnsi="Times New Roman" w:cs="Times New Roman"/>
        </w:rPr>
        <w:t>ego normowania także zagadnienia związane z delegowaniem orzeczniczym i wynagrodzeniem za nie. Regulacja epizodyczna jest przy tym niezbędna o tyle, że gwarantuje dotychczas delegowanym sędziom, jak również sędziom, którzy zostaną delegowani po jej wejściu w życie (co jest szczególnie istotne zważywszy na fakt wadliwie obsadzonej – na podstawie przepisów ustawy z dnia 8 grudnia 2017 r. o zmianie ustawy o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Krajowej Radzie Sądownictwa oraz niektórych innych ustaw, Dz.</w:t>
      </w:r>
      <w:r w:rsidR="00FD4D7E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U. z 2018 r. poz. 3 – Krajowej Rady Sądownictwa, co uniemożliwia inicjowanie postępowań konkursowych na wolne stanowiska sędziowskie i tym samym aktualizuje zasadność realizacji polityki kadrowej w wymiarze sprawiedliwości z wykorzystaniem instytucji delegowania), stosowne, dodatkowe świadczenia, jednocześnie zaś nie wprowadza ich, w zaproponowanym kształcie, jako stałego instrumentu kształtowania wynagrodzeń sędziowskich, trudnego do petryfikacji w aktualnej sytuacji budżetowej.</w:t>
      </w:r>
    </w:p>
    <w:p w14:paraId="23C1688D" w14:textId="1A24CEED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Odnosząc się do kształtu projektowanej regulacji dotyczącej dodatków z tytułu delegowania do innego sądu </w:t>
      </w:r>
      <w:r w:rsidR="00FD4D7E" w:rsidRPr="004149F0">
        <w:rPr>
          <w:rFonts w:ascii="Times New Roman" w:hAnsi="Times New Roman" w:cs="Times New Roman"/>
        </w:rPr>
        <w:t>należy</w:t>
      </w:r>
      <w:r w:rsidR="00FD4D7E" w:rsidRPr="00FD4D7E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wskazać, że delegowanie orzecznicze, rozumiane jako forma wsparcia jednostki organizacyjnej sądownictwa borykającej się z problemami kadrowymi, </w:t>
      </w:r>
      <w:r w:rsidR="00FD4D7E">
        <w:rPr>
          <w:rFonts w:ascii="Times New Roman" w:hAnsi="Times New Roman" w:cs="Times New Roman"/>
        </w:rPr>
        <w:t>po</w:t>
      </w:r>
      <w:r w:rsidRPr="00F5685B">
        <w:rPr>
          <w:rFonts w:ascii="Times New Roman" w:hAnsi="Times New Roman" w:cs="Times New Roman"/>
        </w:rPr>
        <w:t>winno w każdym przypadku wiązać się z dodatkową gratyfikacją dla sędziego, który zdecyduje się opuścić dotychczasowe miejsce pełnienia służby na rzecz, co do zasady, czasowego wykonywania obowiązków służbowych w innym miejscu. Sam fakt delegowania do sądu wyższego rzędu nie może być traktowany jako substytut awansu zawodowego czy wstęp do ewentualnego ubiegania się o stanowisko sędziowskie w takim sądzie, a zatem nie powinien odbywać się bez zapewnienia dodatkowego świadczenia, podobnie jak delegowanie do sądu niższego rzędu nie może być postrzegane jako sw</w:t>
      </w:r>
      <w:r w:rsidR="00CA2A64">
        <w:rPr>
          <w:rFonts w:ascii="Times New Roman" w:hAnsi="Times New Roman" w:cs="Times New Roman"/>
        </w:rPr>
        <w:t>oj</w:t>
      </w:r>
      <w:r w:rsidRPr="00F5685B">
        <w:rPr>
          <w:rFonts w:ascii="Times New Roman" w:hAnsi="Times New Roman" w:cs="Times New Roman"/>
        </w:rPr>
        <w:t xml:space="preserve">ego rodzaju degradacja do rozpoznawania prostszych spraw, niewymagająca rekompensaty za zgodę na pracę w innej jednostce. Dodatek z tytułu delegowania </w:t>
      </w:r>
      <w:r w:rsidR="00CA2A64">
        <w:rPr>
          <w:rFonts w:ascii="Times New Roman" w:hAnsi="Times New Roman" w:cs="Times New Roman"/>
        </w:rPr>
        <w:t>po</w:t>
      </w:r>
      <w:r w:rsidRPr="00F5685B">
        <w:rPr>
          <w:rFonts w:ascii="Times New Roman" w:hAnsi="Times New Roman" w:cs="Times New Roman"/>
        </w:rPr>
        <w:t>winien stanowić w każdym przypadku potrzeby delegowania orzeczniczego mechanizm zachęcający sędziów do delegowania, stanowiąc rekompensatę za zmianę miejsca i warunków pracy. Należy przy tym mieć na względzie, że każde delegowanie wymaga zgody sędziego.</w:t>
      </w:r>
    </w:p>
    <w:p w14:paraId="4DD4A11E" w14:textId="513828B4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lastRenderedPageBreak/>
        <w:t xml:space="preserve">Projektodawca przewiduje odejście od formuły dodatku definiowanego jako dodatek funkcyjny, albowiem wykonywanie obowiązków orzeczniczych w miejscu delegowania nie jest pełnieniem żadnej funkcji, a wiąże się jedynie ze zmianą sądu miejsca pełnienia służby. </w:t>
      </w:r>
      <w:r w:rsidR="00CA2A64">
        <w:rPr>
          <w:rFonts w:ascii="Times New Roman" w:hAnsi="Times New Roman" w:cs="Times New Roman"/>
        </w:rPr>
        <w:t>Pon</w:t>
      </w:r>
      <w:r w:rsidRPr="00F5685B">
        <w:rPr>
          <w:rFonts w:ascii="Times New Roman" w:hAnsi="Times New Roman" w:cs="Times New Roman"/>
        </w:rPr>
        <w:t>adto planuje się odejście od odesłania w zakresie sposobu kształtowania tego dodatku do dodatku przewidzianego dla sędziego wizytatora sądu okręgowego, określonego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załączniku rozporządzenia Ministra Sprawiedliwości z dnia 7 marca 2018 r.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sprawie funkcji oraz sposobu ustalania dodatków funkcyjnych przysługujących sędziom (Dz. U.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2021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poz. 632</w:t>
      </w:r>
      <w:r w:rsidR="00450158">
        <w:rPr>
          <w:rFonts w:ascii="Times New Roman" w:hAnsi="Times New Roman" w:cs="Times New Roman"/>
        </w:rPr>
        <w:t>, z późn. zm.</w:t>
      </w:r>
      <w:r w:rsidRPr="00F5685B">
        <w:rPr>
          <w:rFonts w:ascii="Times New Roman" w:hAnsi="Times New Roman" w:cs="Times New Roman"/>
        </w:rPr>
        <w:t>) na poziomie 0,25</w:t>
      </w:r>
      <w:r w:rsidR="0016554C">
        <w:rPr>
          <w:rFonts w:ascii="Times New Roman" w:hAnsi="Times New Roman" w:cs="Times New Roman"/>
        </w:rPr>
        <w:t>–</w:t>
      </w:r>
      <w:r w:rsidRPr="00F5685B">
        <w:rPr>
          <w:rFonts w:ascii="Times New Roman" w:hAnsi="Times New Roman" w:cs="Times New Roman"/>
        </w:rPr>
        <w:t>0,5 podstawy ustalenia wynagrodzenia zasadniczego sędziego, albowiem nie istnieje żaden funkcjonalny związek między wykonywaniem obowiązków wizytatora a delegowaniem orzeczniczym. Wydaje się, że dotychczasowe rozwiązanie w powyższym zakresie było wyłącznie konsekwencją decyzji o</w:t>
      </w:r>
      <w:r w:rsidR="000101C8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potrzebie uregulowania stosownego dodatku z odwołaniem się do już istniejących regulacji, przy czym dodatek przysługujący wizytatorowi sądu okręgowego uznano za najbardziej adekwatny także dla delegowanych sędziów.</w:t>
      </w:r>
    </w:p>
    <w:p w14:paraId="7135E911" w14:textId="339B4AD5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W miejsce dotychczasowego rozwiązania proponuje się zatem dodatek z tytułu delegowania (jego nazwa odpowiada zatem aktywności, z której wykonywaniem się wiąże), którego wysokość będzie określona w sposób niedający Ministrowi Sprawiedliwości możliwości indywidualizowania (co wzmacnia pozycję delegowanego sędziego o tyle, że gwarantuje mu określoną wysokość dodatku bez możliwości jej obniżania czy podwyższania w toku delegowania) w wysokości 12,5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% podstawy ustalenia wynagrodzenia zasadniczego sędziego, a po upływie sześciu miesięcy delegowania –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wysokości 20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% podstawy ustalenia wynagrodzenia zasadniczego sędziego, bez względu na to, do jakiego rzędu sądu następuje delegowanie. Dodatek ten unormowano jako przysługujący także sędziom sądów wojskowych z uwagi na fakt, że uchylany art. 77 § 7 u.s.p. znajduje zastosowanie, w drodze odesłania z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art.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 xml:space="preserve">70 § 1 u.s.w., także do sędziów tych sądów, a zatem istnieje potrzeba zagwarantowania – w ramach regulacji przejściowej – dodatków z tytułu delegowania także dla nich. </w:t>
      </w:r>
    </w:p>
    <w:p w14:paraId="3C3B23F7" w14:textId="718A2103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Należy przy tym wskazać, że projektodawca dostrzega, że zmiana wysokości dodatku spowoduje, że sędziom dotychczas delegowanym do sądów równorzędnych </w:t>
      </w:r>
      <w:r w:rsidR="00BF5644" w:rsidRPr="00EE2100">
        <w:rPr>
          <w:rFonts w:ascii="Times New Roman" w:hAnsi="Times New Roman" w:cs="Times New Roman"/>
        </w:rPr>
        <w:t xml:space="preserve">będzie </w:t>
      </w:r>
      <w:r w:rsidRPr="00F5685B">
        <w:rPr>
          <w:rFonts w:ascii="Times New Roman" w:hAnsi="Times New Roman" w:cs="Times New Roman"/>
        </w:rPr>
        <w:t>przysługiwać świadczenie niższe aniżeli w obowiązującym stanie prawnym (maksymalnie 20</w:t>
      </w:r>
      <w:r w:rsidR="00C5189B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% podstawy ustalenia wynagrodzenia zasadniczego sędziego, podczas gdy obecnie najniższa możliwa kwota dodatku z tego tytułu to 25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%, zaś najwyższa to 50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% podstawy ustalenia wynagrodzenia zasadniczego sędziego). Sytuacja taka dotyczy jednak wyłącznie 8</w:t>
      </w:r>
      <w:r w:rsidR="00C5189B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 xml:space="preserve">sędziów. Projektowane rozwiązanie zapewnia zaś – przy uwzględnieniu możliwości </w:t>
      </w:r>
      <w:r w:rsidRPr="00F5685B">
        <w:rPr>
          <w:rFonts w:ascii="Times New Roman" w:hAnsi="Times New Roman" w:cs="Times New Roman"/>
        </w:rPr>
        <w:lastRenderedPageBreak/>
        <w:t>budżetowych – równe traktowanie wszystkich sędziów bez względu na rodzaj sądu, do którego są delegowani, jak i</w:t>
      </w:r>
      <w:r w:rsidR="000101C8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bez względu na datę delegowania (czy nastąpiło to przed wejściem w życie projektowanej ustawy czy też nastąpi już po jej wejściu w życie). Nie bez znaczenia pozostaje przy tym okoliczność, że delegowanie orzecznicze do innego sądu, realizowane za zgodą sędziego, może zakończyć się ustąpieniem sędziego z delegowania bez zachowania okresu uprzedzenia, tym samym w skrajnym przypadku braku akceptacji delegowanego sędziego dla zmiany wysokości dodatku z tytułu delegowania może on, jeszcze w okresie </w:t>
      </w:r>
      <w:r w:rsidRPr="00F5685B">
        <w:rPr>
          <w:rFonts w:ascii="Times New Roman" w:hAnsi="Times New Roman" w:cs="Times New Roman"/>
          <w:i/>
          <w:iCs/>
        </w:rPr>
        <w:t>vacatio legis</w:t>
      </w:r>
      <w:r w:rsidRPr="00F5685B">
        <w:rPr>
          <w:rFonts w:ascii="Times New Roman" w:hAnsi="Times New Roman" w:cs="Times New Roman"/>
        </w:rPr>
        <w:t xml:space="preserve"> ustawy, ustąpić z delegowania i nie być zobligowanym do wykonywania czynności orzeczniczych w sądzie innym niż sąd miejsca służbowego, w zamian za zmniejszony dodatek. </w:t>
      </w:r>
    </w:p>
    <w:p w14:paraId="43DF9F0F" w14:textId="09C62B8A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Zmiana projektowana w art. 2, dotycząca ustawy z dnia 21 sierpnia 1997 r. – Prawo o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ustroju sądów wojskowych (Dz. U. z 2022 r. poz. 2250) polega na dostosowaniu odesłania do odpowiedniego stosowania przepisów u.s.p. przez objęcie nim także nowych regulacji dotyczących przesłanek delegowania, obowiązku uzasadnienia odwołania z delegowania oraz publikowania w Biuletynie Informacji Publicznej informacji o każdym delegowaniu sędziego oraz o odwołaniu albo ustąpieniu z delegowania.</w:t>
      </w:r>
    </w:p>
    <w:p w14:paraId="74E5E49A" w14:textId="1EBDF982" w:rsidR="000B25D6" w:rsidRPr="00F5685B" w:rsidRDefault="000B25D6" w:rsidP="00F5685B">
      <w:pPr>
        <w:pStyle w:val="ARTartustawynprozporzdzeni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Przepis przejściowy zaprojektowany w art. 3 usuwa wszelkie wątpliwości co do tego, że objęta nowelizacją zmiana u.s.p. pozostaje bez wpływu na skuteczność dotychczasowych delegacji, które rozpoczęły się przed dniem wejścia w życie ustawy (tym niemniej do ich zakończenia przez odwołanie z delegacji </w:t>
      </w:r>
      <w:r w:rsidR="00F9733E" w:rsidRPr="00421D0B">
        <w:rPr>
          <w:rFonts w:ascii="Times New Roman" w:hAnsi="Times New Roman" w:cs="Times New Roman"/>
        </w:rPr>
        <w:t>znajdą</w:t>
      </w:r>
      <w:r w:rsidR="00F9733E" w:rsidRPr="00F9733E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zastosowanie przepisy w proponowanym brzmieniu), zaś przepis przejściowy art. 4 ust. 2 przewiduje, że dodatek z tytułu delegowania normowany art.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 xml:space="preserve">4 ust. 1 zastąpi dotychczasowy dodatek funkcyjny także w odniesieniu do tych sędziów, których delegowanie nastąpiło przed dniem wejścia w życie projektowanej ustawy (co </w:t>
      </w:r>
      <w:r w:rsidR="00432342">
        <w:rPr>
          <w:rFonts w:ascii="Times New Roman" w:hAnsi="Times New Roman" w:cs="Times New Roman"/>
        </w:rPr>
        <w:t xml:space="preserve">– </w:t>
      </w:r>
      <w:r w:rsidRPr="00F5685B">
        <w:rPr>
          <w:rFonts w:ascii="Times New Roman" w:hAnsi="Times New Roman" w:cs="Times New Roman"/>
        </w:rPr>
        <w:t xml:space="preserve">w przypadku sędziów delegowanych do sądu równorzędnego </w:t>
      </w:r>
      <w:r w:rsidR="00432342">
        <w:rPr>
          <w:rFonts w:ascii="Times New Roman" w:hAnsi="Times New Roman" w:cs="Times New Roman"/>
        </w:rPr>
        <w:t xml:space="preserve">– </w:t>
      </w:r>
      <w:r w:rsidRPr="00F5685B">
        <w:rPr>
          <w:rFonts w:ascii="Times New Roman" w:hAnsi="Times New Roman" w:cs="Times New Roman"/>
        </w:rPr>
        <w:t>poskutkuje obniżeniem przysługującego z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tytułu delegowania dodatkowego świadczenia, zaś w pozostałych przypadkach poskutkuje nabyciem prawa do takiego świadczenia, nieprzewidzianego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dotychczasowych przepisach), a do okresu delegowania, od którego zależy wysokość dodatku z tytułu delegowania ustalonego projektowaną ustawą, wlicza się okres delegowania przed dniem wejścia w życie </w:t>
      </w:r>
      <w:r w:rsidR="00DA4E83" w:rsidRPr="001F0CD2">
        <w:rPr>
          <w:rFonts w:ascii="Times New Roman" w:hAnsi="Times New Roman" w:cs="Times New Roman"/>
        </w:rPr>
        <w:t xml:space="preserve">projektowanej </w:t>
      </w:r>
      <w:r w:rsidRPr="00F5685B">
        <w:rPr>
          <w:rFonts w:ascii="Times New Roman" w:hAnsi="Times New Roman" w:cs="Times New Roman"/>
        </w:rPr>
        <w:t>ustawy.</w:t>
      </w:r>
    </w:p>
    <w:p w14:paraId="327FE633" w14:textId="6836DBB9" w:rsidR="000B25D6" w:rsidRPr="00F5685B" w:rsidRDefault="000B25D6" w:rsidP="00F5685B">
      <w:pPr>
        <w:pStyle w:val="NIEARTTEKSTtekstnieartykuowanynppodstprawnarozplubpreambu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W projekcie przewidziano, że ustawa wejdzie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życie po upływie 14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dni od dnia ogłoszenia.</w:t>
      </w:r>
    </w:p>
    <w:p w14:paraId="6FAF0EE9" w14:textId="03804A0D" w:rsidR="000B25D6" w:rsidRPr="00F5685B" w:rsidRDefault="000B25D6" w:rsidP="00F5685B">
      <w:pPr>
        <w:pStyle w:val="NIEARTTEKSTtekstnieartykuowanynppodstprawnarozplubpreambu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Projekt ustawy został zamieszczony na stronie podmiotowej Biuletynu Informacji Publicznej Rządowego Centrum Legislacji,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serwisie </w:t>
      </w:r>
      <w:r w:rsidR="00DA4E83">
        <w:rPr>
          <w:rFonts w:ascii="Times New Roman" w:hAnsi="Times New Roman" w:cs="Times New Roman"/>
        </w:rPr>
        <w:t>„</w:t>
      </w:r>
      <w:r w:rsidRPr="00F5685B">
        <w:rPr>
          <w:rFonts w:ascii="Times New Roman" w:hAnsi="Times New Roman" w:cs="Times New Roman"/>
        </w:rPr>
        <w:t>Rządowy Proces Legislacyjny</w:t>
      </w:r>
      <w:r w:rsidR="00DA4E83">
        <w:rPr>
          <w:rFonts w:ascii="Times New Roman" w:hAnsi="Times New Roman" w:cs="Times New Roman"/>
        </w:rPr>
        <w:t>”</w:t>
      </w:r>
      <w:r w:rsidRPr="00F5685B">
        <w:rPr>
          <w:rFonts w:ascii="Times New Roman" w:hAnsi="Times New Roman" w:cs="Times New Roman"/>
        </w:rPr>
        <w:t>, stosownie do wymogów art.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5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ustawy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dnia 7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lipca 2005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o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działalności lobbingowej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procesie </w:t>
      </w:r>
      <w:r w:rsidRPr="00F5685B">
        <w:rPr>
          <w:rFonts w:ascii="Times New Roman" w:hAnsi="Times New Roman" w:cs="Times New Roman"/>
        </w:rPr>
        <w:lastRenderedPageBreak/>
        <w:t>stanowienia prawa (Dz.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U. </w:t>
      </w:r>
      <w:r w:rsidR="00DA4E83">
        <w:rPr>
          <w:rFonts w:ascii="Times New Roman" w:hAnsi="Times New Roman" w:cs="Times New Roman"/>
        </w:rPr>
        <w:t xml:space="preserve">z </w:t>
      </w:r>
      <w:r w:rsidRPr="00F5685B">
        <w:rPr>
          <w:rFonts w:ascii="Times New Roman" w:hAnsi="Times New Roman" w:cs="Times New Roman"/>
        </w:rPr>
        <w:t>2017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poz.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248</w:t>
      </w:r>
      <w:r w:rsidR="00432342">
        <w:rPr>
          <w:rFonts w:ascii="Times New Roman" w:hAnsi="Times New Roman" w:cs="Times New Roman"/>
        </w:rPr>
        <w:t>, z późn. zm.</w:t>
      </w:r>
      <w:r w:rsidRPr="00F5685B">
        <w:rPr>
          <w:rFonts w:ascii="Times New Roman" w:hAnsi="Times New Roman" w:cs="Times New Roman"/>
        </w:rPr>
        <w:t>) oraz zgodnie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§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52 ust.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1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uchwały nr</w:t>
      </w:r>
      <w:r w:rsidR="00432342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190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Rady Ministrów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dnia 29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października 2013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– Regulamin pracy Rady Ministrów (M.P.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202</w:t>
      </w:r>
      <w:r w:rsidR="00450158">
        <w:rPr>
          <w:rFonts w:ascii="Times New Roman" w:hAnsi="Times New Roman" w:cs="Times New Roman"/>
        </w:rPr>
        <w:t>4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poz.</w:t>
      </w:r>
      <w:r w:rsidR="00432342">
        <w:rPr>
          <w:rFonts w:ascii="Times New Roman" w:hAnsi="Times New Roman" w:cs="Times New Roman"/>
        </w:rPr>
        <w:t xml:space="preserve"> </w:t>
      </w:r>
      <w:r w:rsidR="00450158">
        <w:rPr>
          <w:rFonts w:ascii="Times New Roman" w:hAnsi="Times New Roman" w:cs="Times New Roman"/>
        </w:rPr>
        <w:t>806</w:t>
      </w:r>
      <w:r w:rsidRPr="00F5685B">
        <w:rPr>
          <w:rFonts w:ascii="Times New Roman" w:hAnsi="Times New Roman" w:cs="Times New Roman"/>
        </w:rPr>
        <w:t>).</w:t>
      </w:r>
    </w:p>
    <w:p w14:paraId="29DBFF6D" w14:textId="55152264" w:rsidR="000B25D6" w:rsidRPr="00F5685B" w:rsidRDefault="000B25D6" w:rsidP="00F5685B">
      <w:pPr>
        <w:pStyle w:val="NIEARTTEKSTtekstnieartykuowanynppodstprawnarozplubpreambu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 xml:space="preserve">Projekt nie podlega notyfikacji zgodnie </w:t>
      </w:r>
      <w:r w:rsidR="00805186">
        <w:rPr>
          <w:rFonts w:ascii="Times New Roman" w:hAnsi="Times New Roman" w:cs="Times New Roman"/>
        </w:rPr>
        <w:t xml:space="preserve">z </w:t>
      </w:r>
      <w:r w:rsidRPr="00F5685B">
        <w:rPr>
          <w:rFonts w:ascii="Times New Roman" w:hAnsi="Times New Roman" w:cs="Times New Roman"/>
        </w:rPr>
        <w:t>przepisami rozporządzenia Rady Ministrów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dnia 23 grudnia 2002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 xml:space="preserve">sprawie </w:t>
      </w:r>
      <w:r w:rsidR="00F03D54">
        <w:rPr>
          <w:rFonts w:ascii="Times New Roman" w:hAnsi="Times New Roman" w:cs="Times New Roman"/>
        </w:rPr>
        <w:t xml:space="preserve">sposobu </w:t>
      </w:r>
      <w:r w:rsidRPr="00F5685B">
        <w:rPr>
          <w:rFonts w:ascii="Times New Roman" w:hAnsi="Times New Roman" w:cs="Times New Roman"/>
        </w:rPr>
        <w:t>funkcjonowania krajowego systemu notyfikacji norm i</w:t>
      </w:r>
      <w:r w:rsidR="00C5189B">
        <w:rPr>
          <w:rFonts w:ascii="Times New Roman" w:hAnsi="Times New Roman" w:cs="Times New Roman"/>
        </w:rPr>
        <w:t> </w:t>
      </w:r>
      <w:r w:rsidRPr="00F5685B">
        <w:rPr>
          <w:rFonts w:ascii="Times New Roman" w:hAnsi="Times New Roman" w:cs="Times New Roman"/>
        </w:rPr>
        <w:t>aktów prawnych (Dz.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U. poz.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2039</w:t>
      </w:r>
      <w:r w:rsidR="00432342">
        <w:rPr>
          <w:rFonts w:ascii="Times New Roman" w:hAnsi="Times New Roman" w:cs="Times New Roman"/>
        </w:rPr>
        <w:t>, z późn. zm.</w:t>
      </w:r>
      <w:r w:rsidRPr="00F5685B">
        <w:rPr>
          <w:rFonts w:ascii="Times New Roman" w:hAnsi="Times New Roman" w:cs="Times New Roman"/>
        </w:rPr>
        <w:t>).</w:t>
      </w:r>
    </w:p>
    <w:p w14:paraId="77E2B8F5" w14:textId="77777777" w:rsidR="000B25D6" w:rsidRPr="00F5685B" w:rsidRDefault="000B25D6" w:rsidP="00F5685B">
      <w:pPr>
        <w:pStyle w:val="NIEARTTEKSTtekstnieartykuowanynppodstprawnarozplubpreambu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Projektowana ustawa zawiera regulacje zapewniające wykonanie wyroku Trybunału Sprawiedliwości Unii Europejskiej. Projekt jest zgodny z prawem Unii Europejskiej.</w:t>
      </w:r>
    </w:p>
    <w:p w14:paraId="4FDE9054" w14:textId="5F20CB33" w:rsidR="000B25D6" w:rsidRPr="00F5685B" w:rsidRDefault="000B25D6" w:rsidP="00F5685B">
      <w:pPr>
        <w:pStyle w:val="NIEARTTEKSTtekstnieartykuowanynppodstprawnarozplubpreambua"/>
        <w:ind w:firstLine="0"/>
        <w:rPr>
          <w:rFonts w:ascii="Times New Roman" w:hAnsi="Times New Roman" w:cs="Times New Roman"/>
        </w:rPr>
      </w:pPr>
      <w:r w:rsidRPr="00F5685B">
        <w:rPr>
          <w:rFonts w:ascii="Times New Roman" w:hAnsi="Times New Roman" w:cs="Times New Roman"/>
        </w:rPr>
        <w:t>Projekt ustawy nie będzie miał negatywnego wpływu na rynek pracy oraz na konkurencyjność gospodarki i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przedsiębiorczość,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tym na funkcjonowanie przedsiębiorstw.</w:t>
      </w:r>
    </w:p>
    <w:p w14:paraId="7CF5937B" w14:textId="6A13140D" w:rsidR="002408AB" w:rsidRPr="00437463" w:rsidRDefault="000B25D6" w:rsidP="00F5685B">
      <w:pPr>
        <w:pStyle w:val="NIEARTTEKSTtekstnieartykuowanynppodstprawnarozplubpreambua"/>
        <w:ind w:firstLine="0"/>
        <w:rPr>
          <w:rFonts w:cs="Times New Roman"/>
        </w:rPr>
      </w:pPr>
      <w:r w:rsidRPr="00F5685B">
        <w:rPr>
          <w:rFonts w:ascii="Times New Roman" w:hAnsi="Times New Roman" w:cs="Times New Roman"/>
        </w:rPr>
        <w:t>Projekt nie podlega dokonaniu oceny OSR przez koordynatora OSR w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trybie §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32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uchwały nr 190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Rady Ministrów z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dnia 29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października 2013</w:t>
      </w:r>
      <w:r w:rsidR="00432342">
        <w:rPr>
          <w:rFonts w:ascii="Times New Roman" w:hAnsi="Times New Roman" w:cs="Times New Roman"/>
        </w:rPr>
        <w:t xml:space="preserve"> </w:t>
      </w:r>
      <w:r w:rsidRPr="00F5685B">
        <w:rPr>
          <w:rFonts w:ascii="Times New Roman" w:hAnsi="Times New Roman" w:cs="Times New Roman"/>
        </w:rPr>
        <w:t>r. – Regulamin pracy Rady Ministrów.</w:t>
      </w:r>
    </w:p>
    <w:sectPr w:rsidR="002408AB" w:rsidRPr="00437463" w:rsidSect="00F5685B">
      <w:footerReference w:type="default" r:id="rId7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7229" w14:textId="77777777" w:rsidR="004909CC" w:rsidRDefault="004909CC">
      <w:pPr>
        <w:spacing w:line="240" w:lineRule="auto"/>
      </w:pPr>
      <w:r>
        <w:separator/>
      </w:r>
    </w:p>
  </w:endnote>
  <w:endnote w:type="continuationSeparator" w:id="0">
    <w:p w14:paraId="028FDAAA" w14:textId="77777777" w:rsidR="004909CC" w:rsidRDefault="00490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5976232"/>
      <w:docPartObj>
        <w:docPartGallery w:val="Page Numbers (Bottom of Page)"/>
        <w:docPartUnique/>
      </w:docPartObj>
    </w:sdtPr>
    <w:sdtEndPr/>
    <w:sdtContent>
      <w:p w14:paraId="2098DFBF" w14:textId="7106D0F4" w:rsidR="00437463" w:rsidRDefault="004374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4765" w14:textId="77777777" w:rsidR="004909CC" w:rsidRDefault="004909CC">
      <w:pPr>
        <w:spacing w:line="240" w:lineRule="auto"/>
      </w:pPr>
      <w:r>
        <w:separator/>
      </w:r>
    </w:p>
  </w:footnote>
  <w:footnote w:type="continuationSeparator" w:id="0">
    <w:p w14:paraId="34385ABC" w14:textId="77777777" w:rsidR="004909CC" w:rsidRDefault="004909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D6"/>
    <w:rsid w:val="000101C8"/>
    <w:rsid w:val="0001227D"/>
    <w:rsid w:val="00072E67"/>
    <w:rsid w:val="000B25D6"/>
    <w:rsid w:val="000F1D23"/>
    <w:rsid w:val="00145174"/>
    <w:rsid w:val="0016554C"/>
    <w:rsid w:val="001C41A3"/>
    <w:rsid w:val="001F099E"/>
    <w:rsid w:val="001F304E"/>
    <w:rsid w:val="00214490"/>
    <w:rsid w:val="002408AB"/>
    <w:rsid w:val="002631AA"/>
    <w:rsid w:val="00333C44"/>
    <w:rsid w:val="00413139"/>
    <w:rsid w:val="00432342"/>
    <w:rsid w:val="00437463"/>
    <w:rsid w:val="00450158"/>
    <w:rsid w:val="004909CC"/>
    <w:rsid w:val="00497D84"/>
    <w:rsid w:val="004B09FB"/>
    <w:rsid w:val="004B13B6"/>
    <w:rsid w:val="00581C12"/>
    <w:rsid w:val="005B578D"/>
    <w:rsid w:val="0060360B"/>
    <w:rsid w:val="00805186"/>
    <w:rsid w:val="00863BF3"/>
    <w:rsid w:val="008C7840"/>
    <w:rsid w:val="008E358E"/>
    <w:rsid w:val="00915625"/>
    <w:rsid w:val="009B6228"/>
    <w:rsid w:val="00A6478D"/>
    <w:rsid w:val="00A65A4F"/>
    <w:rsid w:val="00A86524"/>
    <w:rsid w:val="00BD5696"/>
    <w:rsid w:val="00BF31FB"/>
    <w:rsid w:val="00BF5644"/>
    <w:rsid w:val="00C5189B"/>
    <w:rsid w:val="00C7202C"/>
    <w:rsid w:val="00C831C7"/>
    <w:rsid w:val="00CA2A64"/>
    <w:rsid w:val="00CC65B1"/>
    <w:rsid w:val="00CF1FCA"/>
    <w:rsid w:val="00DA4E83"/>
    <w:rsid w:val="00DE30A6"/>
    <w:rsid w:val="00E06759"/>
    <w:rsid w:val="00E91589"/>
    <w:rsid w:val="00EB45C6"/>
    <w:rsid w:val="00F03D54"/>
    <w:rsid w:val="00F1348A"/>
    <w:rsid w:val="00F16EE1"/>
    <w:rsid w:val="00F5685B"/>
    <w:rsid w:val="00F62624"/>
    <w:rsid w:val="00F824FA"/>
    <w:rsid w:val="00F9733E"/>
    <w:rsid w:val="00FB6B34"/>
    <w:rsid w:val="00FC4CE2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91D"/>
  <w15:chartTrackingRefBased/>
  <w15:docId w15:val="{D1F6DA4B-2972-42B6-98FA-97E799B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5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B25D6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25D6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B25D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B25D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B25D6"/>
    <w:rPr>
      <w:bCs/>
    </w:rPr>
  </w:style>
  <w:style w:type="character" w:customStyle="1" w:styleId="Kkursywa">
    <w:name w:val="_K_ – kursywa"/>
    <w:basedOn w:val="Domylnaczcionkaakapitu"/>
    <w:uiPriority w:val="1"/>
    <w:qFormat/>
    <w:rsid w:val="000B25D6"/>
    <w:rPr>
      <w:i/>
    </w:rPr>
  </w:style>
  <w:style w:type="paragraph" w:styleId="Poprawka">
    <w:name w:val="Revision"/>
    <w:hidden/>
    <w:uiPriority w:val="99"/>
    <w:semiHidden/>
    <w:rsid w:val="00437463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4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463"/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54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54C"/>
    <w:rPr>
      <w:rFonts w:ascii="Times New Roman" w:eastAsiaTheme="minorEastAsia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54C"/>
    <w:rPr>
      <w:rFonts w:ascii="Times New Roman" w:eastAsiaTheme="minorEastAsia" w:hAnsi="Times New Roman" w:cs="Arial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53F5-048F-421B-AA1C-44787CCF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2826</Words>
  <Characters>16962</Characters>
  <Application>Microsoft Office Word</Application>
  <DocSecurity>4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Katarzyna</dc:creator>
  <cp:keywords/>
  <dc:description/>
  <cp:lastModifiedBy>Wójcik Aleksandra</cp:lastModifiedBy>
  <cp:revision>2</cp:revision>
  <dcterms:created xsi:type="dcterms:W3CDTF">2025-01-23T07:22:00Z</dcterms:created>
  <dcterms:modified xsi:type="dcterms:W3CDTF">2025-01-23T07:22:00Z</dcterms:modified>
</cp:coreProperties>
</file>