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C60A4" w14:textId="3D7F1D0A" w:rsidR="00635469" w:rsidRDefault="00635469" w:rsidP="00635469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PROJEKT</w:t>
      </w:r>
    </w:p>
    <w:p w14:paraId="6972F8AD" w14:textId="77777777" w:rsidR="00635469" w:rsidRDefault="00635469">
      <w:pPr>
        <w:jc w:val="center"/>
        <w:rPr>
          <w:rFonts w:ascii="Times New Roman" w:eastAsia="Times New Roman" w:hAnsi="Times New Roman" w:cs="Times New Roman"/>
          <w:b/>
        </w:rPr>
      </w:pPr>
    </w:p>
    <w:p w14:paraId="00000001" w14:textId="18A412D3" w:rsidR="008E20DD" w:rsidRDefault="00C42C6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 S T A W A</w:t>
      </w:r>
    </w:p>
    <w:p w14:paraId="00000002" w14:textId="77777777" w:rsidR="008E20DD" w:rsidRDefault="00C42C6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</w:t>
      </w:r>
    </w:p>
    <w:p w14:paraId="00000003" w14:textId="77777777" w:rsidR="008E20DD" w:rsidRDefault="00C42C6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zmianie ustawy o transporcie drogowym</w:t>
      </w:r>
    </w:p>
    <w:p w14:paraId="00000004" w14:textId="77777777" w:rsidR="008E20DD" w:rsidRDefault="008E20D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06" w14:textId="4B2B8D64" w:rsidR="008E20DD" w:rsidRDefault="00C42C6D" w:rsidP="004F3E6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</w:rPr>
        <w:t>Art. 1.</w:t>
      </w:r>
      <w:r>
        <w:rPr>
          <w:rFonts w:ascii="Times New Roman" w:eastAsia="Times New Roman" w:hAnsi="Times New Roman" w:cs="Times New Roman"/>
        </w:rPr>
        <w:t xml:space="preserve"> W ustawie z dnia z dnia 6 września 2001 r. o transporcie drogowym (Dz. U. z 2024 r., poz. 1539) wprowadza się następujące zmiany:</w:t>
      </w:r>
    </w:p>
    <w:p w14:paraId="00000007" w14:textId="02E6EDBA" w:rsidR="008E20DD" w:rsidRDefault="00C42C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art. 6 po ust. 2b dodaje się ust. 2c-2h w brzmieniu:</w:t>
      </w:r>
    </w:p>
    <w:p w14:paraId="00000008" w14:textId="77777777" w:rsidR="008E20DD" w:rsidRDefault="00C42C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„2c. Osoby, o których mowa w ust. 1 pkt 2, wraz z wnioskiem o udzielenie licencji przedkładają informację z Krajowego Rejestru Karnego w zakresie przestępstw przeciwko życiu i zdrowiu oraz przeciwko wolności seksualnej i obyczajności, a także za przestępstwa, o których mowa w art. 59 ustawy z dnia 29 lipca 2005 r. o przeciwdziałaniu narkomanii, lub za odpowiadające tym przestępstwom czyny zabronione określone w przepisach prawa obcego.</w:t>
      </w:r>
    </w:p>
    <w:p w14:paraId="00000009" w14:textId="77777777" w:rsidR="008E20DD" w:rsidRDefault="00C42C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2d. Osoby, o których mowa w ust. 1 pkt 2, posiadający obywatelstwo innego państwa niż Rzeczpospolita Polska, ponadto przedkładają informację z rejestru karnego państwa obywatelstwa uzyskiwaną do celów wykonywania krajowego transportu drogowego w zakresie przewozu osób taksówką.</w:t>
      </w:r>
    </w:p>
    <w:p w14:paraId="0000000A" w14:textId="77777777" w:rsidR="008E20DD" w:rsidRDefault="00C42C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2et92p0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 xml:space="preserve">2e. Osoby, o których mowa w ust. 1 pkt 2, składają organowi wydającemu licencję oświadczenie o państwie lub państwach, w których zamieszkiwała w ciągu ostatnich 20 lat, innych niż Rzeczpospolita Polska i państwo obywatelstwa, oraz jednocześnie przedkładają organowi wydającemu licencję informację z rejestrów karnych tych państw uzyskiwaną do celów wykonywania krajowego transportu drogowego w zakresie przewozu osób taksówką. </w:t>
      </w:r>
    </w:p>
    <w:p w14:paraId="0000000B" w14:textId="77777777" w:rsidR="008E20DD" w:rsidRDefault="00C42C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2f. Jeżeli prawo państwa, o którym mowa w ust. 2d lub 2e, nie przewiduje wydawania informacji do celów wykonywania krajowego transportu drogowego w zakresie przewozu osób taksówką, przedkłada się informację z rejestru karnego tego państwa. </w:t>
      </w:r>
    </w:p>
    <w:p w14:paraId="0000000C" w14:textId="77777777" w:rsidR="008E20DD" w:rsidRDefault="00C42C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_heading=h.tyjcwt" w:colFirst="0" w:colLast="0"/>
      <w:bookmarkEnd w:id="4"/>
      <w:r>
        <w:rPr>
          <w:rFonts w:ascii="Times New Roman" w:eastAsia="Times New Roman" w:hAnsi="Times New Roman" w:cs="Times New Roman"/>
          <w:color w:val="000000"/>
        </w:rPr>
        <w:t xml:space="preserve">2g. Informacje, o których mowa w ust. 2c-2f licencjonowany pośrednik będący bezpośrednim dostarczycielem aplikacji do zamawiania przejazdów taksówką osobową utrwala w formie wydruku i załącza do akt osobowych pracownika albo dokumentacji dotyczącej osoby dopuszczonej do wykonywania krajowego transportu drogowego w zakresie przewozu osób taksówką na jego rzecz. </w:t>
      </w:r>
    </w:p>
    <w:p w14:paraId="0000000D" w14:textId="20197CB2" w:rsidR="008E20DD" w:rsidRDefault="00C42C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_heading=h.3dy6vkm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lastRenderedPageBreak/>
        <w:t xml:space="preserve">2h. Informacje, o których mowa w ust. 2c-2f opatruję się datą nie wcześniejszą niż 30 dni przed złożeniem </w:t>
      </w:r>
      <w:r w:rsidR="004F3E6A">
        <w:rPr>
          <w:rFonts w:ascii="Times New Roman" w:eastAsia="Times New Roman" w:hAnsi="Times New Roman" w:cs="Times New Roman"/>
          <w:color w:val="000000"/>
        </w:rPr>
        <w:t>wniosku,</w:t>
      </w:r>
      <w:r>
        <w:rPr>
          <w:rFonts w:ascii="Times New Roman" w:eastAsia="Times New Roman" w:hAnsi="Times New Roman" w:cs="Times New Roman"/>
          <w:color w:val="000000"/>
        </w:rPr>
        <w:t xml:space="preserve"> o którym mowa w ust. 2c.</w:t>
      </w:r>
    </w:p>
    <w:p w14:paraId="0000000E" w14:textId="77777777" w:rsidR="008E20DD" w:rsidRDefault="008E20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8E20DD" w:rsidRDefault="00C42C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art. 13b po ust. 1a dodaje się ust. 1b-1d w brzmieniu:</w:t>
      </w:r>
    </w:p>
    <w:p w14:paraId="00000010" w14:textId="690822A0" w:rsidR="008E20DD" w:rsidRDefault="00C42C6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</w:rPr>
      </w:pPr>
      <w:bookmarkStart w:id="6" w:name="_heading=h.1t3h5sf" w:colFirst="0" w:colLast="0"/>
      <w:bookmarkEnd w:id="6"/>
      <w:r>
        <w:rPr>
          <w:rFonts w:ascii="Times New Roman" w:eastAsia="Times New Roman" w:hAnsi="Times New Roman" w:cs="Times New Roman"/>
        </w:rPr>
        <w:t xml:space="preserve">„1b. Oddzielne </w:t>
      </w:r>
      <w:r w:rsidR="004F3E6A">
        <w:rPr>
          <w:rFonts w:ascii="Times New Roman" w:eastAsia="Times New Roman" w:hAnsi="Times New Roman" w:cs="Times New Roman"/>
        </w:rPr>
        <w:t>urządzenie,</w:t>
      </w:r>
      <w:r>
        <w:rPr>
          <w:rFonts w:ascii="Times New Roman" w:eastAsia="Times New Roman" w:hAnsi="Times New Roman" w:cs="Times New Roman"/>
        </w:rPr>
        <w:t xml:space="preserve"> na którym została zainstalowana kasa rejestrująca mająca postać oprogramowania oraz aplikacja </w:t>
      </w:r>
      <w:r w:rsidRPr="001E6B43">
        <w:rPr>
          <w:rFonts w:ascii="Times New Roman" w:eastAsia="Times New Roman" w:hAnsi="Times New Roman" w:cs="Times New Roman"/>
        </w:rPr>
        <w:t xml:space="preserve">mobilna służąca do obliczania opłaty za przejazd taksówką osobową staje się </w:t>
      </w:r>
      <w:r>
        <w:rPr>
          <w:rFonts w:ascii="Times New Roman" w:eastAsia="Times New Roman" w:hAnsi="Times New Roman" w:cs="Times New Roman"/>
        </w:rPr>
        <w:t xml:space="preserve">urządzeniem obowiązkowego wyposażenia taksówki osobowej i podlega kontroli. </w:t>
      </w:r>
    </w:p>
    <w:p w14:paraId="00000011" w14:textId="77777777" w:rsidR="008E20DD" w:rsidRDefault="00C42C6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1c. Kasa rejestrująca mającą postać oprogramowania pracuje tylko z trwale połączoną z nią aplikacją </w:t>
      </w:r>
      <w:r w:rsidRPr="001E6B43">
        <w:rPr>
          <w:rFonts w:ascii="Times New Roman" w:eastAsia="Times New Roman" w:hAnsi="Times New Roman" w:cs="Times New Roman"/>
        </w:rPr>
        <w:t>mobilną służąca do obliczania opłaty za przejazd taksówką osobową.</w:t>
      </w:r>
    </w:p>
    <w:p w14:paraId="00000012" w14:textId="4694C090" w:rsidR="008E20DD" w:rsidRDefault="00C42C6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1d. Kasa rejestrująca mająca postać oprogramowania podlega obowiązkowemu przeglądowi technicznemu w terminie oraz zakresie określonych w przepisach wydanych na podstawie art. 111 ust. 7a pkt 4 ustawy z </w:t>
      </w:r>
      <w:r w:rsidR="004F3E6A">
        <w:rPr>
          <w:rFonts w:ascii="Times New Roman" w:eastAsia="Times New Roman" w:hAnsi="Times New Roman" w:cs="Times New Roman"/>
        </w:rPr>
        <w:t>dnia z</w:t>
      </w:r>
      <w:r>
        <w:rPr>
          <w:rFonts w:ascii="Times New Roman" w:eastAsia="Times New Roman" w:hAnsi="Times New Roman" w:cs="Times New Roman"/>
        </w:rPr>
        <w:t xml:space="preserve"> dnia 11 marca 2004 r. o podatku od towarów i usług (Dz. U. z 2024 r., poz. 361).”;</w:t>
      </w:r>
    </w:p>
    <w:p w14:paraId="00000013" w14:textId="77777777" w:rsidR="008E20DD" w:rsidRDefault="008E20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8E20DD" w:rsidRDefault="00C42C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_heading=h.4d34og8" w:colFirst="0" w:colLast="0"/>
      <w:bookmarkEnd w:id="7"/>
      <w:r>
        <w:rPr>
          <w:rFonts w:ascii="Times New Roman" w:eastAsia="Times New Roman" w:hAnsi="Times New Roman" w:cs="Times New Roman"/>
          <w:color w:val="000000"/>
        </w:rPr>
        <w:t>w art. 39k po ust. 1 dodaje się ust. 1a w brzmieniu:</w:t>
      </w:r>
    </w:p>
    <w:p w14:paraId="00000015" w14:textId="77777777" w:rsidR="008E20DD" w:rsidRDefault="00C42C6D">
      <w:pPr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„1a. Badanie psychologiczne wykonywane są w języku urzędowym bez udziału osób trzecich.”;</w:t>
      </w:r>
    </w:p>
    <w:p w14:paraId="00000016" w14:textId="77777777" w:rsidR="008E20DD" w:rsidRDefault="008E20DD"/>
    <w:p w14:paraId="00000017" w14:textId="77777777" w:rsidR="008E20DD" w:rsidRDefault="00C42C6D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</w:rPr>
      </w:pPr>
      <w:bookmarkStart w:id="8" w:name="_heading=h.2s8eyo1" w:colFirst="0" w:colLast="0"/>
      <w:bookmarkEnd w:id="8"/>
      <w:r>
        <w:rPr>
          <w:rFonts w:ascii="Times New Roman" w:eastAsia="Times New Roman" w:hAnsi="Times New Roman" w:cs="Times New Roman"/>
          <w:b/>
        </w:rPr>
        <w:t>Art. 2.</w:t>
      </w:r>
      <w:r>
        <w:t xml:space="preserve"> </w:t>
      </w:r>
      <w:r>
        <w:rPr>
          <w:rFonts w:ascii="Times New Roman" w:eastAsia="Times New Roman" w:hAnsi="Times New Roman" w:cs="Times New Roman"/>
        </w:rPr>
        <w:t>Osoby, o których mowa w art. 6 ust. 1 pkt 2 ustawy zmienianej w art. 1, wykonujący w dniu wejścia w życie niniejszej ustawy krajowy transport drogowy w zakresie przewozu osób taksówką, przedkładają w terminie 60 dni od dnia wejścia w życie niniejszej ustawy informacje, o których mowa w art. 6 ust. 2c-2f ustawy zmienianej w art. 1.</w:t>
      </w:r>
    </w:p>
    <w:p w14:paraId="00000018" w14:textId="77777777" w:rsidR="008E20DD" w:rsidRDefault="008E20DD">
      <w:pPr>
        <w:spacing w:line="360" w:lineRule="auto"/>
        <w:ind w:firstLine="360"/>
        <w:rPr>
          <w:rFonts w:ascii="Times New Roman" w:eastAsia="Times New Roman" w:hAnsi="Times New Roman" w:cs="Times New Roman"/>
          <w:b/>
        </w:rPr>
      </w:pPr>
    </w:p>
    <w:p w14:paraId="00000019" w14:textId="77777777" w:rsidR="008E20DD" w:rsidRDefault="00C42C6D">
      <w:pPr>
        <w:spacing w:line="360" w:lineRule="auto"/>
        <w:ind w:firstLine="360"/>
      </w:pPr>
      <w:r>
        <w:rPr>
          <w:rFonts w:ascii="Times New Roman" w:eastAsia="Times New Roman" w:hAnsi="Times New Roman" w:cs="Times New Roman"/>
          <w:b/>
        </w:rPr>
        <w:t xml:space="preserve">Art. 3. </w:t>
      </w:r>
      <w:r>
        <w:rPr>
          <w:rFonts w:ascii="Times New Roman" w:eastAsia="Times New Roman" w:hAnsi="Times New Roman" w:cs="Times New Roman"/>
        </w:rPr>
        <w:t>Ustawa wchodzi w życie po upływie 6 miesięcy od dnia ogłoszenia.</w:t>
      </w:r>
    </w:p>
    <w:p w14:paraId="0000001A" w14:textId="77777777" w:rsidR="008E20DD" w:rsidRDefault="008E20DD"/>
    <w:p w14:paraId="0000001B" w14:textId="77777777" w:rsidR="008E20DD" w:rsidRDefault="008E20DD"/>
    <w:p w14:paraId="0000001C" w14:textId="77777777" w:rsidR="008E20DD" w:rsidRDefault="008E20DD"/>
    <w:p w14:paraId="0000001D" w14:textId="77777777" w:rsidR="008E20DD" w:rsidRDefault="008E20DD"/>
    <w:p w14:paraId="0000001E" w14:textId="77777777" w:rsidR="008E20DD" w:rsidRDefault="008E20DD"/>
    <w:p w14:paraId="0000001F" w14:textId="77777777" w:rsidR="008E20DD" w:rsidRDefault="008E20DD"/>
    <w:p w14:paraId="5A02E718" w14:textId="77777777" w:rsidR="00635469" w:rsidRDefault="00635469">
      <w:pPr>
        <w:jc w:val="center"/>
        <w:rPr>
          <w:rFonts w:ascii="Times New Roman" w:eastAsia="Times New Roman" w:hAnsi="Times New Roman" w:cs="Times New Roman"/>
          <w:b/>
        </w:rPr>
      </w:pPr>
    </w:p>
    <w:p w14:paraId="00000023" w14:textId="74C58EC4" w:rsidR="008E20DD" w:rsidRDefault="00C42C6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 Z A S A D N I E N I E</w:t>
      </w:r>
    </w:p>
    <w:p w14:paraId="00000024" w14:textId="77777777" w:rsidR="008E20DD" w:rsidRDefault="008E20DD">
      <w:pPr>
        <w:jc w:val="center"/>
        <w:rPr>
          <w:rFonts w:ascii="Times New Roman" w:eastAsia="Times New Roman" w:hAnsi="Times New Roman" w:cs="Times New Roman"/>
          <w:b/>
        </w:rPr>
      </w:pPr>
    </w:p>
    <w:p w14:paraId="00000025" w14:textId="77777777" w:rsidR="008E20DD" w:rsidRDefault="00C42C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ustawy przewiduje wprowadzenie zmian, które przyczynią się do zapewnienia bezpieczeństwa wszystkim korzystającym z usług taksówek, ponieważ zostanie wprowadzona skuteczna weryfikacja kandydatów na kierowców taksówek. W projekcie ustawy proponuje się zmiany dotyczące obowiązku sprawdzenia czy kierowcy nie byli skazani za przestępstwa przeciwko dzieciom, przestępstwa o charakterze seksualnym, przestępstwa przeciwko życiu i zdrowiu, przestępstwa znęcania się, przestępstwa handlu ludźmi, przestępstwa z ustawy o przeciwdziałaniu narkomanii lub informacji o odpowiadających tym przestępstwom czynach zabronionych w przepisach prawa poprzez obowiązek przedłożenia odpowiedniej informacji z Krajowego Rejestru Karnego.  </w:t>
      </w:r>
    </w:p>
    <w:p w14:paraId="00000026" w14:textId="20752DDE" w:rsidR="008E20DD" w:rsidRDefault="00C42C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ustawy zakłada, że osoby, posiadające obywatelstwo innego państwa niż Rzeczpospolita Polska przedkładają informację z rejestru karnego państwa obywatelstwa uzyskiwaną do celów wykonywania krajowego transportu drogowego w zakresie przewozu osób taksówką. Zobowiązane są do </w:t>
      </w:r>
      <w:r w:rsidR="004F3E6A">
        <w:rPr>
          <w:rFonts w:ascii="Times New Roman" w:eastAsia="Times New Roman" w:hAnsi="Times New Roman" w:cs="Times New Roman"/>
        </w:rPr>
        <w:t>złożenia organowi</w:t>
      </w:r>
      <w:r>
        <w:rPr>
          <w:rFonts w:ascii="Times New Roman" w:eastAsia="Times New Roman" w:hAnsi="Times New Roman" w:cs="Times New Roman"/>
        </w:rPr>
        <w:t xml:space="preserve"> wydającemu licencję oświadczenie o państwie lub państwach, w których zamieszkiwały w ciągu ostatnich 20 lat, innych niż Rzeczpospolita Polska i państwo obywatelstwa, oraz jednocześnie przedkładają organowi wydającemu licencję informację z rejestrów karnych tych państw uzyskiwaną do celów wykonywania krajowego transportu drogowego w zakresie przewozu osób taksówką. Propozycja naniesienia omawianych zmian dotyczy również zobowiązania licencjonowanego pośrednika, który jest bezpośrednim dostarczycielem aplikacji do zamawiania przejazdów taksówką osobową do utrwalania w formie wydruku i załączenia do akt osobowych pracownika albo dokumentacji dotyczącej osoby, która jest dopuszczona do wykonywania transportu drogowego w zakresie przewozu osób taksówką na jego rzecz. Zmiany naniesione w projekcie ustawy traktują również o tym, że informacje dotyczące wprowadzanych ust. 2c – 2</w:t>
      </w:r>
      <w:r w:rsidR="004F3E6A">
        <w:rPr>
          <w:rFonts w:ascii="Times New Roman" w:eastAsia="Times New Roman" w:hAnsi="Times New Roman" w:cs="Times New Roman"/>
        </w:rPr>
        <w:t>f opatrzone</w:t>
      </w:r>
      <w:r>
        <w:rPr>
          <w:rFonts w:ascii="Times New Roman" w:eastAsia="Times New Roman" w:hAnsi="Times New Roman" w:cs="Times New Roman"/>
        </w:rPr>
        <w:t xml:space="preserve"> są datą nie wcześniejszą niż 30 dni przed złożeniem wniosku, który usytuowany jest w ust. 2c. </w:t>
      </w:r>
    </w:p>
    <w:p w14:paraId="00000027" w14:textId="19221E89" w:rsidR="008E20DD" w:rsidRDefault="00C42C6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ustawy precyzuje przepisy odnoszące się do kwestii kasy rejestrującej, aplikacji mobilnej taksówki osobowej, tj. wprowadzone zostają zmiany, które zobowiązują do tego, że oddzielne </w:t>
      </w:r>
      <w:r w:rsidR="004F3E6A">
        <w:rPr>
          <w:rFonts w:ascii="Times New Roman" w:eastAsia="Times New Roman" w:hAnsi="Times New Roman" w:cs="Times New Roman"/>
        </w:rPr>
        <w:t>urządzenie,</w:t>
      </w:r>
      <w:r>
        <w:rPr>
          <w:rFonts w:ascii="Times New Roman" w:eastAsia="Times New Roman" w:hAnsi="Times New Roman" w:cs="Times New Roman"/>
        </w:rPr>
        <w:t xml:space="preserve"> na którym została zainstalowana kasa rejestrująca mająca postać oprogramowania oraz aplikacja mobilna </w:t>
      </w:r>
      <w:r w:rsidRPr="008514B8">
        <w:rPr>
          <w:rFonts w:ascii="Times New Roman" w:eastAsia="Times New Roman" w:hAnsi="Times New Roman" w:cs="Times New Roman"/>
        </w:rPr>
        <w:t>służąca do obliczania opłaty za przejazd taksówką osobową stają się urządzeniami obowiązko</w:t>
      </w:r>
      <w:r>
        <w:rPr>
          <w:rFonts w:ascii="Times New Roman" w:eastAsia="Times New Roman" w:hAnsi="Times New Roman" w:cs="Times New Roman"/>
        </w:rPr>
        <w:t xml:space="preserve">wego wyposażenia taksówki osobowej i podlegają kontroli. W założeniu projektu ustawy znajduje się przepis traktujący o tym, że kasa rejestrująca mająca postać oprogramowania pracuje tylko z </w:t>
      </w:r>
      <w:r w:rsidR="004F3E6A">
        <w:rPr>
          <w:rFonts w:ascii="Times New Roman" w:eastAsia="Times New Roman" w:hAnsi="Times New Roman" w:cs="Times New Roman"/>
        </w:rPr>
        <w:t>trwale połączoną</w:t>
      </w:r>
      <w:r>
        <w:rPr>
          <w:rFonts w:ascii="Times New Roman" w:eastAsia="Times New Roman" w:hAnsi="Times New Roman" w:cs="Times New Roman"/>
        </w:rPr>
        <w:t xml:space="preserve"> z nią aplikacją mobilną </w:t>
      </w:r>
      <w:r w:rsidRPr="008514B8">
        <w:rPr>
          <w:rFonts w:ascii="Times New Roman" w:eastAsia="Times New Roman" w:hAnsi="Times New Roman" w:cs="Times New Roman"/>
        </w:rPr>
        <w:lastRenderedPageBreak/>
        <w:t xml:space="preserve">służąca do obliczania opłaty za przejazd taksówką osobową oraz podlega obowiązkowemu przeglądowi technicznemu. </w:t>
      </w:r>
    </w:p>
    <w:p w14:paraId="00000028" w14:textId="77777777" w:rsidR="008E20DD" w:rsidRDefault="00C42C6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Projekt ustawy uszczegóławia kwestię badań psychologicznych, sprecyzowane zostają przepisy, o tym, że badanie psychologiczne wykonywane będzie w języku urzędowym bez udziału osób trzecich. </w:t>
      </w:r>
    </w:p>
    <w:p w14:paraId="00000029" w14:textId="77777777" w:rsidR="008E20DD" w:rsidRDefault="00C42C6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Wprowadzony zostaje 60 – dniowy termin dla osób, o których mowa w art. 6 ust. 1 pkt 2 ustawy zmienianej w art. 1, mówiący o tym, że zobowiązani są do przedstawienia informacji omawianych w art. 6 ust. 2c – 2f projektu ustawy. </w:t>
      </w:r>
    </w:p>
    <w:p w14:paraId="0000002A" w14:textId="77777777" w:rsidR="008E20DD" w:rsidRDefault="00C42C6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Posłowie reprezentujący Klub Parlamentarny Prawo i Sprawiedliwość, składają niniejszy projekt, który przyczyni się do poprawienia bezpieczeństwa osób korzystających z usług taksówek. </w:t>
      </w:r>
    </w:p>
    <w:p w14:paraId="0000002B" w14:textId="77777777" w:rsidR="008E20DD" w:rsidRDefault="00C42C6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Projekt ustawy nie pociąga za sobą skutków finansowych dla budżetu państwa, nie generuje kosztów dla budżetów jednostek samorządu terytorialnego. </w:t>
      </w:r>
    </w:p>
    <w:p w14:paraId="0000002C" w14:textId="77777777" w:rsidR="008E20DD" w:rsidRDefault="00C42C6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Projekt ustawy wychodzi naprzeciw postulatom przedstawicieli środowiska związanego z branżą taksówkarską.</w:t>
      </w:r>
    </w:p>
    <w:p w14:paraId="0000002D" w14:textId="77777777" w:rsidR="008E20DD" w:rsidRDefault="00C42C6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Projekt ustawy wywołuje pozytywne skutki społeczne, gospodarcze, finansowe i prawne. </w:t>
      </w:r>
    </w:p>
    <w:p w14:paraId="0000002E" w14:textId="77777777" w:rsidR="008E20DD" w:rsidRDefault="00C42C6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Projekt ustawy ma wpływ na działalność </w:t>
      </w:r>
      <w:proofErr w:type="spellStart"/>
      <w:r>
        <w:rPr>
          <w:rFonts w:ascii="Times New Roman" w:eastAsia="Times New Roman" w:hAnsi="Times New Roman" w:cs="Times New Roman"/>
        </w:rPr>
        <w:t>mikroprzedsiębiorców</w:t>
      </w:r>
      <w:proofErr w:type="spellEnd"/>
      <w:r>
        <w:rPr>
          <w:rFonts w:ascii="Times New Roman" w:eastAsia="Times New Roman" w:hAnsi="Times New Roman" w:cs="Times New Roman"/>
        </w:rPr>
        <w:t xml:space="preserve"> oraz małych i średnich przedsiębiorców.</w:t>
      </w:r>
    </w:p>
    <w:p w14:paraId="0000002F" w14:textId="77777777" w:rsidR="008E20DD" w:rsidRDefault="00C42C6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Projekt ustawy nie jest sprzeczny z prawem Unii Europejskiej. </w:t>
      </w:r>
    </w:p>
    <w:sectPr w:rsidR="008E20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76C841C-A949-497E-9FA0-B2F147136654}"/>
    <w:embedItalic r:id="rId2" w:fontKey="{4B158EDF-03E2-4BD7-9869-1A742B49F36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0B971178-129E-40C5-BC80-40EDA7472E17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54"/>
    <w:multiLevelType w:val="multilevel"/>
    <w:tmpl w:val="CC2C44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DD"/>
    <w:rsid w:val="001E6B43"/>
    <w:rsid w:val="004F3E6A"/>
    <w:rsid w:val="00635469"/>
    <w:rsid w:val="0073426B"/>
    <w:rsid w:val="00837C28"/>
    <w:rsid w:val="008514B8"/>
    <w:rsid w:val="008E20DD"/>
    <w:rsid w:val="008E44FB"/>
    <w:rsid w:val="00BC04FF"/>
    <w:rsid w:val="00C42C6D"/>
    <w:rsid w:val="00D3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E67A"/>
  <w15:docId w15:val="{C622797F-2282-B846-A02B-176F7FED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91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91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D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D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D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D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D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DB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89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D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D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D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D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DB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91D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DB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1DBE"/>
    <w:pPr>
      <w:spacing w:after="0" w:line="240" w:lineRule="auto"/>
    </w:pPr>
  </w:style>
  <w:style w:type="paragraph" w:customStyle="1" w:styleId="zartzmartartykuempunktem">
    <w:name w:val="zartzmartartykuempunktem"/>
    <w:basedOn w:val="Normalny"/>
    <w:rsid w:val="0050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zustzmustartykuempunktem">
    <w:name w:val="zustzmustartykuempunktem"/>
    <w:basedOn w:val="Normalny"/>
    <w:rsid w:val="0050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BrMyRzfCi4Ec//dGtmagqAhQ==">CgMxLjAyCGguZ2pkZ3hzMgloLjMwajB6bGwyCWguMWZvYjl0ZTIJaC4zem55c2g3MgloLjJldDkycDAyCGgudHlqY3d0MgloLjNkeTZ2a20yCWguMXQzaDVzZjIJaC40ZDM0b2c4MgloLjJzOGV5bzE4AHIhMW1HcGNxX2VSQXpwVzlUZzZGUG1ucWdJRlhoQU9ZWkpT</go:docsCustomData>
</go:gDocsCustomXmlDataStorage>
</file>

<file path=customXml/itemProps1.xml><?xml version="1.0" encoding="utf-8"?>
<ds:datastoreItem xmlns:ds="http://schemas.openxmlformats.org/officeDocument/2006/customXml" ds:itemID="{41503BD5-A26A-7449-B8FF-6A69BD47F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1057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Makowski</dc:creator>
  <cp:lastModifiedBy>Emilia Celińska</cp:lastModifiedBy>
  <cp:revision>6</cp:revision>
  <cp:lastPrinted>2024-12-09T09:27:00Z</cp:lastPrinted>
  <dcterms:created xsi:type="dcterms:W3CDTF">2024-12-03T09:53:00Z</dcterms:created>
  <dcterms:modified xsi:type="dcterms:W3CDTF">2024-12-09T09:27:00Z</dcterms:modified>
</cp:coreProperties>
</file>