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E307A" w14:textId="77777777" w:rsidR="00CC386A" w:rsidRDefault="00CC386A" w:rsidP="00CC386A">
      <w:pPr>
        <w:spacing w:after="0" w:line="240" w:lineRule="auto"/>
        <w:jc w:val="right"/>
        <w:rPr>
          <w:rFonts w:ascii="Times New Roman" w:eastAsia="Times New Roman" w:hAnsi="Times New Roman" w:cs="Times New Roman"/>
          <w:u w:val="single"/>
        </w:rPr>
      </w:pPr>
      <w:r>
        <w:rPr>
          <w:rFonts w:ascii="Times New Roman" w:eastAsia="Times New Roman" w:hAnsi="Times New Roman" w:cs="Times New Roman"/>
          <w:u w:val="single"/>
        </w:rPr>
        <w:t>Projekt</w:t>
      </w:r>
    </w:p>
    <w:p w14:paraId="40D6A9E9" w14:textId="77777777" w:rsidR="00CC386A" w:rsidRDefault="00CC386A" w:rsidP="00CC386A">
      <w:pPr>
        <w:spacing w:after="0" w:line="240" w:lineRule="auto"/>
        <w:jc w:val="right"/>
        <w:rPr>
          <w:rFonts w:ascii="Times New Roman" w:eastAsia="Times New Roman" w:hAnsi="Times New Roman" w:cs="Times New Roman"/>
          <w:u w:val="single"/>
        </w:rPr>
      </w:pPr>
    </w:p>
    <w:p w14:paraId="06413793" w14:textId="77777777" w:rsidR="00CC386A" w:rsidRDefault="00CC386A" w:rsidP="00CC386A">
      <w:pPr>
        <w:spacing w:after="0" w:line="360" w:lineRule="auto"/>
        <w:jc w:val="both"/>
        <w:rPr>
          <w:rFonts w:ascii="Times New Roman" w:eastAsia="Times New Roman" w:hAnsi="Times New Roman" w:cs="Times New Roman"/>
          <w:sz w:val="24"/>
          <w:szCs w:val="24"/>
          <w:u w:val="single"/>
        </w:rPr>
      </w:pPr>
    </w:p>
    <w:p w14:paraId="0EFDB369" w14:textId="77777777" w:rsidR="00CC386A" w:rsidRDefault="00CC386A" w:rsidP="00CC386A">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 S T A W A</w:t>
      </w:r>
    </w:p>
    <w:p w14:paraId="35D86EAE" w14:textId="77777777" w:rsidR="00CC386A" w:rsidRDefault="00CC386A" w:rsidP="00CC386A">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 dnia… </w:t>
      </w:r>
    </w:p>
    <w:p w14:paraId="4B1AD124" w14:textId="77777777" w:rsidR="00CC386A" w:rsidRDefault="00CC386A" w:rsidP="00CC386A">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 zmianie ustawy o odnawialnych źródłach energii</w:t>
      </w:r>
    </w:p>
    <w:p w14:paraId="5ED63A4D" w14:textId="77777777" w:rsidR="00CC386A" w:rsidRDefault="00CC386A" w:rsidP="00CC386A">
      <w:pPr>
        <w:spacing w:after="0" w:line="360" w:lineRule="auto"/>
        <w:jc w:val="both"/>
        <w:rPr>
          <w:rFonts w:ascii="Times New Roman" w:eastAsia="Times New Roman" w:hAnsi="Times New Roman" w:cs="Times New Roman"/>
          <w:sz w:val="24"/>
          <w:szCs w:val="24"/>
        </w:rPr>
      </w:pPr>
    </w:p>
    <w:p w14:paraId="5B878F36" w14:textId="77777777" w:rsidR="00CC386A" w:rsidRDefault="00CC386A" w:rsidP="00CC386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1.</w:t>
      </w:r>
      <w:r>
        <w:rPr>
          <w:rFonts w:ascii="Times New Roman" w:eastAsia="Times New Roman" w:hAnsi="Times New Roman" w:cs="Times New Roman"/>
          <w:sz w:val="24"/>
          <w:szCs w:val="24"/>
        </w:rPr>
        <w:t xml:space="preserve">  W ustawie z dnia 20 lutego 2015 r. o odnawialnych źródłach energii (Dz.U. z 2024 r., poz. 1361) wprowadza się następujące zmiany:</w:t>
      </w:r>
    </w:p>
    <w:p w14:paraId="7A8DF264" w14:textId="77777777" w:rsidR="00CC386A" w:rsidRDefault="00CC386A" w:rsidP="00CC386A">
      <w:pPr>
        <w:spacing w:after="0" w:line="360" w:lineRule="auto"/>
        <w:jc w:val="both"/>
        <w:rPr>
          <w:rFonts w:ascii="Times New Roman" w:eastAsia="Times New Roman" w:hAnsi="Times New Roman" w:cs="Times New Roman"/>
          <w:sz w:val="24"/>
          <w:szCs w:val="24"/>
        </w:rPr>
      </w:pPr>
    </w:p>
    <w:p w14:paraId="3298D61F" w14:textId="77777777" w:rsidR="00CC386A" w:rsidRDefault="00CC386A" w:rsidP="00CC386A">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art. 9 w ust. 1a pkt 3 otrzymuje brzmienie: </w:t>
      </w:r>
    </w:p>
    <w:p w14:paraId="2C5B3D67" w14:textId="77777777" w:rsidR="00CC386A" w:rsidRDefault="00CC386A" w:rsidP="00CC386A">
      <w:pPr>
        <w:spacing w:after="0" w:line="360" w:lineRule="auto"/>
        <w:ind w:left="36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nie wykorzystywać jako surowców do wytwarzania biogazu na potrzeby wytwarzania biometanu lub do wytwarzania biometanu z biogazu paliw kopalnych lub paliw powstałych z ich przetworzenia lub biomasy, biogazu lub </w:t>
      </w:r>
      <w:proofErr w:type="spellStart"/>
      <w:r>
        <w:rPr>
          <w:rFonts w:ascii="Times New Roman" w:eastAsia="Times New Roman" w:hAnsi="Times New Roman" w:cs="Times New Roman"/>
          <w:sz w:val="24"/>
          <w:szCs w:val="24"/>
        </w:rPr>
        <w:t>biopłynów</w:t>
      </w:r>
      <w:proofErr w:type="spellEnd"/>
      <w:r>
        <w:rPr>
          <w:rFonts w:ascii="Times New Roman" w:eastAsia="Times New Roman" w:hAnsi="Times New Roman" w:cs="Times New Roman"/>
          <w:sz w:val="24"/>
          <w:szCs w:val="24"/>
        </w:rPr>
        <w:t xml:space="preserve">, zanieczyszczonych substancjami niebędącymi biomasą, biogazem lub </w:t>
      </w:r>
      <w:proofErr w:type="spellStart"/>
      <w:r>
        <w:rPr>
          <w:rFonts w:ascii="Times New Roman" w:eastAsia="Times New Roman" w:hAnsi="Times New Roman" w:cs="Times New Roman"/>
          <w:sz w:val="24"/>
          <w:szCs w:val="24"/>
        </w:rPr>
        <w:t>biopłynami</w:t>
      </w:r>
      <w:proofErr w:type="spellEnd"/>
      <w:r>
        <w:rPr>
          <w:rFonts w:ascii="Times New Roman" w:eastAsia="Times New Roman" w:hAnsi="Times New Roman" w:cs="Times New Roman"/>
          <w:sz w:val="24"/>
          <w:szCs w:val="24"/>
        </w:rPr>
        <w:t xml:space="preserve"> zwiększającymi ich wartość opałową, z wyjątkiem konieczności dodania gazu zmieniającego ciepło spalania biometanu, ze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względu na wymogi operatora sieci, do którego instalacja jest przyłączona, a ilość i jakość tego gazu można jednoznacznie określić;”;</w:t>
      </w:r>
    </w:p>
    <w:p w14:paraId="434F5F9A" w14:textId="77777777" w:rsidR="00CC386A" w:rsidRDefault="00CC386A" w:rsidP="00CC386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7135FD9" w14:textId="77777777" w:rsidR="00CC386A" w:rsidRDefault="00CC386A" w:rsidP="00CC386A">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art. 83l po ust. 3 dodaje się ust. 4 w brzmieniu:</w:t>
      </w:r>
    </w:p>
    <w:p w14:paraId="1D50FDEC" w14:textId="3710D547" w:rsidR="00CC386A" w:rsidRPr="00F15A54" w:rsidRDefault="00CC386A" w:rsidP="00CC386A">
      <w:pPr>
        <w:spacing w:after="0" w:line="360" w:lineRule="auto"/>
        <w:ind w:left="360"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„4. Prawo do pokrycia ujemnego salda, o którym mowa w ust. 2 nie przysługuje za ekwiwalent gazu, o którym mowa w art. 9 ust 1a pkt 3. </w:t>
      </w:r>
      <w:r w:rsidRPr="00F15A54">
        <w:rPr>
          <w:rFonts w:ascii="Times New Roman" w:eastAsia="Times New Roman" w:hAnsi="Times New Roman" w:cs="Times New Roman"/>
          <w:color w:val="000000" w:themeColor="text1"/>
          <w:sz w:val="24"/>
          <w:szCs w:val="24"/>
        </w:rPr>
        <w:t>Ekwiwalent gazu, o którym mowa w art. 9 ust. 1a pkt 3 nie jest uwzględniany przy obliczaniu mocy zainstalowanej instalacji odnawialnego źródła energii służącej do wytwarzania biometanu. Gaz, o którym mowa w art. 9 ust. 1a pkt 3 jest dodawany, a jego ilość opomiarowana, przez wytwórcę przed wprowadzeniem do sieci gazowej. Dodawanie gazu, o którym mowa w art. 9 ust</w:t>
      </w:r>
      <w:r w:rsidR="00A235AC">
        <w:rPr>
          <w:rFonts w:ascii="Times New Roman" w:eastAsia="Times New Roman" w:hAnsi="Times New Roman" w:cs="Times New Roman"/>
          <w:color w:val="000000" w:themeColor="text1"/>
          <w:sz w:val="24"/>
          <w:szCs w:val="24"/>
        </w:rPr>
        <w:t>.</w:t>
      </w:r>
      <w:r w:rsidRPr="00F15A54">
        <w:rPr>
          <w:rFonts w:ascii="Times New Roman" w:eastAsia="Times New Roman" w:hAnsi="Times New Roman" w:cs="Times New Roman"/>
          <w:color w:val="000000" w:themeColor="text1"/>
          <w:sz w:val="24"/>
          <w:szCs w:val="24"/>
        </w:rPr>
        <w:t xml:space="preserve"> 1a pkt 3, który jest dodawany wyłącznie w celu wypełnienia wymogów w zakresie ciepła spalania, określonych przez operatora sieci, do którego instalacja jest przyłączona, nie wymaga posiadania osobnej koncesji na obrót paliwami gazowymi.</w:t>
      </w:r>
    </w:p>
    <w:p w14:paraId="472A0466" w14:textId="77777777" w:rsidR="00CC386A" w:rsidRDefault="00CC386A" w:rsidP="00CC386A">
      <w:pPr>
        <w:spacing w:after="0" w:line="360" w:lineRule="auto"/>
        <w:ind w:left="720"/>
        <w:jc w:val="both"/>
        <w:rPr>
          <w:rFonts w:ascii="Times New Roman" w:eastAsia="Times New Roman" w:hAnsi="Times New Roman" w:cs="Times New Roman"/>
          <w:sz w:val="24"/>
          <w:szCs w:val="24"/>
        </w:rPr>
      </w:pPr>
    </w:p>
    <w:p w14:paraId="31F7A9B4" w14:textId="77777777" w:rsidR="00CC386A" w:rsidRDefault="00CC386A" w:rsidP="00CC386A">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art. 83m w ust. 3 pkt 4 otrzymuje brzmienie:</w:t>
      </w:r>
    </w:p>
    <w:p w14:paraId="05362068" w14:textId="77777777" w:rsidR="00CC386A" w:rsidRDefault="00CC386A" w:rsidP="00CC386A">
      <w:pPr>
        <w:spacing w:after="0" w:line="360" w:lineRule="auto"/>
        <w:ind w:left="36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miejsce przyłączenia do sieci gazowej instalacji odnawialnego źródła energii służącej do wytwarzania biometanu, określone w warunkach przyłączenia albo w umowie </w:t>
      </w:r>
      <w:r>
        <w:rPr>
          <w:rFonts w:ascii="Times New Roman" w:eastAsia="Times New Roman" w:hAnsi="Times New Roman" w:cs="Times New Roman"/>
          <w:sz w:val="24"/>
          <w:szCs w:val="24"/>
        </w:rPr>
        <w:lastRenderedPageBreak/>
        <w:t>o przyłączenie, oraz lokalizację i moc zainstalowaną tej instalacji przeliczoną na moc zainstalowaną elektryczną instalacji odnawialnego źródła energii, przyjmując sprawność elektryczną agregatu kogeneracyjnego na poziomie 41 %, z uwzględnieniem schematu miejsca dozowania gazu, o którym mowa w art. 9 ust 1a pkt 3;”</w:t>
      </w:r>
    </w:p>
    <w:p w14:paraId="0885EA3C" w14:textId="77777777" w:rsidR="00CC386A" w:rsidRDefault="00CC386A" w:rsidP="00CC386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1477B8F8" w14:textId="77777777" w:rsidR="00CC386A" w:rsidRDefault="00CC386A" w:rsidP="00CC386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2. </w:t>
      </w:r>
      <w:r>
        <w:rPr>
          <w:rFonts w:ascii="Times New Roman" w:eastAsia="Times New Roman" w:hAnsi="Times New Roman" w:cs="Times New Roman"/>
          <w:sz w:val="24"/>
          <w:szCs w:val="24"/>
        </w:rPr>
        <w:t>Dotychczasowe przepisy wykonawcze wydane na podstawie art. 62 ustawy zmienianej w art. 1 zachowują moc do dnia wejścia w życie przepisów wykonawczych wydanych na podstawie art. 62 ustawy zmienianej w art. 1 w brzmieniu nadanym niniejszą ustawą, jednak nie dłużej niż przez 3 miesiące od dnia wejścia w życie ustawy.</w:t>
      </w:r>
    </w:p>
    <w:p w14:paraId="4FFFCC46" w14:textId="77777777" w:rsidR="00CC386A" w:rsidRDefault="00CC386A" w:rsidP="00CC386A">
      <w:pPr>
        <w:spacing w:after="0" w:line="360" w:lineRule="auto"/>
        <w:jc w:val="both"/>
        <w:rPr>
          <w:rFonts w:ascii="Times New Roman" w:eastAsia="Times New Roman" w:hAnsi="Times New Roman" w:cs="Times New Roman"/>
          <w:sz w:val="24"/>
          <w:szCs w:val="24"/>
        </w:rPr>
      </w:pPr>
    </w:p>
    <w:p w14:paraId="234C6C87" w14:textId="77777777" w:rsidR="00CC386A" w:rsidRDefault="00CC386A" w:rsidP="00CC386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3.</w:t>
      </w:r>
      <w:r>
        <w:rPr>
          <w:rFonts w:ascii="Times New Roman" w:eastAsia="Times New Roman" w:hAnsi="Times New Roman" w:cs="Times New Roman"/>
          <w:sz w:val="24"/>
          <w:szCs w:val="24"/>
        </w:rPr>
        <w:t xml:space="preserve"> Ustawa wchodzi w życie po upływie 14 dni od dnia ogłoszenia. </w:t>
      </w:r>
    </w:p>
    <w:p w14:paraId="45EC3B61" w14:textId="77777777" w:rsidR="00CC386A" w:rsidRDefault="00CC386A" w:rsidP="00CC386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12AEC4E5" w14:textId="77777777" w:rsidR="00CC386A" w:rsidRDefault="00CC386A" w:rsidP="00CC386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5C431B3" w14:textId="77777777" w:rsidR="00CC386A" w:rsidRDefault="00CC386A" w:rsidP="00CC386A">
      <w:pPr>
        <w:spacing w:after="0" w:line="360" w:lineRule="auto"/>
        <w:jc w:val="both"/>
        <w:rPr>
          <w:rFonts w:ascii="Times New Roman" w:eastAsia="Times New Roman" w:hAnsi="Times New Roman" w:cs="Times New Roman"/>
          <w:sz w:val="24"/>
          <w:szCs w:val="24"/>
        </w:rPr>
      </w:pPr>
    </w:p>
    <w:p w14:paraId="62B375D2" w14:textId="77777777" w:rsidR="00CC386A" w:rsidRDefault="00CC386A" w:rsidP="00CC386A">
      <w:pPr>
        <w:spacing w:after="0" w:line="360" w:lineRule="auto"/>
        <w:jc w:val="both"/>
        <w:rPr>
          <w:rFonts w:ascii="Times New Roman" w:eastAsia="Times New Roman" w:hAnsi="Times New Roman" w:cs="Times New Roman"/>
          <w:sz w:val="24"/>
          <w:szCs w:val="24"/>
        </w:rPr>
      </w:pPr>
    </w:p>
    <w:p w14:paraId="19BBD24E" w14:textId="77777777" w:rsidR="00CC386A" w:rsidRDefault="00CC386A" w:rsidP="00CC386A">
      <w:pPr>
        <w:spacing w:after="0" w:line="360" w:lineRule="auto"/>
        <w:jc w:val="both"/>
        <w:rPr>
          <w:rFonts w:ascii="Times New Roman" w:eastAsia="Times New Roman" w:hAnsi="Times New Roman" w:cs="Times New Roman"/>
          <w:sz w:val="24"/>
          <w:szCs w:val="24"/>
        </w:rPr>
      </w:pPr>
    </w:p>
    <w:p w14:paraId="557FCC15" w14:textId="77777777" w:rsidR="00CC386A" w:rsidRDefault="00CC386A" w:rsidP="00CC386A">
      <w:pPr>
        <w:spacing w:after="0" w:line="360" w:lineRule="auto"/>
        <w:jc w:val="both"/>
        <w:rPr>
          <w:rFonts w:ascii="Times New Roman" w:eastAsia="Times New Roman" w:hAnsi="Times New Roman" w:cs="Times New Roman"/>
          <w:sz w:val="24"/>
          <w:szCs w:val="24"/>
        </w:rPr>
      </w:pPr>
    </w:p>
    <w:p w14:paraId="22C521FD" w14:textId="77777777" w:rsidR="00CC386A" w:rsidRDefault="00CC386A" w:rsidP="00CC386A">
      <w:pPr>
        <w:spacing w:after="0" w:line="360" w:lineRule="auto"/>
        <w:jc w:val="both"/>
        <w:rPr>
          <w:rFonts w:ascii="Times New Roman" w:eastAsia="Times New Roman" w:hAnsi="Times New Roman" w:cs="Times New Roman"/>
          <w:sz w:val="24"/>
          <w:szCs w:val="24"/>
        </w:rPr>
      </w:pPr>
    </w:p>
    <w:p w14:paraId="7FB5B103" w14:textId="77777777" w:rsidR="00CC386A" w:rsidRDefault="00CC386A" w:rsidP="00CC386A">
      <w:pPr>
        <w:spacing w:after="0" w:line="360" w:lineRule="auto"/>
        <w:jc w:val="both"/>
        <w:rPr>
          <w:rFonts w:ascii="Times New Roman" w:eastAsia="Times New Roman" w:hAnsi="Times New Roman" w:cs="Times New Roman"/>
          <w:sz w:val="24"/>
          <w:szCs w:val="24"/>
        </w:rPr>
      </w:pPr>
    </w:p>
    <w:p w14:paraId="7854B294" w14:textId="77777777" w:rsidR="00CC386A" w:rsidRDefault="00CC386A" w:rsidP="00CC386A">
      <w:pPr>
        <w:spacing w:after="0" w:line="360" w:lineRule="auto"/>
        <w:jc w:val="both"/>
        <w:rPr>
          <w:rFonts w:ascii="Times New Roman" w:eastAsia="Times New Roman" w:hAnsi="Times New Roman" w:cs="Times New Roman"/>
          <w:sz w:val="24"/>
          <w:szCs w:val="24"/>
        </w:rPr>
      </w:pPr>
    </w:p>
    <w:p w14:paraId="6453C695" w14:textId="77777777" w:rsidR="00CC386A" w:rsidRDefault="00CC386A" w:rsidP="00CC386A">
      <w:pPr>
        <w:spacing w:after="0" w:line="360" w:lineRule="auto"/>
        <w:jc w:val="both"/>
        <w:rPr>
          <w:rFonts w:ascii="Times New Roman" w:eastAsia="Times New Roman" w:hAnsi="Times New Roman" w:cs="Times New Roman"/>
          <w:sz w:val="24"/>
          <w:szCs w:val="24"/>
        </w:rPr>
      </w:pPr>
    </w:p>
    <w:p w14:paraId="7CF634D7" w14:textId="77777777" w:rsidR="00CC386A" w:rsidRDefault="00CC386A" w:rsidP="00CC386A">
      <w:pPr>
        <w:spacing w:after="0" w:line="360" w:lineRule="auto"/>
        <w:jc w:val="both"/>
        <w:rPr>
          <w:rFonts w:ascii="Times New Roman" w:eastAsia="Times New Roman" w:hAnsi="Times New Roman" w:cs="Times New Roman"/>
          <w:sz w:val="24"/>
          <w:szCs w:val="24"/>
        </w:rPr>
      </w:pPr>
    </w:p>
    <w:p w14:paraId="0C561FD5" w14:textId="77777777" w:rsidR="00CC386A" w:rsidRDefault="00CC386A" w:rsidP="00CC386A">
      <w:pPr>
        <w:spacing w:after="0" w:line="360" w:lineRule="auto"/>
        <w:jc w:val="both"/>
        <w:rPr>
          <w:rFonts w:ascii="Times New Roman" w:eastAsia="Times New Roman" w:hAnsi="Times New Roman" w:cs="Times New Roman"/>
          <w:sz w:val="24"/>
          <w:szCs w:val="24"/>
        </w:rPr>
      </w:pPr>
    </w:p>
    <w:p w14:paraId="5F0FEE4B" w14:textId="77777777" w:rsidR="00CC386A" w:rsidRDefault="00CC386A" w:rsidP="00CC386A">
      <w:pPr>
        <w:spacing w:after="0" w:line="360" w:lineRule="auto"/>
        <w:jc w:val="both"/>
        <w:rPr>
          <w:rFonts w:ascii="Times New Roman" w:eastAsia="Times New Roman" w:hAnsi="Times New Roman" w:cs="Times New Roman"/>
          <w:sz w:val="24"/>
          <w:szCs w:val="24"/>
        </w:rPr>
      </w:pPr>
    </w:p>
    <w:p w14:paraId="01358AC4" w14:textId="77777777" w:rsidR="00CC386A" w:rsidRDefault="00CC386A" w:rsidP="00CC386A">
      <w:pPr>
        <w:spacing w:after="0" w:line="360" w:lineRule="auto"/>
        <w:jc w:val="both"/>
        <w:rPr>
          <w:rFonts w:ascii="Times New Roman" w:eastAsia="Times New Roman" w:hAnsi="Times New Roman" w:cs="Times New Roman"/>
          <w:sz w:val="24"/>
          <w:szCs w:val="24"/>
        </w:rPr>
      </w:pPr>
    </w:p>
    <w:p w14:paraId="7E193AAB" w14:textId="77777777" w:rsidR="00CC386A" w:rsidRDefault="00CC386A" w:rsidP="00CC386A">
      <w:pPr>
        <w:spacing w:after="0" w:line="360" w:lineRule="auto"/>
        <w:jc w:val="both"/>
        <w:rPr>
          <w:rFonts w:ascii="Times New Roman" w:eastAsia="Times New Roman" w:hAnsi="Times New Roman" w:cs="Times New Roman"/>
          <w:sz w:val="24"/>
          <w:szCs w:val="24"/>
        </w:rPr>
      </w:pPr>
    </w:p>
    <w:p w14:paraId="28ECBE8A" w14:textId="77777777" w:rsidR="00CC386A" w:rsidRDefault="00CC386A" w:rsidP="00CC386A">
      <w:pPr>
        <w:spacing w:after="0" w:line="360" w:lineRule="auto"/>
        <w:jc w:val="both"/>
        <w:rPr>
          <w:rFonts w:ascii="Times New Roman" w:eastAsia="Times New Roman" w:hAnsi="Times New Roman" w:cs="Times New Roman"/>
          <w:sz w:val="24"/>
          <w:szCs w:val="24"/>
        </w:rPr>
      </w:pPr>
    </w:p>
    <w:p w14:paraId="1D568249" w14:textId="77777777" w:rsidR="00CC386A" w:rsidRDefault="00CC386A" w:rsidP="00CC386A">
      <w:pPr>
        <w:spacing w:after="0" w:line="360" w:lineRule="auto"/>
        <w:jc w:val="both"/>
        <w:rPr>
          <w:rFonts w:ascii="Times New Roman" w:eastAsia="Times New Roman" w:hAnsi="Times New Roman" w:cs="Times New Roman"/>
          <w:sz w:val="24"/>
          <w:szCs w:val="24"/>
        </w:rPr>
      </w:pPr>
    </w:p>
    <w:p w14:paraId="1AD0EF4E" w14:textId="77777777" w:rsidR="00CC386A" w:rsidRDefault="00CC386A" w:rsidP="00CC386A">
      <w:pPr>
        <w:spacing w:after="0" w:line="360" w:lineRule="auto"/>
        <w:jc w:val="both"/>
        <w:rPr>
          <w:rFonts w:ascii="Times New Roman" w:eastAsia="Times New Roman" w:hAnsi="Times New Roman" w:cs="Times New Roman"/>
          <w:sz w:val="24"/>
          <w:szCs w:val="24"/>
        </w:rPr>
      </w:pPr>
    </w:p>
    <w:p w14:paraId="5C79536F" w14:textId="77777777" w:rsidR="00CC386A" w:rsidRDefault="00CC386A" w:rsidP="00CC386A">
      <w:pPr>
        <w:spacing w:after="0" w:line="360" w:lineRule="auto"/>
        <w:jc w:val="both"/>
        <w:rPr>
          <w:rFonts w:ascii="Times New Roman" w:eastAsia="Times New Roman" w:hAnsi="Times New Roman" w:cs="Times New Roman"/>
          <w:sz w:val="24"/>
          <w:szCs w:val="24"/>
        </w:rPr>
      </w:pPr>
    </w:p>
    <w:p w14:paraId="3582A9D5" w14:textId="77777777" w:rsidR="00CC386A" w:rsidRDefault="00CC386A" w:rsidP="00CC386A">
      <w:pPr>
        <w:spacing w:after="0" w:line="360" w:lineRule="auto"/>
        <w:jc w:val="both"/>
        <w:rPr>
          <w:rFonts w:ascii="Times New Roman" w:eastAsia="Times New Roman" w:hAnsi="Times New Roman" w:cs="Times New Roman"/>
          <w:sz w:val="24"/>
          <w:szCs w:val="24"/>
        </w:rPr>
      </w:pPr>
    </w:p>
    <w:p w14:paraId="70BA286B" w14:textId="77777777" w:rsidR="00CC386A" w:rsidRDefault="00CC386A" w:rsidP="00CC386A">
      <w:pPr>
        <w:spacing w:after="0" w:line="360" w:lineRule="auto"/>
        <w:jc w:val="both"/>
        <w:rPr>
          <w:rFonts w:ascii="Times New Roman" w:eastAsia="Times New Roman" w:hAnsi="Times New Roman" w:cs="Times New Roman"/>
          <w:sz w:val="24"/>
          <w:szCs w:val="24"/>
        </w:rPr>
      </w:pPr>
    </w:p>
    <w:p w14:paraId="30AD7B1F" w14:textId="77777777" w:rsidR="00CC386A" w:rsidRDefault="00CC386A" w:rsidP="00CC386A">
      <w:pPr>
        <w:spacing w:after="0" w:line="360" w:lineRule="auto"/>
        <w:jc w:val="both"/>
        <w:rPr>
          <w:rFonts w:ascii="Times New Roman" w:eastAsia="Times New Roman" w:hAnsi="Times New Roman" w:cs="Times New Roman"/>
          <w:sz w:val="24"/>
          <w:szCs w:val="24"/>
        </w:rPr>
      </w:pPr>
    </w:p>
    <w:p w14:paraId="0A591D78" w14:textId="77777777" w:rsidR="00CC386A" w:rsidRDefault="00CC386A" w:rsidP="00CC386A">
      <w:pPr>
        <w:spacing w:after="0" w:line="360" w:lineRule="auto"/>
        <w:jc w:val="both"/>
        <w:rPr>
          <w:rFonts w:ascii="Times New Roman" w:eastAsia="Times New Roman" w:hAnsi="Times New Roman" w:cs="Times New Roman"/>
          <w:sz w:val="24"/>
          <w:szCs w:val="24"/>
        </w:rPr>
      </w:pPr>
    </w:p>
    <w:p w14:paraId="17CC49D5" w14:textId="77777777" w:rsidR="00CC386A" w:rsidRDefault="00CC386A" w:rsidP="00CC386A">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U Z A S A D N I E N I E</w:t>
      </w:r>
    </w:p>
    <w:p w14:paraId="13391D90" w14:textId="77777777" w:rsidR="00CC386A" w:rsidRDefault="00CC386A" w:rsidP="00CC386A">
      <w:pPr>
        <w:spacing w:after="0" w:line="360" w:lineRule="auto"/>
        <w:jc w:val="center"/>
        <w:rPr>
          <w:rFonts w:ascii="Times New Roman" w:eastAsia="Times New Roman" w:hAnsi="Times New Roman" w:cs="Times New Roman"/>
          <w:b/>
          <w:sz w:val="24"/>
          <w:szCs w:val="24"/>
          <w:u w:val="single"/>
        </w:rPr>
      </w:pPr>
    </w:p>
    <w:p w14:paraId="112FE519" w14:textId="77777777" w:rsidR="00CC386A" w:rsidRDefault="00CC386A" w:rsidP="00CC386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Polska dysponuje piątym co do wielkości potencjałem wytwarzania biometanu w Unii Europejskiej, może produkować do 8 mld 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tego gazu rocznie i znacząco ograniczyć import gazu ziemnego z zagranicy. Jednak dotychczas nie powstała w kraju ani jedna </w:t>
      </w:r>
      <w:proofErr w:type="spellStart"/>
      <w:r>
        <w:rPr>
          <w:rFonts w:ascii="Times New Roman" w:eastAsia="Times New Roman" w:hAnsi="Times New Roman" w:cs="Times New Roman"/>
          <w:sz w:val="24"/>
          <w:szCs w:val="24"/>
        </w:rPr>
        <w:t>biometanownia</w:t>
      </w:r>
      <w:proofErr w:type="spellEnd"/>
      <w:r>
        <w:rPr>
          <w:rFonts w:ascii="Times New Roman" w:eastAsia="Times New Roman" w:hAnsi="Times New Roman" w:cs="Times New Roman"/>
          <w:sz w:val="24"/>
          <w:szCs w:val="24"/>
        </w:rPr>
        <w:t>, a potencjał wykorzystywany jest w zaledwie 4% do produkcji energii elektrycznej i ciepła z biogazu, czyli mieszaniny biometanu i CO2.</w:t>
      </w:r>
    </w:p>
    <w:p w14:paraId="7574A401" w14:textId="63BD8DFE" w:rsidR="00CC386A" w:rsidRDefault="00CC386A" w:rsidP="00CC386A">
      <w:pPr>
        <w:spacing w:after="0" w:line="360" w:lineRule="auto"/>
        <w:ind w:firstLine="70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Biometan</w:t>
      </w:r>
      <w:proofErr w:type="spellEnd"/>
      <w:r>
        <w:rPr>
          <w:rFonts w:ascii="Times New Roman" w:eastAsia="Times New Roman" w:hAnsi="Times New Roman" w:cs="Times New Roman"/>
          <w:sz w:val="24"/>
          <w:szCs w:val="24"/>
        </w:rPr>
        <w:t xml:space="preserve"> jest wytwarzany z odpadów i pozostałości, które w innym przypadku podlegają biodegradacji, uwalniając do atmosfery metan, który poprzez wykorzystanie tych substratów do wytwarzania biometanu, służyłby do zwiększenia bezpieczeństwa energetycznego i klimatycznego kraju. Dodatkowo w procesie wytwarzania biometanu powstaje masa pofermentacyjna, która ma wysokie wartości odżywcze i może być wykorzystywana jako nawóz.</w:t>
      </w:r>
    </w:p>
    <w:p w14:paraId="16C4B5D9" w14:textId="77777777" w:rsidR="00CC386A" w:rsidRDefault="00CC386A" w:rsidP="00CC386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Wymiernym efektem wykorzystania odpadów i pozostałości dla ich producentów (rolnictwo i przetwórstwo spożywcze) oraz zastępowania nawozów sztucznych pofermentem, jest obniżenie śladu węglowego produkcji rolnej i przetwórczej. Wdrażanie restrykcyjnej polityki klimatycznej UE oznacza, że unijny rynek w kolejnych latach będzie dla polskich rolników oraz przetwórców żywności coraz bardziej wymagający. Dodatkowo, zmieniają się także preferencje żywieniowe mieszkańców UE, które są dla wytwórców i przetwórców sektora rolno-spożywczego istotne, ponieważ około 40%. produkowanej w Polsce żywności trafia na eksport, w większości do krajów UE.</w:t>
      </w:r>
    </w:p>
    <w:p w14:paraId="13810680" w14:textId="77777777" w:rsidR="00CC386A" w:rsidRDefault="00CC386A" w:rsidP="00CC386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Instalacje biometanowe przynoszą także korzyści dla samorządów lokalnych, przede wszystkim w postaci odprowadzania podatku od nieruchomości, w wysokości zazwyczaj ok. 2% wartości budowli. Przykładowo, dla niewielkiej instalacji biometanowej o mocy ekwiwalentnej 1 </w:t>
      </w:r>
      <w:proofErr w:type="spellStart"/>
      <w:r>
        <w:rPr>
          <w:rFonts w:ascii="Times New Roman" w:eastAsia="Times New Roman" w:hAnsi="Times New Roman" w:cs="Times New Roman"/>
          <w:sz w:val="24"/>
          <w:szCs w:val="24"/>
        </w:rPr>
        <w:t>MWel</w:t>
      </w:r>
      <w:proofErr w:type="spellEnd"/>
      <w:r>
        <w:rPr>
          <w:rFonts w:ascii="Times New Roman" w:eastAsia="Times New Roman" w:hAnsi="Times New Roman" w:cs="Times New Roman"/>
          <w:sz w:val="24"/>
          <w:szCs w:val="24"/>
        </w:rPr>
        <w:t>, wartość inwestycji wynosi około 40 mln zł, przychody gminne z tytułu podatku od nieruchomości należy szacować na poziomie ok. 280 tys. zł rocznie. Do tego dochodzi podatek gruntowy w wysokości około 30 tys. zł rocznie. Dodatkowymi korzyściami są 3-4 miejsca pracy na trwale związane ze społecznością lokalną oraz rozwój specjalistycznego przemysłu budowlanego (</w:t>
      </w:r>
      <w:proofErr w:type="spellStart"/>
      <w:r>
        <w:rPr>
          <w:rFonts w:ascii="Times New Roman" w:eastAsia="Times New Roman" w:hAnsi="Times New Roman" w:cs="Times New Roman"/>
          <w:sz w:val="24"/>
          <w:szCs w:val="24"/>
        </w:rPr>
        <w:t>biometanownie</w:t>
      </w:r>
      <w:proofErr w:type="spellEnd"/>
      <w:r>
        <w:rPr>
          <w:rFonts w:ascii="Times New Roman" w:eastAsia="Times New Roman" w:hAnsi="Times New Roman" w:cs="Times New Roman"/>
          <w:sz w:val="24"/>
          <w:szCs w:val="24"/>
        </w:rPr>
        <w:t xml:space="preserve"> budowane są w 80% w oparciu o produkt polski).</w:t>
      </w:r>
    </w:p>
    <w:p w14:paraId="57E3069C" w14:textId="77777777" w:rsidR="00CC386A" w:rsidRDefault="00CC386A" w:rsidP="00CC386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Jedną z kluczowych barier dla rozwoju sektora biometanu w Polsce jest charakterystyka sieci dystrybucyjnych. Ze względu na zróżnicowaną wartość ciepła spalania gazu w polskich sieciach gazowych, w wielu przypadkach konieczne jest dostosowanie jakości biometanu przed zatłaczaniem do sieci.</w:t>
      </w:r>
    </w:p>
    <w:p w14:paraId="3B816BA9" w14:textId="13AB90BA" w:rsidR="00CC386A" w:rsidRDefault="00CC386A" w:rsidP="00CC386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 większości przypadków chodzi o zwiększenie ciepła spalania, ponieważ w wielu regionach gaz w sieciach dystrybucyjnych ma ciepło spalania powyżej 40 MJ/m3 (średnie ciepło spalania paliw gazowych w sieciach gazowych wynosi około 41,5 MJ/m3), co jest wielkością nieosiągalną dla biometanu (wartość ciepła spalania czystego metanu wynosi 39 MJ/m3). Ponadto w niektórych województwach (województwo wielkopolskie, lubuskie, zachodniopomorskie) paliwa gazowe w sieci charakteryzują się dużą zawartością azotu </w:t>
      </w:r>
      <w:r w:rsidR="000168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 niższym ciepłem spalania. Dla takich sieci gazowych wymagane może być zubażanie biometanu poprzez dodanie innego gazu przed zatłoczeniem do sieci.</w:t>
      </w:r>
    </w:p>
    <w:p w14:paraId="6F0BF5D4" w14:textId="77777777" w:rsidR="00CC386A" w:rsidRDefault="00CC386A" w:rsidP="00CC386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Konieczne jest doprecyzowanie w ustawie o odnawialnych źródłach energii, że mieszanie biometanu z innymi gazami jest możliwe, z założeniem, że do obliczania ujemnego salda, paliwo dodatkowe nie jest uwzględniane. </w:t>
      </w:r>
    </w:p>
    <w:p w14:paraId="38E2B223" w14:textId="77777777" w:rsidR="00CC386A" w:rsidRDefault="00CC386A" w:rsidP="00CC386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większości krajów europejskich, problem wyższego ciepła spalania nie występuje, w niektórych, takich jak Czechy, gdzie jest podobna sytuacja jak w Polsce, uzgodniono obniżenie wymagania dla biometanu do wysokości 38 MJ/m3. Natomiast w Niemczech i w Wielkiej Brytanii, gdzie w sieciach także często jest różny poziom ciepła spalania, standardowo, przed zatłoczeniem do sieci, stosowane jest dodawanie propanu lub innego gazu do biometanu. </w:t>
      </w:r>
    </w:p>
    <w:p w14:paraId="6BD8C6BF" w14:textId="77777777" w:rsidR="00CC386A" w:rsidRDefault="00CC386A" w:rsidP="00CC386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Usankcjonowanie możliwości dodawania innego gazu do biometanu spowoduje także konieczność zmiany rozporządzenia Ministra Klimatu i Środowiska w sprawie wymagań dotyczących pomiarów, rejestracji i sposobu obliczania ilości biogazu, biogazu rolniczego i biometanu, wytworzonych w instalacjach odnawialnego źródła energii z odnawialnych źródeł energii i transportowanych środkami transportu innymi niż sieci gazowe.  W rozporządzeniu należy określić wymagania dla pomiaru pośredniego określające zasady rzetelnego wyliczenia udziału biometanu w produkowanym paliwie gazowym (</w:t>
      </w:r>
      <w:proofErr w:type="spellStart"/>
      <w:r>
        <w:rPr>
          <w:rFonts w:ascii="Times New Roman" w:eastAsia="Times New Roman" w:hAnsi="Times New Roman" w:cs="Times New Roman"/>
          <w:sz w:val="24"/>
          <w:szCs w:val="24"/>
        </w:rPr>
        <w:t>biometan</w:t>
      </w:r>
      <w:proofErr w:type="spellEnd"/>
      <w:r>
        <w:rPr>
          <w:rFonts w:ascii="Times New Roman" w:eastAsia="Times New Roman" w:hAnsi="Times New Roman" w:cs="Times New Roman"/>
          <w:sz w:val="24"/>
          <w:szCs w:val="24"/>
        </w:rPr>
        <w:t xml:space="preserve"> oraz gaz dodatkowy wzbogacający lub zubożający). </w:t>
      </w:r>
    </w:p>
    <w:p w14:paraId="764D8C03" w14:textId="77777777" w:rsidR="00CC386A" w:rsidRDefault="00CC386A" w:rsidP="00CC386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 ustawy nie pociąga za sobą negatywnych skutków finansowych dla budżetu państwa, nie tylko nie generuje kosztów dla budżetów jednostek samorządu terytorialnego, ale dla budżetów jednostek samorządu terytorialnego generuje dodatkowe dochody.</w:t>
      </w:r>
    </w:p>
    <w:p w14:paraId="18014E3F" w14:textId="77777777" w:rsidR="00CC386A" w:rsidRDefault="00CC386A" w:rsidP="00CC386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 ustawy może mieć wpływ na operatorów dystrybucyjnych gazu oraz spółki obrotu gazem z uwagi na brak regulacji dotyczących sposobu obrotu i pokrywania kosztów obrotu i dystrybucji paliwa dodatkowego.  Projekt wywołuje pozytywne skutki gospodarcze i ma wpływ na </w:t>
      </w:r>
      <w:proofErr w:type="spellStart"/>
      <w:r>
        <w:rPr>
          <w:rFonts w:ascii="Times New Roman" w:eastAsia="Times New Roman" w:hAnsi="Times New Roman" w:cs="Times New Roman"/>
          <w:sz w:val="24"/>
          <w:szCs w:val="24"/>
        </w:rPr>
        <w:t>mikroprzedsiębiorców</w:t>
      </w:r>
      <w:proofErr w:type="spellEnd"/>
      <w:r>
        <w:rPr>
          <w:rFonts w:ascii="Times New Roman" w:eastAsia="Times New Roman" w:hAnsi="Times New Roman" w:cs="Times New Roman"/>
          <w:sz w:val="24"/>
          <w:szCs w:val="24"/>
        </w:rPr>
        <w:t>, małych i średnich przedsiębiorców z uwagi na rozwój nowego sektora gospodarczego w Polsce oraz zwiększenie bezpieczeństwa energetycznego poprzez produkcję biometanu, który zastępuje importowany gaz ziemny.</w:t>
      </w:r>
    </w:p>
    <w:p w14:paraId="3164438B" w14:textId="4B0F9A33" w:rsidR="00B209EC" w:rsidRPr="00CC386A" w:rsidRDefault="00CC386A" w:rsidP="00CC386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Projekt ustawy nie jest sprzeczny z prawem Unii Europejskiej. </w:t>
      </w:r>
    </w:p>
    <w:sectPr w:rsidR="00B209EC" w:rsidRPr="00CC386A" w:rsidSect="00CC386A">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7D0577"/>
    <w:multiLevelType w:val="multilevel"/>
    <w:tmpl w:val="B9267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60821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86A"/>
    <w:rsid w:val="000168FA"/>
    <w:rsid w:val="001829A3"/>
    <w:rsid w:val="002223AE"/>
    <w:rsid w:val="00250A5B"/>
    <w:rsid w:val="003D0536"/>
    <w:rsid w:val="0068356B"/>
    <w:rsid w:val="00837C6B"/>
    <w:rsid w:val="008B7481"/>
    <w:rsid w:val="0098608B"/>
    <w:rsid w:val="00A235AC"/>
    <w:rsid w:val="00B209EC"/>
    <w:rsid w:val="00BF15AA"/>
    <w:rsid w:val="00CC386A"/>
    <w:rsid w:val="00D11A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76EB2"/>
  <w15:chartTrackingRefBased/>
  <w15:docId w15:val="{45081287-2233-9144-B496-59B0FF64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386A"/>
    <w:pPr>
      <w:spacing w:after="160" w:line="259" w:lineRule="auto"/>
    </w:pPr>
    <w:rPr>
      <w:rFonts w:ascii="Aptos" w:eastAsia="Aptos" w:hAnsi="Aptos" w:cs="Aptos"/>
      <w:kern w:val="0"/>
      <w:sz w:val="22"/>
      <w:szCs w:val="22"/>
      <w:lang w:eastAsia="pl-PL"/>
      <w14:ligatures w14:val="none"/>
    </w:rPr>
  </w:style>
  <w:style w:type="paragraph" w:styleId="Nagwek1">
    <w:name w:val="heading 1"/>
    <w:basedOn w:val="Normalny"/>
    <w:next w:val="Normalny"/>
    <w:link w:val="Nagwek1Znak"/>
    <w:uiPriority w:val="9"/>
    <w:qFormat/>
    <w:rsid w:val="00CC38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C38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C386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C386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C386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C386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C386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C386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C386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86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C386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C386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C386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C386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C386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C386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C386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C386A"/>
    <w:rPr>
      <w:rFonts w:eastAsiaTheme="majorEastAsia" w:cstheme="majorBidi"/>
      <w:color w:val="272727" w:themeColor="text1" w:themeTint="D8"/>
    </w:rPr>
  </w:style>
  <w:style w:type="paragraph" w:styleId="Tytu">
    <w:name w:val="Title"/>
    <w:basedOn w:val="Normalny"/>
    <w:next w:val="Normalny"/>
    <w:link w:val="TytuZnak"/>
    <w:uiPriority w:val="10"/>
    <w:qFormat/>
    <w:rsid w:val="00CC386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C386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C386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C386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C386A"/>
    <w:pPr>
      <w:spacing w:before="160"/>
      <w:jc w:val="center"/>
    </w:pPr>
    <w:rPr>
      <w:i/>
      <w:iCs/>
      <w:color w:val="404040" w:themeColor="text1" w:themeTint="BF"/>
    </w:rPr>
  </w:style>
  <w:style w:type="character" w:customStyle="1" w:styleId="CytatZnak">
    <w:name w:val="Cytat Znak"/>
    <w:basedOn w:val="Domylnaczcionkaakapitu"/>
    <w:link w:val="Cytat"/>
    <w:uiPriority w:val="29"/>
    <w:rsid w:val="00CC386A"/>
    <w:rPr>
      <w:i/>
      <w:iCs/>
      <w:color w:val="404040" w:themeColor="text1" w:themeTint="BF"/>
    </w:rPr>
  </w:style>
  <w:style w:type="paragraph" w:styleId="Akapitzlist">
    <w:name w:val="List Paragraph"/>
    <w:basedOn w:val="Normalny"/>
    <w:uiPriority w:val="34"/>
    <w:qFormat/>
    <w:rsid w:val="00CC386A"/>
    <w:pPr>
      <w:ind w:left="720"/>
      <w:contextualSpacing/>
    </w:pPr>
  </w:style>
  <w:style w:type="character" w:styleId="Wyrnienieintensywne">
    <w:name w:val="Intense Emphasis"/>
    <w:basedOn w:val="Domylnaczcionkaakapitu"/>
    <w:uiPriority w:val="21"/>
    <w:qFormat/>
    <w:rsid w:val="00CC386A"/>
    <w:rPr>
      <w:i/>
      <w:iCs/>
      <w:color w:val="2F5496" w:themeColor="accent1" w:themeShade="BF"/>
    </w:rPr>
  </w:style>
  <w:style w:type="paragraph" w:styleId="Cytatintensywny">
    <w:name w:val="Intense Quote"/>
    <w:basedOn w:val="Normalny"/>
    <w:next w:val="Normalny"/>
    <w:link w:val="CytatintensywnyZnak"/>
    <w:uiPriority w:val="30"/>
    <w:qFormat/>
    <w:rsid w:val="00CC38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C386A"/>
    <w:rPr>
      <w:i/>
      <w:iCs/>
      <w:color w:val="2F5496" w:themeColor="accent1" w:themeShade="BF"/>
    </w:rPr>
  </w:style>
  <w:style w:type="character" w:styleId="Odwoanieintensywne">
    <w:name w:val="Intense Reference"/>
    <w:basedOn w:val="Domylnaczcionkaakapitu"/>
    <w:uiPriority w:val="32"/>
    <w:qFormat/>
    <w:rsid w:val="00CC38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1115</Words>
  <Characters>6691</Characters>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2024-12-21T08:54:00Z</dcterms:created>
  <dcterms:modified xsi:type="dcterms:W3CDTF">2024-12-23T08:29:00Z</dcterms:modified>
</cp:coreProperties>
</file>