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66AC" w:rsidRPr="00293818" w:rsidRDefault="007E26CA" w:rsidP="00293818">
      <w:pPr>
        <w:spacing w:after="240" w:line="360" w:lineRule="auto"/>
        <w:jc w:val="center"/>
        <w:rPr>
          <w:rFonts w:ascii="Times New Roman" w:hAnsi="Times New Roman" w:cs="Times New Roman"/>
          <w:sz w:val="24"/>
          <w:szCs w:val="24"/>
        </w:rPr>
      </w:pPr>
      <w:bookmarkStart w:id="0" w:name="_GoBack"/>
      <w:bookmarkEnd w:id="0"/>
      <w:r w:rsidRPr="00293818">
        <w:rPr>
          <w:rFonts w:ascii="Times New Roman" w:hAnsi="Times New Roman" w:cs="Times New Roman"/>
          <w:sz w:val="24"/>
          <w:szCs w:val="24"/>
        </w:rPr>
        <w:t>UZASADNIENIE</w:t>
      </w:r>
    </w:p>
    <w:p w:rsidR="00293818" w:rsidRPr="00293818" w:rsidRDefault="00293818" w:rsidP="00293818">
      <w:pPr>
        <w:numPr>
          <w:ilvl w:val="0"/>
          <w:numId w:val="33"/>
        </w:numPr>
        <w:spacing w:before="120" w:after="120" w:line="360" w:lineRule="auto"/>
        <w:contextualSpacing/>
        <w:jc w:val="both"/>
        <w:rPr>
          <w:rFonts w:ascii="Times New Roman" w:hAnsi="Times New Roman" w:cs="Times New Roman"/>
          <w:b/>
          <w:sz w:val="24"/>
          <w:szCs w:val="24"/>
        </w:rPr>
      </w:pPr>
      <w:r w:rsidRPr="00293818">
        <w:rPr>
          <w:rFonts w:ascii="Times New Roman" w:hAnsi="Times New Roman" w:cs="Times New Roman"/>
          <w:b/>
          <w:sz w:val="24"/>
          <w:szCs w:val="24"/>
        </w:rPr>
        <w:t>Wyjaśnienie potrzeby i celu związania Rzeczypospolite</w:t>
      </w:r>
      <w:r>
        <w:rPr>
          <w:rFonts w:ascii="Times New Roman" w:hAnsi="Times New Roman" w:cs="Times New Roman"/>
          <w:b/>
          <w:sz w:val="24"/>
          <w:szCs w:val="24"/>
        </w:rPr>
        <w:t>j Polskiej umową międzynarodową</w:t>
      </w:r>
    </w:p>
    <w:p w:rsidR="00293818" w:rsidRPr="00293818" w:rsidRDefault="00293818" w:rsidP="00293818">
      <w:pPr>
        <w:spacing w:before="120" w:after="120" w:line="360" w:lineRule="auto"/>
        <w:jc w:val="both"/>
        <w:rPr>
          <w:rFonts w:ascii="Times New Roman" w:hAnsi="Times New Roman" w:cs="Times New Roman"/>
          <w:sz w:val="24"/>
          <w:szCs w:val="24"/>
        </w:rPr>
      </w:pPr>
      <w:r w:rsidRPr="0019205D">
        <w:rPr>
          <w:rFonts w:ascii="Times New Roman" w:hAnsi="Times New Roman" w:cs="Times New Roman"/>
          <w:b/>
          <w:sz w:val="24"/>
          <w:szCs w:val="24"/>
        </w:rPr>
        <w:t>Europejskie porozumienie o głównych śródlądowych drogach wodnych o znaczeniu międzynarodowym</w:t>
      </w:r>
      <w:r w:rsidRPr="00293818">
        <w:rPr>
          <w:rFonts w:ascii="Times New Roman" w:hAnsi="Times New Roman" w:cs="Times New Roman"/>
          <w:sz w:val="24"/>
          <w:szCs w:val="24"/>
        </w:rPr>
        <w:t xml:space="preserve"> (AGN) zostało sporządzone w Genewie w dniu 19 stycznia 1996 r. pod auspicjami Europejskiej Komisji Gospodarczej Organizacji Narodów Zjednoczonych. </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Intencją Porozumienia jest rozwijanie międzynarodowego transportu na śródlądowych drogach wodnych w Europie, który w porównaniu z innymi środkami transportu lądowego charakteryzuje się niskimi kosztami i posiada szereg zalet prośrodowiskowych, przyczyniając się do obniżenia niekorzystnego wpływu na środowisko spowodowanego przez sektor transportowy.</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W szczególności celem AGN jest ustanowienie ram prawnych koniecznych do ustalenia skoordynowanego planu rozwoju i budowy sieci śródlądowych dróg wodnych o znaczeniu międzynarodowym na podstawie uzgodnionych parametrów dotyczących infrastruktury.</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Sieć ujęta w Porozumieniu AGN podzielona jest na dziewięć głównych wodnych ciągów transportowych o długości ponad 27 tys. km, które łączą porty ponad 37 krajów europejskich.</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Na terytorium Polski, w ramach europejskiego systemu śródlądowych dróg wodnych o</w:t>
      </w:r>
      <w:r>
        <w:rPr>
          <w:rFonts w:ascii="Times New Roman" w:hAnsi="Times New Roman" w:cs="Times New Roman"/>
          <w:sz w:val="24"/>
          <w:szCs w:val="24"/>
        </w:rPr>
        <w:t> </w:t>
      </w:r>
      <w:r w:rsidRPr="00293818">
        <w:rPr>
          <w:rFonts w:ascii="Times New Roman" w:hAnsi="Times New Roman" w:cs="Times New Roman"/>
          <w:sz w:val="24"/>
          <w:szCs w:val="24"/>
        </w:rPr>
        <w:t>znaczeniu międzynarodowym, znajdują się odcinki trzech głównych szlaków wodnych, tj.:</w:t>
      </w:r>
    </w:p>
    <w:p w:rsidR="00293818" w:rsidRPr="00293818" w:rsidRDefault="00293818" w:rsidP="00293818">
      <w:pPr>
        <w:numPr>
          <w:ilvl w:val="0"/>
          <w:numId w:val="34"/>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Droga wodna E30 – przebiegająca Odrzańską Drogą Wodną, łączącą Morze Bałtyckie w Świn</w:t>
      </w:r>
      <w:r w:rsidR="0010696D">
        <w:rPr>
          <w:rFonts w:ascii="Times New Roman" w:hAnsi="Times New Roman" w:cs="Times New Roman"/>
          <w:sz w:val="24"/>
          <w:szCs w:val="24"/>
        </w:rPr>
        <w:t>oujściu z Dunajem w Bratysławie,</w:t>
      </w:r>
    </w:p>
    <w:p w:rsidR="00293818" w:rsidRPr="00293818" w:rsidRDefault="00293818" w:rsidP="00293818">
      <w:pPr>
        <w:numPr>
          <w:ilvl w:val="0"/>
          <w:numId w:val="34"/>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Droga wodna E40 – łącząca Morze Bałtyckie od Gdańska z Morzem Czarnym w O</w:t>
      </w:r>
      <w:r w:rsidR="0010696D">
        <w:rPr>
          <w:rFonts w:ascii="Times New Roman" w:hAnsi="Times New Roman" w:cs="Times New Roman"/>
          <w:sz w:val="24"/>
          <w:szCs w:val="24"/>
        </w:rPr>
        <w:t>dessie,</w:t>
      </w:r>
    </w:p>
    <w:p w:rsidR="00293818" w:rsidRPr="00293818" w:rsidRDefault="00293818" w:rsidP="00293818">
      <w:pPr>
        <w:numPr>
          <w:ilvl w:val="0"/>
          <w:numId w:val="34"/>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Droga Wodna E70 – łącząca Odrę z Zalewem Wiślanym i stanowiąca część europejskiego szlaku komunikacyjnego wschód-zachód łączącego Kłajpedę z Rotterdamem.</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Porozumienie wskazuje również dwanaście portów śródlądowych o międzynarodowym znaczeniu zlokalizowanych w dziesięciu miastach:</w:t>
      </w:r>
    </w:p>
    <w:p w:rsidR="00293818" w:rsidRPr="00293818" w:rsidRDefault="00293818" w:rsidP="00293818">
      <w:pPr>
        <w:numPr>
          <w:ilvl w:val="0"/>
          <w:numId w:val="37"/>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Świnoujście,</w:t>
      </w:r>
    </w:p>
    <w:p w:rsidR="00293818" w:rsidRPr="00293818" w:rsidRDefault="00293818" w:rsidP="00293818">
      <w:pPr>
        <w:numPr>
          <w:ilvl w:val="0"/>
          <w:numId w:val="37"/>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Szczecin,</w:t>
      </w:r>
    </w:p>
    <w:p w:rsidR="00293818" w:rsidRPr="00293818" w:rsidRDefault="00293818" w:rsidP="00293818">
      <w:pPr>
        <w:numPr>
          <w:ilvl w:val="0"/>
          <w:numId w:val="37"/>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Kostrzyn,</w:t>
      </w:r>
    </w:p>
    <w:p w:rsidR="00293818" w:rsidRPr="00293818" w:rsidRDefault="00293818" w:rsidP="00293818">
      <w:pPr>
        <w:numPr>
          <w:ilvl w:val="0"/>
          <w:numId w:val="37"/>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Wrocław,</w:t>
      </w:r>
    </w:p>
    <w:p w:rsidR="00293818" w:rsidRPr="00293818" w:rsidRDefault="00293818" w:rsidP="00293818">
      <w:pPr>
        <w:numPr>
          <w:ilvl w:val="0"/>
          <w:numId w:val="37"/>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lastRenderedPageBreak/>
        <w:t>Koźle,</w:t>
      </w:r>
    </w:p>
    <w:p w:rsidR="00293818" w:rsidRPr="00293818" w:rsidRDefault="00293818" w:rsidP="00293818">
      <w:pPr>
        <w:numPr>
          <w:ilvl w:val="0"/>
          <w:numId w:val="37"/>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Gliwice,</w:t>
      </w:r>
    </w:p>
    <w:p w:rsidR="00293818" w:rsidRPr="00293818" w:rsidRDefault="00293818" w:rsidP="00293818">
      <w:pPr>
        <w:numPr>
          <w:ilvl w:val="0"/>
          <w:numId w:val="37"/>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Gdańsk,</w:t>
      </w:r>
    </w:p>
    <w:p w:rsidR="00293818" w:rsidRPr="00293818" w:rsidRDefault="00293818" w:rsidP="00293818">
      <w:pPr>
        <w:numPr>
          <w:ilvl w:val="0"/>
          <w:numId w:val="37"/>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Bydgoszcz,</w:t>
      </w:r>
    </w:p>
    <w:p w:rsidR="00293818" w:rsidRPr="00293818" w:rsidRDefault="00293818" w:rsidP="00293818">
      <w:pPr>
        <w:numPr>
          <w:ilvl w:val="0"/>
          <w:numId w:val="37"/>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Warszawa,</w:t>
      </w:r>
    </w:p>
    <w:p w:rsidR="00293818" w:rsidRPr="00293818" w:rsidRDefault="00293818" w:rsidP="00293818">
      <w:pPr>
        <w:numPr>
          <w:ilvl w:val="0"/>
          <w:numId w:val="37"/>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Elbląg.</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Wykaz śródlądowych dróg wodnych określony</w:t>
      </w:r>
      <w:r>
        <w:rPr>
          <w:rFonts w:ascii="Times New Roman" w:hAnsi="Times New Roman" w:cs="Times New Roman"/>
          <w:sz w:val="24"/>
          <w:szCs w:val="24"/>
        </w:rPr>
        <w:t>ch w Porozumieniu jest spójny z </w:t>
      </w:r>
      <w:r w:rsidRPr="00293818">
        <w:rPr>
          <w:rFonts w:ascii="Times New Roman" w:hAnsi="Times New Roman" w:cs="Times New Roman"/>
          <w:sz w:val="24"/>
          <w:szCs w:val="24"/>
        </w:rPr>
        <w:t xml:space="preserve">postanowieniami zawartymi w przyjętych uchwałą </w:t>
      </w:r>
      <w:r w:rsidR="0010696D">
        <w:rPr>
          <w:rFonts w:ascii="Times New Roman" w:hAnsi="Times New Roman" w:cs="Times New Roman"/>
          <w:sz w:val="24"/>
          <w:szCs w:val="24"/>
        </w:rPr>
        <w:t xml:space="preserve">nr 79 </w:t>
      </w:r>
      <w:r w:rsidRPr="00293818">
        <w:rPr>
          <w:rFonts w:ascii="Times New Roman" w:hAnsi="Times New Roman" w:cs="Times New Roman"/>
          <w:sz w:val="24"/>
          <w:szCs w:val="24"/>
        </w:rPr>
        <w:t>Rady Ministrów z dnia</w:t>
      </w:r>
      <w:r>
        <w:rPr>
          <w:rFonts w:ascii="Times New Roman" w:hAnsi="Times New Roman" w:cs="Times New Roman"/>
          <w:sz w:val="24"/>
          <w:szCs w:val="24"/>
        </w:rPr>
        <w:t xml:space="preserve"> 14 czerwca 2016 </w:t>
      </w:r>
      <w:r w:rsidRPr="00293818">
        <w:rPr>
          <w:rFonts w:ascii="Times New Roman" w:hAnsi="Times New Roman" w:cs="Times New Roman"/>
          <w:sz w:val="24"/>
          <w:szCs w:val="24"/>
        </w:rPr>
        <w:t xml:space="preserve">r. „Założeniach do planów rozwoju śródlądowych dróg wodnych w Polsce na lata </w:t>
      </w:r>
      <w:r>
        <w:rPr>
          <w:rFonts w:ascii="Times New Roman" w:hAnsi="Times New Roman" w:cs="Times New Roman"/>
          <w:sz w:val="24"/>
          <w:szCs w:val="24"/>
        </w:rPr>
        <w:br/>
      </w:r>
      <w:r w:rsidRPr="00293818">
        <w:rPr>
          <w:rFonts w:ascii="Times New Roman" w:hAnsi="Times New Roman" w:cs="Times New Roman"/>
          <w:sz w:val="24"/>
          <w:szCs w:val="24"/>
        </w:rPr>
        <w:t>2016</w:t>
      </w:r>
      <w:r>
        <w:rPr>
          <w:rFonts w:ascii="Times New Roman" w:hAnsi="Times New Roman" w:cs="Times New Roman"/>
          <w:sz w:val="24"/>
          <w:szCs w:val="24"/>
        </w:rPr>
        <w:t>–</w:t>
      </w:r>
      <w:r w:rsidRPr="00293818">
        <w:rPr>
          <w:rFonts w:ascii="Times New Roman" w:hAnsi="Times New Roman" w:cs="Times New Roman"/>
          <w:sz w:val="24"/>
          <w:szCs w:val="24"/>
        </w:rPr>
        <w:t xml:space="preserve">2020 z perspektywą do roku 2030”. </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 xml:space="preserve">Aktualnie wymienione w AGN drogi wodne na terenie Polski, z wyjątkiem krótkich odcinków na dolnej Odrze i dolnej Wiśle, nie spełniają minimalnych międzynarodowych warunków żeglowności określonych przez Porozumienie. Jednakże w myśl art. 2 Porozumienia zaliczenie ich do dróg wodnych międzynarodowego znaczenia jest możliwe przy wskazaniu jako przesłanki faktu, że działanie to jest uzasadnione koniecznością włączenia wybranych polskich dróg wodnych do europejskiej sieci dróg wodnych. </w:t>
      </w:r>
    </w:p>
    <w:p w:rsidR="00293818" w:rsidRPr="00293818" w:rsidRDefault="00293818" w:rsidP="00293818">
      <w:pPr>
        <w:spacing w:before="120" w:after="120" w:line="360" w:lineRule="auto"/>
        <w:jc w:val="both"/>
        <w:rPr>
          <w:rFonts w:ascii="Times New Roman" w:hAnsi="Times New Roman" w:cs="Times New Roman"/>
          <w:b/>
          <w:sz w:val="24"/>
          <w:szCs w:val="24"/>
        </w:rPr>
      </w:pPr>
      <w:r w:rsidRPr="00293818">
        <w:rPr>
          <w:rFonts w:ascii="Times New Roman" w:hAnsi="Times New Roman" w:cs="Times New Roman"/>
          <w:b/>
          <w:sz w:val="24"/>
          <w:szCs w:val="24"/>
        </w:rPr>
        <w:t>Polska jako członek Porozumienia zobowiązuje się do zapewnienia na objętych Porozumieniem drogach wodnych warunków nawigacyjnych spełniających kryteria właściwe dla śródlądowych dróg wodnych o znaczeniu międzynarodowym, tzw. klasy „E” odpowiadającej co najmniej IV klasie żeglowności. Termin realizacji tego zobowiązania nie jest określony.</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 xml:space="preserve">Należy zaznaczyć, że wskazane w załączniku III śródlądowe drogi wodne z wyjątkiem połączenia Wisła-Bug (odcinek E40), po uzyskaniu przez nie standardu określonego przez AGN, mogą i powinny stać się docelowo elementami sieci bazowej transeuropejskiej sieci transportowej TEN-T. Obecnie poza 97,3 kilometrowym fragmentem w dolnym odcinku Odry polskie śródlądowe drogi wodne nie są elementem europejskiej sieci transportowej TEN-T. Przed kolejną rewizją sieci TEN-T w 2023 r. Polska powinna mieć gotowe i przyjęte programy przebudowy dróg wodnych, wskazanych do wpisania do sieci. </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Przystąpienie Polski do Porozumienia AGN będzie zatem krokiem w kierunku realizacji postanowień Białej Księgi – Planu utworzenia jednolitego europejskiego obszaru transportu – dążenie do osiągnięcia konkurencyjnego i zasobooszczędnego systemu transportu (czyli strategii Unii Europejskiej dotyczącej rozwoju transportu), zgodnie z którą:</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lastRenderedPageBreak/>
        <w:t>do 2030 r. 30% drogowego transportu towarów na odległościach większych niż 300</w:t>
      </w:r>
      <w:r>
        <w:rPr>
          <w:rFonts w:ascii="Times New Roman" w:hAnsi="Times New Roman" w:cs="Times New Roman"/>
          <w:sz w:val="24"/>
          <w:szCs w:val="24"/>
        </w:rPr>
        <w:t> </w:t>
      </w:r>
      <w:r w:rsidRPr="00293818">
        <w:rPr>
          <w:rFonts w:ascii="Times New Roman" w:hAnsi="Times New Roman" w:cs="Times New Roman"/>
          <w:sz w:val="24"/>
          <w:szCs w:val="24"/>
        </w:rPr>
        <w:t xml:space="preserve">km należy przenieść na inne środki transportu, np. transport wodny lub kolej, zaś do 2050 r. powinno to być ponad 50% tego typu transportu, </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do 2030 r. stworzona będzie w pełni funkcjonalna ogólnounijna multimodalna sieć bazowa TEN-T (transeuropejskiej sieci transportowej), zaś do 2050 r. nastąpi osiągnięcie wysokiej jakości i przepustowości tej sieci, jak również stworzenie odpowiednich usług informacyjnych.</w:t>
      </w:r>
    </w:p>
    <w:p w:rsidR="00293818" w:rsidRPr="00293818" w:rsidRDefault="00293818" w:rsidP="00293818">
      <w:pPr>
        <w:spacing w:before="120" w:after="120" w:line="360" w:lineRule="auto"/>
        <w:jc w:val="both"/>
        <w:rPr>
          <w:rFonts w:ascii="Times New Roman" w:eastAsia="Times New Roman" w:hAnsi="Times New Roman" w:cs="Times New Roman"/>
          <w:noProof/>
          <w:sz w:val="24"/>
          <w:szCs w:val="24"/>
          <w:lang w:eastAsia="pl-PL"/>
        </w:rPr>
      </w:pPr>
      <w:r w:rsidRPr="00293818">
        <w:rPr>
          <w:rFonts w:ascii="Times New Roman" w:eastAsia="Times New Roman" w:hAnsi="Times New Roman" w:cs="Times New Roman"/>
          <w:noProof/>
          <w:sz w:val="24"/>
          <w:szCs w:val="24"/>
          <w:lang w:eastAsia="pl-PL"/>
        </w:rPr>
        <w:t xml:space="preserve">Realizacja postanowień Konwecji AGN pozwoli Polsce także w pełniejszy sposób wdrażać unijny Program NAIADES II, który skupia się na wprowadzaniu długofalowych zmian strukturalnych w sektorze śródlądowego transportu wodnego w celu umożliwienia mu pełnego włączenia się w strategię „Europa 2020”. </w:t>
      </w:r>
    </w:p>
    <w:p w:rsidR="00293818" w:rsidRPr="00293818" w:rsidRDefault="00293818" w:rsidP="00293818">
      <w:pPr>
        <w:spacing w:before="120" w:after="120" w:line="360" w:lineRule="auto"/>
        <w:jc w:val="both"/>
        <w:rPr>
          <w:rFonts w:ascii="Times New Roman" w:hAnsi="Times New Roman" w:cs="Times New Roman"/>
          <w:b/>
          <w:sz w:val="24"/>
          <w:szCs w:val="24"/>
        </w:rPr>
      </w:pPr>
      <w:r w:rsidRPr="00293818">
        <w:rPr>
          <w:rFonts w:ascii="Times New Roman" w:eastAsia="Times New Roman" w:hAnsi="Times New Roman" w:cs="Times New Roman"/>
          <w:noProof/>
          <w:sz w:val="24"/>
          <w:szCs w:val="24"/>
          <w:lang w:eastAsia="pl-PL"/>
        </w:rPr>
        <w:t>Celem programu NAIADES II jest stworzenie odpowiednich warunków dla śródlądowego transportu wodnego, by stał się on środkiem transportu wysokiej jakości: dobrze zarządzanym, wydajnym, bezpiecznym, zintegrowanym w łańcuch transportu intermodalnego, z wysokiej jakości miejscami pracy zajmowanymi przez wykwalifikowanych pracowników oraz spełniającym wysokie standardy w zakresie ochrony środowiska.</w:t>
      </w:r>
    </w:p>
    <w:p w:rsidR="00293818" w:rsidRPr="00293818" w:rsidRDefault="00293818" w:rsidP="00293818">
      <w:pPr>
        <w:numPr>
          <w:ilvl w:val="0"/>
          <w:numId w:val="33"/>
        </w:numPr>
        <w:spacing w:before="120" w:after="120" w:line="360" w:lineRule="auto"/>
        <w:contextualSpacing/>
        <w:jc w:val="both"/>
        <w:rPr>
          <w:rFonts w:ascii="Times New Roman" w:hAnsi="Times New Roman" w:cs="Times New Roman"/>
          <w:b/>
          <w:sz w:val="24"/>
          <w:szCs w:val="24"/>
        </w:rPr>
      </w:pPr>
      <w:r w:rsidRPr="00293818">
        <w:rPr>
          <w:rFonts w:ascii="Times New Roman" w:hAnsi="Times New Roman" w:cs="Times New Roman"/>
          <w:b/>
          <w:sz w:val="24"/>
          <w:szCs w:val="24"/>
        </w:rPr>
        <w:t>Wskazanie różnic między dotychczasowym</w:t>
      </w:r>
      <w:r>
        <w:rPr>
          <w:rFonts w:ascii="Times New Roman" w:hAnsi="Times New Roman" w:cs="Times New Roman"/>
          <w:b/>
          <w:sz w:val="24"/>
          <w:szCs w:val="24"/>
        </w:rPr>
        <w:t xml:space="preserve"> i projektowanym stanem prawnym</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Polska poprzez rozporządzenie Rady Ministrów z dnia 7 maja 2002 r. w sprawie klasyfikacji śródlądowych dróg wodnych (Dz.</w:t>
      </w:r>
      <w:r w:rsidR="0010696D">
        <w:rPr>
          <w:rFonts w:ascii="Times New Roman" w:hAnsi="Times New Roman" w:cs="Times New Roman"/>
          <w:sz w:val="24"/>
          <w:szCs w:val="24"/>
        </w:rPr>
        <w:t xml:space="preserve"> </w:t>
      </w:r>
      <w:r w:rsidRPr="00293818">
        <w:rPr>
          <w:rFonts w:ascii="Times New Roman" w:hAnsi="Times New Roman" w:cs="Times New Roman"/>
          <w:sz w:val="24"/>
          <w:szCs w:val="24"/>
        </w:rPr>
        <w:t>U. poz. 695) zaadaptowała do porządku prawnego i stosuje nomenklaturę (klasyfikację) dróg wodnych z AGN. Pomimo tego zauważalne są różnice w dotychczasowym stanie prawnym pomiędzy wskazanym rozporządzeniem i</w:t>
      </w:r>
      <w:r>
        <w:rPr>
          <w:rFonts w:ascii="Times New Roman" w:hAnsi="Times New Roman" w:cs="Times New Roman"/>
          <w:sz w:val="24"/>
          <w:szCs w:val="24"/>
        </w:rPr>
        <w:t> </w:t>
      </w:r>
      <w:r w:rsidRPr="00293818">
        <w:rPr>
          <w:rFonts w:ascii="Times New Roman" w:hAnsi="Times New Roman" w:cs="Times New Roman"/>
          <w:sz w:val="24"/>
          <w:szCs w:val="24"/>
        </w:rPr>
        <w:t>Porozumieniem AGN, w którym występuje większa liczba k</w:t>
      </w:r>
      <w:r w:rsidR="0010696D">
        <w:rPr>
          <w:rFonts w:ascii="Times New Roman" w:hAnsi="Times New Roman" w:cs="Times New Roman"/>
          <w:sz w:val="24"/>
          <w:szCs w:val="24"/>
        </w:rPr>
        <w:t>las dróg wodnych: VIa, VIb, VIc</w:t>
      </w:r>
      <w:r w:rsidRPr="00293818">
        <w:rPr>
          <w:rFonts w:ascii="Times New Roman" w:hAnsi="Times New Roman" w:cs="Times New Roman"/>
          <w:sz w:val="24"/>
          <w:szCs w:val="24"/>
        </w:rPr>
        <w:t xml:space="preserve"> i VII. Poza tym w </w:t>
      </w:r>
      <w:r w:rsidR="006D2118">
        <w:rPr>
          <w:rFonts w:ascii="Times New Roman" w:hAnsi="Times New Roman" w:cs="Times New Roman"/>
          <w:sz w:val="24"/>
          <w:szCs w:val="24"/>
        </w:rPr>
        <w:t>E</w:t>
      </w:r>
      <w:r w:rsidRPr="00293818">
        <w:rPr>
          <w:rFonts w:ascii="Times New Roman" w:hAnsi="Times New Roman" w:cs="Times New Roman"/>
          <w:sz w:val="24"/>
          <w:szCs w:val="24"/>
        </w:rPr>
        <w:t>uropejskim porozumieniu o głównych śródlądowych drogach wodnych o znaczeniu międzynarodowym nie podzielon</w:t>
      </w:r>
      <w:r>
        <w:rPr>
          <w:rFonts w:ascii="Times New Roman" w:hAnsi="Times New Roman" w:cs="Times New Roman"/>
          <w:sz w:val="24"/>
          <w:szCs w:val="24"/>
        </w:rPr>
        <w:t>o klasy I na Ia i Ib, tak jak w </w:t>
      </w:r>
      <w:r w:rsidRPr="00293818">
        <w:rPr>
          <w:rFonts w:ascii="Times New Roman" w:hAnsi="Times New Roman" w:cs="Times New Roman"/>
          <w:sz w:val="24"/>
          <w:szCs w:val="24"/>
        </w:rPr>
        <w:t xml:space="preserve">przypadku polskiego prawodawstwa. Różnica pomiędzy wyżej wymienionym rozporządzeniem i Porozumieniem AGN jest również widoczna w przypadku niektórych parametrów eksploatacyjnych, dotyczy to między innymi minimalnego prześwitu pod mostami ponad WWŻ („wysoka woda żeglowna”), gdyż na polskich śródlądowych drogach wodnych nie przewiduje się ruchu statków transportujących 4 warstwy kontenerów. Ujednolicenie ww. różnic jest planowane w perspektywie długoterminowej w toku realizacji postanowień </w:t>
      </w:r>
      <w:r w:rsidRPr="0010696D">
        <w:rPr>
          <w:rFonts w:ascii="Times New Roman" w:hAnsi="Times New Roman" w:cs="Times New Roman"/>
          <w:sz w:val="24"/>
          <w:szCs w:val="24"/>
        </w:rPr>
        <w:t xml:space="preserve">Porozumienia </w:t>
      </w:r>
      <w:r w:rsidRPr="00293818">
        <w:rPr>
          <w:rFonts w:ascii="Times New Roman" w:hAnsi="Times New Roman" w:cs="Times New Roman"/>
          <w:sz w:val="24"/>
          <w:szCs w:val="24"/>
        </w:rPr>
        <w:t>związanych z rozwojem śródlądowych dróg wodnych w Polsce.</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lastRenderedPageBreak/>
        <w:t>Europejskie porozumienie o głównych śródlądowych drogach wodnych o znaczeniu międzynarodowym zawiera 18 artykułów oraz 3 załączniki, w których określone zostały główne warunki oraz zakres rzeczowy Porozumienia.</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Artykuł 1 dotyczy określenia sieci składającej się z dróg wodnych śródlądowych i portów międzynarodowego znaczenia, wskazanych w załącznikach I i II Porozumienia.</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Do technicznych i operacyjnych parametrów sieci odnosi się art. 2, który określa, że sieć śródlądowych dróg wodnych międzynarodowego znaczenia spełnia parametry podane w</w:t>
      </w:r>
      <w:r>
        <w:rPr>
          <w:rFonts w:ascii="Times New Roman" w:hAnsi="Times New Roman" w:cs="Times New Roman"/>
          <w:sz w:val="24"/>
          <w:szCs w:val="24"/>
        </w:rPr>
        <w:t> </w:t>
      </w:r>
      <w:r w:rsidRPr="00293818">
        <w:rPr>
          <w:rFonts w:ascii="Times New Roman" w:hAnsi="Times New Roman" w:cs="Times New Roman"/>
          <w:sz w:val="24"/>
          <w:szCs w:val="24"/>
        </w:rPr>
        <w:t>załączniku III do Porozumienia lub zostan</w:t>
      </w:r>
      <w:r w:rsidR="0010696D">
        <w:rPr>
          <w:rFonts w:ascii="Times New Roman" w:hAnsi="Times New Roman" w:cs="Times New Roman"/>
          <w:sz w:val="24"/>
          <w:szCs w:val="24"/>
        </w:rPr>
        <w:t>ie przystosowana do zgodności z </w:t>
      </w:r>
      <w:r w:rsidRPr="00293818">
        <w:rPr>
          <w:rFonts w:ascii="Times New Roman" w:hAnsi="Times New Roman" w:cs="Times New Roman"/>
          <w:sz w:val="24"/>
          <w:szCs w:val="24"/>
        </w:rPr>
        <w:t>postanowieniami tego załącznika w wyniku przyszłych prac modernizacyjnych.</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Zgodnie z art. 3 integralną część Porozumienia stanowią załączniki:</w:t>
      </w:r>
    </w:p>
    <w:p w:rsidR="00293818" w:rsidRPr="00293818" w:rsidRDefault="00293818" w:rsidP="00293818">
      <w:pPr>
        <w:numPr>
          <w:ilvl w:val="0"/>
          <w:numId w:val="35"/>
        </w:numPr>
        <w:spacing w:before="120" w:after="120" w:line="360" w:lineRule="auto"/>
        <w:ind w:left="567" w:hanging="567"/>
        <w:contextualSpacing/>
        <w:jc w:val="both"/>
        <w:rPr>
          <w:rFonts w:ascii="Times New Roman" w:hAnsi="Times New Roman" w:cs="Times New Roman"/>
          <w:sz w:val="24"/>
          <w:szCs w:val="24"/>
        </w:rPr>
      </w:pPr>
      <w:r w:rsidRPr="00293818">
        <w:rPr>
          <w:rFonts w:ascii="Times New Roman" w:hAnsi="Times New Roman" w:cs="Times New Roman"/>
          <w:sz w:val="24"/>
          <w:szCs w:val="24"/>
        </w:rPr>
        <w:t>Drogi wodne śródlądowe o znaczeniu międzynarodowym</w:t>
      </w:r>
      <w:r w:rsidRPr="00293818">
        <w:rPr>
          <w:rFonts w:ascii="Times New Roman" w:hAnsi="Times New Roman" w:cs="Times New Roman"/>
          <w:b/>
          <w:sz w:val="24"/>
          <w:szCs w:val="24"/>
        </w:rPr>
        <w:t xml:space="preserve"> </w:t>
      </w:r>
      <w:r w:rsidRPr="00293818">
        <w:rPr>
          <w:rFonts w:ascii="Times New Roman" w:hAnsi="Times New Roman" w:cs="Times New Roman"/>
          <w:sz w:val="24"/>
          <w:szCs w:val="24"/>
        </w:rPr>
        <w:t>– zawierający wykaz śródlądowych dróg wodnych o znaczeniu międzynarodowym;</w:t>
      </w:r>
    </w:p>
    <w:p w:rsidR="00293818" w:rsidRPr="00293818" w:rsidRDefault="00293818" w:rsidP="00293818">
      <w:pPr>
        <w:numPr>
          <w:ilvl w:val="0"/>
          <w:numId w:val="35"/>
        </w:numPr>
        <w:spacing w:before="120" w:after="120" w:line="360" w:lineRule="auto"/>
        <w:ind w:left="567" w:hanging="567"/>
        <w:contextualSpacing/>
        <w:jc w:val="both"/>
        <w:rPr>
          <w:rFonts w:ascii="Times New Roman" w:hAnsi="Times New Roman" w:cs="Times New Roman"/>
          <w:sz w:val="24"/>
          <w:szCs w:val="24"/>
        </w:rPr>
      </w:pPr>
      <w:r w:rsidRPr="00293818">
        <w:rPr>
          <w:rFonts w:ascii="Times New Roman" w:hAnsi="Times New Roman" w:cs="Times New Roman"/>
          <w:sz w:val="24"/>
          <w:szCs w:val="24"/>
        </w:rPr>
        <w:t>Porty żeglugi śródlądowej o znaczeniu międzynarodowym – zawierający wykaz portów żeglugi śródlądowej o znaczeniu międzynarodowym;</w:t>
      </w:r>
    </w:p>
    <w:p w:rsidR="00293818" w:rsidRPr="00293818" w:rsidRDefault="00293818" w:rsidP="00293818">
      <w:pPr>
        <w:numPr>
          <w:ilvl w:val="0"/>
          <w:numId w:val="35"/>
        </w:numPr>
        <w:spacing w:before="120" w:after="120" w:line="360" w:lineRule="auto"/>
        <w:ind w:left="567" w:hanging="567"/>
        <w:contextualSpacing/>
        <w:jc w:val="both"/>
        <w:rPr>
          <w:rFonts w:ascii="Times New Roman" w:hAnsi="Times New Roman" w:cs="Times New Roman"/>
          <w:sz w:val="24"/>
          <w:szCs w:val="24"/>
        </w:rPr>
      </w:pPr>
      <w:r w:rsidRPr="00293818">
        <w:rPr>
          <w:rFonts w:ascii="Times New Roman" w:hAnsi="Times New Roman" w:cs="Times New Roman"/>
          <w:sz w:val="24"/>
          <w:szCs w:val="24"/>
        </w:rPr>
        <w:t>Parametry techniczne i eksploatacyjne dróg wodnych śródlądowych o znaczeniu międzynarodowym – określający parametry techniczne i kryteria operacyjne dróg wodnych kat. E (międzynarodowych, spełniających kryteria co najmniej IV klasy żeglowności) oraz parametry techniczne i operacyjne portów śródlądowych kat. E.</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Depozytariuszem Porozumienia zgodnie z art. 4 jest Sekretarz Generalny Organizacji Narodów Zjednoczonych.</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Zasady dotyczące podpisania, ratyfikacji, przyjęcia lub zatwierdzenia Porozumienia regulują art. 5</w:t>
      </w:r>
      <w:r>
        <w:rPr>
          <w:rFonts w:ascii="Times New Roman" w:hAnsi="Times New Roman" w:cs="Times New Roman"/>
          <w:sz w:val="24"/>
          <w:szCs w:val="24"/>
        </w:rPr>
        <w:t>–</w:t>
      </w:r>
      <w:r w:rsidRPr="00293818">
        <w:rPr>
          <w:rFonts w:ascii="Times New Roman" w:hAnsi="Times New Roman" w:cs="Times New Roman"/>
          <w:sz w:val="24"/>
          <w:szCs w:val="24"/>
        </w:rPr>
        <w:t>6. Państwo, które nie podpisało Porozumienia do 30 września 1997 r.</w:t>
      </w:r>
      <w:r w:rsidR="0010696D">
        <w:rPr>
          <w:rFonts w:ascii="Times New Roman" w:hAnsi="Times New Roman" w:cs="Times New Roman"/>
          <w:sz w:val="24"/>
          <w:szCs w:val="24"/>
        </w:rPr>
        <w:t>,</w:t>
      </w:r>
      <w:r w:rsidRPr="00293818">
        <w:rPr>
          <w:rFonts w:ascii="Times New Roman" w:hAnsi="Times New Roman" w:cs="Times New Roman"/>
          <w:sz w:val="24"/>
          <w:szCs w:val="24"/>
        </w:rPr>
        <w:t xml:space="preserve"> może na podstawie art. 7 przystąpić do Porozumienia tylko w drodze przystąpienia poprzez złożenie odpowiedniego dokumentu Sekretarzowi Generalnemu ONZ.</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 xml:space="preserve">Artykuł 8 reguluje wejście w życie przepisów Porozumienia, ze wskazaniem, iż jego przepisy w przypadku przystąpienia na podstawie ust. 2 wchodzą w życie po 90 dniach od dnia złożenia dokumentu akcesji. </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 xml:space="preserve">Zasady rozstrzygania sporów pomiędzy stronami Porozumienia określone w art. 10 wprowadzają instytucję arbitrażu, mającą zastosowanie w przypadku żądania jednej ze stron uczestniczących w sporze. </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lastRenderedPageBreak/>
        <w:t xml:space="preserve">W przypadku </w:t>
      </w:r>
      <w:r w:rsidRPr="00293818">
        <w:rPr>
          <w:rFonts w:ascii="Times New Roman" w:hAnsi="Times New Roman" w:cs="Times New Roman"/>
          <w:spacing w:val="4"/>
          <w:sz w:val="24"/>
          <w:szCs w:val="24"/>
        </w:rPr>
        <w:t xml:space="preserve">treści art. 11 </w:t>
      </w:r>
      <w:r w:rsidRPr="0010696D">
        <w:rPr>
          <w:rFonts w:ascii="Times New Roman" w:hAnsi="Times New Roman" w:cs="Times New Roman"/>
          <w:spacing w:val="4"/>
          <w:sz w:val="24"/>
          <w:szCs w:val="24"/>
        </w:rPr>
        <w:t>Porozumienia</w:t>
      </w:r>
      <w:r w:rsidRPr="00293818">
        <w:rPr>
          <w:rFonts w:ascii="Times New Roman" w:hAnsi="Times New Roman" w:cs="Times New Roman"/>
          <w:i/>
          <w:spacing w:val="4"/>
          <w:sz w:val="24"/>
          <w:szCs w:val="24"/>
        </w:rPr>
        <w:t xml:space="preserve"> </w:t>
      </w:r>
      <w:r w:rsidRPr="00293818">
        <w:rPr>
          <w:rFonts w:ascii="Times New Roman" w:hAnsi="Times New Roman" w:cs="Times New Roman"/>
          <w:spacing w:val="4"/>
          <w:sz w:val="24"/>
          <w:szCs w:val="24"/>
        </w:rPr>
        <w:t xml:space="preserve">dotyczącego wyłączenia państwa przystępującego do </w:t>
      </w:r>
      <w:r w:rsidRPr="0010696D">
        <w:rPr>
          <w:rFonts w:ascii="Times New Roman" w:hAnsi="Times New Roman" w:cs="Times New Roman"/>
          <w:spacing w:val="4"/>
          <w:sz w:val="24"/>
          <w:szCs w:val="24"/>
        </w:rPr>
        <w:t xml:space="preserve">Porozumienia </w:t>
      </w:r>
      <w:r w:rsidRPr="00293818">
        <w:rPr>
          <w:rFonts w:ascii="Times New Roman" w:hAnsi="Times New Roman" w:cs="Times New Roman"/>
          <w:spacing w:val="4"/>
          <w:sz w:val="24"/>
          <w:szCs w:val="24"/>
        </w:rPr>
        <w:t>z arbitrażowej procedury rozstrzygania sporów, nie jest planowane podczas prowadzonego procesu ratyfikacyjnego Porozumienia, skorzystanie z powyższej możliwości wy</w:t>
      </w:r>
      <w:r w:rsidR="0010696D">
        <w:rPr>
          <w:rFonts w:ascii="Times New Roman" w:hAnsi="Times New Roman" w:cs="Times New Roman"/>
          <w:spacing w:val="4"/>
          <w:sz w:val="24"/>
          <w:szCs w:val="24"/>
        </w:rPr>
        <w:t>łączenia z procedury arbitrażu.</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Tryb, sposób i zasady przyjmowania poprawek do Porozumienia i załączników I</w:t>
      </w:r>
      <w:r w:rsidR="0010696D">
        <w:rPr>
          <w:rFonts w:ascii="Times New Roman" w:hAnsi="Times New Roman" w:cs="Times New Roman"/>
          <w:sz w:val="24"/>
          <w:szCs w:val="24"/>
        </w:rPr>
        <w:t>–</w:t>
      </w:r>
      <w:r w:rsidRPr="00293818">
        <w:rPr>
          <w:rFonts w:ascii="Times New Roman" w:hAnsi="Times New Roman" w:cs="Times New Roman"/>
          <w:sz w:val="24"/>
          <w:szCs w:val="24"/>
        </w:rPr>
        <w:t>III regulują natomiast artykuły od 12 do 14.</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 xml:space="preserve">Wypowiedzenie Porozumienia następuje w drodze pisemnego powiadomienia skierowanego do Sekretarza Generalnego ONZ i wchodzi w życie po upływie roku od daty otrzymania przez Sekretarza powiadomienia. </w:t>
      </w:r>
    </w:p>
    <w:p w:rsidR="00293818" w:rsidRPr="00293818" w:rsidRDefault="00293818" w:rsidP="00293818">
      <w:pPr>
        <w:numPr>
          <w:ilvl w:val="0"/>
          <w:numId w:val="33"/>
        </w:numPr>
        <w:spacing w:before="120" w:after="120" w:line="360" w:lineRule="auto"/>
        <w:contextualSpacing/>
        <w:jc w:val="both"/>
        <w:rPr>
          <w:rFonts w:ascii="Times New Roman" w:hAnsi="Times New Roman" w:cs="Times New Roman"/>
          <w:b/>
          <w:sz w:val="24"/>
          <w:szCs w:val="24"/>
        </w:rPr>
      </w:pPr>
      <w:r w:rsidRPr="00293818">
        <w:rPr>
          <w:rFonts w:ascii="Times New Roman" w:hAnsi="Times New Roman" w:cs="Times New Roman"/>
          <w:b/>
          <w:sz w:val="24"/>
          <w:szCs w:val="24"/>
        </w:rPr>
        <w:t xml:space="preserve">Wskazanie przewidywanych skutków społecznych, gospodarczych, finansowych, politycznych i prawnych, związanych z wejściem w życie umowy międzynarodowej, wraz z </w:t>
      </w:r>
      <w:r>
        <w:rPr>
          <w:rFonts w:ascii="Times New Roman" w:hAnsi="Times New Roman" w:cs="Times New Roman"/>
          <w:b/>
          <w:sz w:val="24"/>
          <w:szCs w:val="24"/>
        </w:rPr>
        <w:t>określeniem źródeł finansowania</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Ogólny bilans rozwoju infrastruktury wykorzystywanej do żeglugi śródlądowej będzie w</w:t>
      </w:r>
      <w:r>
        <w:rPr>
          <w:rFonts w:ascii="Times New Roman" w:hAnsi="Times New Roman" w:cs="Times New Roman"/>
          <w:sz w:val="24"/>
          <w:szCs w:val="24"/>
        </w:rPr>
        <w:t> </w:t>
      </w:r>
      <w:r w:rsidRPr="00293818">
        <w:rPr>
          <w:rFonts w:ascii="Times New Roman" w:hAnsi="Times New Roman" w:cs="Times New Roman"/>
          <w:sz w:val="24"/>
          <w:szCs w:val="24"/>
        </w:rPr>
        <w:t xml:space="preserve">średnim i długim okresie korzystny zarówno pod względem gospodarczym i finansowym, jak również pod względem społecznym, środowiskowym oraz politycznym. Gospodarcze skutki przyjęcia Porozumienia dzielą się na kilka kategorii. W wymiarze strategicznym dla gospodarki Polski, głównym beneficjentem rozwoju transportu śródlądowego będą dynamicznie rozwijające się najważniejsze porty morskie, dla których będzie on – oprócz transportu kołowego i szynowego – integralną gałęzią transportu zapewniającą efektywne połączenie z zapleczem. </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Najważniejszym skutkiem podażowym przy realizacji zamierzeń inwestycyjnych będzie rozwój infrastruktury śródlądowych dróg wodnych oraz przyległych portów. Bardzo istotne dla gospodarki będą skutki popytowe: rozwojowi infrastruktury będzie towarzyszył coraz większy popyt na usługi transportowe w sektorze transportu śródlądowego, multi oraz intermodalnego oraz powiązane z nimi inne usługi związane z logistyką. Jednocześnie inwestycje w infrastrukturę wykorzystywaną przez żeglugę śródlądową przyczynią się do wzrostu produkcji środków transportu oraz wystąpienia znaczących efektów mnożnikowych z</w:t>
      </w:r>
      <w:r>
        <w:rPr>
          <w:rFonts w:ascii="Times New Roman" w:hAnsi="Times New Roman" w:cs="Times New Roman"/>
          <w:sz w:val="24"/>
          <w:szCs w:val="24"/>
        </w:rPr>
        <w:t> </w:t>
      </w:r>
      <w:r w:rsidRPr="00293818">
        <w:rPr>
          <w:rFonts w:ascii="Times New Roman" w:hAnsi="Times New Roman" w:cs="Times New Roman"/>
          <w:sz w:val="24"/>
          <w:szCs w:val="24"/>
        </w:rPr>
        <w:t xml:space="preserve">rozwoju turystyki i rekreacji, które będą źródłem dochodów budżetu państwa i budżetów samorządów. </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 xml:space="preserve">W okresie realizacji inwestycji konieczne będzie poniesienie znacznych nakładów finansowych na przebudowę istniejącej lub budowę nowej infrastruktury do standardów międzynarodowej drogi wodnej, czyli co najmniej IV klasy żeglowności. Nakłady </w:t>
      </w:r>
      <w:r w:rsidRPr="00293818">
        <w:rPr>
          <w:rFonts w:ascii="Times New Roman" w:hAnsi="Times New Roman" w:cs="Times New Roman"/>
          <w:sz w:val="24"/>
          <w:szCs w:val="24"/>
        </w:rPr>
        <w:lastRenderedPageBreak/>
        <w:t>inwestycyjne na śródlądowe drogi wodne, stanowiące warunek rozwoju żeglugi śródlądowej, rozłożą się na wiele lat i będą wymagały relatywnie niewielkich rocznych nakładów inwestycyjnych</w:t>
      </w:r>
      <w:r w:rsidR="0010696D">
        <w:rPr>
          <w:rFonts w:ascii="Times New Roman" w:hAnsi="Times New Roman" w:cs="Times New Roman"/>
          <w:sz w:val="24"/>
          <w:szCs w:val="24"/>
        </w:rPr>
        <w:t>,</w:t>
      </w:r>
      <w:r w:rsidRPr="00293818">
        <w:rPr>
          <w:rFonts w:ascii="Times New Roman" w:hAnsi="Times New Roman" w:cs="Times New Roman"/>
          <w:sz w:val="24"/>
          <w:szCs w:val="24"/>
        </w:rPr>
        <w:t xml:space="preserve"> co sprawia, że w obecnej trudnej sytuacji budżetowej ich realizacja jest realna. Kompleksowe i szczegółowe dane finansowe odnośnie planowanych inwestycji będą dostępne po przeprowadzeniu studiów wykonalności dla poszczególnych odcinków dróg wodnych, o których mowa w „Założenia</w:t>
      </w:r>
      <w:r w:rsidR="0010696D">
        <w:rPr>
          <w:rFonts w:ascii="Times New Roman" w:hAnsi="Times New Roman" w:cs="Times New Roman"/>
          <w:sz w:val="24"/>
          <w:szCs w:val="24"/>
        </w:rPr>
        <w:t>ch</w:t>
      </w:r>
      <w:r w:rsidRPr="00293818">
        <w:rPr>
          <w:rFonts w:ascii="Times New Roman" w:hAnsi="Times New Roman" w:cs="Times New Roman"/>
          <w:sz w:val="24"/>
          <w:szCs w:val="24"/>
        </w:rPr>
        <w:t xml:space="preserve"> do planów rozwoju śródlądowych dróg wodnych w Polsce na lata 2016</w:t>
      </w:r>
      <w:r w:rsidR="0010696D">
        <w:rPr>
          <w:rFonts w:ascii="Times New Roman" w:hAnsi="Times New Roman" w:cs="Times New Roman"/>
          <w:sz w:val="24"/>
          <w:szCs w:val="24"/>
        </w:rPr>
        <w:t>–</w:t>
      </w:r>
      <w:r w:rsidRPr="00293818">
        <w:rPr>
          <w:rFonts w:ascii="Times New Roman" w:hAnsi="Times New Roman" w:cs="Times New Roman"/>
          <w:sz w:val="24"/>
          <w:szCs w:val="24"/>
        </w:rPr>
        <w:t xml:space="preserve">2020 z perspektywą do roku 2030”. Jednocześnie szacunkowe koszty planowanych inwestycji przedstawiają się następująco: </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ok. 30,7 mld zł na modernizację Odrzańskiej Drogi Wodnej (E-30) wraz z budową polskiego odcinka połączenia Dunaj-Odra-Łaba oraz Kanałem Śląskim,</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 xml:space="preserve">ok. 31,5 mld zł na kaskadyzację Dolnej Wisły, </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 xml:space="preserve">od ok. 8,1 do ok. 25,5 mld zł na budowę połączenia Wisła-Brześć (w zależności od wariantu). </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 xml:space="preserve">Należy jednak wyraźnie podkreślić, że przystąpienie do AGN nie determinuje horyzontu czasowego na dostosowanie międzynarodowych dróg wodnych na terenie Polski do standardu określonego w Porozumieniu. </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W związku z powyższym należy zauważyć, że przystąpienie do Porozumienia nie będzie stanowiło automatycznej akceptacji wydatków w ww. wielkości, bowiem wszelkie działania w tym zakresie możliwe są dopiero po przedstawieniu szczegółowego montażu finansowego inwestycji, wskazania faktycznych źródeł finansowania oraz powinny uwzględniać nie tylko korzyści środowiskowe, turystyczne czy infrastrukturalne, ale także istotne kwestie finansowe.</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 xml:space="preserve">Przy oszacowywaniu finansowych skutków przyjęcia AGN istotny jest fakt, że infrastruktura zapewniająca dogodne warunki żeglugi śródlądowej jest wielofunkcyjna. Nieodzowne dla tworzenia dobrych warunków nawigacyjnych budowle piętrzące (takie jak np. stopnie wodne) pełnią kluczową rolę w ochronie przeciwpowodziowej, umożliwiając retencję wody na potrzeby ludności, rolnictwa oraz przemysłu. Stopnie wodne są także przeprawami drogowymi między brzegami rzek, a zbiorniki powstające w wyniku piętrzenia wód pełnią również funkcje rekreacyjne i turystyczne. Rola transportowa jest więc jedną ze składowych budowanej na rzece wielofunkcyjnej infrastruktury. </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Realizacja wszystkich elementów programu rozwoju śródlądowych dróg wodnych w</w:t>
      </w:r>
      <w:r>
        <w:rPr>
          <w:rFonts w:ascii="Times New Roman" w:hAnsi="Times New Roman" w:cs="Times New Roman"/>
          <w:sz w:val="24"/>
          <w:szCs w:val="24"/>
        </w:rPr>
        <w:t> </w:t>
      </w:r>
      <w:r w:rsidRPr="00293818">
        <w:rPr>
          <w:rFonts w:ascii="Times New Roman" w:hAnsi="Times New Roman" w:cs="Times New Roman"/>
          <w:sz w:val="24"/>
          <w:szCs w:val="24"/>
        </w:rPr>
        <w:t xml:space="preserve">standardzie międzynarodowym wymagać będzie montażu finansowego. Wśród podmiotów </w:t>
      </w:r>
      <w:r w:rsidRPr="00293818">
        <w:rPr>
          <w:rFonts w:ascii="Times New Roman" w:hAnsi="Times New Roman" w:cs="Times New Roman"/>
          <w:sz w:val="24"/>
          <w:szCs w:val="24"/>
        </w:rPr>
        <w:lastRenderedPageBreak/>
        <w:t xml:space="preserve">mogących finansowo zaangażować się w tego typu inwestycje należy wskazać przede wszystkim producentów energii. Dla przykładu koszt zapewnienia funkcji energetycznej (wybudowania elektrowni wodnej) na stopniu wodnym – najważniejszym elemencie infrastruktury dróg wodnych – szacuje się aktualnie na ok. 30% całkowitych kosztów stopnia wodnego i powiązanej z nim infrastruktury. Dla porównania: szacuje się, że koszt zapewnienia funkcji transportowej na stopniu wodnym </w:t>
      </w:r>
      <w:r>
        <w:rPr>
          <w:rFonts w:ascii="Times New Roman" w:hAnsi="Times New Roman" w:cs="Times New Roman"/>
          <w:sz w:val="24"/>
          <w:szCs w:val="24"/>
        </w:rPr>
        <w:t>(wybudowanie śluzy) stanowi ok. </w:t>
      </w:r>
      <w:r w:rsidRPr="00293818">
        <w:rPr>
          <w:rFonts w:ascii="Times New Roman" w:hAnsi="Times New Roman" w:cs="Times New Roman"/>
          <w:sz w:val="24"/>
          <w:szCs w:val="24"/>
        </w:rPr>
        <w:t xml:space="preserve">10%. Zainteresowane zaangażowaniem się w inwestycje umożliwiające </w:t>
      </w:r>
      <w:r>
        <w:rPr>
          <w:rFonts w:ascii="Times New Roman" w:hAnsi="Times New Roman" w:cs="Times New Roman"/>
          <w:sz w:val="24"/>
          <w:szCs w:val="24"/>
        </w:rPr>
        <w:br/>
      </w:r>
      <w:r w:rsidRPr="00293818">
        <w:rPr>
          <w:rFonts w:ascii="Times New Roman" w:hAnsi="Times New Roman" w:cs="Times New Roman"/>
          <w:sz w:val="24"/>
          <w:szCs w:val="24"/>
        </w:rPr>
        <w:t>społeczno-gospodarczy rozwój dzięki wykorzystaniu potencjału dróg wodnych są również samorządy terytorialne na poziomie lokalnym i regionalnym.</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 xml:space="preserve">W związku z powyższym zakłada się, że źródłem finansowania inwestycji na drogach wodnych będą m.in. środki pochodzące z: </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budżetu Unii Europejskiej z programów takich jak CEF i z innych programów finansowanych z Europejskiego Funduszu Rozwoju Regionalnego lub Funduszu Spójności (w tym na rozwój sieci TEN-T),</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 xml:space="preserve">instrumentów finansowych (np. w ramach Europejskiego Funduszu na rzecz Inwestycji Strategicznych, w ramach tzw. Planu Junckera), </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źródeł prywatnych (w tym od przedsiębiorców, w szczególności zainteresowanych zagospodarowaniem energetycznego potencjału rzek, właścicieli portów lub przedsiębiorstw logistycznych, w ramach partnerstwa publiczno-prywatnego),</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budżetów samorządów terytorialnych,</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budżetu państwa lub funduszy celowych (głównie jako źródło wkładu własnego do przedsięwzięć współfinansowanych ze środków Unii Europejskiej).</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 xml:space="preserve">Jednocześnie należy zaznaczyć, że finansowanie inwestycji na śródlądowych drogach wodnych odbywać się będzie zgodnie z założeniami budżetowymi oraz z poszanowaniem dyscypliny finansów publicznych, przy jednoczesnym założeniu finansowania przedmiotowych inwestycji w możliwie jak największym zakresie ze środków pozabudżetowych. </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Jednym z możliwych sposobów wspierający</w:t>
      </w:r>
      <w:r w:rsidR="0010696D">
        <w:rPr>
          <w:rFonts w:ascii="Times New Roman" w:hAnsi="Times New Roman" w:cs="Times New Roman"/>
          <w:sz w:val="24"/>
          <w:szCs w:val="24"/>
        </w:rPr>
        <w:t>ch</w:t>
      </w:r>
      <w:r w:rsidRPr="00293818">
        <w:rPr>
          <w:rFonts w:ascii="Times New Roman" w:hAnsi="Times New Roman" w:cs="Times New Roman"/>
          <w:sz w:val="24"/>
          <w:szCs w:val="24"/>
        </w:rPr>
        <w:t xml:space="preserve"> finansowanie inwestycji w śródlądowe drogi wodne może być projektowany Fundusz Rozwoju Śródlądowych Dróg Wodnych (FRŚDW), który będzie stanowił podstawę mechanizmu finansowania przyszłych inwestycji prowadzonych na śródlądowych drogach wodnych. W celu sprawnego i efektywnego funkcjonowania FRŚDW konieczne będzie ustalenie stałych źródeł jego finansowania. </w:t>
      </w:r>
      <w:r w:rsidRPr="00293818">
        <w:rPr>
          <w:rFonts w:ascii="Times New Roman" w:hAnsi="Times New Roman" w:cs="Times New Roman"/>
          <w:sz w:val="24"/>
          <w:szCs w:val="24"/>
        </w:rPr>
        <w:lastRenderedPageBreak/>
        <w:t>W</w:t>
      </w:r>
      <w:r>
        <w:rPr>
          <w:rFonts w:ascii="Times New Roman" w:hAnsi="Times New Roman" w:cs="Times New Roman"/>
          <w:sz w:val="24"/>
          <w:szCs w:val="24"/>
        </w:rPr>
        <w:t> </w:t>
      </w:r>
      <w:r w:rsidRPr="00293818">
        <w:rPr>
          <w:rFonts w:ascii="Times New Roman" w:hAnsi="Times New Roman" w:cs="Times New Roman"/>
          <w:sz w:val="24"/>
          <w:szCs w:val="24"/>
        </w:rPr>
        <w:t>związku z tym przewiduje się, że Fundusz będzie zasilany corocznie częścią środków generowanych przez gospodarkę wodną.</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 xml:space="preserve">W obecnie projektowanej ustawie </w:t>
      </w:r>
      <w:r w:rsidR="0010696D">
        <w:rPr>
          <w:rFonts w:ascii="Times New Roman" w:hAnsi="Times New Roman" w:cs="Times New Roman"/>
          <w:sz w:val="24"/>
          <w:szCs w:val="24"/>
        </w:rPr>
        <w:t xml:space="preserve">– </w:t>
      </w:r>
      <w:r w:rsidRPr="0010696D">
        <w:rPr>
          <w:rFonts w:ascii="Times New Roman" w:hAnsi="Times New Roman" w:cs="Times New Roman"/>
          <w:sz w:val="24"/>
          <w:szCs w:val="24"/>
        </w:rPr>
        <w:t>Prawo wodne</w:t>
      </w:r>
      <w:r w:rsidRPr="00293818">
        <w:rPr>
          <w:rFonts w:ascii="Times New Roman" w:hAnsi="Times New Roman" w:cs="Times New Roman"/>
          <w:sz w:val="24"/>
          <w:szCs w:val="24"/>
        </w:rPr>
        <w:t xml:space="preserve"> planowane jest powołanie Państwowego Gospodarstwa Wodnego „Wody Polskie”, odpowiedzialnego za pozyskiwanie i gromadzenie środków finansowych generowanych przez gospodarkę wodną. W uwagach do projektowanej ustawy </w:t>
      </w:r>
      <w:r w:rsidR="0010696D">
        <w:rPr>
          <w:rFonts w:ascii="Times New Roman" w:hAnsi="Times New Roman" w:cs="Times New Roman"/>
          <w:sz w:val="24"/>
          <w:szCs w:val="24"/>
        </w:rPr>
        <w:t xml:space="preserve">– </w:t>
      </w:r>
      <w:r w:rsidRPr="0010696D">
        <w:rPr>
          <w:rFonts w:ascii="Times New Roman" w:hAnsi="Times New Roman" w:cs="Times New Roman"/>
          <w:sz w:val="24"/>
          <w:szCs w:val="24"/>
        </w:rPr>
        <w:t>Prawo wodne</w:t>
      </w:r>
      <w:r w:rsidRPr="00293818">
        <w:rPr>
          <w:rFonts w:ascii="Times New Roman" w:hAnsi="Times New Roman" w:cs="Times New Roman"/>
          <w:sz w:val="24"/>
          <w:szCs w:val="24"/>
        </w:rPr>
        <w:t>, Minister Gospodarki Morskiej i Żeglugi Śródlądowej wskazuje na konieczność przekazania część środków pozyskiwanych przez PGW „Wody Polskie” na realizację inwestycji na śródlądowych drogach wodnych. W koncepcji MGMiŻŚ środki te będą gromadzone na rachunku FRŚDW. Wysokość środków będzie warunkowała możliwości inwestycyjne na śródlądowych drogach wodnych wyrażone wydolnością finansową FRŚDW. Fundusz, w celu zwiększenia kapitału, powinien mieć również możliwość emisji obligacji i</w:t>
      </w:r>
      <w:r>
        <w:rPr>
          <w:rFonts w:ascii="Times New Roman" w:hAnsi="Times New Roman" w:cs="Times New Roman"/>
          <w:sz w:val="24"/>
          <w:szCs w:val="24"/>
        </w:rPr>
        <w:t> </w:t>
      </w:r>
      <w:r w:rsidRPr="00293818">
        <w:rPr>
          <w:rFonts w:ascii="Times New Roman" w:hAnsi="Times New Roman" w:cs="Times New Roman"/>
          <w:sz w:val="24"/>
          <w:szCs w:val="24"/>
        </w:rPr>
        <w:t>zaciągania kredytów oraz posiadać gwarancje skarbu państwa.</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Spodziewane korzyści z rozwoju infrastruktury wykorzystywanej do transportu śródlądowego w perspektywie długoterminowej szacuje się na ok. 300 mld zł. Przedstawione w projekcie dane pochodzą z analiz prowadzonych przez zespoły eksperckie z ośrodków akademickich oraz z opracowań zleconych przez samorządy województw zainteresowanych rozwojem śródlądowych dróg wodnych ze względu na spodziewane istotne korzyści gospodarcze.</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Oprócz korzyści typowo gospodarczych, takich jak zwiększenie konkurencyjności głównych portów morskich lub produkcja energii, obejmują one również bardzo istotne i wymierne korzyści z tytułu uniknięcia kosztów powodzi czy kosztów pożarów lasów, jak również korzyści związane z retencją wody na potrzeby ludności, rolnictwa oraz przemysłu. Dodatkowo uwzględnione zostały korzyści z rozwoju przedsiębiorczości, w tym efekty mnożnikowe związane z przemysłem turystycznym.</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Rozwój infrastruktury i użeglowienie głównych polskich rzek będ</w:t>
      </w:r>
      <w:r w:rsidR="0010696D">
        <w:rPr>
          <w:rFonts w:ascii="Times New Roman" w:hAnsi="Times New Roman" w:cs="Times New Roman"/>
          <w:sz w:val="24"/>
          <w:szCs w:val="24"/>
        </w:rPr>
        <w:t>ą</w:t>
      </w:r>
      <w:r w:rsidRPr="00293818">
        <w:rPr>
          <w:rFonts w:ascii="Times New Roman" w:hAnsi="Times New Roman" w:cs="Times New Roman"/>
          <w:sz w:val="24"/>
          <w:szCs w:val="24"/>
        </w:rPr>
        <w:t xml:space="preserve"> miał</w:t>
      </w:r>
      <w:r w:rsidR="0010696D">
        <w:rPr>
          <w:rFonts w:ascii="Times New Roman" w:hAnsi="Times New Roman" w:cs="Times New Roman"/>
          <w:sz w:val="24"/>
          <w:szCs w:val="24"/>
        </w:rPr>
        <w:t>y</w:t>
      </w:r>
      <w:r w:rsidRPr="00293818">
        <w:rPr>
          <w:rFonts w:ascii="Times New Roman" w:hAnsi="Times New Roman" w:cs="Times New Roman"/>
          <w:sz w:val="24"/>
          <w:szCs w:val="24"/>
        </w:rPr>
        <w:t xml:space="preserve"> pozytywne skutki społeczne. Pobudzi aktywność lokalnych społeczności ukierunkowaną na działania prorozwojowe oraz zaaktywizuje w szczególności samorządy terytorialne na wszystkich poziomach do realizacji programów społecznego i gospodarczego wykorzystania dróg wodnych oraz szerzej – infrastruktury na potrzeby żeglugi śródlądowej.</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 xml:space="preserve">Żeglugowe wykorzystanie rzek sprzyjać będzie także osiągnięciu celów środowiskowych wyznaczanych zgodnie z przepisami Unii Europejskiej, w tym również wymienionej już retencji wody. Należy podkreślić, że transport śródlądowy (obok transportu morskiego) jest </w:t>
      </w:r>
      <w:r w:rsidRPr="00293818">
        <w:rPr>
          <w:rFonts w:ascii="Times New Roman" w:hAnsi="Times New Roman" w:cs="Times New Roman"/>
          <w:sz w:val="24"/>
          <w:szCs w:val="24"/>
        </w:rPr>
        <w:lastRenderedPageBreak/>
        <w:t xml:space="preserve">najbardziej przyjazną środowisku gałęzią transportu. W globalnym rozrachunku jego rozwój przyczyni się do obniżenia kosztów zewnętrznych transportu ogółem. </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 xml:space="preserve">Skutki przyjęcia </w:t>
      </w:r>
      <w:r w:rsidR="0010696D">
        <w:rPr>
          <w:rFonts w:ascii="Times New Roman" w:hAnsi="Times New Roman" w:cs="Times New Roman"/>
          <w:sz w:val="24"/>
          <w:szCs w:val="24"/>
        </w:rPr>
        <w:t>P</w:t>
      </w:r>
      <w:r w:rsidRPr="00293818">
        <w:rPr>
          <w:rFonts w:ascii="Times New Roman" w:hAnsi="Times New Roman" w:cs="Times New Roman"/>
          <w:sz w:val="24"/>
          <w:szCs w:val="24"/>
        </w:rPr>
        <w:t xml:space="preserve">orozumienia AGN obejmą przede wszystkim zacieśnienie współpracy w szczególności z Republiką Czeską i Słowacją w stosunkach dwustronnych i w ramach Grupy Wyszehradzkiej. Polska, jako strona umowy AGN, prowadzić będzie z Republiką Federalną Niemiec dialog dotyczący przystosowania granicznego odcinka Odrzańskiej Drogi Wodnej do co najmniej IV klasy żeglowności. </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Polska zaproponuje stronom zaangażowanym w rozwój Odrzańskiej Drogi Wodnej powołanie Międzynarodowej Komisji Odrzańskiej na wzór funkcjonujących obecnie Centralnej Komisji Żeglugi na Renie i Komisji Żeglugi po Dunaju. W tym zakresie przewiduje się ścisłą współpracę z Republiką Czeską, Republiką Słowacką, a także z Republiką Federalną Niemiec w kontekście europejskich korytarzy transportowych.</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Porozumienie AGN będzie również prowadzić do intensywniejszej współpracy z Białorusią i</w:t>
      </w:r>
      <w:r>
        <w:rPr>
          <w:rFonts w:ascii="Times New Roman" w:hAnsi="Times New Roman" w:cs="Times New Roman"/>
          <w:sz w:val="24"/>
          <w:szCs w:val="24"/>
        </w:rPr>
        <w:t> </w:t>
      </w:r>
      <w:r w:rsidRPr="00293818">
        <w:rPr>
          <w:rFonts w:ascii="Times New Roman" w:hAnsi="Times New Roman" w:cs="Times New Roman"/>
          <w:sz w:val="24"/>
          <w:szCs w:val="24"/>
        </w:rPr>
        <w:t xml:space="preserve">Ukrainą. </w:t>
      </w:r>
    </w:p>
    <w:p w:rsidR="00293818" w:rsidRPr="00293818" w:rsidRDefault="00293818" w:rsidP="00293818">
      <w:pPr>
        <w:numPr>
          <w:ilvl w:val="0"/>
          <w:numId w:val="33"/>
        </w:numPr>
        <w:spacing w:before="120" w:after="120" w:line="360" w:lineRule="auto"/>
        <w:contextualSpacing/>
        <w:jc w:val="both"/>
        <w:rPr>
          <w:rFonts w:ascii="Times New Roman" w:hAnsi="Times New Roman" w:cs="Times New Roman"/>
          <w:b/>
          <w:sz w:val="24"/>
          <w:szCs w:val="24"/>
        </w:rPr>
      </w:pPr>
      <w:r w:rsidRPr="00293818">
        <w:rPr>
          <w:rFonts w:ascii="Times New Roman" w:hAnsi="Times New Roman" w:cs="Times New Roman"/>
          <w:b/>
          <w:sz w:val="24"/>
          <w:szCs w:val="24"/>
        </w:rPr>
        <w:t>Podmioty prawa krajowego, których dotyczy umowa międzynarodowa, w tym zakres, w jakim umowa międzynarodowa dot</w:t>
      </w:r>
      <w:r>
        <w:rPr>
          <w:rFonts w:ascii="Times New Roman" w:hAnsi="Times New Roman" w:cs="Times New Roman"/>
          <w:b/>
          <w:sz w:val="24"/>
          <w:szCs w:val="24"/>
        </w:rPr>
        <w:t>yczy osób fizycznych i prawnych</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Biorąc pod uwagę zakres Porozumienia AGN i związaną z tym konieczność modernizacji polskich dróg wodnych stanowiących część europejskiej sieci dróg wodnych, ustalenia co do wykonywania zapisów Porozumienia, co do zasady</w:t>
      </w:r>
      <w:r w:rsidR="0010696D">
        <w:rPr>
          <w:rFonts w:ascii="Times New Roman" w:hAnsi="Times New Roman" w:cs="Times New Roman"/>
          <w:sz w:val="24"/>
          <w:szCs w:val="24"/>
        </w:rPr>
        <w:t>,</w:t>
      </w:r>
      <w:r w:rsidRPr="00293818">
        <w:rPr>
          <w:rFonts w:ascii="Times New Roman" w:hAnsi="Times New Roman" w:cs="Times New Roman"/>
          <w:sz w:val="24"/>
          <w:szCs w:val="24"/>
        </w:rPr>
        <w:t xml:space="preserve"> prowadzone będą przede wszystkim na szczeblu resortowym przy udziale co najmniej:</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ministra właściwego do spraw żeglugi śródlądowej,</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ministra właściwego do spraw gospodarki morskiej,</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ministra właściwego do spraw gospodarki wodnej,</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ministra właściwego do spraw rozwoju regionalnego,</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ministra właściwego do spraw gospodarki,</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ministra właściwego do spraw finansów publicznych,</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ministra właściwego do spraw transportu,</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ministra właściwego do spraw środowiska.</w:t>
      </w:r>
    </w:p>
    <w:p w:rsidR="00293818" w:rsidRPr="00293818" w:rsidRDefault="00293818" w:rsidP="00293818">
      <w:p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Realizacja postanowień Porozumienia będzie wpływała na samorządy terytorialne, podmioty wykonujące działalność gospodarczą w zakresie produkcji, transportu, logistyki, robót budowlanych, turystyki i rekreacji, a także na podmioty prowadzące działalność związaną z</w:t>
      </w:r>
      <w:r>
        <w:rPr>
          <w:rFonts w:ascii="Times New Roman" w:hAnsi="Times New Roman" w:cs="Times New Roman"/>
          <w:sz w:val="24"/>
          <w:szCs w:val="24"/>
        </w:rPr>
        <w:t> </w:t>
      </w:r>
      <w:r w:rsidRPr="00293818">
        <w:rPr>
          <w:rFonts w:ascii="Times New Roman" w:hAnsi="Times New Roman" w:cs="Times New Roman"/>
          <w:sz w:val="24"/>
          <w:szCs w:val="24"/>
        </w:rPr>
        <w:t xml:space="preserve">energetycznym wykorzystaniem rzek. </w:t>
      </w:r>
    </w:p>
    <w:p w:rsidR="00293818" w:rsidRPr="00293818" w:rsidRDefault="00293818" w:rsidP="00293818">
      <w:pPr>
        <w:numPr>
          <w:ilvl w:val="0"/>
          <w:numId w:val="33"/>
        </w:numPr>
        <w:spacing w:before="120" w:after="120" w:line="360" w:lineRule="auto"/>
        <w:contextualSpacing/>
        <w:jc w:val="both"/>
        <w:rPr>
          <w:rFonts w:ascii="Times New Roman" w:hAnsi="Times New Roman" w:cs="Times New Roman"/>
          <w:b/>
          <w:sz w:val="24"/>
          <w:szCs w:val="24"/>
        </w:rPr>
      </w:pPr>
      <w:r w:rsidRPr="00293818">
        <w:rPr>
          <w:rFonts w:ascii="Times New Roman" w:hAnsi="Times New Roman" w:cs="Times New Roman"/>
          <w:b/>
          <w:sz w:val="24"/>
          <w:szCs w:val="24"/>
        </w:rPr>
        <w:lastRenderedPageBreak/>
        <w:t>Sposób, w jaki umowa dotyczy spraw ure</w:t>
      </w:r>
      <w:r>
        <w:rPr>
          <w:rFonts w:ascii="Times New Roman" w:hAnsi="Times New Roman" w:cs="Times New Roman"/>
          <w:b/>
          <w:sz w:val="24"/>
          <w:szCs w:val="24"/>
        </w:rPr>
        <w:t>gulowanych w prawie wewnętrznym</w:t>
      </w:r>
    </w:p>
    <w:p w:rsidR="00293818" w:rsidRPr="00293818" w:rsidRDefault="00293818" w:rsidP="00293818">
      <w:pPr>
        <w:spacing w:before="120" w:after="120" w:line="360" w:lineRule="auto"/>
        <w:jc w:val="both"/>
        <w:rPr>
          <w:rFonts w:ascii="Times New Roman" w:hAnsi="Times New Roman" w:cs="Times New Roman"/>
          <w:sz w:val="24"/>
          <w:szCs w:val="24"/>
        </w:rPr>
      </w:pPr>
      <w:r w:rsidRPr="00293818">
        <w:rPr>
          <w:rFonts w:ascii="Times New Roman" w:hAnsi="Times New Roman" w:cs="Times New Roman"/>
          <w:sz w:val="24"/>
          <w:szCs w:val="24"/>
        </w:rPr>
        <w:t>Treść Porozumienia AGN jest zgodna z obowiązującym</w:t>
      </w:r>
      <w:r w:rsidR="0010696D">
        <w:rPr>
          <w:rFonts w:ascii="Times New Roman" w:hAnsi="Times New Roman" w:cs="Times New Roman"/>
          <w:sz w:val="24"/>
          <w:szCs w:val="24"/>
        </w:rPr>
        <w:t>i</w:t>
      </w:r>
      <w:r w:rsidRPr="00293818">
        <w:rPr>
          <w:rFonts w:ascii="Times New Roman" w:hAnsi="Times New Roman" w:cs="Times New Roman"/>
          <w:sz w:val="24"/>
          <w:szCs w:val="24"/>
        </w:rPr>
        <w:t xml:space="preserve"> przepisami prawa i na tym etapie </w:t>
      </w:r>
      <w:r w:rsidRPr="00293818">
        <w:rPr>
          <w:rFonts w:ascii="Times New Roman" w:hAnsi="Times New Roman" w:cs="Times New Roman"/>
          <w:spacing w:val="4"/>
          <w:sz w:val="24"/>
          <w:szCs w:val="24"/>
        </w:rPr>
        <w:t xml:space="preserve">nie będzie wymagać zmian w krajowym porządku prawnym. Ponadto przystąpienie do </w:t>
      </w:r>
      <w:r w:rsidRPr="0010696D">
        <w:rPr>
          <w:rFonts w:ascii="Times New Roman" w:hAnsi="Times New Roman" w:cs="Times New Roman"/>
          <w:spacing w:val="4"/>
          <w:sz w:val="24"/>
          <w:szCs w:val="24"/>
        </w:rPr>
        <w:t>Porozumienia</w:t>
      </w:r>
      <w:r w:rsidRPr="00293818">
        <w:rPr>
          <w:rFonts w:ascii="Times New Roman" w:hAnsi="Times New Roman" w:cs="Times New Roman"/>
          <w:spacing w:val="4"/>
          <w:sz w:val="24"/>
          <w:szCs w:val="24"/>
        </w:rPr>
        <w:t xml:space="preserve"> nie będzie wymagać wydania nowych aktów prawnych, a także wiąże się również ze spełnieniem przesłanki określonej w art. 89 ust. 1 pkt 4 Konstytucji RP, tj. znacznego obciążenia państwa pod względem finansowym, co wymaga odpowiedniego trybu związania RP przedmiotową umową międzynarodową.</w:t>
      </w:r>
    </w:p>
    <w:p w:rsidR="00293818" w:rsidRPr="00293818" w:rsidRDefault="00293818" w:rsidP="00293818">
      <w:p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Mając na uwadze powyższe</w:t>
      </w:r>
      <w:r w:rsidR="0010696D">
        <w:rPr>
          <w:rFonts w:ascii="Times New Roman" w:hAnsi="Times New Roman" w:cs="Times New Roman"/>
          <w:sz w:val="24"/>
          <w:szCs w:val="24"/>
        </w:rPr>
        <w:t>,</w:t>
      </w:r>
      <w:r w:rsidRPr="00293818">
        <w:rPr>
          <w:rFonts w:ascii="Times New Roman" w:hAnsi="Times New Roman" w:cs="Times New Roman"/>
          <w:sz w:val="24"/>
          <w:szCs w:val="24"/>
        </w:rPr>
        <w:t xml:space="preserve"> podkreśleni</w:t>
      </w:r>
      <w:r w:rsidR="0010696D">
        <w:rPr>
          <w:rFonts w:ascii="Times New Roman" w:hAnsi="Times New Roman" w:cs="Times New Roman"/>
          <w:sz w:val="24"/>
          <w:szCs w:val="24"/>
        </w:rPr>
        <w:t>a</w:t>
      </w:r>
      <w:r w:rsidRPr="00293818">
        <w:rPr>
          <w:rFonts w:ascii="Times New Roman" w:hAnsi="Times New Roman" w:cs="Times New Roman"/>
          <w:sz w:val="24"/>
          <w:szCs w:val="24"/>
        </w:rPr>
        <w:t xml:space="preserve"> wymaga, że zakres spraw objętych Porozumieniem odnosi się między innymi do następujących dokumentów na poziomie strategicznym: </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 xml:space="preserve">„Założenia do planów rozwoju śródlądowych dróg wodnych w </w:t>
      </w:r>
      <w:r>
        <w:rPr>
          <w:rFonts w:ascii="Times New Roman" w:hAnsi="Times New Roman" w:cs="Times New Roman"/>
          <w:sz w:val="24"/>
          <w:szCs w:val="24"/>
        </w:rPr>
        <w:t xml:space="preserve">Polsce na lata </w:t>
      </w:r>
      <w:r>
        <w:rPr>
          <w:rFonts w:ascii="Times New Roman" w:hAnsi="Times New Roman" w:cs="Times New Roman"/>
          <w:sz w:val="24"/>
          <w:szCs w:val="24"/>
        </w:rPr>
        <w:br/>
        <w:t>2016–</w:t>
      </w:r>
      <w:r w:rsidRPr="00293818">
        <w:rPr>
          <w:rFonts w:ascii="Times New Roman" w:hAnsi="Times New Roman" w:cs="Times New Roman"/>
          <w:sz w:val="24"/>
          <w:szCs w:val="24"/>
        </w:rPr>
        <w:t>2020 z</w:t>
      </w:r>
      <w:r w:rsidR="0010696D">
        <w:rPr>
          <w:rFonts w:ascii="Times New Roman" w:hAnsi="Times New Roman" w:cs="Times New Roman"/>
          <w:sz w:val="24"/>
          <w:szCs w:val="24"/>
        </w:rPr>
        <w:t xml:space="preserve"> </w:t>
      </w:r>
      <w:r w:rsidRPr="00293818">
        <w:rPr>
          <w:rFonts w:ascii="Times New Roman" w:hAnsi="Times New Roman" w:cs="Times New Roman"/>
          <w:sz w:val="24"/>
          <w:szCs w:val="24"/>
        </w:rPr>
        <w:t>perspektywą do roku 2030”. Dokument wyznacza najważniejsze kierunki krajowej polityki śródlądowej i b</w:t>
      </w:r>
      <w:r w:rsidR="0010696D">
        <w:rPr>
          <w:rFonts w:ascii="Times New Roman" w:hAnsi="Times New Roman" w:cs="Times New Roman"/>
          <w:sz w:val="24"/>
          <w:szCs w:val="24"/>
        </w:rPr>
        <w:t>ezpośrednio odwołuje się do AGN,</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 xml:space="preserve">„Koncepcja Przestrzennego Zagospodarowania Kraju 2030”. Dokument wskazuje, że Odrzańska droga wodna będzie </w:t>
      </w:r>
      <w:r w:rsidR="0010696D">
        <w:rPr>
          <w:rFonts w:ascii="Times New Roman" w:hAnsi="Times New Roman" w:cs="Times New Roman"/>
          <w:sz w:val="24"/>
          <w:szCs w:val="24"/>
        </w:rPr>
        <w:t>posiadać III klasę żeglowności,</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„Strategia Rozwoju Transportu do 2020 roku (z perspektywą do roku 2030)” oraz merytorycznie powiązana z nią „Strategia rozwoju Polski Zachodniej do roku 2020”. SRT wskazuje, że jednym z kierunków interwencji w odniesieniu do infrastruktury transportu wodnego śródlądowego będzie dostosowanie infrastruktury ustalonych polskich śródlądowych dróg wodnych lub ich odcinków do wymagań europ</w:t>
      </w:r>
      <w:r w:rsidR="0010696D">
        <w:rPr>
          <w:rFonts w:ascii="Times New Roman" w:hAnsi="Times New Roman" w:cs="Times New Roman"/>
          <w:sz w:val="24"/>
          <w:szCs w:val="24"/>
        </w:rPr>
        <w:t>ejskiej sieci dróg wodnych oraz</w:t>
      </w:r>
      <w:r w:rsidRPr="00293818">
        <w:rPr>
          <w:rFonts w:ascii="Times New Roman" w:hAnsi="Times New Roman" w:cs="Times New Roman"/>
          <w:sz w:val="24"/>
          <w:szCs w:val="24"/>
        </w:rPr>
        <w:t xml:space="preserve"> że do roku 2020 powinna zostać podjęta decyzja w sprawie budowy połączenia wodnego śródlądowego Dunaj – Odra – Łaba (DOL) spełniającego wymogi co najmniej IV klasy żeglowności, jak również w sprawie budowy Kanału Śląskiego łączącego Odrę z Wisłą.</w:t>
      </w:r>
    </w:p>
    <w:p w:rsidR="00293818" w:rsidRPr="00293818" w:rsidRDefault="00293818" w:rsidP="00293818">
      <w:pPr>
        <w:spacing w:before="120" w:after="120" w:line="360" w:lineRule="auto"/>
        <w:ind w:left="720"/>
        <w:contextualSpacing/>
        <w:jc w:val="both"/>
        <w:rPr>
          <w:rFonts w:ascii="Times New Roman" w:hAnsi="Times New Roman" w:cs="Times New Roman"/>
          <w:sz w:val="24"/>
          <w:szCs w:val="24"/>
        </w:rPr>
      </w:pPr>
    </w:p>
    <w:p w:rsidR="00293818" w:rsidRPr="00293818" w:rsidRDefault="00293818" w:rsidP="00293818">
      <w:p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Na poziomie regionalnym przyjęcie Porozumienia będzie wpływać na dokumenty strategiczne poszczególnych województw:</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 xml:space="preserve">Strategię Rozwoju Województwa Dolnośląskiego 2020, </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 xml:space="preserve">Strategię Rozwoju Województwa Kujawsko-Pomorskiego do roku 2020 – Plan modernizacji 2020+, </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Strategię Rozwoju Województwa Lubelskiego na lata 2014</w:t>
      </w:r>
      <w:r>
        <w:rPr>
          <w:rFonts w:ascii="Times New Roman" w:hAnsi="Times New Roman" w:cs="Times New Roman"/>
          <w:sz w:val="24"/>
          <w:szCs w:val="24"/>
        </w:rPr>
        <w:t>–</w:t>
      </w:r>
      <w:r w:rsidRPr="00293818">
        <w:rPr>
          <w:rFonts w:ascii="Times New Roman" w:hAnsi="Times New Roman" w:cs="Times New Roman"/>
          <w:sz w:val="24"/>
          <w:szCs w:val="24"/>
        </w:rPr>
        <w:t>2020,</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 xml:space="preserve">Strategię Rozwoju Województwa Lubuskiego 2020, </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Strategię Rozwoju Województwa Małopolskiego na lata 2011</w:t>
      </w:r>
      <w:r>
        <w:rPr>
          <w:rFonts w:ascii="Times New Roman" w:hAnsi="Times New Roman" w:cs="Times New Roman"/>
          <w:sz w:val="24"/>
          <w:szCs w:val="24"/>
        </w:rPr>
        <w:t>–</w:t>
      </w:r>
      <w:r w:rsidRPr="00293818">
        <w:rPr>
          <w:rFonts w:ascii="Times New Roman" w:hAnsi="Times New Roman" w:cs="Times New Roman"/>
          <w:sz w:val="24"/>
          <w:szCs w:val="24"/>
        </w:rPr>
        <w:t xml:space="preserve">2020, </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lastRenderedPageBreak/>
        <w:t>Strategię Rozwoju Województwa Mazowieckiego do 2030 r. „Innowacyjne Mazowsze”,</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Strategię Rozwoju Województwa Opolskiego do 2020 r.,</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 xml:space="preserve">Strategię Rozwoju Województwa Pomorskiego 2020, </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 xml:space="preserve">Strategię Rozwoju Województwa Śląskiego „Śląskie 2020+”, </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Strategię Rozwoju Województwa Wielkopolskiego do 2020 roku. Wielkopolska 2020,</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Strategię Rozwoju Województwa Zachodniopomorskiego do roku 2020.</w:t>
      </w:r>
    </w:p>
    <w:p w:rsidR="00293818" w:rsidRPr="00293818" w:rsidRDefault="00293818" w:rsidP="00293818">
      <w:pPr>
        <w:spacing w:before="120" w:after="120" w:line="360" w:lineRule="auto"/>
        <w:ind w:left="720"/>
        <w:contextualSpacing/>
        <w:jc w:val="both"/>
        <w:rPr>
          <w:rFonts w:ascii="Times New Roman" w:hAnsi="Times New Roman" w:cs="Times New Roman"/>
          <w:sz w:val="24"/>
          <w:szCs w:val="24"/>
        </w:rPr>
      </w:pPr>
    </w:p>
    <w:p w:rsidR="00293818" w:rsidRPr="00293818" w:rsidRDefault="00293818" w:rsidP="00293818">
      <w:p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Ponadto Porozumienie AGN w zakresie obowiązywania odnosić się będzie również do następujących aktów prawnych:</w:t>
      </w:r>
    </w:p>
    <w:p w:rsidR="00293818" w:rsidRPr="00293818" w:rsidRDefault="0010696D" w:rsidP="00293818">
      <w:pPr>
        <w:numPr>
          <w:ilvl w:val="0"/>
          <w:numId w:val="36"/>
        </w:numPr>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u</w:t>
      </w:r>
      <w:r w:rsidR="00293818" w:rsidRPr="00293818">
        <w:rPr>
          <w:rFonts w:ascii="Times New Roman" w:hAnsi="Times New Roman" w:cs="Times New Roman"/>
          <w:sz w:val="24"/>
          <w:szCs w:val="24"/>
        </w:rPr>
        <w:t>stawa z dnia 4 września 2007 r. o działach administracji rządowej (Dz.</w:t>
      </w:r>
      <w:r w:rsidR="00293818">
        <w:rPr>
          <w:rFonts w:ascii="Times New Roman" w:hAnsi="Times New Roman" w:cs="Times New Roman"/>
          <w:sz w:val="24"/>
          <w:szCs w:val="24"/>
        </w:rPr>
        <w:t xml:space="preserve"> </w:t>
      </w:r>
      <w:r w:rsidR="00293818" w:rsidRPr="00293818">
        <w:rPr>
          <w:rFonts w:ascii="Times New Roman" w:hAnsi="Times New Roman" w:cs="Times New Roman"/>
          <w:sz w:val="24"/>
          <w:szCs w:val="24"/>
        </w:rPr>
        <w:t>U. z 2016 r. poz. 543</w:t>
      </w:r>
      <w:r w:rsidR="00293818">
        <w:rPr>
          <w:rFonts w:ascii="Times New Roman" w:hAnsi="Times New Roman" w:cs="Times New Roman"/>
          <w:sz w:val="24"/>
          <w:szCs w:val="24"/>
        </w:rPr>
        <w:t>,</w:t>
      </w:r>
      <w:r w:rsidR="00293818" w:rsidRPr="00293818">
        <w:rPr>
          <w:rFonts w:ascii="Times New Roman" w:hAnsi="Times New Roman" w:cs="Times New Roman"/>
          <w:sz w:val="24"/>
          <w:szCs w:val="24"/>
        </w:rPr>
        <w:t xml:space="preserve"> z</w:t>
      </w:r>
      <w:r w:rsidR="00293818">
        <w:rPr>
          <w:rFonts w:ascii="Times New Roman" w:hAnsi="Times New Roman" w:cs="Times New Roman"/>
          <w:sz w:val="24"/>
          <w:szCs w:val="24"/>
        </w:rPr>
        <w:t xml:space="preserve"> póź</w:t>
      </w:r>
      <w:r w:rsidR="00293818" w:rsidRPr="00293818">
        <w:rPr>
          <w:rFonts w:ascii="Times New Roman" w:hAnsi="Times New Roman" w:cs="Times New Roman"/>
          <w:sz w:val="24"/>
          <w:szCs w:val="24"/>
        </w:rPr>
        <w:t>ń. zm.), znowelizowana w dniu 19 listopada 2015 r.</w:t>
      </w:r>
      <w:r>
        <w:rPr>
          <w:rFonts w:ascii="Times New Roman" w:hAnsi="Times New Roman" w:cs="Times New Roman"/>
          <w:sz w:val="24"/>
          <w:szCs w:val="24"/>
        </w:rPr>
        <w:t>,</w:t>
      </w:r>
      <w:r w:rsidR="00293818" w:rsidRPr="00293818">
        <w:rPr>
          <w:rFonts w:ascii="Times New Roman" w:hAnsi="Times New Roman" w:cs="Times New Roman"/>
          <w:sz w:val="24"/>
          <w:szCs w:val="24"/>
        </w:rPr>
        <w:t xml:space="preserve"> utworzyła nowy dział „żegluga śródlądowa”, który obejmuje sprawy kluczowe w zakresie Porozumienia, dotyczące funkcjonowania oraz rozwoju śródlądowych dróg wodnych w zakresie żeglugi śródlądowej, budowy oraz modernizacji śródlądowych dróg wodnych oraz współpracy międzynarodowej na wo</w:t>
      </w:r>
      <w:r w:rsidR="00293818">
        <w:rPr>
          <w:rFonts w:ascii="Times New Roman" w:hAnsi="Times New Roman" w:cs="Times New Roman"/>
          <w:sz w:val="24"/>
          <w:szCs w:val="24"/>
        </w:rPr>
        <w:t>dach granicznych oraz ujętych w </w:t>
      </w:r>
      <w:r w:rsidR="00293818" w:rsidRPr="00293818">
        <w:rPr>
          <w:rFonts w:ascii="Times New Roman" w:hAnsi="Times New Roman" w:cs="Times New Roman"/>
          <w:sz w:val="24"/>
          <w:szCs w:val="24"/>
        </w:rPr>
        <w:t>systemie</w:t>
      </w:r>
      <w:r>
        <w:rPr>
          <w:rFonts w:ascii="Times New Roman" w:hAnsi="Times New Roman" w:cs="Times New Roman"/>
          <w:sz w:val="24"/>
          <w:szCs w:val="24"/>
        </w:rPr>
        <w:t xml:space="preserve"> międzynarodowych dróg wodnych,</w:t>
      </w:r>
    </w:p>
    <w:p w:rsidR="00293818" w:rsidRPr="00293818" w:rsidRDefault="0010696D" w:rsidP="00293818">
      <w:pPr>
        <w:numPr>
          <w:ilvl w:val="0"/>
          <w:numId w:val="36"/>
        </w:numPr>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u</w:t>
      </w:r>
      <w:r w:rsidR="00293818" w:rsidRPr="00293818">
        <w:rPr>
          <w:rFonts w:ascii="Times New Roman" w:hAnsi="Times New Roman" w:cs="Times New Roman"/>
          <w:sz w:val="24"/>
          <w:szCs w:val="24"/>
        </w:rPr>
        <w:t xml:space="preserve">stawa z dnia 18 lipca 2001 r. </w:t>
      </w:r>
      <w:r>
        <w:rPr>
          <w:rFonts w:ascii="Times New Roman" w:hAnsi="Times New Roman" w:cs="Times New Roman"/>
          <w:sz w:val="24"/>
          <w:szCs w:val="24"/>
        </w:rPr>
        <w:t xml:space="preserve">– </w:t>
      </w:r>
      <w:r w:rsidR="00293818" w:rsidRPr="00293818">
        <w:rPr>
          <w:rFonts w:ascii="Times New Roman" w:hAnsi="Times New Roman" w:cs="Times New Roman"/>
          <w:sz w:val="24"/>
          <w:szCs w:val="24"/>
        </w:rPr>
        <w:t>Prawo wodne (Dz.</w:t>
      </w:r>
      <w:r w:rsidR="00293818">
        <w:rPr>
          <w:rFonts w:ascii="Times New Roman" w:hAnsi="Times New Roman" w:cs="Times New Roman"/>
          <w:sz w:val="24"/>
          <w:szCs w:val="24"/>
        </w:rPr>
        <w:t xml:space="preserve"> </w:t>
      </w:r>
      <w:r w:rsidR="00293818" w:rsidRPr="00293818">
        <w:rPr>
          <w:rFonts w:ascii="Times New Roman" w:hAnsi="Times New Roman" w:cs="Times New Roman"/>
          <w:sz w:val="24"/>
          <w:szCs w:val="24"/>
        </w:rPr>
        <w:t>U. z 2015 r. poz. 469</w:t>
      </w:r>
      <w:r w:rsidR="00293818">
        <w:rPr>
          <w:rFonts w:ascii="Times New Roman" w:hAnsi="Times New Roman" w:cs="Times New Roman"/>
          <w:sz w:val="24"/>
          <w:szCs w:val="24"/>
        </w:rPr>
        <w:t>,</w:t>
      </w:r>
      <w:r w:rsidR="00293818" w:rsidRPr="00293818">
        <w:rPr>
          <w:rFonts w:ascii="Times New Roman" w:hAnsi="Times New Roman" w:cs="Times New Roman"/>
          <w:sz w:val="24"/>
          <w:szCs w:val="24"/>
        </w:rPr>
        <w:t xml:space="preserve"> z późń. zm.), w szczególności art. 22 dotyczący utrzymania publicznych śródlądowych wód powierzchniowych, art. 26 w sprawie regulacji obowiązków właściciela śródlądowych wód powierzchniowych czy też art. 66 w odniesieniu do przeprowadzania inwestycji dot. urządzeń wodnych, urządzeń komunikacyjnych lub przesyłowych oraz innych robót mogących mieć wpływ na śródlądowe drogi wodne. Należy również zauważyć, że realizacja postanowień Porozumienia będzie odnosić się</w:t>
      </w:r>
      <w:r>
        <w:rPr>
          <w:rFonts w:ascii="Times New Roman" w:hAnsi="Times New Roman" w:cs="Times New Roman"/>
          <w:sz w:val="24"/>
          <w:szCs w:val="24"/>
        </w:rPr>
        <w:t>,</w:t>
      </w:r>
      <w:r w:rsidR="00293818" w:rsidRPr="00293818">
        <w:rPr>
          <w:rFonts w:ascii="Times New Roman" w:hAnsi="Times New Roman" w:cs="Times New Roman"/>
          <w:sz w:val="24"/>
          <w:szCs w:val="24"/>
        </w:rPr>
        <w:t xml:space="preserve"> co do zasady</w:t>
      </w:r>
      <w:r>
        <w:rPr>
          <w:rFonts w:ascii="Times New Roman" w:hAnsi="Times New Roman" w:cs="Times New Roman"/>
          <w:sz w:val="24"/>
          <w:szCs w:val="24"/>
        </w:rPr>
        <w:t>,</w:t>
      </w:r>
      <w:r w:rsidR="00293818" w:rsidRPr="00293818">
        <w:rPr>
          <w:rFonts w:ascii="Times New Roman" w:hAnsi="Times New Roman" w:cs="Times New Roman"/>
          <w:sz w:val="24"/>
          <w:szCs w:val="24"/>
        </w:rPr>
        <w:t xml:space="preserve"> do określonego sposobu</w:t>
      </w:r>
      <w:r w:rsidR="00F24872">
        <w:rPr>
          <w:rFonts w:ascii="Times New Roman" w:hAnsi="Times New Roman" w:cs="Times New Roman"/>
          <w:sz w:val="24"/>
          <w:szCs w:val="24"/>
        </w:rPr>
        <w:t xml:space="preserve"> gospodarowania wodami, o</w:t>
      </w:r>
      <w:r w:rsidR="00293818" w:rsidRPr="00293818">
        <w:rPr>
          <w:rFonts w:ascii="Times New Roman" w:hAnsi="Times New Roman" w:cs="Times New Roman"/>
          <w:sz w:val="24"/>
          <w:szCs w:val="24"/>
        </w:rPr>
        <w:t xml:space="preserve"> </w:t>
      </w:r>
      <w:r w:rsidR="00F24872">
        <w:rPr>
          <w:rFonts w:ascii="Times New Roman" w:hAnsi="Times New Roman" w:cs="Times New Roman"/>
          <w:sz w:val="24"/>
          <w:szCs w:val="24"/>
        </w:rPr>
        <w:t>którym mowa w ustawie z dnia 18 </w:t>
      </w:r>
      <w:r w:rsidR="00293818" w:rsidRPr="00293818">
        <w:rPr>
          <w:rFonts w:ascii="Times New Roman" w:hAnsi="Times New Roman" w:cs="Times New Roman"/>
          <w:sz w:val="24"/>
          <w:szCs w:val="24"/>
        </w:rPr>
        <w:t xml:space="preserve">lipca 2001 r. </w:t>
      </w:r>
      <w:r w:rsidR="00293818">
        <w:rPr>
          <w:rFonts w:ascii="Times New Roman" w:hAnsi="Times New Roman" w:cs="Times New Roman"/>
          <w:sz w:val="24"/>
          <w:szCs w:val="24"/>
        </w:rPr>
        <w:t>–</w:t>
      </w:r>
      <w:r w:rsidR="000F5CC4">
        <w:rPr>
          <w:rFonts w:ascii="Times New Roman" w:hAnsi="Times New Roman" w:cs="Times New Roman"/>
          <w:sz w:val="24"/>
          <w:szCs w:val="24"/>
        </w:rPr>
        <w:t xml:space="preserve"> Prawo wodne,</w:t>
      </w:r>
    </w:p>
    <w:p w:rsidR="00293818" w:rsidRPr="00293818" w:rsidRDefault="0010696D" w:rsidP="00293818">
      <w:pPr>
        <w:numPr>
          <w:ilvl w:val="0"/>
          <w:numId w:val="36"/>
        </w:numPr>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u</w:t>
      </w:r>
      <w:r w:rsidR="00293818" w:rsidRPr="00293818">
        <w:rPr>
          <w:rFonts w:ascii="Times New Roman" w:hAnsi="Times New Roman" w:cs="Times New Roman"/>
          <w:sz w:val="24"/>
          <w:szCs w:val="24"/>
        </w:rPr>
        <w:t>stawa z dnia 21 grudnia 2000 r. o żegludze śródlądowej (Dz.</w:t>
      </w:r>
      <w:r w:rsidR="00293818">
        <w:rPr>
          <w:rFonts w:ascii="Times New Roman" w:hAnsi="Times New Roman" w:cs="Times New Roman"/>
          <w:sz w:val="24"/>
          <w:szCs w:val="24"/>
        </w:rPr>
        <w:t xml:space="preserve"> </w:t>
      </w:r>
      <w:r w:rsidR="00293818" w:rsidRPr="00293818">
        <w:rPr>
          <w:rFonts w:ascii="Times New Roman" w:hAnsi="Times New Roman" w:cs="Times New Roman"/>
          <w:sz w:val="24"/>
          <w:szCs w:val="24"/>
        </w:rPr>
        <w:t>U. z 2013</w:t>
      </w:r>
      <w:r w:rsidR="00293818">
        <w:rPr>
          <w:rFonts w:ascii="Times New Roman" w:hAnsi="Times New Roman" w:cs="Times New Roman"/>
          <w:sz w:val="24"/>
          <w:szCs w:val="24"/>
        </w:rPr>
        <w:t xml:space="preserve"> r. </w:t>
      </w:r>
      <w:r w:rsidR="00293818" w:rsidRPr="00293818">
        <w:rPr>
          <w:rFonts w:ascii="Times New Roman" w:hAnsi="Times New Roman" w:cs="Times New Roman"/>
          <w:sz w:val="24"/>
          <w:szCs w:val="24"/>
        </w:rPr>
        <w:t>poz. 1458</w:t>
      </w:r>
      <w:r w:rsidR="00293818">
        <w:rPr>
          <w:rFonts w:ascii="Times New Roman" w:hAnsi="Times New Roman" w:cs="Times New Roman"/>
          <w:sz w:val="24"/>
          <w:szCs w:val="24"/>
        </w:rPr>
        <w:t>,</w:t>
      </w:r>
      <w:r w:rsidR="00293818" w:rsidRPr="00293818">
        <w:rPr>
          <w:rFonts w:ascii="Times New Roman" w:hAnsi="Times New Roman" w:cs="Times New Roman"/>
          <w:sz w:val="24"/>
          <w:szCs w:val="24"/>
        </w:rPr>
        <w:t xml:space="preserve"> z</w:t>
      </w:r>
      <w:r w:rsidR="00293818">
        <w:rPr>
          <w:rFonts w:ascii="Times New Roman" w:hAnsi="Times New Roman" w:cs="Times New Roman"/>
          <w:sz w:val="24"/>
          <w:szCs w:val="24"/>
        </w:rPr>
        <w:t> </w:t>
      </w:r>
      <w:r w:rsidR="00293818" w:rsidRPr="00293818">
        <w:rPr>
          <w:rFonts w:ascii="Times New Roman" w:hAnsi="Times New Roman" w:cs="Times New Roman"/>
          <w:sz w:val="24"/>
          <w:szCs w:val="24"/>
        </w:rPr>
        <w:t>późń. zm.), w zakresie art. 42 dot. podziału dróg wodnych śródlądowych na drogi o</w:t>
      </w:r>
      <w:r w:rsidR="00293818">
        <w:rPr>
          <w:rFonts w:ascii="Times New Roman" w:hAnsi="Times New Roman" w:cs="Times New Roman"/>
          <w:sz w:val="24"/>
          <w:szCs w:val="24"/>
        </w:rPr>
        <w:t> </w:t>
      </w:r>
      <w:r w:rsidR="00293818" w:rsidRPr="00293818">
        <w:rPr>
          <w:rFonts w:ascii="Times New Roman" w:hAnsi="Times New Roman" w:cs="Times New Roman"/>
          <w:sz w:val="24"/>
          <w:szCs w:val="24"/>
        </w:rPr>
        <w:t>charakterze regionalnym i międzynarodowym oraz regulacji art. 43 w sprawie obowiązku należytego utrzymania dróg wodnych. Ponadto art. 43 dotyczy także sposobu wynagradzania oraz określenia administracji drogi wodnej odpowiedzialnej za należyte utrzymanie dróg wodnych.</w:t>
      </w:r>
    </w:p>
    <w:p w:rsidR="00293818" w:rsidRPr="00293818" w:rsidRDefault="00293818" w:rsidP="00293818">
      <w:pPr>
        <w:spacing w:before="120" w:after="120" w:line="360" w:lineRule="auto"/>
        <w:contextualSpacing/>
        <w:jc w:val="both"/>
        <w:rPr>
          <w:rFonts w:ascii="Times New Roman" w:hAnsi="Times New Roman" w:cs="Times New Roman"/>
          <w:sz w:val="24"/>
          <w:szCs w:val="24"/>
        </w:rPr>
      </w:pPr>
    </w:p>
    <w:p w:rsidR="00293818" w:rsidRPr="00293818" w:rsidRDefault="00293818" w:rsidP="00293818">
      <w:p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lastRenderedPageBreak/>
        <w:t>Jednocześnie realizacja postanowień Porozumienia AGN w perspektywie długoterminowej będzie się wiązać z nowelizacją rozporządzenia Rady Mi</w:t>
      </w:r>
      <w:r>
        <w:rPr>
          <w:rFonts w:ascii="Times New Roman" w:hAnsi="Times New Roman" w:cs="Times New Roman"/>
          <w:sz w:val="24"/>
          <w:szCs w:val="24"/>
        </w:rPr>
        <w:t>nistrów z dnia 7 maja 2002 r. w </w:t>
      </w:r>
      <w:r w:rsidRPr="00293818">
        <w:rPr>
          <w:rFonts w:ascii="Times New Roman" w:hAnsi="Times New Roman" w:cs="Times New Roman"/>
          <w:sz w:val="24"/>
          <w:szCs w:val="24"/>
        </w:rPr>
        <w:t>sprawie klasyfikacji śródlądowych dróg wodnych (Dz.</w:t>
      </w:r>
      <w:r>
        <w:rPr>
          <w:rFonts w:ascii="Times New Roman" w:hAnsi="Times New Roman" w:cs="Times New Roman"/>
          <w:sz w:val="24"/>
          <w:szCs w:val="24"/>
        </w:rPr>
        <w:t xml:space="preserve"> </w:t>
      </w:r>
      <w:r w:rsidRPr="00293818">
        <w:rPr>
          <w:rFonts w:ascii="Times New Roman" w:hAnsi="Times New Roman" w:cs="Times New Roman"/>
          <w:sz w:val="24"/>
          <w:szCs w:val="24"/>
        </w:rPr>
        <w:t>U. poz. 695) dotyczącego szczegółowego sposobu klasyfikacji śródlądowych dróg wodnych, w tym podziału śródlądowych dróg wodnych na klasy; wykazu śródlądowych dróg wodnych o znaczeniu regionalnym i międzynarodowym oraz regulacji dotyczących rozbudowy lub modernizacji śródlądowych dróg wodnych. Przyszła nowelizacja będzie dotyczyć przede wszystkim doprecyzowania nomenklatury stosowanej w rozporządzeniu z nomenklaturą stosowaną w</w:t>
      </w:r>
      <w:r>
        <w:rPr>
          <w:rFonts w:ascii="Times New Roman" w:hAnsi="Times New Roman" w:cs="Times New Roman"/>
          <w:sz w:val="24"/>
          <w:szCs w:val="24"/>
        </w:rPr>
        <w:t> </w:t>
      </w:r>
      <w:r w:rsidRPr="00293818">
        <w:rPr>
          <w:rFonts w:ascii="Times New Roman" w:hAnsi="Times New Roman" w:cs="Times New Roman"/>
          <w:sz w:val="24"/>
          <w:szCs w:val="24"/>
        </w:rPr>
        <w:t xml:space="preserve">Porozumieniu. </w:t>
      </w:r>
    </w:p>
    <w:p w:rsidR="00293818" w:rsidRPr="00293818" w:rsidRDefault="00293818" w:rsidP="0010696D">
      <w:pPr>
        <w:spacing w:before="120" w:after="120" w:line="360" w:lineRule="auto"/>
        <w:contextualSpacing/>
        <w:jc w:val="both"/>
        <w:rPr>
          <w:rFonts w:ascii="Times New Roman" w:hAnsi="Times New Roman" w:cs="Times New Roman"/>
          <w:sz w:val="24"/>
          <w:szCs w:val="24"/>
        </w:rPr>
      </w:pPr>
    </w:p>
    <w:p w:rsidR="00293818" w:rsidRPr="00293818" w:rsidRDefault="00293818" w:rsidP="00293818">
      <w:p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Realizacja postanowień Porozumienia w zakresie zapewnienia na wymienionych w</w:t>
      </w:r>
      <w:r>
        <w:rPr>
          <w:rFonts w:ascii="Times New Roman" w:hAnsi="Times New Roman" w:cs="Times New Roman"/>
          <w:sz w:val="24"/>
          <w:szCs w:val="24"/>
        </w:rPr>
        <w:t> </w:t>
      </w:r>
      <w:r w:rsidRPr="00293818">
        <w:rPr>
          <w:rFonts w:ascii="Times New Roman" w:hAnsi="Times New Roman" w:cs="Times New Roman"/>
          <w:sz w:val="24"/>
          <w:szCs w:val="24"/>
        </w:rPr>
        <w:t>Porozumieniu drogach wodnych odpowiednich warunków nawigacyjnych będzie wymagała zgodności z przepisami z zakresu zasad ochrony i korzystania ze środowiska naturalnego. W szczególności dotyczy to następujących aktów prawnych:</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u</w:t>
      </w:r>
      <w:r w:rsidRPr="00293818">
        <w:rPr>
          <w:rFonts w:ascii="Times New Roman" w:hAnsi="Times New Roman" w:cs="Times New Roman"/>
          <w:sz w:val="24"/>
          <w:szCs w:val="24"/>
        </w:rPr>
        <w:t xml:space="preserve">stawa z dnia 27 kwietnia 2001 r. </w:t>
      </w:r>
      <w:r>
        <w:rPr>
          <w:rFonts w:ascii="Times New Roman" w:hAnsi="Times New Roman" w:cs="Times New Roman"/>
          <w:sz w:val="24"/>
          <w:szCs w:val="24"/>
        </w:rPr>
        <w:t xml:space="preserve">– </w:t>
      </w:r>
      <w:r w:rsidRPr="00293818">
        <w:rPr>
          <w:rFonts w:ascii="Times New Roman" w:hAnsi="Times New Roman" w:cs="Times New Roman"/>
          <w:sz w:val="24"/>
          <w:szCs w:val="24"/>
        </w:rPr>
        <w:t>Prawo ochrony środowiska (Dz.</w:t>
      </w:r>
      <w:r>
        <w:rPr>
          <w:rFonts w:ascii="Times New Roman" w:hAnsi="Times New Roman" w:cs="Times New Roman"/>
          <w:sz w:val="24"/>
          <w:szCs w:val="24"/>
        </w:rPr>
        <w:t xml:space="preserve"> </w:t>
      </w:r>
      <w:r w:rsidRPr="00293818">
        <w:rPr>
          <w:rFonts w:ascii="Times New Roman" w:hAnsi="Times New Roman" w:cs="Times New Roman"/>
          <w:sz w:val="24"/>
          <w:szCs w:val="24"/>
        </w:rPr>
        <w:t>U. z 2016 r.</w:t>
      </w:r>
      <w:r>
        <w:rPr>
          <w:rFonts w:ascii="Times New Roman" w:hAnsi="Times New Roman" w:cs="Times New Roman"/>
          <w:sz w:val="24"/>
          <w:szCs w:val="24"/>
        </w:rPr>
        <w:t xml:space="preserve"> poz. </w:t>
      </w:r>
      <w:r w:rsidRPr="00293818">
        <w:rPr>
          <w:rFonts w:ascii="Times New Roman" w:hAnsi="Times New Roman" w:cs="Times New Roman"/>
          <w:sz w:val="24"/>
          <w:szCs w:val="24"/>
        </w:rPr>
        <w:t>672</w:t>
      </w:r>
      <w:r>
        <w:rPr>
          <w:rFonts w:ascii="Times New Roman" w:hAnsi="Times New Roman" w:cs="Times New Roman"/>
          <w:sz w:val="24"/>
          <w:szCs w:val="24"/>
        </w:rPr>
        <w:t>,</w:t>
      </w:r>
      <w:r w:rsidRPr="00293818">
        <w:rPr>
          <w:rFonts w:ascii="Times New Roman" w:hAnsi="Times New Roman" w:cs="Times New Roman"/>
          <w:sz w:val="24"/>
          <w:szCs w:val="24"/>
        </w:rPr>
        <w:t xml:space="preserve"> z</w:t>
      </w:r>
      <w:r w:rsidR="0010696D">
        <w:rPr>
          <w:rFonts w:ascii="Times New Roman" w:hAnsi="Times New Roman" w:cs="Times New Roman"/>
          <w:sz w:val="24"/>
          <w:szCs w:val="24"/>
        </w:rPr>
        <w:t xml:space="preserve"> </w:t>
      </w:r>
      <w:r w:rsidRPr="00293818">
        <w:rPr>
          <w:rFonts w:ascii="Times New Roman" w:hAnsi="Times New Roman" w:cs="Times New Roman"/>
          <w:sz w:val="24"/>
          <w:szCs w:val="24"/>
        </w:rPr>
        <w:t>późn. zm.), w regulacjach dotyczących określenia zasady ochrony środowiska oraz warunków korzystania z jego zasobów, z uwzględnieniem w</w:t>
      </w:r>
      <w:r>
        <w:rPr>
          <w:rFonts w:ascii="Times New Roman" w:hAnsi="Times New Roman" w:cs="Times New Roman"/>
          <w:sz w:val="24"/>
          <w:szCs w:val="24"/>
        </w:rPr>
        <w:t>ymagań zrównoważonego rozwoju,</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u</w:t>
      </w:r>
      <w:r w:rsidRPr="00293818">
        <w:rPr>
          <w:rFonts w:ascii="Times New Roman" w:hAnsi="Times New Roman" w:cs="Times New Roman"/>
          <w:sz w:val="24"/>
          <w:szCs w:val="24"/>
        </w:rPr>
        <w:t>stawa z dnia 16 kwietnia 2004 r. o och</w:t>
      </w:r>
      <w:r w:rsidR="0010696D">
        <w:rPr>
          <w:rFonts w:ascii="Times New Roman" w:hAnsi="Times New Roman" w:cs="Times New Roman"/>
          <w:sz w:val="24"/>
          <w:szCs w:val="24"/>
        </w:rPr>
        <w:t>ronie przyrody (Dz. U. z 2015 r.</w:t>
      </w:r>
      <w:r w:rsidRPr="00293818">
        <w:rPr>
          <w:rFonts w:ascii="Times New Roman" w:hAnsi="Times New Roman" w:cs="Times New Roman"/>
          <w:sz w:val="24"/>
          <w:szCs w:val="24"/>
        </w:rPr>
        <w:t xml:space="preserve"> poz.</w:t>
      </w:r>
      <w:r w:rsidR="0010696D">
        <w:rPr>
          <w:rFonts w:ascii="Times New Roman" w:hAnsi="Times New Roman" w:cs="Times New Roman"/>
          <w:sz w:val="24"/>
          <w:szCs w:val="24"/>
        </w:rPr>
        <w:t xml:space="preserve"> </w:t>
      </w:r>
      <w:r w:rsidRPr="00293818">
        <w:rPr>
          <w:rFonts w:ascii="Times New Roman" w:hAnsi="Times New Roman" w:cs="Times New Roman"/>
          <w:sz w:val="24"/>
          <w:szCs w:val="24"/>
        </w:rPr>
        <w:t>1651</w:t>
      </w:r>
      <w:r w:rsidR="0010696D">
        <w:rPr>
          <w:rFonts w:ascii="Times New Roman" w:hAnsi="Times New Roman" w:cs="Times New Roman"/>
          <w:sz w:val="24"/>
          <w:szCs w:val="24"/>
        </w:rPr>
        <w:t xml:space="preserve">, </w:t>
      </w:r>
      <w:r w:rsidRPr="00293818">
        <w:rPr>
          <w:rFonts w:ascii="Times New Roman" w:hAnsi="Times New Roman" w:cs="Times New Roman"/>
          <w:sz w:val="24"/>
          <w:szCs w:val="24"/>
        </w:rPr>
        <w:t>z późn. zm.), art. 33 i art. 34 dotyczą</w:t>
      </w:r>
      <w:r>
        <w:rPr>
          <w:rFonts w:ascii="Times New Roman" w:hAnsi="Times New Roman" w:cs="Times New Roman"/>
          <w:sz w:val="24"/>
          <w:szCs w:val="24"/>
        </w:rPr>
        <w:t>cy ochrony obszarów Natura 2000,</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u</w:t>
      </w:r>
      <w:r w:rsidRPr="00293818">
        <w:rPr>
          <w:rFonts w:ascii="Times New Roman" w:hAnsi="Times New Roman" w:cs="Times New Roman"/>
          <w:sz w:val="24"/>
          <w:szCs w:val="24"/>
        </w:rPr>
        <w:t>stawa z dnia 3 października 2008 r. o udostępnianiu informacji o środowisku i jego ochronie, udziale społeczeństwa w ochronie środowiska oraz o ocenach oddziaływania na środowisko (Dz.</w:t>
      </w:r>
      <w:r>
        <w:rPr>
          <w:rFonts w:ascii="Times New Roman" w:hAnsi="Times New Roman" w:cs="Times New Roman"/>
          <w:sz w:val="24"/>
          <w:szCs w:val="24"/>
        </w:rPr>
        <w:t xml:space="preserve"> </w:t>
      </w:r>
      <w:r w:rsidRPr="00293818">
        <w:rPr>
          <w:rFonts w:ascii="Times New Roman" w:hAnsi="Times New Roman" w:cs="Times New Roman"/>
          <w:sz w:val="24"/>
          <w:szCs w:val="24"/>
        </w:rPr>
        <w:t>U. z 2016 r. poz. 353</w:t>
      </w:r>
      <w:r>
        <w:rPr>
          <w:rFonts w:ascii="Times New Roman" w:hAnsi="Times New Roman" w:cs="Times New Roman"/>
          <w:sz w:val="24"/>
          <w:szCs w:val="24"/>
        </w:rPr>
        <w:t>,</w:t>
      </w:r>
      <w:r w:rsidRPr="00293818">
        <w:rPr>
          <w:rFonts w:ascii="Times New Roman" w:hAnsi="Times New Roman" w:cs="Times New Roman"/>
          <w:sz w:val="24"/>
          <w:szCs w:val="24"/>
        </w:rPr>
        <w:t xml:space="preserve"> z późn. zm.), zwłaszcza w zakresie </w:t>
      </w:r>
      <w:r>
        <w:rPr>
          <w:rFonts w:ascii="Times New Roman" w:hAnsi="Times New Roman" w:cs="Times New Roman"/>
          <w:sz w:val="24"/>
          <w:szCs w:val="24"/>
        </w:rPr>
        <w:t>d</w:t>
      </w:r>
      <w:r w:rsidRPr="00293818">
        <w:rPr>
          <w:rFonts w:ascii="Times New Roman" w:hAnsi="Times New Roman" w:cs="Times New Roman"/>
          <w:sz w:val="24"/>
          <w:szCs w:val="24"/>
        </w:rPr>
        <w:t xml:space="preserve">ziału III </w:t>
      </w:r>
      <w:r>
        <w:rPr>
          <w:rFonts w:ascii="Times New Roman" w:hAnsi="Times New Roman" w:cs="Times New Roman"/>
          <w:sz w:val="24"/>
          <w:szCs w:val="24"/>
        </w:rPr>
        <w:t>r</w:t>
      </w:r>
      <w:r w:rsidRPr="00293818">
        <w:rPr>
          <w:rFonts w:ascii="Times New Roman" w:hAnsi="Times New Roman" w:cs="Times New Roman"/>
          <w:sz w:val="24"/>
          <w:szCs w:val="24"/>
        </w:rPr>
        <w:t xml:space="preserve">ozdziału 4 dot. uprawnień organizacji pozarządowych w postępowaniach dot. wydania ocen oddziaływania na środowisko realizowanych inwestycji </w:t>
      </w:r>
      <w:r>
        <w:rPr>
          <w:rFonts w:ascii="Times New Roman" w:hAnsi="Times New Roman" w:cs="Times New Roman"/>
          <w:sz w:val="24"/>
          <w:szCs w:val="24"/>
        </w:rPr>
        <w:t>na śródlądowych drogach wodnych,</w:t>
      </w:r>
    </w:p>
    <w:p w:rsidR="00293818" w:rsidRPr="00293818" w:rsidRDefault="00293818" w:rsidP="00293818">
      <w:pPr>
        <w:numPr>
          <w:ilvl w:val="0"/>
          <w:numId w:val="36"/>
        </w:numPr>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r</w:t>
      </w:r>
      <w:r w:rsidRPr="00293818">
        <w:rPr>
          <w:rFonts w:ascii="Times New Roman" w:hAnsi="Times New Roman" w:cs="Times New Roman"/>
          <w:sz w:val="24"/>
          <w:szCs w:val="24"/>
        </w:rPr>
        <w:t>ozporządzenie Rady Ministrów z dnia 9 listopada 2010 r. w sprawie przedsięwzięć mogących znacząco oddziaływać na środowisko (Dz.</w:t>
      </w:r>
      <w:r>
        <w:rPr>
          <w:rFonts w:ascii="Times New Roman" w:hAnsi="Times New Roman" w:cs="Times New Roman"/>
          <w:sz w:val="24"/>
          <w:szCs w:val="24"/>
        </w:rPr>
        <w:t xml:space="preserve"> </w:t>
      </w:r>
      <w:r w:rsidRPr="00293818">
        <w:rPr>
          <w:rFonts w:ascii="Times New Roman" w:hAnsi="Times New Roman" w:cs="Times New Roman"/>
          <w:sz w:val="24"/>
          <w:szCs w:val="24"/>
        </w:rPr>
        <w:t>U. z 2016</w:t>
      </w:r>
      <w:r>
        <w:rPr>
          <w:rFonts w:ascii="Times New Roman" w:hAnsi="Times New Roman" w:cs="Times New Roman"/>
          <w:sz w:val="24"/>
          <w:szCs w:val="24"/>
        </w:rPr>
        <w:t xml:space="preserve"> r.</w:t>
      </w:r>
      <w:r w:rsidRPr="00293818">
        <w:rPr>
          <w:rFonts w:ascii="Times New Roman" w:hAnsi="Times New Roman" w:cs="Times New Roman"/>
          <w:sz w:val="24"/>
          <w:szCs w:val="24"/>
        </w:rPr>
        <w:t xml:space="preserve"> poz. 71).</w:t>
      </w:r>
    </w:p>
    <w:p w:rsidR="00293818" w:rsidRPr="00293818" w:rsidRDefault="00293818" w:rsidP="00293818">
      <w:pPr>
        <w:spacing w:before="120" w:after="120" w:line="360" w:lineRule="auto"/>
        <w:ind w:left="720"/>
        <w:contextualSpacing/>
        <w:jc w:val="both"/>
        <w:rPr>
          <w:rFonts w:ascii="Times New Roman" w:hAnsi="Times New Roman" w:cs="Times New Roman"/>
          <w:sz w:val="24"/>
          <w:szCs w:val="24"/>
        </w:rPr>
      </w:pPr>
    </w:p>
    <w:p w:rsidR="00293818" w:rsidRPr="00293818" w:rsidRDefault="00293818" w:rsidP="00293818">
      <w:pPr>
        <w:numPr>
          <w:ilvl w:val="0"/>
          <w:numId w:val="33"/>
        </w:numPr>
        <w:spacing w:before="120" w:after="120" w:line="360" w:lineRule="auto"/>
        <w:contextualSpacing/>
        <w:jc w:val="both"/>
        <w:rPr>
          <w:rFonts w:ascii="Times New Roman" w:hAnsi="Times New Roman" w:cs="Times New Roman"/>
          <w:b/>
          <w:sz w:val="24"/>
          <w:szCs w:val="24"/>
        </w:rPr>
      </w:pPr>
      <w:r w:rsidRPr="00293818">
        <w:rPr>
          <w:rFonts w:ascii="Times New Roman" w:hAnsi="Times New Roman" w:cs="Times New Roman"/>
          <w:b/>
          <w:sz w:val="24"/>
          <w:szCs w:val="24"/>
        </w:rPr>
        <w:t xml:space="preserve">Środki prawne, jakie powinny zostać przyjęte w celu </w:t>
      </w:r>
      <w:r>
        <w:rPr>
          <w:rFonts w:ascii="Times New Roman" w:hAnsi="Times New Roman" w:cs="Times New Roman"/>
          <w:b/>
          <w:sz w:val="24"/>
          <w:szCs w:val="24"/>
        </w:rPr>
        <w:t>wykonania umowy międzynarodowej</w:t>
      </w:r>
    </w:p>
    <w:p w:rsidR="00293818" w:rsidRPr="00293818" w:rsidRDefault="00293818" w:rsidP="00293818">
      <w:p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 xml:space="preserve">Zgodnie z art. 12 ust. 2 ustawy z dnia 14 kwietnia 2000 r. o umowach międzynarodowych (Dz. </w:t>
      </w:r>
      <w:r>
        <w:rPr>
          <w:rFonts w:ascii="Times New Roman" w:hAnsi="Times New Roman" w:cs="Times New Roman"/>
          <w:sz w:val="24"/>
          <w:szCs w:val="24"/>
        </w:rPr>
        <w:t>U.</w:t>
      </w:r>
      <w:r w:rsidRPr="00293818">
        <w:rPr>
          <w:rFonts w:ascii="Times New Roman" w:hAnsi="Times New Roman" w:cs="Times New Roman"/>
          <w:sz w:val="24"/>
          <w:szCs w:val="24"/>
        </w:rPr>
        <w:t xml:space="preserve"> poz. 443</w:t>
      </w:r>
      <w:r>
        <w:rPr>
          <w:rFonts w:ascii="Times New Roman" w:hAnsi="Times New Roman" w:cs="Times New Roman"/>
          <w:sz w:val="24"/>
          <w:szCs w:val="24"/>
        </w:rPr>
        <w:t>,</w:t>
      </w:r>
      <w:r w:rsidRPr="00293818">
        <w:rPr>
          <w:rFonts w:ascii="Times New Roman" w:hAnsi="Times New Roman" w:cs="Times New Roman"/>
          <w:sz w:val="24"/>
          <w:szCs w:val="24"/>
        </w:rPr>
        <w:t xml:space="preserve"> z późn. zm.) związanie Rzeczypospolitej Polskiej </w:t>
      </w:r>
      <w:r w:rsidRPr="00CC0397">
        <w:rPr>
          <w:rFonts w:ascii="Times New Roman" w:hAnsi="Times New Roman" w:cs="Times New Roman"/>
          <w:sz w:val="24"/>
          <w:szCs w:val="24"/>
        </w:rPr>
        <w:t>Porozumieniem</w:t>
      </w:r>
      <w:r w:rsidRPr="00293818">
        <w:rPr>
          <w:rFonts w:ascii="Times New Roman" w:hAnsi="Times New Roman" w:cs="Times New Roman"/>
          <w:i/>
          <w:sz w:val="24"/>
          <w:szCs w:val="24"/>
        </w:rPr>
        <w:t xml:space="preserve"> </w:t>
      </w:r>
      <w:r w:rsidRPr="00293818">
        <w:rPr>
          <w:rFonts w:ascii="Times New Roman" w:hAnsi="Times New Roman" w:cs="Times New Roman"/>
          <w:sz w:val="24"/>
          <w:szCs w:val="24"/>
        </w:rPr>
        <w:t xml:space="preserve">nastąpi </w:t>
      </w:r>
      <w:r w:rsidRPr="00293818">
        <w:rPr>
          <w:rFonts w:ascii="Times New Roman" w:hAnsi="Times New Roman" w:cs="Times New Roman"/>
          <w:sz w:val="24"/>
          <w:szCs w:val="24"/>
        </w:rPr>
        <w:lastRenderedPageBreak/>
        <w:t>w</w:t>
      </w:r>
      <w:r>
        <w:rPr>
          <w:rFonts w:ascii="Times New Roman" w:hAnsi="Times New Roman" w:cs="Times New Roman"/>
          <w:sz w:val="24"/>
          <w:szCs w:val="24"/>
        </w:rPr>
        <w:t> </w:t>
      </w:r>
      <w:r w:rsidRPr="00293818">
        <w:rPr>
          <w:rFonts w:ascii="Times New Roman" w:hAnsi="Times New Roman" w:cs="Times New Roman"/>
          <w:sz w:val="24"/>
          <w:szCs w:val="24"/>
        </w:rPr>
        <w:t>drodze ratyfikacji za uprzednią zgodą wyrażoną w ustawie, ze względu na spełnienie przesłanki określonej w art. 89 ust. 1 pkt 4 Konstytucji RP, tj. przystąpienie do umowy międzynarodowej</w:t>
      </w:r>
      <w:r w:rsidR="00FD6177">
        <w:rPr>
          <w:rFonts w:ascii="Times New Roman" w:hAnsi="Times New Roman" w:cs="Times New Roman"/>
          <w:sz w:val="24"/>
          <w:szCs w:val="24"/>
        </w:rPr>
        <w:t>, gdyż umowa ta</w:t>
      </w:r>
      <w:r w:rsidRPr="00293818">
        <w:rPr>
          <w:rFonts w:ascii="Times New Roman" w:hAnsi="Times New Roman" w:cs="Times New Roman"/>
          <w:sz w:val="24"/>
          <w:szCs w:val="24"/>
        </w:rPr>
        <w:t xml:space="preserve"> dotyczy znacznego obciążenia państwa pod względem finansowym.</w:t>
      </w:r>
    </w:p>
    <w:p w:rsidR="00293818" w:rsidRPr="00293818" w:rsidRDefault="00293818" w:rsidP="00293818">
      <w:pPr>
        <w:spacing w:before="120" w:after="120" w:line="360" w:lineRule="auto"/>
        <w:contextualSpacing/>
        <w:jc w:val="both"/>
        <w:rPr>
          <w:rFonts w:ascii="Times New Roman" w:hAnsi="Times New Roman" w:cs="Times New Roman"/>
          <w:sz w:val="24"/>
          <w:szCs w:val="24"/>
        </w:rPr>
      </w:pPr>
    </w:p>
    <w:p w:rsidR="00392C21" w:rsidRPr="00293818" w:rsidRDefault="00293818" w:rsidP="00293818">
      <w:pPr>
        <w:spacing w:before="120" w:after="120" w:line="360" w:lineRule="auto"/>
        <w:contextualSpacing/>
        <w:jc w:val="both"/>
        <w:rPr>
          <w:rFonts w:ascii="Times New Roman" w:hAnsi="Times New Roman" w:cs="Times New Roman"/>
          <w:sz w:val="24"/>
          <w:szCs w:val="24"/>
        </w:rPr>
      </w:pPr>
      <w:r w:rsidRPr="00293818">
        <w:rPr>
          <w:rFonts w:ascii="Times New Roman" w:hAnsi="Times New Roman" w:cs="Times New Roman"/>
          <w:sz w:val="24"/>
          <w:szCs w:val="24"/>
        </w:rPr>
        <w:t>Ogłoszenie w Dzienniku Ustaw Rzeczypospolitej Polskiej spowoduje, że przedmiotowa umowa stanie się częścią krajowego porządku prawnego, a jej postanowienia będą bezpośrednio stosowane na zasadach określonych w art. 91 Konstytucji RP.</w:t>
      </w:r>
    </w:p>
    <w:sectPr w:rsidR="00392C21" w:rsidRPr="00293818" w:rsidSect="00727934">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08F2" w:rsidRDefault="00CF08F2" w:rsidP="009D78F9">
      <w:pPr>
        <w:spacing w:after="0" w:line="240" w:lineRule="auto"/>
      </w:pPr>
      <w:r>
        <w:separator/>
      </w:r>
    </w:p>
  </w:endnote>
  <w:endnote w:type="continuationSeparator" w:id="0">
    <w:p w:rsidR="00CF08F2" w:rsidRDefault="00CF08F2" w:rsidP="009D7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9441108"/>
      <w:docPartObj>
        <w:docPartGallery w:val="Page Numbers (Bottom of Page)"/>
        <w:docPartUnique/>
      </w:docPartObj>
    </w:sdtPr>
    <w:sdtEndPr>
      <w:rPr>
        <w:rFonts w:ascii="Times New Roman" w:hAnsi="Times New Roman" w:cs="Times New Roman"/>
        <w:sz w:val="24"/>
        <w:szCs w:val="24"/>
      </w:rPr>
    </w:sdtEndPr>
    <w:sdtContent>
      <w:p w:rsidR="00392C21" w:rsidRPr="00392C21" w:rsidRDefault="00392C21" w:rsidP="00392C21">
        <w:pPr>
          <w:pStyle w:val="Stopka"/>
          <w:jc w:val="center"/>
          <w:rPr>
            <w:rFonts w:ascii="Times New Roman" w:hAnsi="Times New Roman" w:cs="Times New Roman"/>
            <w:sz w:val="24"/>
            <w:szCs w:val="24"/>
          </w:rPr>
        </w:pPr>
        <w:r w:rsidRPr="00392C21">
          <w:rPr>
            <w:rFonts w:ascii="Times New Roman" w:hAnsi="Times New Roman" w:cs="Times New Roman"/>
            <w:sz w:val="24"/>
            <w:szCs w:val="24"/>
          </w:rPr>
          <w:fldChar w:fldCharType="begin"/>
        </w:r>
        <w:r w:rsidRPr="00392C21">
          <w:rPr>
            <w:rFonts w:ascii="Times New Roman" w:hAnsi="Times New Roman" w:cs="Times New Roman"/>
            <w:sz w:val="24"/>
            <w:szCs w:val="24"/>
          </w:rPr>
          <w:instrText>PAGE   \* MERGEFORMAT</w:instrText>
        </w:r>
        <w:r w:rsidRPr="00392C21">
          <w:rPr>
            <w:rFonts w:ascii="Times New Roman" w:hAnsi="Times New Roman" w:cs="Times New Roman"/>
            <w:sz w:val="24"/>
            <w:szCs w:val="24"/>
          </w:rPr>
          <w:fldChar w:fldCharType="separate"/>
        </w:r>
        <w:r w:rsidR="000A0E84">
          <w:rPr>
            <w:rFonts w:ascii="Times New Roman" w:hAnsi="Times New Roman" w:cs="Times New Roman"/>
            <w:noProof/>
            <w:sz w:val="24"/>
            <w:szCs w:val="24"/>
          </w:rPr>
          <w:t>13</w:t>
        </w:r>
        <w:r w:rsidRPr="00392C21">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08F2" w:rsidRDefault="00CF08F2" w:rsidP="009D78F9">
      <w:pPr>
        <w:spacing w:after="0" w:line="240" w:lineRule="auto"/>
      </w:pPr>
      <w:r>
        <w:separator/>
      </w:r>
    </w:p>
  </w:footnote>
  <w:footnote w:type="continuationSeparator" w:id="0">
    <w:p w:rsidR="00CF08F2" w:rsidRDefault="00CF08F2" w:rsidP="009D78F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41EA2"/>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4EE4F79"/>
    <w:multiLevelType w:val="hybridMultilevel"/>
    <w:tmpl w:val="5E823C9E"/>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D9E2B58"/>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F46254F"/>
    <w:multiLevelType w:val="hybridMultilevel"/>
    <w:tmpl w:val="20CA30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17869C6"/>
    <w:multiLevelType w:val="hybridMultilevel"/>
    <w:tmpl w:val="4E9AD3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4292349"/>
    <w:multiLevelType w:val="hybridMultilevel"/>
    <w:tmpl w:val="F1FC0650"/>
    <w:lvl w:ilvl="0" w:tplc="0415000F">
      <w:start w:val="1"/>
      <w:numFmt w:val="decimal"/>
      <w:lvlText w:val="%1."/>
      <w:lvlJc w:val="left"/>
      <w:pPr>
        <w:tabs>
          <w:tab w:val="num" w:pos="1047"/>
        </w:tabs>
        <w:ind w:left="1047" w:hanging="360"/>
      </w:pPr>
    </w:lvl>
    <w:lvl w:ilvl="1" w:tplc="2610BC42">
      <w:start w:val="1"/>
      <w:numFmt w:val="bullet"/>
      <w:lvlText w:val=""/>
      <w:lvlJc w:val="left"/>
      <w:pPr>
        <w:tabs>
          <w:tab w:val="num" w:pos="1767"/>
        </w:tabs>
        <w:ind w:left="1767" w:hanging="360"/>
      </w:pPr>
      <w:rPr>
        <w:rFonts w:ascii="Symbol" w:hAnsi="Symbol" w:hint="default"/>
      </w:r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6">
    <w:nsid w:val="1E3D318B"/>
    <w:multiLevelType w:val="hybridMultilevel"/>
    <w:tmpl w:val="0D7E1CE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nsid w:val="1FA23D91"/>
    <w:multiLevelType w:val="hybridMultilevel"/>
    <w:tmpl w:val="29A04C7E"/>
    <w:lvl w:ilvl="0" w:tplc="A31018B0">
      <w:start w:val="1"/>
      <w:numFmt w:val="decimal"/>
      <w:lvlText w:val="%1."/>
      <w:lvlJc w:val="left"/>
      <w:pPr>
        <w:tabs>
          <w:tab w:val="num" w:pos="357"/>
        </w:tabs>
      </w:pPr>
      <w:rPr>
        <w:rFonts w:cs="Times New Roman" w:hint="default"/>
      </w:rPr>
    </w:lvl>
    <w:lvl w:ilvl="1" w:tplc="4D263FF8">
      <w:start w:val="1"/>
      <w:numFmt w:val="bullet"/>
      <w:lvlText w:val=""/>
      <w:lvlJc w:val="left"/>
      <w:pPr>
        <w:tabs>
          <w:tab w:val="num" w:pos="1440"/>
        </w:tabs>
        <w:ind w:left="1440" w:hanging="360"/>
      </w:pPr>
      <w:rPr>
        <w:rFonts w:ascii="Wingdings" w:hAnsi="Wingding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
    <w:nsid w:val="1FEE2A02"/>
    <w:multiLevelType w:val="multilevel"/>
    <w:tmpl w:val="3EE2E83E"/>
    <w:lvl w:ilvl="0">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21CD007E"/>
    <w:multiLevelType w:val="hybridMultilevel"/>
    <w:tmpl w:val="FC0C11C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nsid w:val="22DF723B"/>
    <w:multiLevelType w:val="multilevel"/>
    <w:tmpl w:val="42ECDCCE"/>
    <w:lvl w:ilvl="0">
      <w:start w:val="1"/>
      <w:numFmt w:val="decimal"/>
      <w:lvlText w:val="%1."/>
      <w:lvlJc w:val="left"/>
      <w:pPr>
        <w:tabs>
          <w:tab w:val="num" w:pos="1047"/>
        </w:tabs>
        <w:ind w:left="1047" w:hanging="360"/>
      </w:pPr>
    </w:lvl>
    <w:lvl w:ilvl="1">
      <w:start w:val="1"/>
      <w:numFmt w:val="decimal"/>
      <w:lvlText w:val="%2."/>
      <w:lvlJc w:val="left"/>
      <w:pPr>
        <w:tabs>
          <w:tab w:val="num" w:pos="1767"/>
        </w:tabs>
        <w:ind w:left="1767" w:hanging="360"/>
      </w:pPr>
    </w:lvl>
    <w:lvl w:ilvl="2">
      <w:start w:val="1"/>
      <w:numFmt w:val="decimal"/>
      <w:lvlText w:val="%3."/>
      <w:lvlJc w:val="left"/>
      <w:pPr>
        <w:tabs>
          <w:tab w:val="num" w:pos="2487"/>
        </w:tabs>
        <w:ind w:left="2487" w:hanging="360"/>
      </w:pPr>
    </w:lvl>
    <w:lvl w:ilvl="3">
      <w:start w:val="1"/>
      <w:numFmt w:val="decimal"/>
      <w:lvlText w:val="%4."/>
      <w:lvlJc w:val="left"/>
      <w:pPr>
        <w:tabs>
          <w:tab w:val="num" w:pos="3207"/>
        </w:tabs>
        <w:ind w:left="3207" w:hanging="360"/>
      </w:pPr>
    </w:lvl>
    <w:lvl w:ilvl="4">
      <w:start w:val="1"/>
      <w:numFmt w:val="decimal"/>
      <w:lvlText w:val="%5."/>
      <w:lvlJc w:val="left"/>
      <w:pPr>
        <w:tabs>
          <w:tab w:val="num" w:pos="3927"/>
        </w:tabs>
        <w:ind w:left="3927" w:hanging="360"/>
      </w:pPr>
    </w:lvl>
    <w:lvl w:ilvl="5">
      <w:start w:val="1"/>
      <w:numFmt w:val="decimal"/>
      <w:lvlText w:val="%6."/>
      <w:lvlJc w:val="left"/>
      <w:pPr>
        <w:tabs>
          <w:tab w:val="num" w:pos="4647"/>
        </w:tabs>
        <w:ind w:left="4647" w:hanging="360"/>
      </w:pPr>
    </w:lvl>
    <w:lvl w:ilvl="6">
      <w:start w:val="1"/>
      <w:numFmt w:val="decimal"/>
      <w:lvlText w:val="%7."/>
      <w:lvlJc w:val="left"/>
      <w:pPr>
        <w:tabs>
          <w:tab w:val="num" w:pos="5367"/>
        </w:tabs>
        <w:ind w:left="5367" w:hanging="360"/>
      </w:pPr>
    </w:lvl>
    <w:lvl w:ilvl="7">
      <w:start w:val="1"/>
      <w:numFmt w:val="decimal"/>
      <w:lvlText w:val="%8."/>
      <w:lvlJc w:val="left"/>
      <w:pPr>
        <w:tabs>
          <w:tab w:val="num" w:pos="6087"/>
        </w:tabs>
        <w:ind w:left="6087" w:hanging="360"/>
      </w:pPr>
    </w:lvl>
    <w:lvl w:ilvl="8">
      <w:start w:val="1"/>
      <w:numFmt w:val="decimal"/>
      <w:lvlText w:val="%9."/>
      <w:lvlJc w:val="left"/>
      <w:pPr>
        <w:tabs>
          <w:tab w:val="num" w:pos="6807"/>
        </w:tabs>
        <w:ind w:left="6807" w:hanging="360"/>
      </w:pPr>
    </w:lvl>
  </w:abstractNum>
  <w:abstractNum w:abstractNumId="11">
    <w:nsid w:val="245A51BA"/>
    <w:multiLevelType w:val="hybridMultilevel"/>
    <w:tmpl w:val="4970AB0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nsid w:val="279D6C8D"/>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9C23FD6"/>
    <w:multiLevelType w:val="hybridMultilevel"/>
    <w:tmpl w:val="8048DF9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3A8B1EDD"/>
    <w:multiLevelType w:val="hybridMultilevel"/>
    <w:tmpl w:val="95FA285E"/>
    <w:lvl w:ilvl="0" w:tplc="0415000F">
      <w:start w:val="1"/>
      <w:numFmt w:val="decimal"/>
      <w:lvlText w:val="%1."/>
      <w:lvlJc w:val="left"/>
      <w:pPr>
        <w:tabs>
          <w:tab w:val="num" w:pos="1047"/>
        </w:tabs>
        <w:ind w:left="1047" w:hanging="360"/>
      </w:pPr>
    </w:lvl>
    <w:lvl w:ilvl="1" w:tplc="04150019" w:tentative="1">
      <w:start w:val="1"/>
      <w:numFmt w:val="lowerLetter"/>
      <w:lvlText w:val="%2."/>
      <w:lvlJc w:val="left"/>
      <w:pPr>
        <w:tabs>
          <w:tab w:val="num" w:pos="1767"/>
        </w:tabs>
        <w:ind w:left="1767" w:hanging="360"/>
      </w:p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16">
    <w:nsid w:val="3B65511A"/>
    <w:multiLevelType w:val="hybridMultilevel"/>
    <w:tmpl w:val="4CAA9CB6"/>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17">
    <w:nsid w:val="3BD64BA6"/>
    <w:multiLevelType w:val="hybridMultilevel"/>
    <w:tmpl w:val="74BA7218"/>
    <w:lvl w:ilvl="0" w:tplc="0B32D0B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3F4C0EBE"/>
    <w:multiLevelType w:val="multilevel"/>
    <w:tmpl w:val="7C6E0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12B5719"/>
    <w:multiLevelType w:val="hybridMultilevel"/>
    <w:tmpl w:val="5CD618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44F23740"/>
    <w:multiLevelType w:val="hybridMultilevel"/>
    <w:tmpl w:val="5C766E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46E5730E"/>
    <w:multiLevelType w:val="hybridMultilevel"/>
    <w:tmpl w:val="3C7829F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nsid w:val="49BE361A"/>
    <w:multiLevelType w:val="hybridMultilevel"/>
    <w:tmpl w:val="3AE85FAA"/>
    <w:lvl w:ilvl="0" w:tplc="04150011">
      <w:start w:val="1"/>
      <w:numFmt w:val="decimal"/>
      <w:lvlText w:val="%1)"/>
      <w:lvlJc w:val="left"/>
      <w:pPr>
        <w:tabs>
          <w:tab w:val="num" w:pos="1047"/>
        </w:tabs>
        <w:ind w:left="1047" w:hanging="360"/>
      </w:pPr>
    </w:lvl>
    <w:lvl w:ilvl="1" w:tplc="04150019">
      <w:start w:val="1"/>
      <w:numFmt w:val="decimal"/>
      <w:lvlText w:val="%2."/>
      <w:lvlJc w:val="left"/>
      <w:pPr>
        <w:tabs>
          <w:tab w:val="num" w:pos="1767"/>
        </w:tabs>
        <w:ind w:left="1767" w:hanging="360"/>
      </w:pPr>
    </w:lvl>
    <w:lvl w:ilvl="2" w:tplc="0415001B">
      <w:start w:val="1"/>
      <w:numFmt w:val="decimal"/>
      <w:lvlText w:val="%3."/>
      <w:lvlJc w:val="left"/>
      <w:pPr>
        <w:tabs>
          <w:tab w:val="num" w:pos="2487"/>
        </w:tabs>
        <w:ind w:left="2487" w:hanging="360"/>
      </w:pPr>
    </w:lvl>
    <w:lvl w:ilvl="3" w:tplc="0415000F">
      <w:start w:val="1"/>
      <w:numFmt w:val="decimal"/>
      <w:lvlText w:val="%4."/>
      <w:lvlJc w:val="left"/>
      <w:pPr>
        <w:tabs>
          <w:tab w:val="num" w:pos="3207"/>
        </w:tabs>
        <w:ind w:left="3207" w:hanging="360"/>
      </w:pPr>
    </w:lvl>
    <w:lvl w:ilvl="4" w:tplc="04150019">
      <w:start w:val="1"/>
      <w:numFmt w:val="decimal"/>
      <w:lvlText w:val="%5."/>
      <w:lvlJc w:val="left"/>
      <w:pPr>
        <w:tabs>
          <w:tab w:val="num" w:pos="3927"/>
        </w:tabs>
        <w:ind w:left="3927" w:hanging="360"/>
      </w:pPr>
    </w:lvl>
    <w:lvl w:ilvl="5" w:tplc="0415001B">
      <w:start w:val="1"/>
      <w:numFmt w:val="decimal"/>
      <w:lvlText w:val="%6."/>
      <w:lvlJc w:val="left"/>
      <w:pPr>
        <w:tabs>
          <w:tab w:val="num" w:pos="4647"/>
        </w:tabs>
        <w:ind w:left="4647" w:hanging="360"/>
      </w:pPr>
    </w:lvl>
    <w:lvl w:ilvl="6" w:tplc="0415000F">
      <w:start w:val="1"/>
      <w:numFmt w:val="decimal"/>
      <w:lvlText w:val="%7."/>
      <w:lvlJc w:val="left"/>
      <w:pPr>
        <w:tabs>
          <w:tab w:val="num" w:pos="5367"/>
        </w:tabs>
        <w:ind w:left="5367" w:hanging="360"/>
      </w:pPr>
    </w:lvl>
    <w:lvl w:ilvl="7" w:tplc="04150019">
      <w:start w:val="1"/>
      <w:numFmt w:val="decimal"/>
      <w:lvlText w:val="%8."/>
      <w:lvlJc w:val="left"/>
      <w:pPr>
        <w:tabs>
          <w:tab w:val="num" w:pos="6087"/>
        </w:tabs>
        <w:ind w:left="6087" w:hanging="360"/>
      </w:pPr>
    </w:lvl>
    <w:lvl w:ilvl="8" w:tplc="0415001B">
      <w:start w:val="1"/>
      <w:numFmt w:val="decimal"/>
      <w:lvlText w:val="%9."/>
      <w:lvlJc w:val="left"/>
      <w:pPr>
        <w:tabs>
          <w:tab w:val="num" w:pos="6807"/>
        </w:tabs>
        <w:ind w:left="6807" w:hanging="360"/>
      </w:pPr>
    </w:lvl>
  </w:abstractNum>
  <w:abstractNum w:abstractNumId="23">
    <w:nsid w:val="51461DEA"/>
    <w:multiLevelType w:val="hybridMultilevel"/>
    <w:tmpl w:val="80049DC2"/>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24">
    <w:nsid w:val="57D5579E"/>
    <w:multiLevelType w:val="hybridMultilevel"/>
    <w:tmpl w:val="0AD269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59863083"/>
    <w:multiLevelType w:val="hybridMultilevel"/>
    <w:tmpl w:val="B28ADCD0"/>
    <w:lvl w:ilvl="0" w:tplc="69624922">
      <w:start w:val="1"/>
      <w:numFmt w:val="bullet"/>
      <w:lvlText w:val=""/>
      <w:lvlJc w:val="left"/>
      <w:pPr>
        <w:tabs>
          <w:tab w:val="num" w:pos="780"/>
        </w:tabs>
        <w:ind w:left="780" w:hanging="360"/>
      </w:pPr>
      <w:rPr>
        <w:rFonts w:ascii="Symbol" w:hAnsi="Symbol" w:hint="default"/>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26">
    <w:nsid w:val="5DBB20EB"/>
    <w:multiLevelType w:val="hybridMultilevel"/>
    <w:tmpl w:val="10E6B354"/>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7">
    <w:nsid w:val="60417BAC"/>
    <w:multiLevelType w:val="hybridMultilevel"/>
    <w:tmpl w:val="7ACED012"/>
    <w:lvl w:ilvl="0" w:tplc="69624922">
      <w:start w:val="1"/>
      <w:numFmt w:val="bullet"/>
      <w:lvlText w:val=""/>
      <w:lvlJc w:val="left"/>
      <w:pPr>
        <w:tabs>
          <w:tab w:val="num" w:pos="1140"/>
        </w:tabs>
        <w:ind w:left="1140" w:hanging="360"/>
      </w:pPr>
      <w:rPr>
        <w:rFonts w:ascii="Symbol" w:hAnsi="Symbol" w:hint="default"/>
      </w:rPr>
    </w:lvl>
    <w:lvl w:ilvl="1" w:tplc="04150003" w:tentative="1">
      <w:start w:val="1"/>
      <w:numFmt w:val="bullet"/>
      <w:lvlText w:val="o"/>
      <w:lvlJc w:val="left"/>
      <w:pPr>
        <w:tabs>
          <w:tab w:val="num" w:pos="1860"/>
        </w:tabs>
        <w:ind w:left="1860" w:hanging="360"/>
      </w:pPr>
      <w:rPr>
        <w:rFonts w:ascii="Courier New" w:hAnsi="Courier New" w:cs="Courier New" w:hint="default"/>
      </w:rPr>
    </w:lvl>
    <w:lvl w:ilvl="2" w:tplc="04150005" w:tentative="1">
      <w:start w:val="1"/>
      <w:numFmt w:val="bullet"/>
      <w:lvlText w:val=""/>
      <w:lvlJc w:val="left"/>
      <w:pPr>
        <w:tabs>
          <w:tab w:val="num" w:pos="2580"/>
        </w:tabs>
        <w:ind w:left="2580" w:hanging="360"/>
      </w:pPr>
      <w:rPr>
        <w:rFonts w:ascii="Wingdings" w:hAnsi="Wingdings" w:hint="default"/>
      </w:rPr>
    </w:lvl>
    <w:lvl w:ilvl="3" w:tplc="04150001" w:tentative="1">
      <w:start w:val="1"/>
      <w:numFmt w:val="bullet"/>
      <w:lvlText w:val=""/>
      <w:lvlJc w:val="left"/>
      <w:pPr>
        <w:tabs>
          <w:tab w:val="num" w:pos="3300"/>
        </w:tabs>
        <w:ind w:left="3300" w:hanging="360"/>
      </w:pPr>
      <w:rPr>
        <w:rFonts w:ascii="Symbol" w:hAnsi="Symbol" w:hint="default"/>
      </w:rPr>
    </w:lvl>
    <w:lvl w:ilvl="4" w:tplc="04150003" w:tentative="1">
      <w:start w:val="1"/>
      <w:numFmt w:val="bullet"/>
      <w:lvlText w:val="o"/>
      <w:lvlJc w:val="left"/>
      <w:pPr>
        <w:tabs>
          <w:tab w:val="num" w:pos="4020"/>
        </w:tabs>
        <w:ind w:left="4020" w:hanging="360"/>
      </w:pPr>
      <w:rPr>
        <w:rFonts w:ascii="Courier New" w:hAnsi="Courier New" w:cs="Courier New" w:hint="default"/>
      </w:rPr>
    </w:lvl>
    <w:lvl w:ilvl="5" w:tplc="04150005" w:tentative="1">
      <w:start w:val="1"/>
      <w:numFmt w:val="bullet"/>
      <w:lvlText w:val=""/>
      <w:lvlJc w:val="left"/>
      <w:pPr>
        <w:tabs>
          <w:tab w:val="num" w:pos="4740"/>
        </w:tabs>
        <w:ind w:left="4740" w:hanging="360"/>
      </w:pPr>
      <w:rPr>
        <w:rFonts w:ascii="Wingdings" w:hAnsi="Wingdings" w:hint="default"/>
      </w:rPr>
    </w:lvl>
    <w:lvl w:ilvl="6" w:tplc="04150001" w:tentative="1">
      <w:start w:val="1"/>
      <w:numFmt w:val="bullet"/>
      <w:lvlText w:val=""/>
      <w:lvlJc w:val="left"/>
      <w:pPr>
        <w:tabs>
          <w:tab w:val="num" w:pos="5460"/>
        </w:tabs>
        <w:ind w:left="5460" w:hanging="360"/>
      </w:pPr>
      <w:rPr>
        <w:rFonts w:ascii="Symbol" w:hAnsi="Symbol" w:hint="default"/>
      </w:rPr>
    </w:lvl>
    <w:lvl w:ilvl="7" w:tplc="04150003" w:tentative="1">
      <w:start w:val="1"/>
      <w:numFmt w:val="bullet"/>
      <w:lvlText w:val="o"/>
      <w:lvlJc w:val="left"/>
      <w:pPr>
        <w:tabs>
          <w:tab w:val="num" w:pos="6180"/>
        </w:tabs>
        <w:ind w:left="6180" w:hanging="360"/>
      </w:pPr>
      <w:rPr>
        <w:rFonts w:ascii="Courier New" w:hAnsi="Courier New" w:cs="Courier New" w:hint="default"/>
      </w:rPr>
    </w:lvl>
    <w:lvl w:ilvl="8" w:tplc="04150005" w:tentative="1">
      <w:start w:val="1"/>
      <w:numFmt w:val="bullet"/>
      <w:lvlText w:val=""/>
      <w:lvlJc w:val="left"/>
      <w:pPr>
        <w:tabs>
          <w:tab w:val="num" w:pos="6900"/>
        </w:tabs>
        <w:ind w:left="6900" w:hanging="360"/>
      </w:pPr>
      <w:rPr>
        <w:rFonts w:ascii="Wingdings" w:hAnsi="Wingdings" w:hint="default"/>
      </w:rPr>
    </w:lvl>
  </w:abstractNum>
  <w:abstractNum w:abstractNumId="28">
    <w:nsid w:val="605729A9"/>
    <w:multiLevelType w:val="hybridMultilevel"/>
    <w:tmpl w:val="E06E7A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61DD2B62"/>
    <w:multiLevelType w:val="hybridMultilevel"/>
    <w:tmpl w:val="9CBC53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62C56F97"/>
    <w:multiLevelType w:val="hybridMultilevel"/>
    <w:tmpl w:val="07FCC908"/>
    <w:lvl w:ilvl="0" w:tplc="04150017">
      <w:start w:val="1"/>
      <w:numFmt w:val="lowerLetter"/>
      <w:lvlText w:val="%1)"/>
      <w:lvlJc w:val="left"/>
      <w:pPr>
        <w:ind w:left="780" w:hanging="360"/>
      </w:pPr>
    </w:lvl>
    <w:lvl w:ilvl="1" w:tplc="04150019" w:tentative="1">
      <w:start w:val="1"/>
      <w:numFmt w:val="lowerLetter"/>
      <w:lvlText w:val="%2."/>
      <w:lvlJc w:val="left"/>
      <w:pPr>
        <w:tabs>
          <w:tab w:val="num" w:pos="1860"/>
        </w:tabs>
        <w:ind w:left="1860" w:hanging="360"/>
      </w:pPr>
    </w:lvl>
    <w:lvl w:ilvl="2" w:tplc="0415001B" w:tentative="1">
      <w:start w:val="1"/>
      <w:numFmt w:val="lowerRoman"/>
      <w:lvlText w:val="%3."/>
      <w:lvlJc w:val="right"/>
      <w:pPr>
        <w:tabs>
          <w:tab w:val="num" w:pos="2580"/>
        </w:tabs>
        <w:ind w:left="2580" w:hanging="180"/>
      </w:pPr>
    </w:lvl>
    <w:lvl w:ilvl="3" w:tplc="0415000F" w:tentative="1">
      <w:start w:val="1"/>
      <w:numFmt w:val="decimal"/>
      <w:lvlText w:val="%4."/>
      <w:lvlJc w:val="left"/>
      <w:pPr>
        <w:tabs>
          <w:tab w:val="num" w:pos="3300"/>
        </w:tabs>
        <w:ind w:left="3300" w:hanging="360"/>
      </w:pPr>
    </w:lvl>
    <w:lvl w:ilvl="4" w:tplc="04150019" w:tentative="1">
      <w:start w:val="1"/>
      <w:numFmt w:val="lowerLetter"/>
      <w:lvlText w:val="%5."/>
      <w:lvlJc w:val="left"/>
      <w:pPr>
        <w:tabs>
          <w:tab w:val="num" w:pos="4020"/>
        </w:tabs>
        <w:ind w:left="4020" w:hanging="360"/>
      </w:pPr>
    </w:lvl>
    <w:lvl w:ilvl="5" w:tplc="0415001B" w:tentative="1">
      <w:start w:val="1"/>
      <w:numFmt w:val="lowerRoman"/>
      <w:lvlText w:val="%6."/>
      <w:lvlJc w:val="right"/>
      <w:pPr>
        <w:tabs>
          <w:tab w:val="num" w:pos="4740"/>
        </w:tabs>
        <w:ind w:left="4740" w:hanging="180"/>
      </w:pPr>
    </w:lvl>
    <w:lvl w:ilvl="6" w:tplc="0415000F" w:tentative="1">
      <w:start w:val="1"/>
      <w:numFmt w:val="decimal"/>
      <w:lvlText w:val="%7."/>
      <w:lvlJc w:val="left"/>
      <w:pPr>
        <w:tabs>
          <w:tab w:val="num" w:pos="5460"/>
        </w:tabs>
        <w:ind w:left="5460" w:hanging="360"/>
      </w:pPr>
    </w:lvl>
    <w:lvl w:ilvl="7" w:tplc="04150019" w:tentative="1">
      <w:start w:val="1"/>
      <w:numFmt w:val="lowerLetter"/>
      <w:lvlText w:val="%8."/>
      <w:lvlJc w:val="left"/>
      <w:pPr>
        <w:tabs>
          <w:tab w:val="num" w:pos="6180"/>
        </w:tabs>
        <w:ind w:left="6180" w:hanging="360"/>
      </w:pPr>
    </w:lvl>
    <w:lvl w:ilvl="8" w:tplc="0415001B" w:tentative="1">
      <w:start w:val="1"/>
      <w:numFmt w:val="lowerRoman"/>
      <w:lvlText w:val="%9."/>
      <w:lvlJc w:val="right"/>
      <w:pPr>
        <w:tabs>
          <w:tab w:val="num" w:pos="6900"/>
        </w:tabs>
        <w:ind w:left="6900" w:hanging="180"/>
      </w:pPr>
    </w:lvl>
  </w:abstractNum>
  <w:abstractNum w:abstractNumId="31">
    <w:nsid w:val="644D39E5"/>
    <w:multiLevelType w:val="hybridMultilevel"/>
    <w:tmpl w:val="B6B6FEB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68B771FE"/>
    <w:multiLevelType w:val="hybridMultilevel"/>
    <w:tmpl w:val="1214FC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6FCE0E0A"/>
    <w:multiLevelType w:val="hybridMultilevel"/>
    <w:tmpl w:val="AC20F50C"/>
    <w:lvl w:ilvl="0" w:tplc="059806A0">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6FFD0546"/>
    <w:multiLevelType w:val="hybridMultilevel"/>
    <w:tmpl w:val="EFCC1B3A"/>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5">
    <w:nsid w:val="70CF7D78"/>
    <w:multiLevelType w:val="hybridMultilevel"/>
    <w:tmpl w:val="EC5C07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7B164B50"/>
    <w:multiLevelType w:val="hybridMultilevel"/>
    <w:tmpl w:val="16C045B8"/>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num w:numId="1">
    <w:abstractNumId w:val="24"/>
  </w:num>
  <w:num w:numId="2">
    <w:abstractNumId w:val="14"/>
  </w:num>
  <w:num w:numId="3">
    <w:abstractNumId w:val="7"/>
  </w:num>
  <w:num w:numId="4">
    <w:abstractNumId w:val="1"/>
  </w:num>
  <w:num w:numId="5">
    <w:abstractNumId w:val="29"/>
  </w:num>
  <w:num w:numId="6">
    <w:abstractNumId w:val="2"/>
  </w:num>
  <w:num w:numId="7">
    <w:abstractNumId w:val="12"/>
  </w:num>
  <w:num w:numId="8">
    <w:abstractNumId w:val="21"/>
  </w:num>
  <w:num w:numId="9">
    <w:abstractNumId w:val="8"/>
  </w:num>
  <w:num w:numId="10">
    <w:abstractNumId w:val="23"/>
  </w:num>
  <w:num w:numId="11">
    <w:abstractNumId w:val="16"/>
  </w:num>
  <w:num w:numId="12">
    <w:abstractNumId w:val="22"/>
  </w:num>
  <w:num w:numId="13">
    <w:abstractNumId w:val="5"/>
  </w:num>
  <w:num w:numId="14">
    <w:abstractNumId w:val="15"/>
  </w:num>
  <w:num w:numId="15">
    <w:abstractNumId w:val="30"/>
  </w:num>
  <w:num w:numId="16">
    <w:abstractNumId w:val="25"/>
  </w:num>
  <w:num w:numId="17">
    <w:abstractNumId w:val="27"/>
  </w:num>
  <w:num w:numId="18">
    <w:abstractNumId w:val="9"/>
  </w:num>
  <w:num w:numId="19">
    <w:abstractNumId w:val="34"/>
  </w:num>
  <w:num w:numId="20">
    <w:abstractNumId w:val="36"/>
  </w:num>
  <w:num w:numId="21">
    <w:abstractNumId w:val="26"/>
  </w:num>
  <w:num w:numId="22">
    <w:abstractNumId w:val="10"/>
  </w:num>
  <w:num w:numId="23">
    <w:abstractNumId w:val="18"/>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3"/>
  </w:num>
  <w:num w:numId="27">
    <w:abstractNumId w:val="11"/>
  </w:num>
  <w:num w:numId="28">
    <w:abstractNumId w:val="28"/>
  </w:num>
  <w:num w:numId="29">
    <w:abstractNumId w:val="4"/>
  </w:num>
  <w:num w:numId="30">
    <w:abstractNumId w:val="6"/>
  </w:num>
  <w:num w:numId="31">
    <w:abstractNumId w:val="35"/>
  </w:num>
  <w:num w:numId="32">
    <w:abstractNumId w:val="3"/>
  </w:num>
  <w:num w:numId="33">
    <w:abstractNumId w:val="32"/>
  </w:num>
  <w:num w:numId="34">
    <w:abstractNumId w:val="31"/>
  </w:num>
  <w:num w:numId="35">
    <w:abstractNumId w:val="17"/>
  </w:num>
  <w:num w:numId="36">
    <w:abstractNumId w:val="33"/>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895"/>
    <w:rsid w:val="00056E79"/>
    <w:rsid w:val="000A0E84"/>
    <w:rsid w:val="000F5CC4"/>
    <w:rsid w:val="0010696D"/>
    <w:rsid w:val="0019205D"/>
    <w:rsid w:val="00293818"/>
    <w:rsid w:val="002D3299"/>
    <w:rsid w:val="00392C21"/>
    <w:rsid w:val="003938F7"/>
    <w:rsid w:val="003F6C95"/>
    <w:rsid w:val="00453BA3"/>
    <w:rsid w:val="004E0A95"/>
    <w:rsid w:val="004F3862"/>
    <w:rsid w:val="005A3FD3"/>
    <w:rsid w:val="005F4005"/>
    <w:rsid w:val="006466AC"/>
    <w:rsid w:val="006D2118"/>
    <w:rsid w:val="00725B90"/>
    <w:rsid w:val="00726F0A"/>
    <w:rsid w:val="00727934"/>
    <w:rsid w:val="007455B5"/>
    <w:rsid w:val="007E26CA"/>
    <w:rsid w:val="00874676"/>
    <w:rsid w:val="00882207"/>
    <w:rsid w:val="008D1573"/>
    <w:rsid w:val="008F6235"/>
    <w:rsid w:val="009D78F9"/>
    <w:rsid w:val="009E788D"/>
    <w:rsid w:val="009F03C5"/>
    <w:rsid w:val="00AB053F"/>
    <w:rsid w:val="00CC0397"/>
    <w:rsid w:val="00CF08F2"/>
    <w:rsid w:val="00D033A0"/>
    <w:rsid w:val="00D03895"/>
    <w:rsid w:val="00DF4048"/>
    <w:rsid w:val="00F24872"/>
    <w:rsid w:val="00F736BD"/>
    <w:rsid w:val="00FD61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qFormat/>
    <w:rsid w:val="00CF08F2"/>
    <w:pPr>
      <w:keepNext/>
      <w:spacing w:before="240" w:after="60" w:line="240" w:lineRule="auto"/>
      <w:outlineLvl w:val="0"/>
    </w:pPr>
    <w:rPr>
      <w:rFonts w:ascii="Arial" w:eastAsia="Times New Roman" w:hAnsi="Arial" w:cs="Arial"/>
      <w:b/>
      <w:bCs/>
      <w:kern w:val="32"/>
      <w:sz w:val="32"/>
      <w:szCs w:val="32"/>
      <w:lang w:eastAsia="pl-PL"/>
    </w:rPr>
  </w:style>
  <w:style w:type="paragraph" w:styleId="Nagwek2">
    <w:name w:val="heading 2"/>
    <w:basedOn w:val="Normalny"/>
    <w:next w:val="Normalny"/>
    <w:link w:val="Nagwek2Znak"/>
    <w:semiHidden/>
    <w:unhideWhenUsed/>
    <w:qFormat/>
    <w:rsid w:val="00CF08F2"/>
    <w:pPr>
      <w:keepNext/>
      <w:spacing w:before="240" w:after="60"/>
      <w:outlineLvl w:val="1"/>
    </w:pPr>
    <w:rPr>
      <w:rFonts w:ascii="Cambria" w:eastAsia="Times New Roman" w:hAnsi="Cambria" w:cs="Times New Roman"/>
      <w:b/>
      <w:bCs/>
      <w:i/>
      <w:iCs/>
      <w:sz w:val="28"/>
      <w:szCs w:val="28"/>
    </w:rPr>
  </w:style>
  <w:style w:type="paragraph" w:styleId="Nagwek3">
    <w:name w:val="heading 3"/>
    <w:basedOn w:val="Normalny"/>
    <w:next w:val="Normalny"/>
    <w:link w:val="Nagwek3Znak"/>
    <w:qFormat/>
    <w:rsid w:val="00CF08F2"/>
    <w:pPr>
      <w:keepNext/>
      <w:spacing w:before="240" w:after="60" w:line="240" w:lineRule="auto"/>
      <w:outlineLvl w:val="2"/>
    </w:pPr>
    <w:rPr>
      <w:rFonts w:ascii="Arial" w:eastAsia="Times New Roman" w:hAnsi="Arial" w:cs="Arial"/>
      <w:b/>
      <w:bCs/>
      <w:sz w:val="26"/>
      <w:szCs w:val="26"/>
      <w:lang w:eastAsia="pl-PL"/>
    </w:rPr>
  </w:style>
  <w:style w:type="paragraph" w:styleId="Nagwek6">
    <w:name w:val="heading 6"/>
    <w:basedOn w:val="Normalny"/>
    <w:next w:val="Normalny"/>
    <w:link w:val="Nagwek6Znak"/>
    <w:uiPriority w:val="9"/>
    <w:semiHidden/>
    <w:unhideWhenUsed/>
    <w:qFormat/>
    <w:rsid w:val="00392C2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5F400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F4005"/>
    <w:rPr>
      <w:bCs/>
    </w:rPr>
  </w:style>
  <w:style w:type="paragraph" w:customStyle="1" w:styleId="PKTpunkt">
    <w:name w:val="PKT – punkt"/>
    <w:uiPriority w:val="13"/>
    <w:qFormat/>
    <w:rsid w:val="005F4005"/>
    <w:pPr>
      <w:spacing w:after="0" w:line="360" w:lineRule="auto"/>
      <w:ind w:left="510" w:hanging="510"/>
      <w:jc w:val="both"/>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9D78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78F9"/>
  </w:style>
  <w:style w:type="paragraph" w:styleId="Stopka">
    <w:name w:val="footer"/>
    <w:basedOn w:val="Normalny"/>
    <w:link w:val="StopkaZnak"/>
    <w:uiPriority w:val="99"/>
    <w:unhideWhenUsed/>
    <w:rsid w:val="009D78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78F9"/>
  </w:style>
  <w:style w:type="paragraph" w:styleId="Tekstprzypisudolnego">
    <w:name w:val="footnote text"/>
    <w:basedOn w:val="Normalny"/>
    <w:link w:val="TekstprzypisudolnegoZnak"/>
    <w:uiPriority w:val="99"/>
    <w:semiHidden/>
    <w:unhideWhenUsed/>
    <w:rsid w:val="00CF08F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F08F2"/>
    <w:rPr>
      <w:sz w:val="20"/>
      <w:szCs w:val="20"/>
    </w:rPr>
  </w:style>
  <w:style w:type="character" w:styleId="Odwoanieprzypisudolnego">
    <w:name w:val="footnote reference"/>
    <w:uiPriority w:val="99"/>
    <w:semiHidden/>
    <w:unhideWhenUsed/>
    <w:rsid w:val="00CF08F2"/>
    <w:rPr>
      <w:vertAlign w:val="superscript"/>
    </w:rPr>
  </w:style>
  <w:style w:type="character" w:customStyle="1" w:styleId="Nagwek1Znak">
    <w:name w:val="Nagłówek 1 Znak"/>
    <w:basedOn w:val="Domylnaczcionkaakapitu"/>
    <w:link w:val="Nagwek1"/>
    <w:rsid w:val="00CF08F2"/>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semiHidden/>
    <w:rsid w:val="00CF08F2"/>
    <w:rPr>
      <w:rFonts w:ascii="Cambria" w:eastAsia="Times New Roman" w:hAnsi="Cambria" w:cs="Times New Roman"/>
      <w:b/>
      <w:bCs/>
      <w:i/>
      <w:iCs/>
      <w:sz w:val="28"/>
      <w:szCs w:val="28"/>
    </w:rPr>
  </w:style>
  <w:style w:type="character" w:customStyle="1" w:styleId="Nagwek3Znak">
    <w:name w:val="Nagłówek 3 Znak"/>
    <w:basedOn w:val="Domylnaczcionkaakapitu"/>
    <w:link w:val="Nagwek3"/>
    <w:rsid w:val="00CF08F2"/>
    <w:rPr>
      <w:rFonts w:ascii="Arial" w:eastAsia="Times New Roman" w:hAnsi="Arial" w:cs="Arial"/>
      <w:b/>
      <w:bCs/>
      <w:sz w:val="26"/>
      <w:szCs w:val="26"/>
      <w:lang w:eastAsia="pl-PL"/>
    </w:rPr>
  </w:style>
  <w:style w:type="numbering" w:customStyle="1" w:styleId="Bezlisty1">
    <w:name w:val="Bez listy1"/>
    <w:next w:val="Bezlisty"/>
    <w:uiPriority w:val="99"/>
    <w:semiHidden/>
    <w:unhideWhenUsed/>
    <w:rsid w:val="00CF08F2"/>
  </w:style>
  <w:style w:type="table" w:styleId="Tabela-Siatka">
    <w:name w:val="Table Grid"/>
    <w:basedOn w:val="Standardowy"/>
    <w:uiPriority w:val="99"/>
    <w:rsid w:val="00CF08F2"/>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CF08F2"/>
    <w:pPr>
      <w:spacing w:after="0" w:line="240" w:lineRule="auto"/>
    </w:pPr>
    <w:rPr>
      <w:rFonts w:ascii="Tahoma" w:eastAsia="Calibri" w:hAnsi="Tahoma" w:cs="Tahoma"/>
      <w:sz w:val="16"/>
      <w:szCs w:val="16"/>
    </w:rPr>
  </w:style>
  <w:style w:type="character" w:customStyle="1" w:styleId="TekstdymkaZnak">
    <w:name w:val="Tekst dymka Znak"/>
    <w:basedOn w:val="Domylnaczcionkaakapitu"/>
    <w:link w:val="Tekstdymka"/>
    <w:uiPriority w:val="99"/>
    <w:semiHidden/>
    <w:rsid w:val="00CF08F2"/>
    <w:rPr>
      <w:rFonts w:ascii="Tahoma" w:eastAsia="Calibri" w:hAnsi="Tahoma" w:cs="Tahoma"/>
      <w:sz w:val="16"/>
      <w:szCs w:val="16"/>
    </w:rPr>
  </w:style>
  <w:style w:type="paragraph" w:styleId="Tekstprzypisukocowego">
    <w:name w:val="endnote text"/>
    <w:basedOn w:val="Normalny"/>
    <w:link w:val="TekstprzypisukocowegoZnak"/>
    <w:uiPriority w:val="99"/>
    <w:semiHidden/>
    <w:unhideWhenUsed/>
    <w:rsid w:val="00CF08F2"/>
    <w:pPr>
      <w:spacing w:after="0" w:line="240" w:lineRule="auto"/>
    </w:pPr>
    <w:rPr>
      <w:rFonts w:ascii="Calibri" w:eastAsia="Calibri" w:hAnsi="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CF08F2"/>
    <w:rPr>
      <w:rFonts w:ascii="Calibri" w:eastAsia="Calibri" w:hAnsi="Calibri" w:cs="Times New Roman"/>
      <w:sz w:val="20"/>
      <w:szCs w:val="20"/>
    </w:rPr>
  </w:style>
  <w:style w:type="character" w:styleId="Odwoanieprzypisukocowego">
    <w:name w:val="endnote reference"/>
    <w:uiPriority w:val="99"/>
    <w:semiHidden/>
    <w:unhideWhenUsed/>
    <w:rsid w:val="00CF08F2"/>
    <w:rPr>
      <w:vertAlign w:val="superscript"/>
    </w:rPr>
  </w:style>
  <w:style w:type="paragraph" w:styleId="Akapitzlist">
    <w:name w:val="List Paragraph"/>
    <w:basedOn w:val="Normalny"/>
    <w:uiPriority w:val="34"/>
    <w:qFormat/>
    <w:rsid w:val="00CF08F2"/>
    <w:pPr>
      <w:spacing w:after="0"/>
      <w:ind w:left="720"/>
      <w:contextualSpacing/>
    </w:pPr>
    <w:rPr>
      <w:rFonts w:ascii="Calibri" w:eastAsia="Calibri" w:hAnsi="Calibri" w:cs="Times New Roman"/>
    </w:rPr>
  </w:style>
  <w:style w:type="character" w:styleId="Odwoaniedokomentarza">
    <w:name w:val="annotation reference"/>
    <w:uiPriority w:val="99"/>
    <w:semiHidden/>
    <w:unhideWhenUsed/>
    <w:rsid w:val="00CF08F2"/>
    <w:rPr>
      <w:sz w:val="16"/>
      <w:szCs w:val="16"/>
    </w:rPr>
  </w:style>
  <w:style w:type="paragraph" w:styleId="Tekstkomentarza">
    <w:name w:val="annotation text"/>
    <w:basedOn w:val="Normalny"/>
    <w:link w:val="TekstkomentarzaZnak"/>
    <w:uiPriority w:val="99"/>
    <w:semiHidden/>
    <w:unhideWhenUsed/>
    <w:rsid w:val="00CF08F2"/>
    <w:pPr>
      <w:spacing w:after="0"/>
    </w:pPr>
    <w:rPr>
      <w:rFonts w:ascii="Calibri" w:eastAsia="Calibri" w:hAnsi="Calibri" w:cs="Times New Roman"/>
      <w:sz w:val="20"/>
      <w:szCs w:val="20"/>
    </w:rPr>
  </w:style>
  <w:style w:type="character" w:customStyle="1" w:styleId="TekstkomentarzaZnak">
    <w:name w:val="Tekst komentarza Znak"/>
    <w:basedOn w:val="Domylnaczcionkaakapitu"/>
    <w:link w:val="Tekstkomentarza"/>
    <w:uiPriority w:val="99"/>
    <w:semiHidden/>
    <w:rsid w:val="00CF08F2"/>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CF08F2"/>
    <w:rPr>
      <w:b/>
      <w:bCs/>
    </w:rPr>
  </w:style>
  <w:style w:type="character" w:customStyle="1" w:styleId="TematkomentarzaZnak">
    <w:name w:val="Temat komentarza Znak"/>
    <w:basedOn w:val="TekstkomentarzaZnak"/>
    <w:link w:val="Tematkomentarza"/>
    <w:uiPriority w:val="99"/>
    <w:semiHidden/>
    <w:rsid w:val="00CF08F2"/>
    <w:rPr>
      <w:rFonts w:ascii="Calibri" w:eastAsia="Calibri" w:hAnsi="Calibri" w:cs="Times New Roman"/>
      <w:b/>
      <w:bCs/>
      <w:sz w:val="20"/>
      <w:szCs w:val="20"/>
    </w:rPr>
  </w:style>
  <w:style w:type="character" w:styleId="Hipercze">
    <w:name w:val="Hyperlink"/>
    <w:uiPriority w:val="99"/>
    <w:unhideWhenUsed/>
    <w:rsid w:val="00CF08F2"/>
    <w:rPr>
      <w:color w:val="0000FF"/>
      <w:u w:val="single"/>
    </w:rPr>
  </w:style>
  <w:style w:type="character" w:styleId="UyteHipercze">
    <w:name w:val="FollowedHyperlink"/>
    <w:uiPriority w:val="99"/>
    <w:semiHidden/>
    <w:unhideWhenUsed/>
    <w:rsid w:val="00CF08F2"/>
    <w:rPr>
      <w:color w:val="800080"/>
      <w:u w:val="single"/>
    </w:rPr>
  </w:style>
  <w:style w:type="paragraph" w:styleId="NormalnyWeb">
    <w:name w:val="Normal (Web)"/>
    <w:basedOn w:val="Normalny"/>
    <w:uiPriority w:val="99"/>
    <w:semiHidden/>
    <w:unhideWhenUsed/>
    <w:rsid w:val="00CF08F2"/>
    <w:pPr>
      <w:spacing w:before="100" w:beforeAutospacing="1" w:after="100" w:afterAutospacing="1" w:line="240" w:lineRule="auto"/>
    </w:pPr>
    <w:rPr>
      <w:rFonts w:ascii="Times New Roman" w:eastAsia="Times New Roman" w:hAnsi="Times New Roman" w:cs="Times New Roman"/>
      <w:sz w:val="20"/>
      <w:szCs w:val="20"/>
      <w:lang w:eastAsia="pl-PL"/>
    </w:rPr>
  </w:style>
  <w:style w:type="character" w:styleId="Pogrubienie">
    <w:name w:val="Strong"/>
    <w:uiPriority w:val="22"/>
    <w:qFormat/>
    <w:rsid w:val="00CF08F2"/>
    <w:rPr>
      <w:b/>
      <w:bCs/>
    </w:rPr>
  </w:style>
  <w:style w:type="table" w:styleId="Jasnecieniowanieakcent1">
    <w:name w:val="Light Shading Accent 1"/>
    <w:basedOn w:val="Standardowy"/>
    <w:uiPriority w:val="60"/>
    <w:rsid w:val="00CF08F2"/>
    <w:pPr>
      <w:spacing w:after="0" w:line="240" w:lineRule="auto"/>
    </w:pPr>
    <w:rPr>
      <w:rFonts w:ascii="Calibri" w:eastAsia="Calibri" w:hAnsi="Calibri" w:cs="Times New Roman"/>
      <w:color w:val="365F91"/>
      <w:sz w:val="20"/>
      <w:szCs w:val="20"/>
      <w:lang w:eastAsia="pl-P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hps">
    <w:name w:val="hps"/>
    <w:rsid w:val="00CF08F2"/>
  </w:style>
  <w:style w:type="character" w:customStyle="1" w:styleId="Nagwek6Znak">
    <w:name w:val="Nagłówek 6 Znak"/>
    <w:basedOn w:val="Domylnaczcionkaakapitu"/>
    <w:link w:val="Nagwek6"/>
    <w:uiPriority w:val="9"/>
    <w:semiHidden/>
    <w:rsid w:val="00392C21"/>
    <w:rPr>
      <w:rFonts w:asciiTheme="majorHAnsi" w:eastAsiaTheme="majorEastAsia" w:hAnsiTheme="majorHAnsi" w:cstheme="majorBidi"/>
      <w:i/>
      <w:iCs/>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qFormat/>
    <w:rsid w:val="00CF08F2"/>
    <w:pPr>
      <w:keepNext/>
      <w:spacing w:before="240" w:after="60" w:line="240" w:lineRule="auto"/>
      <w:outlineLvl w:val="0"/>
    </w:pPr>
    <w:rPr>
      <w:rFonts w:ascii="Arial" w:eastAsia="Times New Roman" w:hAnsi="Arial" w:cs="Arial"/>
      <w:b/>
      <w:bCs/>
      <w:kern w:val="32"/>
      <w:sz w:val="32"/>
      <w:szCs w:val="32"/>
      <w:lang w:eastAsia="pl-PL"/>
    </w:rPr>
  </w:style>
  <w:style w:type="paragraph" w:styleId="Nagwek2">
    <w:name w:val="heading 2"/>
    <w:basedOn w:val="Normalny"/>
    <w:next w:val="Normalny"/>
    <w:link w:val="Nagwek2Znak"/>
    <w:semiHidden/>
    <w:unhideWhenUsed/>
    <w:qFormat/>
    <w:rsid w:val="00CF08F2"/>
    <w:pPr>
      <w:keepNext/>
      <w:spacing w:before="240" w:after="60"/>
      <w:outlineLvl w:val="1"/>
    </w:pPr>
    <w:rPr>
      <w:rFonts w:ascii="Cambria" w:eastAsia="Times New Roman" w:hAnsi="Cambria" w:cs="Times New Roman"/>
      <w:b/>
      <w:bCs/>
      <w:i/>
      <w:iCs/>
      <w:sz w:val="28"/>
      <w:szCs w:val="28"/>
    </w:rPr>
  </w:style>
  <w:style w:type="paragraph" w:styleId="Nagwek3">
    <w:name w:val="heading 3"/>
    <w:basedOn w:val="Normalny"/>
    <w:next w:val="Normalny"/>
    <w:link w:val="Nagwek3Znak"/>
    <w:qFormat/>
    <w:rsid w:val="00CF08F2"/>
    <w:pPr>
      <w:keepNext/>
      <w:spacing w:before="240" w:after="60" w:line="240" w:lineRule="auto"/>
      <w:outlineLvl w:val="2"/>
    </w:pPr>
    <w:rPr>
      <w:rFonts w:ascii="Arial" w:eastAsia="Times New Roman" w:hAnsi="Arial" w:cs="Arial"/>
      <w:b/>
      <w:bCs/>
      <w:sz w:val="26"/>
      <w:szCs w:val="26"/>
      <w:lang w:eastAsia="pl-PL"/>
    </w:rPr>
  </w:style>
  <w:style w:type="paragraph" w:styleId="Nagwek6">
    <w:name w:val="heading 6"/>
    <w:basedOn w:val="Normalny"/>
    <w:next w:val="Normalny"/>
    <w:link w:val="Nagwek6Znak"/>
    <w:uiPriority w:val="9"/>
    <w:semiHidden/>
    <w:unhideWhenUsed/>
    <w:qFormat/>
    <w:rsid w:val="00392C2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5F400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F4005"/>
    <w:rPr>
      <w:bCs/>
    </w:rPr>
  </w:style>
  <w:style w:type="paragraph" w:customStyle="1" w:styleId="PKTpunkt">
    <w:name w:val="PKT – punkt"/>
    <w:uiPriority w:val="13"/>
    <w:qFormat/>
    <w:rsid w:val="005F4005"/>
    <w:pPr>
      <w:spacing w:after="0" w:line="360" w:lineRule="auto"/>
      <w:ind w:left="510" w:hanging="510"/>
      <w:jc w:val="both"/>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9D78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78F9"/>
  </w:style>
  <w:style w:type="paragraph" w:styleId="Stopka">
    <w:name w:val="footer"/>
    <w:basedOn w:val="Normalny"/>
    <w:link w:val="StopkaZnak"/>
    <w:uiPriority w:val="99"/>
    <w:unhideWhenUsed/>
    <w:rsid w:val="009D78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78F9"/>
  </w:style>
  <w:style w:type="paragraph" w:styleId="Tekstprzypisudolnego">
    <w:name w:val="footnote text"/>
    <w:basedOn w:val="Normalny"/>
    <w:link w:val="TekstprzypisudolnegoZnak"/>
    <w:uiPriority w:val="99"/>
    <w:semiHidden/>
    <w:unhideWhenUsed/>
    <w:rsid w:val="00CF08F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F08F2"/>
    <w:rPr>
      <w:sz w:val="20"/>
      <w:szCs w:val="20"/>
    </w:rPr>
  </w:style>
  <w:style w:type="character" w:styleId="Odwoanieprzypisudolnego">
    <w:name w:val="footnote reference"/>
    <w:uiPriority w:val="99"/>
    <w:semiHidden/>
    <w:unhideWhenUsed/>
    <w:rsid w:val="00CF08F2"/>
    <w:rPr>
      <w:vertAlign w:val="superscript"/>
    </w:rPr>
  </w:style>
  <w:style w:type="character" w:customStyle="1" w:styleId="Nagwek1Znak">
    <w:name w:val="Nagłówek 1 Znak"/>
    <w:basedOn w:val="Domylnaczcionkaakapitu"/>
    <w:link w:val="Nagwek1"/>
    <w:rsid w:val="00CF08F2"/>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semiHidden/>
    <w:rsid w:val="00CF08F2"/>
    <w:rPr>
      <w:rFonts w:ascii="Cambria" w:eastAsia="Times New Roman" w:hAnsi="Cambria" w:cs="Times New Roman"/>
      <w:b/>
      <w:bCs/>
      <w:i/>
      <w:iCs/>
      <w:sz w:val="28"/>
      <w:szCs w:val="28"/>
    </w:rPr>
  </w:style>
  <w:style w:type="character" w:customStyle="1" w:styleId="Nagwek3Znak">
    <w:name w:val="Nagłówek 3 Znak"/>
    <w:basedOn w:val="Domylnaczcionkaakapitu"/>
    <w:link w:val="Nagwek3"/>
    <w:rsid w:val="00CF08F2"/>
    <w:rPr>
      <w:rFonts w:ascii="Arial" w:eastAsia="Times New Roman" w:hAnsi="Arial" w:cs="Arial"/>
      <w:b/>
      <w:bCs/>
      <w:sz w:val="26"/>
      <w:szCs w:val="26"/>
      <w:lang w:eastAsia="pl-PL"/>
    </w:rPr>
  </w:style>
  <w:style w:type="numbering" w:customStyle="1" w:styleId="Bezlisty1">
    <w:name w:val="Bez listy1"/>
    <w:next w:val="Bezlisty"/>
    <w:uiPriority w:val="99"/>
    <w:semiHidden/>
    <w:unhideWhenUsed/>
    <w:rsid w:val="00CF08F2"/>
  </w:style>
  <w:style w:type="table" w:styleId="Tabela-Siatka">
    <w:name w:val="Table Grid"/>
    <w:basedOn w:val="Standardowy"/>
    <w:uiPriority w:val="99"/>
    <w:rsid w:val="00CF08F2"/>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CF08F2"/>
    <w:pPr>
      <w:spacing w:after="0" w:line="240" w:lineRule="auto"/>
    </w:pPr>
    <w:rPr>
      <w:rFonts w:ascii="Tahoma" w:eastAsia="Calibri" w:hAnsi="Tahoma" w:cs="Tahoma"/>
      <w:sz w:val="16"/>
      <w:szCs w:val="16"/>
    </w:rPr>
  </w:style>
  <w:style w:type="character" w:customStyle="1" w:styleId="TekstdymkaZnak">
    <w:name w:val="Tekst dymka Znak"/>
    <w:basedOn w:val="Domylnaczcionkaakapitu"/>
    <w:link w:val="Tekstdymka"/>
    <w:uiPriority w:val="99"/>
    <w:semiHidden/>
    <w:rsid w:val="00CF08F2"/>
    <w:rPr>
      <w:rFonts w:ascii="Tahoma" w:eastAsia="Calibri" w:hAnsi="Tahoma" w:cs="Tahoma"/>
      <w:sz w:val="16"/>
      <w:szCs w:val="16"/>
    </w:rPr>
  </w:style>
  <w:style w:type="paragraph" w:styleId="Tekstprzypisukocowego">
    <w:name w:val="endnote text"/>
    <w:basedOn w:val="Normalny"/>
    <w:link w:val="TekstprzypisukocowegoZnak"/>
    <w:uiPriority w:val="99"/>
    <w:semiHidden/>
    <w:unhideWhenUsed/>
    <w:rsid w:val="00CF08F2"/>
    <w:pPr>
      <w:spacing w:after="0" w:line="240" w:lineRule="auto"/>
    </w:pPr>
    <w:rPr>
      <w:rFonts w:ascii="Calibri" w:eastAsia="Calibri" w:hAnsi="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CF08F2"/>
    <w:rPr>
      <w:rFonts w:ascii="Calibri" w:eastAsia="Calibri" w:hAnsi="Calibri" w:cs="Times New Roman"/>
      <w:sz w:val="20"/>
      <w:szCs w:val="20"/>
    </w:rPr>
  </w:style>
  <w:style w:type="character" w:styleId="Odwoanieprzypisukocowego">
    <w:name w:val="endnote reference"/>
    <w:uiPriority w:val="99"/>
    <w:semiHidden/>
    <w:unhideWhenUsed/>
    <w:rsid w:val="00CF08F2"/>
    <w:rPr>
      <w:vertAlign w:val="superscript"/>
    </w:rPr>
  </w:style>
  <w:style w:type="paragraph" w:styleId="Akapitzlist">
    <w:name w:val="List Paragraph"/>
    <w:basedOn w:val="Normalny"/>
    <w:uiPriority w:val="34"/>
    <w:qFormat/>
    <w:rsid w:val="00CF08F2"/>
    <w:pPr>
      <w:spacing w:after="0"/>
      <w:ind w:left="720"/>
      <w:contextualSpacing/>
    </w:pPr>
    <w:rPr>
      <w:rFonts w:ascii="Calibri" w:eastAsia="Calibri" w:hAnsi="Calibri" w:cs="Times New Roman"/>
    </w:rPr>
  </w:style>
  <w:style w:type="character" w:styleId="Odwoaniedokomentarza">
    <w:name w:val="annotation reference"/>
    <w:uiPriority w:val="99"/>
    <w:semiHidden/>
    <w:unhideWhenUsed/>
    <w:rsid w:val="00CF08F2"/>
    <w:rPr>
      <w:sz w:val="16"/>
      <w:szCs w:val="16"/>
    </w:rPr>
  </w:style>
  <w:style w:type="paragraph" w:styleId="Tekstkomentarza">
    <w:name w:val="annotation text"/>
    <w:basedOn w:val="Normalny"/>
    <w:link w:val="TekstkomentarzaZnak"/>
    <w:uiPriority w:val="99"/>
    <w:semiHidden/>
    <w:unhideWhenUsed/>
    <w:rsid w:val="00CF08F2"/>
    <w:pPr>
      <w:spacing w:after="0"/>
    </w:pPr>
    <w:rPr>
      <w:rFonts w:ascii="Calibri" w:eastAsia="Calibri" w:hAnsi="Calibri" w:cs="Times New Roman"/>
      <w:sz w:val="20"/>
      <w:szCs w:val="20"/>
    </w:rPr>
  </w:style>
  <w:style w:type="character" w:customStyle="1" w:styleId="TekstkomentarzaZnak">
    <w:name w:val="Tekst komentarza Znak"/>
    <w:basedOn w:val="Domylnaczcionkaakapitu"/>
    <w:link w:val="Tekstkomentarza"/>
    <w:uiPriority w:val="99"/>
    <w:semiHidden/>
    <w:rsid w:val="00CF08F2"/>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CF08F2"/>
    <w:rPr>
      <w:b/>
      <w:bCs/>
    </w:rPr>
  </w:style>
  <w:style w:type="character" w:customStyle="1" w:styleId="TematkomentarzaZnak">
    <w:name w:val="Temat komentarza Znak"/>
    <w:basedOn w:val="TekstkomentarzaZnak"/>
    <w:link w:val="Tematkomentarza"/>
    <w:uiPriority w:val="99"/>
    <w:semiHidden/>
    <w:rsid w:val="00CF08F2"/>
    <w:rPr>
      <w:rFonts w:ascii="Calibri" w:eastAsia="Calibri" w:hAnsi="Calibri" w:cs="Times New Roman"/>
      <w:b/>
      <w:bCs/>
      <w:sz w:val="20"/>
      <w:szCs w:val="20"/>
    </w:rPr>
  </w:style>
  <w:style w:type="character" w:styleId="Hipercze">
    <w:name w:val="Hyperlink"/>
    <w:uiPriority w:val="99"/>
    <w:unhideWhenUsed/>
    <w:rsid w:val="00CF08F2"/>
    <w:rPr>
      <w:color w:val="0000FF"/>
      <w:u w:val="single"/>
    </w:rPr>
  </w:style>
  <w:style w:type="character" w:styleId="UyteHipercze">
    <w:name w:val="FollowedHyperlink"/>
    <w:uiPriority w:val="99"/>
    <w:semiHidden/>
    <w:unhideWhenUsed/>
    <w:rsid w:val="00CF08F2"/>
    <w:rPr>
      <w:color w:val="800080"/>
      <w:u w:val="single"/>
    </w:rPr>
  </w:style>
  <w:style w:type="paragraph" w:styleId="NormalnyWeb">
    <w:name w:val="Normal (Web)"/>
    <w:basedOn w:val="Normalny"/>
    <w:uiPriority w:val="99"/>
    <w:semiHidden/>
    <w:unhideWhenUsed/>
    <w:rsid w:val="00CF08F2"/>
    <w:pPr>
      <w:spacing w:before="100" w:beforeAutospacing="1" w:after="100" w:afterAutospacing="1" w:line="240" w:lineRule="auto"/>
    </w:pPr>
    <w:rPr>
      <w:rFonts w:ascii="Times New Roman" w:eastAsia="Times New Roman" w:hAnsi="Times New Roman" w:cs="Times New Roman"/>
      <w:sz w:val="20"/>
      <w:szCs w:val="20"/>
      <w:lang w:eastAsia="pl-PL"/>
    </w:rPr>
  </w:style>
  <w:style w:type="character" w:styleId="Pogrubienie">
    <w:name w:val="Strong"/>
    <w:uiPriority w:val="22"/>
    <w:qFormat/>
    <w:rsid w:val="00CF08F2"/>
    <w:rPr>
      <w:b/>
      <w:bCs/>
    </w:rPr>
  </w:style>
  <w:style w:type="table" w:styleId="Jasnecieniowanieakcent1">
    <w:name w:val="Light Shading Accent 1"/>
    <w:basedOn w:val="Standardowy"/>
    <w:uiPriority w:val="60"/>
    <w:rsid w:val="00CF08F2"/>
    <w:pPr>
      <w:spacing w:after="0" w:line="240" w:lineRule="auto"/>
    </w:pPr>
    <w:rPr>
      <w:rFonts w:ascii="Calibri" w:eastAsia="Calibri" w:hAnsi="Calibri" w:cs="Times New Roman"/>
      <w:color w:val="365F91"/>
      <w:sz w:val="20"/>
      <w:szCs w:val="20"/>
      <w:lang w:eastAsia="pl-P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hps">
    <w:name w:val="hps"/>
    <w:rsid w:val="00CF08F2"/>
  </w:style>
  <w:style w:type="character" w:customStyle="1" w:styleId="Nagwek6Znak">
    <w:name w:val="Nagłówek 6 Znak"/>
    <w:basedOn w:val="Domylnaczcionkaakapitu"/>
    <w:link w:val="Nagwek6"/>
    <w:uiPriority w:val="9"/>
    <w:semiHidden/>
    <w:rsid w:val="00392C21"/>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322438">
      <w:bodyDiv w:val="1"/>
      <w:marLeft w:val="0"/>
      <w:marRight w:val="0"/>
      <w:marTop w:val="0"/>
      <w:marBottom w:val="0"/>
      <w:divBdr>
        <w:top w:val="none" w:sz="0" w:space="0" w:color="auto"/>
        <w:left w:val="none" w:sz="0" w:space="0" w:color="auto"/>
        <w:bottom w:val="none" w:sz="0" w:space="0" w:color="auto"/>
        <w:right w:val="none" w:sz="0" w:space="0" w:color="auto"/>
      </w:divBdr>
    </w:div>
    <w:div w:id="135013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3869</Words>
  <Characters>23218</Characters>
  <Application>Microsoft Office Word</Application>
  <DocSecurity>0</DocSecurity>
  <Lines>193</Lines>
  <Paragraphs>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Binkowska Joanna</dc:creator>
  <cp:lastModifiedBy>Ewa A. Genert</cp:lastModifiedBy>
  <cp:revision>2</cp:revision>
  <cp:lastPrinted>2016-11-03T10:06:00Z</cp:lastPrinted>
  <dcterms:created xsi:type="dcterms:W3CDTF">2016-11-15T10:08:00Z</dcterms:created>
  <dcterms:modified xsi:type="dcterms:W3CDTF">2016-11-15T10:08:00Z</dcterms:modified>
</cp:coreProperties>
</file>