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049" w:rsidRPr="00647049" w:rsidRDefault="00647049" w:rsidP="00EB29E9">
      <w:pPr>
        <w:spacing w:after="0" w:line="360" w:lineRule="auto"/>
        <w:jc w:val="center"/>
        <w:rPr>
          <w:rFonts w:ascii="Times New Roman" w:eastAsia="Times New Roman" w:hAnsi="Times New Roman" w:cs="Times New Roman"/>
          <w:bCs/>
          <w:sz w:val="24"/>
          <w:szCs w:val="24"/>
          <w:lang w:eastAsia="pl-PL"/>
        </w:rPr>
      </w:pPr>
      <w:bookmarkStart w:id="0" w:name="_GoBack"/>
      <w:bookmarkEnd w:id="0"/>
      <w:r w:rsidRPr="00647049">
        <w:rPr>
          <w:rFonts w:ascii="Times New Roman" w:eastAsia="Times New Roman" w:hAnsi="Times New Roman" w:cs="Times New Roman"/>
          <w:bCs/>
          <w:sz w:val="24"/>
          <w:szCs w:val="24"/>
          <w:lang w:eastAsia="pl-PL"/>
        </w:rPr>
        <w:t xml:space="preserve">UZASADNIENIE </w:t>
      </w:r>
    </w:p>
    <w:p w:rsidR="00647049" w:rsidRPr="00647049" w:rsidRDefault="00647049" w:rsidP="00D669EC">
      <w:pPr>
        <w:tabs>
          <w:tab w:val="right" w:pos="-1980"/>
        </w:tabs>
        <w:spacing w:before="24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Zgodnie z przepisami ustawy z dnia 17 grudnia 1998 r. o</w:t>
      </w:r>
      <w:r w:rsidR="00EB29E9" w:rsidRPr="00EB29E9">
        <w:rPr>
          <w:rFonts w:ascii="Times New Roman" w:eastAsia="Times New Roman" w:hAnsi="Times New Roman" w:cs="Times New Roman"/>
          <w:sz w:val="24"/>
          <w:szCs w:val="24"/>
          <w:lang w:eastAsia="pl-PL"/>
        </w:rPr>
        <w:t xml:space="preserve"> </w:t>
      </w:r>
      <w:r w:rsidR="00393ADD">
        <w:rPr>
          <w:rFonts w:ascii="Times New Roman" w:eastAsia="Times New Roman" w:hAnsi="Times New Roman" w:cs="Times New Roman"/>
          <w:sz w:val="24"/>
          <w:szCs w:val="24"/>
          <w:lang w:eastAsia="pl-PL"/>
        </w:rPr>
        <w:t>emeryturach i rentach z </w:t>
      </w:r>
      <w:r w:rsidRPr="00647049">
        <w:rPr>
          <w:rFonts w:ascii="Times New Roman" w:eastAsia="Times New Roman" w:hAnsi="Times New Roman" w:cs="Times New Roman"/>
          <w:sz w:val="24"/>
          <w:szCs w:val="24"/>
          <w:lang w:eastAsia="pl-PL"/>
        </w:rPr>
        <w:t>Funduszu Ubezpieczeń Społecznych (Dz. U. z 2016 r. poz. 887), zwanej dalej „ustawą o emeryturach</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i rentach z FUS”, coroczna waloryzacja jest przeprowadzana od </w:t>
      </w:r>
      <w:r w:rsidR="00EB29E9">
        <w:rPr>
          <w:rFonts w:ascii="Times New Roman" w:eastAsia="Times New Roman" w:hAnsi="Times New Roman" w:cs="Times New Roman"/>
          <w:sz w:val="24"/>
          <w:szCs w:val="24"/>
          <w:lang w:eastAsia="pl-PL"/>
        </w:rPr>
        <w:t>dnia 1 </w:t>
      </w:r>
      <w:r w:rsidRPr="00647049">
        <w:rPr>
          <w:rFonts w:ascii="Times New Roman" w:eastAsia="Times New Roman" w:hAnsi="Times New Roman" w:cs="Times New Roman"/>
          <w:sz w:val="24"/>
          <w:szCs w:val="24"/>
          <w:lang w:eastAsia="pl-PL"/>
        </w:rPr>
        <w:t>marca przy zastosowaniu procentowego wskaźnika waloryzacji, którego główną podstawą obliczenia jest średnioroczny wskaźnik cen towarów i usług konsumpcyjnych w poprzednim roku kalendarzowym. Wskaźnikiem cen towarów jest albo średnioroczny wskaźnik cen towarów</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i usług konsumpcyjnych dla gospodarstw domowych emerytów i rencistów albo średnioroczny wskaźnik cen towarów i usług konsumpcyjnych ogółem, jeżeli jest on wyższy od wskaźnika cen towarów i usług konsumpcyjnych dla gospodarstw domowych emerytów i rencistów. Wskaźnik waloryzacji stanowi więc wyższy wskaźnik cen towarów i usług konsumpcyjnych, zwiększony o co najmniej 20% realnego wzrostu przeciętnego wynagrodzenia w poprzednim roku kalendarzowym. Zwiększenie o co najmniej 20% realnego wzrostu przeciętnego wynagrodzenia jest przedmiotem corocznych negocjacji, w ramach Rady Dialogu Społecznego (RDS), przeprowadzanych w czerwcu, w roku poprzedzającym waloryzację.</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 xml:space="preserve">Z powyższego wynika, że </w:t>
      </w:r>
      <w:r w:rsidRPr="00647049">
        <w:rPr>
          <w:rFonts w:ascii="Times New Roman" w:eastAsia="Times New Roman" w:hAnsi="Times New Roman" w:cs="Times New Roman"/>
          <w:color w:val="000000"/>
          <w:sz w:val="24"/>
          <w:szCs w:val="24"/>
          <w:lang w:eastAsia="pl-PL"/>
        </w:rPr>
        <w:t xml:space="preserve">wszystkie wypłacane świadczenia są podwyższane o ten sam procent, w związku z tym im niższe świadczenie, tym niższa kwota podwyżki. Również minimalne emerytury i renty wzrastają w tym samym tempie.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By chronić poziom najniższych świadczeń zasady waloryzacji zostały zmodyfikowane</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w 2012 r. i 2015 r. </w:t>
      </w:r>
      <w:r w:rsidRPr="00647049">
        <w:rPr>
          <w:rFonts w:ascii="Times New Roman" w:eastAsia="Times New Roman" w:hAnsi="Times New Roman" w:cs="Times New Roman"/>
          <w:color w:val="000000"/>
          <w:sz w:val="24"/>
          <w:szCs w:val="24"/>
          <w:lang w:eastAsia="pl-PL"/>
        </w:rPr>
        <w:t xml:space="preserve">W 2012 r. incydentalnie została wprowadzona w miejsce waloryzacji procentowej waloryzacja kwotowa, </w:t>
      </w:r>
      <w:r w:rsidRPr="00647049">
        <w:rPr>
          <w:rFonts w:ascii="Times New Roman" w:eastAsia="Times New Roman" w:hAnsi="Times New Roman" w:cs="Times New Roman"/>
          <w:sz w:val="24"/>
          <w:szCs w:val="24"/>
          <w:lang w:eastAsia="pl-PL"/>
        </w:rPr>
        <w:t>świadczenia emerytalno-rentowe zostały podwyższone</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o kwotę 71 zł</w:t>
      </w:r>
      <w:r w:rsidRPr="00EB29E9">
        <w:rPr>
          <w:rFonts w:ascii="Times New Roman" w:eastAsia="Times New Roman" w:hAnsi="Times New Roman" w:cs="Times New Roman"/>
          <w:sz w:val="24"/>
          <w:szCs w:val="24"/>
          <w:vertAlign w:val="superscript"/>
          <w:lang w:eastAsia="pl-PL"/>
        </w:rPr>
        <w:footnoteReference w:id="1"/>
      </w:r>
      <w:r w:rsidR="00EB29E9">
        <w:rPr>
          <w:rFonts w:ascii="Times New Roman" w:eastAsia="Times New Roman" w:hAnsi="Times New Roman" w:cs="Times New Roman"/>
          <w:sz w:val="24"/>
          <w:szCs w:val="24"/>
          <w:vertAlign w:val="superscript"/>
          <w:lang w:eastAsia="pl-PL"/>
        </w:rPr>
        <w:t>)</w:t>
      </w:r>
      <w:r w:rsidRPr="00647049">
        <w:rPr>
          <w:rFonts w:ascii="Times New Roman" w:eastAsia="Times New Roman" w:hAnsi="Times New Roman" w:cs="Times New Roman"/>
          <w:sz w:val="24"/>
          <w:szCs w:val="24"/>
          <w:lang w:eastAsia="pl-PL"/>
        </w:rPr>
        <w:t xml:space="preserve">. Natomiast w </w:t>
      </w:r>
      <w:r w:rsidRPr="00647049">
        <w:rPr>
          <w:rFonts w:ascii="Times New Roman" w:eastAsia="Times New Roman" w:hAnsi="Times New Roman" w:cs="Times New Roman"/>
          <w:color w:val="000000"/>
          <w:sz w:val="24"/>
          <w:szCs w:val="24"/>
          <w:lang w:eastAsia="pl-PL"/>
        </w:rPr>
        <w:t>2015 r. świadczenia emerytalno-rentowe zostały podwyższone wskaźnikiem waloryzacji wynoszącym 100,68%, jednak nie mniej niż o kwotę wynoszącą</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36 zł</w:t>
      </w:r>
      <w:r w:rsidRPr="00EB29E9">
        <w:rPr>
          <w:rFonts w:ascii="Times New Roman" w:eastAsia="Times New Roman" w:hAnsi="Times New Roman" w:cs="Times New Roman"/>
          <w:color w:val="000000"/>
          <w:sz w:val="24"/>
          <w:szCs w:val="24"/>
          <w:vertAlign w:val="superscript"/>
          <w:lang w:eastAsia="pl-PL"/>
        </w:rPr>
        <w:footnoteReference w:id="2"/>
      </w:r>
      <w:r w:rsidR="00EB29E9">
        <w:rPr>
          <w:rFonts w:ascii="Times New Roman" w:eastAsia="Times New Roman" w:hAnsi="Times New Roman" w:cs="Times New Roman"/>
          <w:color w:val="000000"/>
          <w:sz w:val="24"/>
          <w:szCs w:val="24"/>
          <w:vertAlign w:val="superscript"/>
          <w:lang w:eastAsia="pl-PL"/>
        </w:rPr>
        <w:t>)</w:t>
      </w:r>
      <w:r w:rsidRPr="00647049">
        <w:rPr>
          <w:rFonts w:ascii="Times New Roman" w:eastAsia="Times New Roman" w:hAnsi="Times New Roman" w:cs="Times New Roman"/>
          <w:color w:val="000000"/>
          <w:sz w:val="24"/>
          <w:szCs w:val="24"/>
          <w:lang w:eastAsia="pl-PL"/>
        </w:rPr>
        <w:t>. W</w:t>
      </w:r>
      <w:r w:rsidRPr="00647049">
        <w:rPr>
          <w:rFonts w:ascii="Times New Roman" w:eastAsia="Times New Roman" w:hAnsi="Times New Roman" w:cs="Times New Roman"/>
          <w:sz w:val="24"/>
          <w:szCs w:val="24"/>
          <w:lang w:eastAsia="pl-PL"/>
        </w:rPr>
        <w:t xml:space="preserve"> 2016 r. </w:t>
      </w:r>
      <w:r w:rsidRPr="00647049">
        <w:rPr>
          <w:rFonts w:ascii="Times New Roman" w:eastAsia="Times New Roman" w:hAnsi="Times New Roman" w:cs="Times New Roman"/>
          <w:color w:val="000000"/>
          <w:sz w:val="24"/>
          <w:szCs w:val="24"/>
          <w:lang w:eastAsia="pl-PL"/>
        </w:rPr>
        <w:t>wsparciem dla szerokiej grupy emerytów i</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 xml:space="preserve">rencistów, z jednoczesnym zachowaniem wartości realnej wszystkich emerytur i rent, była wypłata jednorazowego dodatku, wynikająca z </w:t>
      </w:r>
      <w:r w:rsidRPr="00647049">
        <w:rPr>
          <w:rFonts w:ascii="Times New Roman" w:eastAsia="Times New Roman" w:hAnsi="Times New Roman" w:cs="Times New Roman"/>
          <w:sz w:val="24"/>
          <w:szCs w:val="24"/>
          <w:lang w:eastAsia="pl-PL"/>
        </w:rPr>
        <w:t>ustawy z dnia 15</w:t>
      </w:r>
      <w:r w:rsidR="00EB29E9">
        <w:rPr>
          <w:rFonts w:ascii="Times New Roman" w:eastAsia="Times New Roman" w:hAnsi="Times New Roman" w:cs="Times New Roman"/>
          <w:sz w:val="24"/>
          <w:szCs w:val="24"/>
          <w:lang w:eastAsia="pl-PL"/>
        </w:rPr>
        <w:t> </w:t>
      </w:r>
      <w:r w:rsidRPr="00647049">
        <w:rPr>
          <w:rFonts w:ascii="Times New Roman" w:eastAsia="Times New Roman" w:hAnsi="Times New Roman" w:cs="Times New Roman"/>
          <w:sz w:val="24"/>
          <w:szCs w:val="24"/>
          <w:lang w:eastAsia="pl-PL"/>
        </w:rPr>
        <w:t xml:space="preserve">stycznia 2016 r. o jednorazowym dodatku pieniężnym dla niektórych emerytów, </w:t>
      </w:r>
      <w:r w:rsidRPr="00647049">
        <w:rPr>
          <w:rFonts w:ascii="Times New Roman" w:eastAsia="Times New Roman" w:hAnsi="Times New Roman" w:cs="Times New Roman"/>
          <w:sz w:val="24"/>
          <w:szCs w:val="24"/>
          <w:lang w:eastAsia="pl-PL"/>
        </w:rPr>
        <w:lastRenderedPageBreak/>
        <w:t>rencistów i osób pobierających świadczenia przedemerytalne, zasiłki przedemerytalne, emerytury pomostowe albo nauczycielskie świadczenia kompensacyjne</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w 2016 r. (</w:t>
      </w:r>
      <w:r w:rsidR="00EB29E9">
        <w:rPr>
          <w:rFonts w:ascii="Times New Roman" w:eastAsia="Times New Roman" w:hAnsi="Times New Roman" w:cs="Times New Roman"/>
          <w:bCs/>
          <w:color w:val="000000"/>
          <w:sz w:val="24"/>
          <w:szCs w:val="24"/>
          <w:lang w:eastAsia="pl-PL"/>
        </w:rPr>
        <w:t>Dz. </w:t>
      </w:r>
      <w:r w:rsidRPr="00647049">
        <w:rPr>
          <w:rFonts w:ascii="Times New Roman" w:eastAsia="Times New Roman" w:hAnsi="Times New Roman" w:cs="Times New Roman"/>
          <w:bCs/>
          <w:color w:val="000000"/>
          <w:sz w:val="24"/>
          <w:szCs w:val="24"/>
          <w:lang w:eastAsia="pl-PL"/>
        </w:rPr>
        <w:t xml:space="preserve">U. poz. 188). </w:t>
      </w:r>
      <w:r w:rsidRPr="00647049">
        <w:rPr>
          <w:rFonts w:ascii="Times New Roman" w:eastAsia="Times New Roman" w:hAnsi="Times New Roman" w:cs="Times New Roman"/>
          <w:color w:val="000000"/>
          <w:sz w:val="24"/>
          <w:szCs w:val="24"/>
          <w:lang w:eastAsia="pl-PL"/>
        </w:rPr>
        <w:t xml:space="preserve">Wypłata dodatku była rozwiązaniem </w:t>
      </w:r>
      <w:r w:rsidRPr="00647049">
        <w:rPr>
          <w:rFonts w:ascii="Times New Roman" w:eastAsia="Times New Roman" w:hAnsi="Times New Roman" w:cs="Times New Roman"/>
          <w:sz w:val="24"/>
          <w:szCs w:val="24"/>
          <w:lang w:eastAsia="pl-PL"/>
        </w:rPr>
        <w:t>komplementarnym wobec mechanizmu waloryzacj</w:t>
      </w:r>
      <w:r w:rsidRPr="00647049">
        <w:rPr>
          <w:rFonts w:ascii="Times New Roman" w:eastAsia="Times New Roman" w:hAnsi="Times New Roman" w:cs="Times New Roman"/>
          <w:color w:val="000000"/>
          <w:sz w:val="24"/>
          <w:szCs w:val="24"/>
          <w:lang w:eastAsia="pl-PL"/>
        </w:rPr>
        <w:t>i i jej bardzo niskiego poziomu w 2016 r., a</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k</w:t>
      </w:r>
      <w:r w:rsidRPr="00647049">
        <w:rPr>
          <w:rFonts w:ascii="Times New Roman" w:eastAsia="Times New Roman" w:hAnsi="Times New Roman" w:cs="Times New Roman"/>
          <w:sz w:val="24"/>
          <w:szCs w:val="24"/>
          <w:lang w:eastAsia="pl-PL"/>
        </w:rPr>
        <w:t>wota dodatku uzależniona została od wysokości świadczenia lub świadczeń pobieranych w</w:t>
      </w:r>
      <w:r w:rsidR="00EB29E9" w:rsidRPr="00EB29E9">
        <w:rPr>
          <w:rFonts w:ascii="Times New Roman" w:eastAsia="Times New Roman" w:hAnsi="Times New Roman" w:cs="Times New Roman"/>
          <w:sz w:val="24"/>
          <w:szCs w:val="24"/>
          <w:lang w:eastAsia="pl-PL"/>
        </w:rPr>
        <w:t xml:space="preserve"> </w:t>
      </w:r>
      <w:r w:rsidR="00EB29E9">
        <w:rPr>
          <w:rFonts w:ascii="Times New Roman" w:eastAsia="Times New Roman" w:hAnsi="Times New Roman" w:cs="Times New Roman"/>
          <w:sz w:val="24"/>
          <w:szCs w:val="24"/>
          <w:lang w:eastAsia="pl-PL"/>
        </w:rPr>
        <w:t>zbiegu (od </w:t>
      </w:r>
      <w:r w:rsidRPr="00647049">
        <w:rPr>
          <w:rFonts w:ascii="Times New Roman" w:eastAsia="Times New Roman" w:hAnsi="Times New Roman" w:cs="Times New Roman"/>
          <w:sz w:val="24"/>
          <w:szCs w:val="24"/>
          <w:lang w:eastAsia="pl-PL"/>
        </w:rPr>
        <w:t>50 zł do 400 zł netto)</w:t>
      </w:r>
      <w:r w:rsidRPr="00EB29E9">
        <w:rPr>
          <w:rFonts w:ascii="Times New Roman" w:eastAsia="Times New Roman" w:hAnsi="Times New Roman" w:cs="Times New Roman"/>
          <w:sz w:val="24"/>
          <w:szCs w:val="24"/>
          <w:vertAlign w:val="superscript"/>
          <w:lang w:eastAsia="pl-PL"/>
        </w:rPr>
        <w:footnoteReference w:id="3"/>
      </w:r>
      <w:r w:rsidR="00EB29E9">
        <w:rPr>
          <w:rFonts w:ascii="Times New Roman" w:eastAsia="Times New Roman" w:hAnsi="Times New Roman" w:cs="Times New Roman"/>
          <w:sz w:val="24"/>
          <w:szCs w:val="24"/>
          <w:vertAlign w:val="superscript"/>
          <w:lang w:eastAsia="pl-PL"/>
        </w:rPr>
        <w:t>)</w:t>
      </w:r>
      <w:r w:rsidRPr="00647049">
        <w:rPr>
          <w:rFonts w:ascii="Times New Roman" w:eastAsia="Times New Roman" w:hAnsi="Times New Roman" w:cs="Times New Roman"/>
          <w:sz w:val="24"/>
          <w:szCs w:val="24"/>
          <w:lang w:eastAsia="pl-PL"/>
        </w:rPr>
        <w:t xml:space="preserve">. </w:t>
      </w:r>
      <w:r w:rsidRPr="00647049">
        <w:rPr>
          <w:rFonts w:ascii="Times New Roman" w:eastAsia="Calibri" w:hAnsi="Times New Roman" w:cs="Times New Roman"/>
          <w:sz w:val="24"/>
          <w:szCs w:val="24"/>
          <w:lang w:eastAsia="pl-PL"/>
        </w:rPr>
        <w:t>Dodatek stanowił wsparcie dla licznej grupy (ok. 6,5 mln) świadczeniobiorców.</w:t>
      </w:r>
    </w:p>
    <w:p w:rsidR="00647049" w:rsidRPr="00647049" w:rsidRDefault="00647049" w:rsidP="00EB29E9">
      <w:pPr>
        <w:autoSpaceDE w:val="0"/>
        <w:autoSpaceDN w:val="0"/>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Sposób waloryzacji świadczeń emerytalno-rentowych jest jedną z najbardziej drażliwych</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i szeroko komentowanych kwest</w:t>
      </w:r>
      <w:r w:rsidR="00EB29E9">
        <w:rPr>
          <w:rFonts w:ascii="Times New Roman" w:eastAsia="Times New Roman" w:hAnsi="Times New Roman" w:cs="Times New Roman"/>
          <w:sz w:val="24"/>
          <w:szCs w:val="24"/>
          <w:lang w:eastAsia="pl-PL"/>
        </w:rPr>
        <w:t>ii. Wynika to między innymi z </w:t>
      </w:r>
      <w:r w:rsidRPr="00647049">
        <w:rPr>
          <w:rFonts w:ascii="Times New Roman" w:eastAsia="Times New Roman" w:hAnsi="Times New Roman" w:cs="Times New Roman"/>
          <w:sz w:val="24"/>
          <w:szCs w:val="24"/>
          <w:lang w:eastAsia="pl-PL"/>
        </w:rPr>
        <w:t>niemożności zaspokojenia wszystkich oczekiwań świadczeniobiorców zgłaszających w tej kwestii wiele, często wzajemnie wykluczających się wniosków. W okresie ostatnich lat zasady waloryzacji świadczeń i mechanizm jej przeprowadzania były przedmiotem licznych zmian. Ewolucja prawnej re</w:t>
      </w:r>
      <w:r w:rsidR="00EB29E9">
        <w:rPr>
          <w:rFonts w:ascii="Times New Roman" w:eastAsia="Times New Roman" w:hAnsi="Times New Roman" w:cs="Times New Roman"/>
          <w:sz w:val="24"/>
          <w:szCs w:val="24"/>
          <w:lang w:eastAsia="pl-PL"/>
        </w:rPr>
        <w:t>gulacji waloryzacji świadczeń w </w:t>
      </w:r>
      <w:r w:rsidRPr="00647049">
        <w:rPr>
          <w:rFonts w:ascii="Times New Roman" w:eastAsia="Times New Roman" w:hAnsi="Times New Roman" w:cs="Times New Roman"/>
          <w:sz w:val="24"/>
          <w:szCs w:val="24"/>
          <w:lang w:eastAsia="pl-PL"/>
        </w:rPr>
        <w:t>Polsce wskazuje, że wciąż poszukiwane są optymalne w danym czasie mechanizmy waloryzacji, uwzględniające z jednej strony potrzeby s</w:t>
      </w:r>
      <w:r w:rsidR="00EB29E9">
        <w:rPr>
          <w:rFonts w:ascii="Times New Roman" w:eastAsia="Times New Roman" w:hAnsi="Times New Roman" w:cs="Times New Roman"/>
          <w:sz w:val="24"/>
          <w:szCs w:val="24"/>
          <w:lang w:eastAsia="pl-PL"/>
        </w:rPr>
        <w:t>ocjalne świadczeniobiorców, a z </w:t>
      </w:r>
      <w:r w:rsidRPr="00647049">
        <w:rPr>
          <w:rFonts w:ascii="Times New Roman" w:eastAsia="Times New Roman" w:hAnsi="Times New Roman" w:cs="Times New Roman"/>
          <w:sz w:val="24"/>
          <w:szCs w:val="24"/>
          <w:lang w:eastAsia="pl-PL"/>
        </w:rPr>
        <w:t>drugiej bieżącą sytuację gospodarczą, stan budżetu państwa i</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finansów ubezpieczeń społecznych. W warunkach kryzysu gospodarczego koniecznym stało się wsparcie najuboższych grup emerytów i rencistów. Stąd też modyfikacje mechanizmu waloryzacji w ostatnich latach w kierunku </w:t>
      </w:r>
      <w:r w:rsidRPr="00647049">
        <w:rPr>
          <w:rFonts w:ascii="Times New Roman" w:eastAsia="Times New Roman" w:hAnsi="Times New Roman" w:cs="Times New Roman"/>
          <w:color w:val="000000"/>
          <w:sz w:val="24"/>
          <w:szCs w:val="24"/>
          <w:lang w:eastAsia="pl-PL"/>
        </w:rPr>
        <w:t xml:space="preserve">ochrony budżetów gospodarstw domowych emerytów i rencistów z niższymi świadczeniami.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 xml:space="preserve">Przewiduje się, że wskaźnik waloryzacji w 2017 r. będzie bardzo niski. </w:t>
      </w:r>
      <w:r w:rsidR="00EB29E9">
        <w:rPr>
          <w:rFonts w:ascii="Times New Roman" w:eastAsia="Times New Roman" w:hAnsi="Times New Roman" w:cs="Times New Roman"/>
          <w:color w:val="000000"/>
          <w:sz w:val="24"/>
          <w:szCs w:val="24"/>
          <w:lang w:eastAsia="pl-PL"/>
        </w:rPr>
        <w:t>Zawarta w </w:t>
      </w:r>
      <w:r w:rsidRPr="00647049">
        <w:rPr>
          <w:rFonts w:ascii="Times New Roman" w:eastAsia="Times New Roman" w:hAnsi="Times New Roman" w:cs="Times New Roman"/>
          <w:color w:val="000000"/>
          <w:sz w:val="24"/>
          <w:szCs w:val="24"/>
          <w:lang w:eastAsia="pl-PL"/>
        </w:rPr>
        <w:t>uzasadnieniu do projektu ustawy budżetowej prognoza średniorocznego wskaźnika cen towarów i usług konsumpcyjnych ogółem w 2016 r. kształtuje się na poziomie 99,5% (deflacja na poziomie 0,5%). Przyjmując, że średnioroczny wskaźnik cen towarów i usług konsumpcyjnych dla gospodarstw domowych emerytów i rencistów w 2016 r. będzie się kształtował na poziomie</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o 0,3 p</w:t>
      </w:r>
      <w:r w:rsidR="0025092C">
        <w:rPr>
          <w:rFonts w:ascii="Times New Roman" w:eastAsia="Times New Roman" w:hAnsi="Times New Roman" w:cs="Times New Roman"/>
          <w:color w:val="000000"/>
          <w:sz w:val="24"/>
          <w:szCs w:val="24"/>
          <w:lang w:eastAsia="pl-PL"/>
        </w:rPr>
        <w:t>.</w:t>
      </w:r>
      <w:r w:rsidRPr="00647049">
        <w:rPr>
          <w:rFonts w:ascii="Times New Roman" w:eastAsia="Times New Roman" w:hAnsi="Times New Roman" w:cs="Times New Roman"/>
          <w:color w:val="000000"/>
          <w:sz w:val="24"/>
          <w:szCs w:val="24"/>
          <w:lang w:eastAsia="pl-PL"/>
        </w:rPr>
        <w:t>p</w:t>
      </w:r>
      <w:r w:rsidR="0025092C">
        <w:rPr>
          <w:rFonts w:ascii="Times New Roman" w:eastAsia="Times New Roman" w:hAnsi="Times New Roman" w:cs="Times New Roman"/>
          <w:color w:val="000000"/>
          <w:sz w:val="24"/>
          <w:szCs w:val="24"/>
          <w:lang w:eastAsia="pl-PL"/>
        </w:rPr>
        <w:t>.</w:t>
      </w:r>
      <w:r w:rsidRPr="00647049">
        <w:rPr>
          <w:rFonts w:ascii="Times New Roman" w:eastAsia="Times New Roman" w:hAnsi="Times New Roman" w:cs="Times New Roman"/>
          <w:color w:val="000000"/>
          <w:sz w:val="24"/>
          <w:szCs w:val="24"/>
          <w:lang w:eastAsia="pl-PL"/>
        </w:rPr>
        <w:t xml:space="preserve"> wyższym niż inflacja</w:t>
      </w:r>
      <w:r w:rsidR="0025092C">
        <w:rPr>
          <w:rFonts w:ascii="Times New Roman" w:eastAsia="Times New Roman" w:hAnsi="Times New Roman" w:cs="Times New Roman"/>
          <w:color w:val="000000"/>
          <w:sz w:val="24"/>
          <w:szCs w:val="24"/>
          <w:lang w:eastAsia="pl-PL"/>
        </w:rPr>
        <w:t>,</w:t>
      </w:r>
      <w:r w:rsidRPr="00647049">
        <w:rPr>
          <w:rFonts w:ascii="Times New Roman" w:eastAsia="Times New Roman" w:hAnsi="Times New Roman" w:cs="Times New Roman"/>
          <w:color w:val="000000"/>
          <w:sz w:val="24"/>
          <w:szCs w:val="24"/>
          <w:lang w:eastAsia="pl-PL"/>
        </w:rPr>
        <w:t xml:space="preserve"> ogółem wyniesie on wówczas </w:t>
      </w:r>
      <w:r w:rsidRPr="00647049">
        <w:rPr>
          <w:rFonts w:ascii="Times New Roman" w:eastAsia="Times New Roman" w:hAnsi="Times New Roman" w:cs="Times New Roman"/>
          <w:bCs/>
          <w:color w:val="000000"/>
          <w:sz w:val="24"/>
          <w:szCs w:val="24"/>
          <w:lang w:eastAsia="pl-PL"/>
        </w:rPr>
        <w:t>99,8%</w:t>
      </w:r>
      <w:r w:rsidRPr="00647049">
        <w:rPr>
          <w:rFonts w:ascii="Times New Roman" w:eastAsia="Times New Roman" w:hAnsi="Times New Roman" w:cs="Times New Roman"/>
          <w:color w:val="FF0000"/>
          <w:sz w:val="24"/>
          <w:szCs w:val="24"/>
          <w:lang w:eastAsia="pl-PL"/>
        </w:rPr>
        <w:t xml:space="preserve"> </w:t>
      </w:r>
      <w:r w:rsidRPr="00647049">
        <w:rPr>
          <w:rFonts w:ascii="Times New Roman" w:eastAsia="Times New Roman" w:hAnsi="Times New Roman" w:cs="Times New Roman"/>
          <w:color w:val="000000"/>
          <w:sz w:val="24"/>
          <w:szCs w:val="24"/>
          <w:lang w:eastAsia="pl-PL"/>
        </w:rPr>
        <w:t>(deflacja na poziomie 0,2%). Z kolei prognozowany wzrost przeciętnego wynagrodzenia w gospodarce narodowej</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w 2016 r. wynosi 4,1%, co oznacza, że realny wzrost przeciętnego wynagrodzenia w gospodarce narodowej w</w:t>
      </w:r>
      <w:r w:rsidR="00EB29E9">
        <w:rPr>
          <w:rFonts w:ascii="Times New Roman" w:eastAsia="Times New Roman" w:hAnsi="Times New Roman" w:cs="Times New Roman"/>
          <w:color w:val="000000"/>
          <w:sz w:val="24"/>
          <w:szCs w:val="24"/>
          <w:lang w:eastAsia="pl-PL"/>
        </w:rPr>
        <w:t> </w:t>
      </w:r>
      <w:r w:rsidRPr="00647049">
        <w:rPr>
          <w:rFonts w:ascii="Times New Roman" w:eastAsia="Times New Roman" w:hAnsi="Times New Roman" w:cs="Times New Roman"/>
          <w:color w:val="000000"/>
          <w:sz w:val="24"/>
          <w:szCs w:val="24"/>
          <w:lang w:eastAsia="pl-PL"/>
        </w:rPr>
        <w:t xml:space="preserve">2016 r. wyniesie 4,63%. Stąd prognozowane obligatoryjne 20% realnego wzrostu </w:t>
      </w:r>
      <w:r w:rsidRPr="00647049">
        <w:rPr>
          <w:rFonts w:ascii="Times New Roman" w:eastAsia="Times New Roman" w:hAnsi="Times New Roman" w:cs="Times New Roman"/>
          <w:color w:val="000000"/>
          <w:sz w:val="24"/>
          <w:szCs w:val="24"/>
          <w:lang w:eastAsia="pl-PL"/>
        </w:rPr>
        <w:lastRenderedPageBreak/>
        <w:t xml:space="preserve">wynagrodzeń za rok 2016 wynosi </w:t>
      </w:r>
      <w:r w:rsidRPr="00647049">
        <w:rPr>
          <w:rFonts w:ascii="Times New Roman" w:eastAsia="Times New Roman" w:hAnsi="Times New Roman" w:cs="Times New Roman"/>
          <w:bCs/>
          <w:color w:val="000000"/>
          <w:sz w:val="24"/>
          <w:szCs w:val="24"/>
          <w:lang w:eastAsia="pl-PL"/>
        </w:rPr>
        <w:t>0,93%</w:t>
      </w:r>
      <w:r w:rsidRPr="0064704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sz w:val="24"/>
          <w:szCs w:val="24"/>
          <w:lang w:eastAsia="pl-PL"/>
        </w:rPr>
        <w:t>W efekcie prognozuje się, że wskaźnik waloryzacji</w:t>
      </w:r>
      <w:r w:rsidRPr="00EB29E9">
        <w:rPr>
          <w:rFonts w:ascii="Times New Roman" w:eastAsia="Times New Roman" w:hAnsi="Times New Roman" w:cs="Times New Roman"/>
          <w:sz w:val="24"/>
          <w:szCs w:val="24"/>
          <w:vertAlign w:val="superscript"/>
          <w:lang w:eastAsia="pl-PL"/>
        </w:rPr>
        <w:footnoteReference w:id="4"/>
      </w:r>
      <w:r w:rsidR="00EB29E9">
        <w:rPr>
          <w:rFonts w:ascii="Times New Roman" w:eastAsia="Times New Roman" w:hAnsi="Times New Roman" w:cs="Times New Roman"/>
          <w:sz w:val="24"/>
          <w:szCs w:val="24"/>
          <w:vertAlign w:val="superscript"/>
          <w:lang w:eastAsia="pl-PL"/>
        </w:rPr>
        <w:t>)</w:t>
      </w:r>
      <w:r w:rsidRPr="00647049">
        <w:rPr>
          <w:rFonts w:ascii="Times New Roman" w:eastAsia="Times New Roman" w:hAnsi="Times New Roman" w:cs="Times New Roman"/>
          <w:sz w:val="24"/>
          <w:szCs w:val="24"/>
          <w:lang w:eastAsia="pl-PL"/>
        </w:rPr>
        <w:t xml:space="preserve"> w 2017 r. ukształtuje się na poziomie ok. 100,73%. </w:t>
      </w:r>
    </w:p>
    <w:p w:rsidR="00647049" w:rsidRPr="00647049" w:rsidRDefault="00647049" w:rsidP="00EB29E9">
      <w:pPr>
        <w:spacing w:before="120" w:after="0" w:line="360" w:lineRule="auto"/>
        <w:jc w:val="both"/>
        <w:rPr>
          <w:rFonts w:ascii="Times New Roman" w:eastAsia="Times New Roman" w:hAnsi="Times New Roman" w:cs="Times New Roman"/>
          <w:sz w:val="24"/>
          <w:szCs w:val="24"/>
          <w:u w:val="single"/>
          <w:lang w:eastAsia="pl-PL"/>
        </w:rPr>
      </w:pPr>
      <w:r w:rsidRPr="00647049">
        <w:rPr>
          <w:rFonts w:ascii="Times New Roman" w:eastAsia="Times New Roman" w:hAnsi="Times New Roman" w:cs="Times New Roman"/>
          <w:sz w:val="24"/>
          <w:szCs w:val="24"/>
          <w:lang w:eastAsia="pl-PL"/>
        </w:rPr>
        <w:t>Oznaczałoby to wzrost najniższej emerytury, renty rodzinnej i renty z tytułu całkowitej niezdolności do pracy z 882,56 zł do 889 zł, tj. o 6,44 zł. Najniższe renty z tytułu częściowej niezdolności do pracy wzrosłyby z 676,75 zł do 681,69 zł, tj. o 4,94 zł.</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 xml:space="preserve">Stąd też proponuje się w 2017 r. dodatkowe wsparcie dla emerytów i rencistów pobierających najniższe świadczenia. Kwota na ustawową waloryzację (1,4 mld zł) oraz zapisana w Planie Wieloletnim na dodatkowe wsparcie finansowe </w:t>
      </w:r>
      <w:r w:rsidR="00EB29E9">
        <w:rPr>
          <w:rFonts w:ascii="Times New Roman" w:eastAsia="Times New Roman" w:hAnsi="Times New Roman" w:cs="Times New Roman"/>
          <w:sz w:val="24"/>
          <w:szCs w:val="24"/>
          <w:lang w:eastAsia="pl-PL"/>
        </w:rPr>
        <w:t>dla emerytów i </w:t>
      </w:r>
      <w:r w:rsidRPr="00647049">
        <w:rPr>
          <w:rFonts w:ascii="Times New Roman" w:eastAsia="Times New Roman" w:hAnsi="Times New Roman" w:cs="Times New Roman"/>
          <w:sz w:val="24"/>
          <w:szCs w:val="24"/>
          <w:lang w:eastAsia="pl-PL"/>
        </w:rPr>
        <w:t>rencistów (1,4 mld zł) zostałaby przeznaczona na waloryzację oraz podwyższenie świadczeń najniższych (spełniających warunki stażowe do najniższego świadczenia) do 1000 zł w następujący sposób:</w:t>
      </w:r>
    </w:p>
    <w:p w:rsidR="00647049" w:rsidRPr="00647049" w:rsidRDefault="00647049" w:rsidP="00EB29E9">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wszystkie świadczenia z Funduszu Ubezpieczeń Społecznych (FUS) zostaną podniesione w ramach waloryzacji wskaźnikiem 100,73%, z tym, że podwyżka z</w:t>
      </w:r>
      <w:r w:rsidR="00EB29E9">
        <w:rPr>
          <w:rFonts w:ascii="Times New Roman" w:eastAsia="Times New Roman" w:hAnsi="Times New Roman" w:cs="Times New Roman"/>
          <w:sz w:val="24"/>
          <w:szCs w:val="24"/>
          <w:lang w:eastAsia="pl-PL"/>
        </w:rPr>
        <w:t> </w:t>
      </w:r>
      <w:r w:rsidRPr="00647049">
        <w:rPr>
          <w:rFonts w:ascii="Times New Roman" w:eastAsia="Times New Roman" w:hAnsi="Times New Roman" w:cs="Times New Roman"/>
          <w:sz w:val="24"/>
          <w:szCs w:val="24"/>
          <w:lang w:eastAsia="pl-PL"/>
        </w:rPr>
        <w:t xml:space="preserve">waloryzacji nie może być niższa niż 10 zł </w:t>
      </w:r>
      <w:r w:rsidR="00EB29E9" w:rsidRPr="00EB29E9">
        <w:rPr>
          <w:rFonts w:ascii="Times New Roman" w:eastAsia="Times New Roman" w:hAnsi="Times New Roman" w:cs="Times New Roman"/>
          <w:sz w:val="24"/>
          <w:szCs w:val="24"/>
          <w:lang w:eastAsia="pl-PL"/>
        </w:rPr>
        <w:t>–</w:t>
      </w:r>
      <w:r w:rsidRPr="00647049">
        <w:rPr>
          <w:rFonts w:ascii="Times New Roman" w:eastAsia="Times New Roman" w:hAnsi="Times New Roman" w:cs="Times New Roman"/>
          <w:sz w:val="24"/>
          <w:szCs w:val="24"/>
          <w:lang w:eastAsia="pl-PL"/>
        </w:rPr>
        <w:t xml:space="preserve"> art. 5 ust. 1. Podwyżka gwarantowana byłaby proporcjonalnie niższa przy emeryturach częściowych i rentach z tytułu częściowej niezdolności do pracy – art.</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5 ust. 5, 6 i 7 projektu ustawy;</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w analogiczny sposób zostaną podniesione wszystkie emerytury i renty. Zasada ta będzie zastosowana również do emerytur i rent rolników indywidualnych, służb mundurowych oraz świadczeń pozaubezpieczeniowych: emerytur pomostowych, nauczycielskich świadczeń kompensacyjnych, rent dla kombatantów oraz inwalidów wojennych i wojskowych –</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art. 6 projektu ustawy;</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świadczenia niższe od świadczeń najniższych (bez wymaganego stażu pracy</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do gwarancji wypłaty świadczenia najniższego) zostaną podwyższone wskaźnikiem 100,73% –</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art. 5 ust. 4 projektu ustawy;</w:t>
      </w:r>
    </w:p>
    <w:p w:rsidR="00647049" w:rsidRPr="00647049" w:rsidRDefault="00647049" w:rsidP="00EB29E9">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świadczenia i zasiłki przedemerytalne zostaną podwyższone wskaźnikiem 100,73%,</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z zastosowaniem minimalnej gwarantowanej podwyżki z tytułu waloryzacji – art. 4 projektu ustawy. Waloryzacja polegać będzie na dodaniu do kwoty świadczenia 10</w:t>
      </w:r>
      <w:r w:rsidR="00EB29E9">
        <w:rPr>
          <w:rFonts w:ascii="Times New Roman" w:eastAsia="Times New Roman" w:hAnsi="Times New Roman" w:cs="Times New Roman"/>
          <w:sz w:val="24"/>
          <w:szCs w:val="24"/>
          <w:lang w:eastAsia="pl-PL"/>
        </w:rPr>
        <w:t> </w:t>
      </w:r>
      <w:r w:rsidRPr="00647049">
        <w:rPr>
          <w:rFonts w:ascii="Times New Roman" w:eastAsia="Times New Roman" w:hAnsi="Times New Roman" w:cs="Times New Roman"/>
          <w:sz w:val="24"/>
          <w:szCs w:val="24"/>
          <w:lang w:eastAsia="pl-PL"/>
        </w:rPr>
        <w:t xml:space="preserve">zł. Kwota świadczenia gwarantowana do wypłaty, w przypadku, gdy osoba </w:t>
      </w:r>
      <w:r w:rsidRPr="00647049">
        <w:rPr>
          <w:rFonts w:ascii="Times New Roman" w:eastAsia="Times New Roman" w:hAnsi="Times New Roman" w:cs="Times New Roman"/>
          <w:sz w:val="24"/>
          <w:szCs w:val="24"/>
          <w:lang w:eastAsia="pl-PL"/>
        </w:rPr>
        <w:lastRenderedPageBreak/>
        <w:t>uprawniona osiąga przychód w wysokości skutkującej zmniejszeniem wysokości świadczenia, zostanie podwyższona do 520 zł;</w:t>
      </w:r>
    </w:p>
    <w:p w:rsidR="00647049" w:rsidRPr="00647049" w:rsidRDefault="00647049" w:rsidP="00EB29E9">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dodatki zostaną podwyższone wskaźnikiem 100,73% –</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art. 6 ust. 2 projektu ustawy;</w:t>
      </w:r>
    </w:p>
    <w:p w:rsidR="00647049" w:rsidRPr="00647049" w:rsidRDefault="00647049" w:rsidP="00EB29E9">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najniższe emerytury, renty rodzinne i renty z tytułu całkowitej niezdolności do pracy</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z FUS, bez dodatków zostaną podniesione do 1000 zł, tj. o 117,44 zł (renty z tytułu częściowej niezdolności do pracy 750 zł) –</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art. 1 pkt 1 projektu ustawy;</w:t>
      </w:r>
    </w:p>
    <w:p w:rsidR="00647049" w:rsidRPr="00647049" w:rsidRDefault="00647049" w:rsidP="00EB29E9">
      <w:pPr>
        <w:numPr>
          <w:ilvl w:val="0"/>
          <w:numId w:val="2"/>
        </w:numPr>
        <w:spacing w:after="0" w:line="360" w:lineRule="auto"/>
        <w:ind w:left="336" w:hanging="322"/>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renty socjalne zostaną podniesione z kwoty 741,35 zł do 840 zł (84% emerytury najniższej), tj. o 98,65 zł.</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 xml:space="preserve">W ubezpieczeniu społecznym rolników zostanie wprowadzony mechanizm waloryzacji. Obecnie podwyższanie świadczeń w ramach waloryzacji odbywa się poprzez przeliczenie świadczenia w oparciu o aktualną emeryturę podstawową, którą </w:t>
      </w:r>
      <w:r w:rsidR="00393ADD">
        <w:rPr>
          <w:rFonts w:ascii="Times New Roman" w:eastAsia="Times New Roman" w:hAnsi="Times New Roman" w:cs="Times New Roman"/>
          <w:color w:val="000000"/>
          <w:sz w:val="24"/>
          <w:szCs w:val="24"/>
          <w:lang w:eastAsia="pl-PL"/>
        </w:rPr>
        <w:t>zgodnie z </w:t>
      </w:r>
      <w:r w:rsidRPr="00647049">
        <w:rPr>
          <w:rFonts w:ascii="Times New Roman" w:eastAsia="Times New Roman" w:hAnsi="Times New Roman" w:cs="Times New Roman"/>
          <w:color w:val="000000"/>
          <w:sz w:val="24"/>
          <w:szCs w:val="24"/>
          <w:lang w:eastAsia="pl-PL"/>
        </w:rPr>
        <w:t>art. 6 pkt 7 ustawy z dnia 20 grudnia 1990 r. o ubezpieczeniu społecznym rolników (Dz. U. z 2016 r. poz. 277) jest wysokość najniższej emerytury, określonej w art. 85 ustawy o emeryturach i rentach z</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FUS. Oznacza to, że emerytury są przy każdej waloryzacji obliczane na nowo w oparciu o</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aktualną k</w:t>
      </w:r>
      <w:r w:rsidR="00393ADD">
        <w:rPr>
          <w:rFonts w:ascii="Times New Roman" w:eastAsia="Times New Roman" w:hAnsi="Times New Roman" w:cs="Times New Roman"/>
          <w:color w:val="000000"/>
          <w:sz w:val="24"/>
          <w:szCs w:val="24"/>
          <w:lang w:eastAsia="pl-PL"/>
        </w:rPr>
        <w:t>wotę emerytury podstawowej, tj. </w:t>
      </w:r>
      <w:r w:rsidRPr="00647049">
        <w:rPr>
          <w:rFonts w:ascii="Times New Roman" w:eastAsia="Times New Roman" w:hAnsi="Times New Roman" w:cs="Times New Roman"/>
          <w:color w:val="000000"/>
          <w:sz w:val="24"/>
          <w:szCs w:val="24"/>
          <w:lang w:eastAsia="pl-PL"/>
        </w:rPr>
        <w:t>o aktualną kwotę emerytury najniższej.</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Kwota najniższej emerytury stanowi parametr służący do obliczania wysokości świadczeń</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z ubezpieczenia społecznego rolników, w tym:</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emerytury (emerytura podstawowa –</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EP, z tym, że </w:t>
      </w:r>
      <w:r w:rsidR="00705F2F">
        <w:rPr>
          <w:rFonts w:ascii="Times New Roman" w:eastAsia="Times New Roman" w:hAnsi="Times New Roman" w:cs="Times New Roman"/>
          <w:sz w:val="24"/>
          <w:szCs w:val="24"/>
          <w:lang w:eastAsia="pl-PL"/>
        </w:rPr>
        <w:t>emerytura rolnicza składa się z </w:t>
      </w:r>
      <w:r w:rsidRPr="00647049">
        <w:rPr>
          <w:rFonts w:ascii="Times New Roman" w:eastAsia="Times New Roman" w:hAnsi="Times New Roman" w:cs="Times New Roman"/>
          <w:sz w:val="24"/>
          <w:szCs w:val="24"/>
          <w:lang w:eastAsia="pl-PL"/>
        </w:rPr>
        <w:t xml:space="preserve">części uzupełniającej (85% – 95% EP) i części składkowej wynoszącej 1% </w:t>
      </w:r>
      <w:r w:rsidR="00705F2F">
        <w:rPr>
          <w:rFonts w:ascii="Times New Roman" w:eastAsia="Times New Roman" w:hAnsi="Times New Roman" w:cs="Times New Roman"/>
          <w:sz w:val="24"/>
          <w:szCs w:val="24"/>
          <w:lang w:eastAsia="pl-PL"/>
        </w:rPr>
        <w:t>EP za </w:t>
      </w:r>
      <w:r w:rsidRPr="00647049">
        <w:rPr>
          <w:rFonts w:ascii="Times New Roman" w:eastAsia="Times New Roman" w:hAnsi="Times New Roman" w:cs="Times New Roman"/>
          <w:sz w:val="24"/>
          <w:szCs w:val="24"/>
          <w:lang w:eastAsia="pl-PL"/>
        </w:rPr>
        <w:t xml:space="preserve">każdy rok składkowy),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 xml:space="preserve">rent rodzinnych (85% EP ze zwiększeniami powiązanymi z EP),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 xml:space="preserve">rent z tytułu niezdolności do pracy,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 xml:space="preserve">jednorazowych odszkodowań (w przypadku nie ustalenia wysokości – świadczenie wynosi </w:t>
      </w:r>
      <w:r w:rsidRPr="00647049">
        <w:rPr>
          <w:rFonts w:ascii="Times New Roman" w:eastAsia="Times New Roman" w:hAnsi="Times New Roman" w:cs="Times New Roman"/>
          <w:color w:val="000000"/>
          <w:sz w:val="24"/>
          <w:szCs w:val="24"/>
          <w:lang w:eastAsia="pl-PL"/>
        </w:rPr>
        <w:t xml:space="preserve">66% emerytury podstawowej za każdy procent stałego lub długotrwałego uszczerbku na zdrowiu),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zasiłków</w:t>
      </w:r>
      <w:r w:rsidRPr="00647049">
        <w:rPr>
          <w:rFonts w:ascii="Times New Roman" w:eastAsia="Times New Roman" w:hAnsi="Times New Roman" w:cs="Times New Roman"/>
          <w:color w:val="000000"/>
          <w:sz w:val="24"/>
          <w:szCs w:val="24"/>
          <w:lang w:eastAsia="pl-PL"/>
        </w:rPr>
        <w:t xml:space="preserve"> chorobowych (jeżeli nie określono wysokości zasiłku chorobowego</w:t>
      </w:r>
      <w:r w:rsidR="00222ADB">
        <w:rPr>
          <w:rFonts w:ascii="Times New Roman" w:eastAsia="Times New Roman" w:hAnsi="Times New Roman" w:cs="Times New Roman"/>
          <w:color w:val="000000"/>
          <w:sz w:val="24"/>
          <w:szCs w:val="24"/>
          <w:lang w:eastAsia="pl-PL"/>
        </w:rPr>
        <w:t>,</w:t>
      </w:r>
      <w:r w:rsidRPr="00647049">
        <w:rPr>
          <w:rFonts w:ascii="Times New Roman" w:eastAsia="Times New Roman" w:hAnsi="Times New Roman" w:cs="Times New Roman"/>
          <w:color w:val="000000"/>
          <w:sz w:val="24"/>
          <w:szCs w:val="24"/>
          <w:lang w:eastAsia="pl-PL"/>
        </w:rPr>
        <w:t xml:space="preserve"> wynosi on jedną trzydziestą emerytury podstawowej za każdy dzień niezdolności do pracy),</w:t>
      </w:r>
      <w:r w:rsidR="00EB29E9" w:rsidRPr="00EB29E9">
        <w:rPr>
          <w:rFonts w:ascii="Times New Roman" w:eastAsia="Times New Roman" w:hAnsi="Times New Roman" w:cs="Times New Roman"/>
          <w:color w:val="000000"/>
          <w:sz w:val="24"/>
          <w:szCs w:val="24"/>
          <w:lang w:eastAsia="pl-PL"/>
        </w:rPr>
        <w:t xml:space="preserve">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 xml:space="preserve">dodatków, np. z </w:t>
      </w:r>
      <w:r w:rsidRPr="00647049">
        <w:rPr>
          <w:rFonts w:ascii="Times New Roman" w:eastAsia="Times New Roman" w:hAnsi="Times New Roman" w:cs="Times New Roman"/>
          <w:color w:val="000000"/>
          <w:sz w:val="24"/>
          <w:szCs w:val="24"/>
          <w:lang w:eastAsia="pl-PL"/>
        </w:rPr>
        <w:t>tytułu pracy przymusowej po dniu 1 września 1939 r.</w:t>
      </w:r>
      <w:r w:rsidR="00EB29E9" w:rsidRPr="00EB29E9">
        <w:rPr>
          <w:rFonts w:ascii="Times New Roman" w:eastAsia="Times New Roman" w:hAnsi="Times New Roman" w:cs="Times New Roman"/>
          <w:color w:val="000000"/>
          <w:sz w:val="24"/>
          <w:szCs w:val="24"/>
          <w:lang w:eastAsia="pl-PL"/>
        </w:rPr>
        <w:t xml:space="preserve"> </w:t>
      </w:r>
      <w:r w:rsidR="00705F2F">
        <w:rPr>
          <w:rFonts w:ascii="Times New Roman" w:eastAsia="Times New Roman" w:hAnsi="Times New Roman" w:cs="Times New Roman"/>
          <w:color w:val="000000"/>
          <w:sz w:val="24"/>
          <w:szCs w:val="24"/>
          <w:lang w:eastAsia="pl-PL"/>
        </w:rPr>
        <w:t>(2% </w:t>
      </w:r>
      <w:r w:rsidRPr="00647049">
        <w:rPr>
          <w:rFonts w:ascii="Times New Roman" w:eastAsia="Times New Roman" w:hAnsi="Times New Roman" w:cs="Times New Roman"/>
          <w:color w:val="000000"/>
          <w:sz w:val="24"/>
          <w:szCs w:val="24"/>
          <w:lang w:eastAsia="pl-PL"/>
        </w:rPr>
        <w:t>emerytury podstawowej za każdy rok takiej pracy),</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lastRenderedPageBreak/>
        <w:t>zwiększenia</w:t>
      </w:r>
      <w:r w:rsidRPr="00647049">
        <w:rPr>
          <w:rFonts w:ascii="Times New Roman" w:eastAsia="Times New Roman" w:hAnsi="Times New Roman" w:cs="Times New Roman"/>
          <w:color w:val="000000"/>
          <w:sz w:val="24"/>
          <w:szCs w:val="24"/>
          <w:lang w:eastAsia="pl-PL"/>
        </w:rPr>
        <w:t xml:space="preserve"> świadczenia za okresy: działalności kombatanckiej, działalności równorzędnej z tą działalnością, a także okresy zaliczane do okresów tej działalności oraz podlegania represjom wojennym i </w:t>
      </w:r>
      <w:r w:rsidR="00705F2F">
        <w:rPr>
          <w:rFonts w:ascii="Times New Roman" w:eastAsia="Times New Roman" w:hAnsi="Times New Roman" w:cs="Times New Roman"/>
          <w:color w:val="000000"/>
          <w:sz w:val="24"/>
          <w:szCs w:val="24"/>
          <w:lang w:eastAsia="pl-PL"/>
        </w:rPr>
        <w:t>okresu powojennego, określone w </w:t>
      </w:r>
      <w:r w:rsidRPr="00647049">
        <w:rPr>
          <w:rFonts w:ascii="Times New Roman" w:eastAsia="Times New Roman" w:hAnsi="Times New Roman" w:cs="Times New Roman"/>
          <w:color w:val="000000"/>
          <w:sz w:val="24"/>
          <w:szCs w:val="24"/>
          <w:lang w:eastAsia="pl-PL"/>
        </w:rPr>
        <w:t>przepisach o kombatantach oraz niektórych osobach będących ofiarami represji wojennych i okresu powojennego oraz odbyw</w:t>
      </w:r>
      <w:r w:rsidR="00705F2F">
        <w:rPr>
          <w:rFonts w:ascii="Times New Roman" w:eastAsia="Times New Roman" w:hAnsi="Times New Roman" w:cs="Times New Roman"/>
          <w:color w:val="000000"/>
          <w:sz w:val="24"/>
          <w:szCs w:val="24"/>
          <w:lang w:eastAsia="pl-PL"/>
        </w:rPr>
        <w:t>ania czynnej służby wojskowej w </w:t>
      </w:r>
      <w:r w:rsidRPr="00647049">
        <w:rPr>
          <w:rFonts w:ascii="Times New Roman" w:eastAsia="Times New Roman" w:hAnsi="Times New Roman" w:cs="Times New Roman"/>
          <w:color w:val="000000"/>
          <w:sz w:val="24"/>
          <w:szCs w:val="24"/>
          <w:lang w:eastAsia="pl-PL"/>
        </w:rPr>
        <w:t xml:space="preserve">Wojsku Polskim lub okresy jej równorzędne albo zastępczych form tej służby, przypadających przed dniem 1 stycznia 1999 </w:t>
      </w:r>
      <w:r w:rsidR="00705F2F">
        <w:rPr>
          <w:rFonts w:ascii="Times New Roman" w:eastAsia="Times New Roman" w:hAnsi="Times New Roman" w:cs="Times New Roman"/>
          <w:color w:val="000000"/>
          <w:sz w:val="24"/>
          <w:szCs w:val="24"/>
          <w:lang w:eastAsia="pl-PL"/>
        </w:rPr>
        <w:t>r. (1% emerytury podstawowej za </w:t>
      </w:r>
      <w:r w:rsidRPr="00647049">
        <w:rPr>
          <w:rFonts w:ascii="Times New Roman" w:eastAsia="Times New Roman" w:hAnsi="Times New Roman" w:cs="Times New Roman"/>
          <w:color w:val="000000"/>
          <w:sz w:val="24"/>
          <w:szCs w:val="24"/>
          <w:lang w:eastAsia="pl-PL"/>
        </w:rPr>
        <w:t xml:space="preserve">każdy rok),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wysokość</w:t>
      </w:r>
      <w:r w:rsidRPr="00647049">
        <w:rPr>
          <w:rFonts w:ascii="Times New Roman" w:eastAsia="Times New Roman" w:hAnsi="Times New Roman" w:cs="Times New Roman"/>
          <w:color w:val="000000"/>
          <w:sz w:val="24"/>
          <w:szCs w:val="24"/>
          <w:lang w:eastAsia="pl-PL"/>
        </w:rPr>
        <w:t xml:space="preserve"> składki opłacanej przez rolników (składka miesięczna za każdego ubezpieczonego wynosi 10% emerytury podstawowej</w:t>
      </w:r>
      <w:r w:rsidRPr="00EB29E9">
        <w:rPr>
          <w:rFonts w:ascii="Times New Roman" w:eastAsia="Times New Roman" w:hAnsi="Times New Roman" w:cs="Times New Roman"/>
          <w:color w:val="000000"/>
          <w:sz w:val="24"/>
          <w:szCs w:val="24"/>
          <w:vertAlign w:val="superscript"/>
          <w:lang w:eastAsia="pl-PL"/>
        </w:rPr>
        <w:footnoteReference w:id="5"/>
      </w:r>
      <w:r w:rsidR="00705F2F">
        <w:rPr>
          <w:rFonts w:ascii="Times New Roman" w:eastAsia="Times New Roman" w:hAnsi="Times New Roman" w:cs="Times New Roman"/>
          <w:color w:val="000000"/>
          <w:sz w:val="24"/>
          <w:szCs w:val="24"/>
          <w:vertAlign w:val="superscript"/>
          <w:lang w:eastAsia="pl-PL"/>
        </w:rPr>
        <w:t>)</w:t>
      </w:r>
      <w:r w:rsidRPr="00647049">
        <w:rPr>
          <w:rFonts w:ascii="Times New Roman" w:eastAsia="Times New Roman" w:hAnsi="Times New Roman" w:cs="Times New Roman"/>
          <w:color w:val="000000"/>
          <w:sz w:val="24"/>
          <w:szCs w:val="24"/>
          <w:lang w:eastAsia="pl-PL"/>
        </w:rPr>
        <w:t>, a w przypadku rolnika, którego gospodarstwo rolne obejmuje obszar użytków rolnych powyżej 50 ha przeliczeniowych, opłacana jest dodatkowa składka miesięczna).</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Podniesienie kwoty najniższej emerytury z art. 85 ustawy o emeryturach i r</w:t>
      </w:r>
      <w:r w:rsidR="00705F2F">
        <w:rPr>
          <w:rFonts w:ascii="Times New Roman" w:eastAsia="Times New Roman" w:hAnsi="Times New Roman" w:cs="Times New Roman"/>
          <w:sz w:val="24"/>
          <w:szCs w:val="24"/>
          <w:lang w:eastAsia="pl-PL"/>
        </w:rPr>
        <w:t>entach z </w:t>
      </w:r>
      <w:r w:rsidRPr="00647049">
        <w:rPr>
          <w:rFonts w:ascii="Times New Roman" w:eastAsia="Times New Roman" w:hAnsi="Times New Roman" w:cs="Times New Roman"/>
          <w:sz w:val="24"/>
          <w:szCs w:val="24"/>
          <w:lang w:eastAsia="pl-PL"/>
        </w:rPr>
        <w:t>FUS rzutuje na wzrost wszystkich powiązanych z tą wysokością świadczeń. Stąd też proponuje się odparametryzowanie (odwiązanie) świadczeń z ubezpieczenia społecznego rolników od aktualnej wysokości najniższej emerytury w systemie pracowniczym, co wymaga zmiany definicji emerytury podstawowej, służącej do obliczenia wysokości m.in. emerytur i rent. Kwota t</w:t>
      </w:r>
      <w:r w:rsidR="00705F2F">
        <w:rPr>
          <w:rFonts w:ascii="Times New Roman" w:eastAsia="Times New Roman" w:hAnsi="Times New Roman" w:cs="Times New Roman"/>
          <w:sz w:val="24"/>
          <w:szCs w:val="24"/>
          <w:lang w:eastAsia="pl-PL"/>
        </w:rPr>
        <w:t>a zostanie ustalona w oparciu o </w:t>
      </w:r>
      <w:r w:rsidRPr="00647049">
        <w:rPr>
          <w:rFonts w:ascii="Times New Roman" w:eastAsia="Times New Roman" w:hAnsi="Times New Roman" w:cs="Times New Roman"/>
          <w:sz w:val="24"/>
          <w:szCs w:val="24"/>
          <w:lang w:eastAsia="pl-PL"/>
        </w:rPr>
        <w:t>wysokość najniższej emerytury określonej na dzień</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28 lutego 2017 r. w przepisach ustawy o emeryturach i rentach z FUS (art. 3 pkt 1 projektu ustawy), a następnie będzie podlegać waloryzacji na zasadach określonych w powy</w:t>
      </w:r>
      <w:r w:rsidR="00393ADD">
        <w:rPr>
          <w:rFonts w:ascii="Times New Roman" w:eastAsia="Times New Roman" w:hAnsi="Times New Roman" w:cs="Times New Roman"/>
          <w:sz w:val="24"/>
          <w:szCs w:val="24"/>
          <w:lang w:eastAsia="pl-PL"/>
        </w:rPr>
        <w:t>żej wymienionej ustawie (art. 3 </w:t>
      </w:r>
      <w:r w:rsidRPr="00647049">
        <w:rPr>
          <w:rFonts w:ascii="Times New Roman" w:eastAsia="Times New Roman" w:hAnsi="Times New Roman" w:cs="Times New Roman"/>
          <w:sz w:val="24"/>
          <w:szCs w:val="24"/>
          <w:lang w:eastAsia="pl-PL"/>
        </w:rPr>
        <w:t>pkt 3 projektu ustawy). Emerytura podstawowa będzie służyć do obliczania nowo</w:t>
      </w:r>
      <w:r w:rsidR="00222ADB">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przyznawanych świadczeń, a świadczenia już przyznane będą podlegać mechanizmowi waloryzacji, poprzez pomnożenie kwoty świadczenia przez wskaźnik waloryzacji, określony w ustawie o emeryturach i rentach z FUS. Prezes Kasy Rolniczego Ubezpieczenia Społecznego będzie ogłaszać nową wysokość emerytury podstawowej (po waloryzacji), na co najmniej 7 dni roboczych przed najbliższym terminem waloryzacji (art. 3 pkt 3 i art. 10 ust.</w:t>
      </w:r>
      <w:r w:rsidR="00222ADB">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2 projektu ). </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lastRenderedPageBreak/>
        <w:t>Jednocześnie świadczenia emerytalne i rentowe zostaną podniesione analogicznie jak</w:t>
      </w:r>
      <w:r w:rsidR="00EB29E9" w:rsidRPr="00EB29E9">
        <w:rPr>
          <w:rFonts w:ascii="Times New Roman" w:eastAsia="Times New Roman" w:hAnsi="Times New Roman" w:cs="Times New Roman"/>
          <w:color w:val="000000"/>
          <w:sz w:val="24"/>
          <w:szCs w:val="24"/>
          <w:lang w:eastAsia="pl-PL"/>
        </w:rPr>
        <w:t xml:space="preserve"> </w:t>
      </w:r>
      <w:r w:rsidR="00393ADD">
        <w:rPr>
          <w:rFonts w:ascii="Times New Roman" w:eastAsia="Times New Roman" w:hAnsi="Times New Roman" w:cs="Times New Roman"/>
          <w:color w:val="000000"/>
          <w:sz w:val="24"/>
          <w:szCs w:val="24"/>
          <w:lang w:eastAsia="pl-PL"/>
        </w:rPr>
        <w:t>w </w:t>
      </w:r>
      <w:r w:rsidRPr="00647049">
        <w:rPr>
          <w:rFonts w:ascii="Times New Roman" w:eastAsia="Times New Roman" w:hAnsi="Times New Roman" w:cs="Times New Roman"/>
          <w:color w:val="000000"/>
          <w:sz w:val="24"/>
          <w:szCs w:val="24"/>
          <w:lang w:eastAsia="pl-PL"/>
        </w:rPr>
        <w:t>systemie pracowniczym nie mniej niż o kwotę 10 zł. Zachowana zostanie również zasada, że emerytury i renty nie będą niższe niż 1000 zł – art. 3 pkt 2 lit. a projektu ustawy. Zasada ta nie będzie stosowana przy emeryturze częściowej oraz przy świadczeniach wypłacanych w</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 xml:space="preserve">zbiegu – art. 3 pkt 2 lit. a projektu ustawy. </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 xml:space="preserve">Należy wskazać na obecną specyfikę systemu ubezpieczenia społecznego rolników, tj.: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oparcie</w:t>
      </w:r>
      <w:r w:rsidRPr="00647049">
        <w:rPr>
          <w:rFonts w:ascii="Times New Roman" w:eastAsia="Times New Roman" w:hAnsi="Times New Roman" w:cs="Times New Roman"/>
          <w:color w:val="000000"/>
          <w:sz w:val="24"/>
          <w:szCs w:val="24"/>
          <w:lang w:eastAsia="pl-PL"/>
        </w:rPr>
        <w:t xml:space="preserve"> wysokości każdej emerytury na kwocie emerytury podstawowej, którą obecnie jest najniższa emerytura z systemu pracowniczego, mimo braku jakichkolwiek powiązań między systemami</w:t>
      </w:r>
      <w:r w:rsidRPr="00EB29E9">
        <w:rPr>
          <w:rFonts w:ascii="Times New Roman" w:eastAsia="Times New Roman" w:hAnsi="Times New Roman" w:cs="Times New Roman"/>
          <w:color w:val="000000"/>
          <w:sz w:val="24"/>
          <w:szCs w:val="24"/>
          <w:vertAlign w:val="superscript"/>
          <w:lang w:eastAsia="pl-PL"/>
        </w:rPr>
        <w:footnoteReference w:id="6"/>
      </w:r>
      <w:r w:rsidR="00705F2F">
        <w:rPr>
          <w:rFonts w:ascii="Times New Roman" w:eastAsia="Times New Roman" w:hAnsi="Times New Roman" w:cs="Times New Roman"/>
          <w:color w:val="000000"/>
          <w:sz w:val="24"/>
          <w:szCs w:val="24"/>
          <w:vertAlign w:val="superscript"/>
          <w:lang w:eastAsia="pl-PL"/>
        </w:rPr>
        <w:t>)</w:t>
      </w:r>
      <w:r w:rsidRPr="00647049">
        <w:rPr>
          <w:rFonts w:ascii="Times New Roman" w:eastAsia="Times New Roman" w:hAnsi="Times New Roman" w:cs="Times New Roman"/>
          <w:color w:val="000000"/>
          <w:sz w:val="24"/>
          <w:szCs w:val="24"/>
          <w:lang w:eastAsia="pl-PL"/>
        </w:rPr>
        <w:t xml:space="preserve"> oraz adekwatności opłacanej składki do wysokości wypłacanych świadczeń,</w:t>
      </w:r>
      <w:r w:rsidR="00EB29E9" w:rsidRPr="00EB29E9">
        <w:rPr>
          <w:rFonts w:ascii="Times New Roman" w:eastAsia="Times New Roman" w:hAnsi="Times New Roman" w:cs="Times New Roman"/>
          <w:color w:val="000000"/>
          <w:sz w:val="24"/>
          <w:szCs w:val="24"/>
          <w:lang w:eastAsia="pl-PL"/>
        </w:rPr>
        <w:t xml:space="preserve"> </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 xml:space="preserve">brak </w:t>
      </w:r>
      <w:r w:rsidRPr="00647049">
        <w:rPr>
          <w:rFonts w:ascii="Times New Roman" w:eastAsia="Times New Roman" w:hAnsi="Times New Roman" w:cs="Times New Roman"/>
          <w:sz w:val="24"/>
          <w:szCs w:val="24"/>
          <w:lang w:eastAsia="pl-PL"/>
        </w:rPr>
        <w:t>pojęcia</w:t>
      </w:r>
      <w:r w:rsidRPr="00647049">
        <w:rPr>
          <w:rFonts w:ascii="Times New Roman" w:eastAsia="Times New Roman" w:hAnsi="Times New Roman" w:cs="Times New Roman"/>
          <w:color w:val="000000"/>
          <w:sz w:val="24"/>
          <w:szCs w:val="24"/>
          <w:lang w:eastAsia="pl-PL"/>
        </w:rPr>
        <w:t xml:space="preserve"> waloryzacji – podwyższanie świadczeń odbywa się poprzez wzrost emerytury podstawowej,</w:t>
      </w:r>
    </w:p>
    <w:p w:rsidR="00647049" w:rsidRPr="00647049" w:rsidRDefault="00647049" w:rsidP="00705F2F">
      <w:pPr>
        <w:numPr>
          <w:ilvl w:val="0"/>
          <w:numId w:val="2"/>
        </w:numPr>
        <w:spacing w:after="0" w:line="360" w:lineRule="auto"/>
        <w:ind w:left="336" w:hanging="322"/>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sz w:val="24"/>
          <w:szCs w:val="24"/>
          <w:lang w:eastAsia="pl-PL"/>
        </w:rPr>
        <w:t>ustalanie</w:t>
      </w:r>
      <w:r w:rsidRPr="00647049">
        <w:rPr>
          <w:rFonts w:ascii="Times New Roman" w:eastAsia="Times New Roman" w:hAnsi="Times New Roman" w:cs="Times New Roman"/>
          <w:color w:val="000000"/>
          <w:sz w:val="24"/>
          <w:szCs w:val="24"/>
          <w:lang w:eastAsia="pl-PL"/>
        </w:rPr>
        <w:t xml:space="preserve"> wysokości składek na ubezpieczenie emerytalno-rentowe na podstawie wysokości najniższej emerytury pracowniczej.</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Unormowania art. 2 projektu ustawy określają sposób obliczania rent inwalidów wojennych</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i wojskowych w przypadku zmiany w ich wysokości po dniu 28 lutego 2017</w:t>
      </w:r>
      <w:r w:rsidR="00705F2F">
        <w:rPr>
          <w:rFonts w:ascii="Times New Roman" w:eastAsia="Times New Roman" w:hAnsi="Times New Roman" w:cs="Times New Roman"/>
          <w:sz w:val="24"/>
          <w:szCs w:val="24"/>
          <w:lang w:eastAsia="pl-PL"/>
        </w:rPr>
        <w:t> </w:t>
      </w:r>
      <w:r w:rsidRPr="00647049">
        <w:rPr>
          <w:rFonts w:ascii="Times New Roman" w:eastAsia="Times New Roman" w:hAnsi="Times New Roman" w:cs="Times New Roman"/>
          <w:sz w:val="24"/>
          <w:szCs w:val="24"/>
          <w:lang w:eastAsia="pl-PL"/>
        </w:rPr>
        <w:t>r.</w:t>
      </w:r>
    </w:p>
    <w:p w:rsidR="00647049" w:rsidRPr="00647049" w:rsidRDefault="00647049" w:rsidP="00EB29E9">
      <w:pPr>
        <w:spacing w:before="120" w:after="0" w:line="360" w:lineRule="auto"/>
        <w:jc w:val="both"/>
        <w:rPr>
          <w:rFonts w:ascii="Times New Roman" w:eastAsia="Times New Roman" w:hAnsi="Times New Roman" w:cs="Times New Roman"/>
          <w:bCs/>
          <w:sz w:val="24"/>
          <w:szCs w:val="24"/>
          <w:lang w:eastAsia="pl-PL"/>
        </w:rPr>
      </w:pPr>
      <w:r w:rsidRPr="00647049">
        <w:rPr>
          <w:rFonts w:ascii="Times New Roman" w:eastAsia="Times New Roman" w:hAnsi="Times New Roman" w:cs="Times New Roman"/>
          <w:sz w:val="24"/>
          <w:szCs w:val="24"/>
          <w:lang w:eastAsia="pl-PL"/>
        </w:rPr>
        <w:t xml:space="preserve">Regulacje projektowanej ustawy zawierają </w:t>
      </w:r>
      <w:r w:rsidRPr="00647049">
        <w:rPr>
          <w:rFonts w:ascii="Times New Roman" w:eastAsia="Times New Roman" w:hAnsi="Times New Roman" w:cs="Times New Roman"/>
          <w:bCs/>
          <w:sz w:val="24"/>
          <w:szCs w:val="24"/>
          <w:lang w:eastAsia="pl-PL"/>
        </w:rPr>
        <w:t xml:space="preserve">unormowanie stanowiące, że do państwowych funduszy celowych: Funduszu Ubezpieczeń Społecznych (FUS), Funduszu Emerytalno-Rentowego Kasy Rolniczego Ubezpieczenia Społecznego (FER KRUS) oraz Funduszu Emerytur Pomostowych (FEP) stosuje się zasadę, że zmiany planu finansowego państwowego funduszu celowego mogą powodować zwiększenie dotacji z budżetu państwa (art. 11 projektu ustawy). </w:t>
      </w:r>
    </w:p>
    <w:p w:rsidR="00647049" w:rsidRPr="00647049" w:rsidRDefault="00647049" w:rsidP="00EB29E9">
      <w:pPr>
        <w:spacing w:before="120" w:after="0" w:line="360" w:lineRule="auto"/>
        <w:jc w:val="both"/>
        <w:rPr>
          <w:rFonts w:ascii="Times New Roman" w:eastAsia="Times New Roman" w:hAnsi="Times New Roman" w:cs="Times New Roman"/>
          <w:bCs/>
          <w:sz w:val="24"/>
          <w:szCs w:val="24"/>
          <w:lang w:eastAsia="pl-PL"/>
        </w:rPr>
      </w:pPr>
      <w:r w:rsidRPr="00647049">
        <w:rPr>
          <w:rFonts w:ascii="Times New Roman" w:eastAsia="Times New Roman" w:hAnsi="Times New Roman" w:cs="Times New Roman"/>
          <w:bCs/>
          <w:sz w:val="24"/>
          <w:szCs w:val="24"/>
          <w:lang w:eastAsia="pl-PL"/>
        </w:rPr>
        <w:t>W 2017 r. emerytura podstawowa</w:t>
      </w:r>
      <w:r w:rsidR="00222ADB">
        <w:rPr>
          <w:rFonts w:ascii="Times New Roman" w:eastAsia="Times New Roman" w:hAnsi="Times New Roman" w:cs="Times New Roman"/>
          <w:bCs/>
          <w:sz w:val="24"/>
          <w:szCs w:val="24"/>
          <w:lang w:eastAsia="pl-PL"/>
        </w:rPr>
        <w:t>,</w:t>
      </w:r>
      <w:r w:rsidRPr="00647049">
        <w:rPr>
          <w:rFonts w:ascii="Times New Roman" w:eastAsia="Times New Roman" w:hAnsi="Times New Roman" w:cs="Times New Roman"/>
          <w:bCs/>
          <w:sz w:val="24"/>
          <w:szCs w:val="24"/>
          <w:lang w:eastAsia="pl-PL"/>
        </w:rPr>
        <w:t xml:space="preserve"> w kwocie 882,56 zł miesięcznie, podlega waloryzacji wskaźnikiem waloryzacji rozumianym jako średn</w:t>
      </w:r>
      <w:r w:rsidR="00705F2F">
        <w:rPr>
          <w:rFonts w:ascii="Times New Roman" w:eastAsia="Times New Roman" w:hAnsi="Times New Roman" w:cs="Times New Roman"/>
          <w:bCs/>
          <w:sz w:val="24"/>
          <w:szCs w:val="24"/>
          <w:lang w:eastAsia="pl-PL"/>
        </w:rPr>
        <w:t>ioroczny wskaźnik cen towarów i </w:t>
      </w:r>
      <w:r w:rsidRPr="00647049">
        <w:rPr>
          <w:rFonts w:ascii="Times New Roman" w:eastAsia="Times New Roman" w:hAnsi="Times New Roman" w:cs="Times New Roman"/>
          <w:bCs/>
          <w:sz w:val="24"/>
          <w:szCs w:val="24"/>
          <w:lang w:eastAsia="pl-PL"/>
        </w:rPr>
        <w:t xml:space="preserve">usług konsumpcyjnych w poprzednim roku kalendarzowym zwiększony o co </w:t>
      </w:r>
      <w:r w:rsidRPr="00647049">
        <w:rPr>
          <w:rFonts w:ascii="Times New Roman" w:eastAsia="Times New Roman" w:hAnsi="Times New Roman" w:cs="Times New Roman"/>
          <w:bCs/>
          <w:sz w:val="24"/>
          <w:szCs w:val="24"/>
          <w:lang w:eastAsia="pl-PL"/>
        </w:rPr>
        <w:lastRenderedPageBreak/>
        <w:t>najmniej 20% realnego wzrostu przeciętnego wynagrodzenia w poprzednim roku kalendarzowym (art. 10 ust. 1 projektu ustawy).</w:t>
      </w:r>
    </w:p>
    <w:p w:rsidR="00647049" w:rsidRPr="00647049" w:rsidRDefault="00647049" w:rsidP="00EB29E9">
      <w:pPr>
        <w:spacing w:before="120" w:after="0" w:line="360" w:lineRule="auto"/>
        <w:jc w:val="both"/>
        <w:rPr>
          <w:rFonts w:ascii="Times New Roman" w:eastAsia="Times New Roman" w:hAnsi="Times New Roman" w:cs="Times New Roman"/>
          <w:bCs/>
          <w:sz w:val="24"/>
          <w:szCs w:val="24"/>
          <w:lang w:eastAsia="pl-PL"/>
        </w:rPr>
      </w:pPr>
      <w:r w:rsidRPr="00647049">
        <w:rPr>
          <w:rFonts w:ascii="Times New Roman" w:eastAsia="Times New Roman" w:hAnsi="Times New Roman" w:cs="Times New Roman"/>
          <w:bCs/>
          <w:sz w:val="24"/>
          <w:szCs w:val="24"/>
          <w:lang w:eastAsia="pl-PL"/>
        </w:rPr>
        <w:t xml:space="preserve">Proponuje się, aby ustawa weszła w życie z dniem 1 marca 2017 r., z tym, że przepisy dotyczące ogłaszania przez Prezesa Zakładu Ubezpieczeń Społecznych kwoty dodatków i świadczeń oraz kwot maksymalnych zmniejszeń (art. 9 projektu ustawy) oraz ogłaszania przez Prezesa Kasy Rolniczego Ubezpieczenia Społecznego zwaloryzowanej kwoty emerytury podstawowej (art. 10 ust. 2 projektu ustawy) </w:t>
      </w:r>
      <w:r w:rsidR="00705F2F">
        <w:rPr>
          <w:rFonts w:ascii="Times New Roman" w:eastAsia="Times New Roman" w:hAnsi="Times New Roman" w:cs="Times New Roman"/>
          <w:bCs/>
          <w:sz w:val="24"/>
          <w:szCs w:val="24"/>
          <w:lang w:eastAsia="pl-PL"/>
        </w:rPr>
        <w:t>powinny wchodzić w </w:t>
      </w:r>
      <w:r w:rsidRPr="00647049">
        <w:rPr>
          <w:rFonts w:ascii="Times New Roman" w:eastAsia="Times New Roman" w:hAnsi="Times New Roman" w:cs="Times New Roman"/>
          <w:bCs/>
          <w:sz w:val="24"/>
          <w:szCs w:val="24"/>
          <w:lang w:eastAsia="pl-PL"/>
        </w:rPr>
        <w:t>życie w dniu następującym po dniu ogłoszenia ustawy. Wcześniejsze wejście w życie przywołanych przepisów wynika z konieczności przygotowania i ogłoszenia komunikatów przed dniem 1 marca 2017 r.</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Wejście w życie projektowanej ustawy nie naruszy wartości wyrażonych w Konstytucji Rzeczypospolitej Polskiej. Z orzecznictwa Trybunału Konstytucyjnego wynika, że waloryzowanie świadczeń emerytalno-rentowych stanowi jeden z elementów konstytucyjnego prawa do zabezpieczenia społecznego, wyrażonego w art. 67 ust. 1 Konstytucji RP, co oznacza konieczność istnienia mechanizmu utrzymywania świadczeń emerytalno-rentowych na odpowiednim poziomie ich wartości realnej. Określenie zakresu i formy zabezpieczenia społecznego Konstytucja RP powierza ustawodawcy (art. 67 ust. 1 zdanie 2 Konstytucji RP)</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i dlatego też ma on znaczną swobodę w kształtowaniu mechanizmu waloryzacji. Do ustawodawcy należy zatem wybór rozwiązań, które uważa za optymalne z</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punktu widzenia potrzeb obywateli oraz wymogów ekonomicznego rozwoju kraju. W</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dziedzinie kształtowania praw socjalnych, Konstytucja RP pozostawia ustawodawcy szeroki margines działania,</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a sposób wykorzystania tego marginesu nie może pozostawać bez związku z aktualnymi możliwościami finansowymi państwa. Swoboda ustawodawcy nie jest jednak nieograniczona. Określając zakres prawa do zabezpieczenia społecznego</w:t>
      </w:r>
      <w:r w:rsidR="00292ADA">
        <w:rPr>
          <w:rFonts w:ascii="Times New Roman" w:eastAsia="Times New Roman" w:hAnsi="Times New Roman" w:cs="Times New Roman"/>
          <w:color w:val="000000"/>
          <w:sz w:val="24"/>
          <w:szCs w:val="24"/>
          <w:lang w:eastAsia="pl-PL"/>
        </w:rPr>
        <w:t>,</w:t>
      </w:r>
      <w:r w:rsidRPr="00647049">
        <w:rPr>
          <w:rFonts w:ascii="Times New Roman" w:eastAsia="Times New Roman" w:hAnsi="Times New Roman" w:cs="Times New Roman"/>
          <w:color w:val="000000"/>
          <w:sz w:val="24"/>
          <w:szCs w:val="24"/>
          <w:lang w:eastAsia="pl-PL"/>
        </w:rPr>
        <w:t xml:space="preserve"> ustawa nie może naruszyć istoty danego prawa, która określa jego tożsamość. </w:t>
      </w:r>
    </w:p>
    <w:p w:rsidR="00647049" w:rsidRPr="00647049" w:rsidRDefault="00647049" w:rsidP="00EB29E9">
      <w:pPr>
        <w:autoSpaceDE w:val="0"/>
        <w:autoSpaceDN w:val="0"/>
        <w:adjustRightInd w:val="0"/>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 xml:space="preserve">W orzecznictwie Trybunał Konstytucyjny podkreślał, że: „Świadczenia emerytalne przysługują w zamian za składkę ubezpieczeniową wnoszoną do systemu, jednak suma wpłaconych składek nie decyduje ostatecznie o wysokości emerytury. Formuła obliczania świadczeń wyraża bowiem podstawowe </w:t>
      </w:r>
      <w:r w:rsidR="00705F2F">
        <w:rPr>
          <w:rFonts w:ascii="Times New Roman" w:eastAsia="Times New Roman" w:hAnsi="Times New Roman" w:cs="Times New Roman"/>
          <w:color w:val="000000"/>
          <w:sz w:val="24"/>
          <w:szCs w:val="24"/>
          <w:lang w:eastAsia="pl-PL"/>
        </w:rPr>
        <w:t>zasady systemu ubezpieczeń, a w </w:t>
      </w:r>
      <w:r w:rsidRPr="00647049">
        <w:rPr>
          <w:rFonts w:ascii="Times New Roman" w:eastAsia="Times New Roman" w:hAnsi="Times New Roman" w:cs="Times New Roman"/>
          <w:color w:val="000000"/>
          <w:sz w:val="24"/>
          <w:szCs w:val="24"/>
          <w:lang w:eastAsia="pl-PL"/>
        </w:rPr>
        <w:t xml:space="preserve">szczególności zasadę solidaryzmu społecznego. Oznacza to, że wypłacane świadczenia muszą pozostawać w pewnej proporcji do wysokości zarobku, jakim </w:t>
      </w:r>
      <w:r w:rsidRPr="00647049">
        <w:rPr>
          <w:rFonts w:ascii="Times New Roman" w:eastAsia="Times New Roman" w:hAnsi="Times New Roman" w:cs="Times New Roman"/>
          <w:color w:val="000000"/>
          <w:sz w:val="24"/>
          <w:szCs w:val="24"/>
          <w:lang w:eastAsia="pl-PL"/>
        </w:rPr>
        <w:lastRenderedPageBreak/>
        <w:t>ubezpieczony dysponował przed przejściem na emeryturę, ale muszą też zaspokajać podstawowe potrzeby ubezpieczonego”</w:t>
      </w:r>
      <w:r w:rsidRPr="00EB29E9">
        <w:rPr>
          <w:rFonts w:ascii="Times New Roman" w:eastAsia="Times New Roman" w:hAnsi="Times New Roman" w:cs="Times New Roman"/>
          <w:color w:val="000000"/>
          <w:sz w:val="24"/>
          <w:szCs w:val="24"/>
          <w:vertAlign w:val="superscript"/>
          <w:lang w:eastAsia="pl-PL"/>
        </w:rPr>
        <w:footnoteReference w:id="7"/>
      </w:r>
      <w:r w:rsidR="00705F2F">
        <w:rPr>
          <w:rFonts w:ascii="Times New Roman" w:eastAsia="Times New Roman" w:hAnsi="Times New Roman" w:cs="Times New Roman"/>
          <w:color w:val="000000"/>
          <w:sz w:val="24"/>
          <w:szCs w:val="24"/>
          <w:vertAlign w:val="superscript"/>
          <w:lang w:eastAsia="pl-PL"/>
        </w:rPr>
        <w:t>)</w:t>
      </w:r>
      <w:r w:rsidRPr="00647049">
        <w:rPr>
          <w:rFonts w:ascii="Times New Roman" w:eastAsia="Times New Roman" w:hAnsi="Times New Roman" w:cs="Times New Roman"/>
          <w:color w:val="000000"/>
          <w:sz w:val="24"/>
          <w:szCs w:val="24"/>
          <w:lang w:eastAsia="pl-PL"/>
        </w:rPr>
        <w:t xml:space="preserve">. </w:t>
      </w:r>
    </w:p>
    <w:p w:rsidR="00647049" w:rsidRPr="00647049" w:rsidRDefault="00647049" w:rsidP="00EB29E9">
      <w:pPr>
        <w:spacing w:before="120" w:after="0" w:line="360" w:lineRule="auto"/>
        <w:jc w:val="both"/>
        <w:rPr>
          <w:rFonts w:ascii="Times New Roman" w:eastAsia="Times New Roman" w:hAnsi="Times New Roman" w:cs="Times New Roman"/>
          <w:color w:val="000000"/>
          <w:sz w:val="24"/>
          <w:szCs w:val="24"/>
          <w:lang w:eastAsia="pl-PL"/>
        </w:rPr>
      </w:pPr>
      <w:r w:rsidRPr="00647049">
        <w:rPr>
          <w:rFonts w:ascii="Times New Roman" w:eastAsia="Times New Roman" w:hAnsi="Times New Roman" w:cs="Times New Roman"/>
          <w:color w:val="000000"/>
          <w:sz w:val="24"/>
          <w:szCs w:val="24"/>
          <w:lang w:eastAsia="pl-PL"/>
        </w:rPr>
        <w:t>Po przeanalizowaniu dotychczasowego orzecznictwa Trybunału Konstytucyjnego nie ma wątpliwości co do tego, że ustawodawca winien określać wysokość świadczenia emerytalnego w taki sposób, by nie naruszyć istoty prawa do zabezpieczenia społecznego. Wydaje się jednak, że konstytucyjny standard ochrony odnoszonej do świadczeń emerytalnych wykracza poza sam zakaz naruszania istoty prawa. Biorąc pod uwagę rozłożenie w czasie procesu uzyskiwania prawa do emerytury oraz możliwe długotrwałe korzystanie z owego prawa, podstawowe znaczenie ma problem zachowania wartości emerytury, której wysokość jest określana w decyzji organu emerytalnego. Z punktu widzenia zasady ochrony zaufania obywatela do państwa</w:t>
      </w:r>
      <w:r w:rsidR="00705F2F">
        <w:rPr>
          <w:rFonts w:ascii="Times New Roman" w:eastAsia="Times New Roman" w:hAnsi="Times New Roman" w:cs="Times New Roman"/>
          <w:color w:val="000000"/>
          <w:sz w:val="24"/>
          <w:szCs w:val="24"/>
          <w:lang w:eastAsia="pl-PL"/>
        </w:rPr>
        <w:t xml:space="preserve"> i </w:t>
      </w:r>
      <w:r w:rsidRPr="00647049">
        <w:rPr>
          <w:rFonts w:ascii="Times New Roman" w:eastAsia="Times New Roman" w:hAnsi="Times New Roman" w:cs="Times New Roman"/>
          <w:color w:val="000000"/>
          <w:sz w:val="24"/>
          <w:szCs w:val="24"/>
          <w:lang w:eastAsia="pl-PL"/>
        </w:rPr>
        <w:t>stanowionego przez nie prawa zasadne wydaje się bowiem formułowanie oczekiwania, że państwo po ustaleniu wysokości świadczenia emerytalnego zapewni jego realną wartość. Takim właśnie mechanizmem, służącym zagwarantowaniu obywatelowi realnej wartości uzyskiwanej przez niego emerytury, jest mechanizm waloryzacji. Tym samym, patrząc z perspektywy zakotwiczonej w</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Konstytucji RP zasady ochrony praw nabytych, instytucja waloryzacji emerytur stanowi istotny element prawa do emerytury (wyrok Trybunału Konstytucyjnego z 20 grudnia 1</w:t>
      </w:r>
      <w:r w:rsidR="00705F2F">
        <w:rPr>
          <w:rFonts w:ascii="Times New Roman" w:eastAsia="Times New Roman" w:hAnsi="Times New Roman" w:cs="Times New Roman"/>
          <w:color w:val="000000"/>
          <w:sz w:val="24"/>
          <w:szCs w:val="24"/>
          <w:lang w:eastAsia="pl-PL"/>
        </w:rPr>
        <w:t>999 r., sygn. K 4/99, OTK ZU nr </w:t>
      </w:r>
      <w:r w:rsidRPr="00647049">
        <w:rPr>
          <w:rFonts w:ascii="Times New Roman" w:eastAsia="Times New Roman" w:hAnsi="Times New Roman" w:cs="Times New Roman"/>
          <w:color w:val="000000"/>
          <w:sz w:val="24"/>
          <w:szCs w:val="24"/>
          <w:lang w:eastAsia="pl-PL"/>
        </w:rPr>
        <w:t>7/1999, poz. 165). Dodatkowo, Trybunał Konstytucyjny w</w:t>
      </w:r>
      <w:r w:rsidR="00EB29E9" w:rsidRPr="00EB29E9">
        <w:rPr>
          <w:rFonts w:ascii="Times New Roman" w:eastAsia="Times New Roman" w:hAnsi="Times New Roman" w:cs="Times New Roman"/>
          <w:color w:val="000000"/>
          <w:sz w:val="24"/>
          <w:szCs w:val="24"/>
          <w:lang w:eastAsia="pl-PL"/>
        </w:rPr>
        <w:t xml:space="preserve"> </w:t>
      </w:r>
      <w:r w:rsidRPr="00647049">
        <w:rPr>
          <w:rFonts w:ascii="Times New Roman" w:eastAsia="Times New Roman" w:hAnsi="Times New Roman" w:cs="Times New Roman"/>
          <w:color w:val="000000"/>
          <w:sz w:val="24"/>
          <w:szCs w:val="24"/>
          <w:lang w:eastAsia="pl-PL"/>
        </w:rPr>
        <w:t>postanowieniu</w:t>
      </w:r>
      <w:r w:rsidR="00393ADD">
        <w:rPr>
          <w:rFonts w:ascii="Times New Roman" w:eastAsia="Times New Roman" w:hAnsi="Times New Roman" w:cs="Times New Roman"/>
          <w:color w:val="000000"/>
          <w:sz w:val="24"/>
          <w:szCs w:val="24"/>
          <w:lang w:eastAsia="pl-PL"/>
        </w:rPr>
        <w:t xml:space="preserve"> z 27 </w:t>
      </w:r>
      <w:r w:rsidRPr="00647049">
        <w:rPr>
          <w:rFonts w:ascii="Times New Roman" w:eastAsia="Times New Roman" w:hAnsi="Times New Roman" w:cs="Times New Roman"/>
          <w:color w:val="000000"/>
          <w:sz w:val="24"/>
          <w:szCs w:val="24"/>
          <w:lang w:eastAsia="pl-PL"/>
        </w:rPr>
        <w:t>czerwca 2001 r. (sygn. Ts 24/01, OTK ZU nr 5/2001, poz. 154) stwierdził, że dopóki stosowany przez ustawodawcę mechanizm waloryzacji jest ukierunkowany na zagwarantowanie realnej wartości przyznanych emerytur, dopóty ustawodawca ma swobodę w zakresie sposobu jej dokonywania, w szcze</w:t>
      </w:r>
      <w:r w:rsidR="00705F2F">
        <w:rPr>
          <w:rFonts w:ascii="Times New Roman" w:eastAsia="Times New Roman" w:hAnsi="Times New Roman" w:cs="Times New Roman"/>
          <w:color w:val="000000"/>
          <w:sz w:val="24"/>
          <w:szCs w:val="24"/>
          <w:lang w:eastAsia="pl-PL"/>
        </w:rPr>
        <w:t>gólności</w:t>
      </w:r>
      <w:r w:rsidR="00292ADA">
        <w:rPr>
          <w:rFonts w:ascii="Times New Roman" w:eastAsia="Times New Roman" w:hAnsi="Times New Roman" w:cs="Times New Roman"/>
          <w:color w:val="000000"/>
          <w:sz w:val="24"/>
          <w:szCs w:val="24"/>
          <w:lang w:eastAsia="pl-PL"/>
        </w:rPr>
        <w:t>,</w:t>
      </w:r>
      <w:r w:rsidR="00705F2F">
        <w:rPr>
          <w:rFonts w:ascii="Times New Roman" w:eastAsia="Times New Roman" w:hAnsi="Times New Roman" w:cs="Times New Roman"/>
          <w:color w:val="000000"/>
          <w:sz w:val="24"/>
          <w:szCs w:val="24"/>
          <w:lang w:eastAsia="pl-PL"/>
        </w:rPr>
        <w:t xml:space="preserve"> jeśli chodzi o wybór i </w:t>
      </w:r>
      <w:r w:rsidRPr="00647049">
        <w:rPr>
          <w:rFonts w:ascii="Times New Roman" w:eastAsia="Times New Roman" w:hAnsi="Times New Roman" w:cs="Times New Roman"/>
          <w:color w:val="000000"/>
          <w:sz w:val="24"/>
          <w:szCs w:val="24"/>
          <w:lang w:eastAsia="pl-PL"/>
        </w:rPr>
        <w:t>zmiany jej metody (wyrok Trybunału Konstytucyjnego</w:t>
      </w:r>
      <w:r w:rsidR="00705F2F">
        <w:rPr>
          <w:rFonts w:ascii="Times New Roman" w:eastAsia="Times New Roman" w:hAnsi="Times New Roman" w:cs="Times New Roman"/>
          <w:color w:val="000000"/>
          <w:sz w:val="24"/>
          <w:szCs w:val="24"/>
          <w:lang w:eastAsia="pl-PL"/>
        </w:rPr>
        <w:t xml:space="preserve"> z 8 maja 2000 r., sygn. SK </w:t>
      </w:r>
      <w:r w:rsidRPr="00647049">
        <w:rPr>
          <w:rFonts w:ascii="Times New Roman" w:eastAsia="Times New Roman" w:hAnsi="Times New Roman" w:cs="Times New Roman"/>
          <w:color w:val="000000"/>
          <w:sz w:val="24"/>
          <w:szCs w:val="24"/>
          <w:lang w:eastAsia="pl-PL"/>
        </w:rPr>
        <w:t>22/99, OTK ZU nr 4/2000, poz. 107).</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Należy podkreślić, że waloryzacja świadczeń emerytalno-rentowych stanowi ważny element konstrukcji systemu ubezpieczeń społecznych. Ekonomiczna i społeczna funkcja waloryzacji świadczeń emerytalno-rentowych polega na przeciwdziałaniu deprecjacji świadczeń i tym samym przeciwdziałaniu wpadania</w:t>
      </w:r>
      <w:r w:rsidR="00705F2F">
        <w:rPr>
          <w:rFonts w:ascii="Times New Roman" w:eastAsia="Times New Roman" w:hAnsi="Times New Roman" w:cs="Times New Roman"/>
          <w:sz w:val="24"/>
          <w:szCs w:val="24"/>
          <w:lang w:eastAsia="pl-PL"/>
        </w:rPr>
        <w:t xml:space="preserve"> emerytów i rencistów w </w:t>
      </w:r>
      <w:r w:rsidRPr="00647049">
        <w:rPr>
          <w:rFonts w:ascii="Times New Roman" w:eastAsia="Times New Roman" w:hAnsi="Times New Roman" w:cs="Times New Roman"/>
          <w:sz w:val="24"/>
          <w:szCs w:val="24"/>
          <w:lang w:eastAsia="pl-PL"/>
        </w:rPr>
        <w:t>sferę ubóstwa. Sposób waloryzacji świadczeń em</w:t>
      </w:r>
      <w:r w:rsidR="00705F2F">
        <w:rPr>
          <w:rFonts w:ascii="Times New Roman" w:eastAsia="Times New Roman" w:hAnsi="Times New Roman" w:cs="Times New Roman"/>
          <w:sz w:val="24"/>
          <w:szCs w:val="24"/>
          <w:lang w:eastAsia="pl-PL"/>
        </w:rPr>
        <w:t>erytalno-rentowych jest jedną z </w:t>
      </w:r>
      <w:r w:rsidRPr="00647049">
        <w:rPr>
          <w:rFonts w:ascii="Times New Roman" w:eastAsia="Times New Roman" w:hAnsi="Times New Roman" w:cs="Times New Roman"/>
          <w:sz w:val="24"/>
          <w:szCs w:val="24"/>
          <w:lang w:eastAsia="pl-PL"/>
        </w:rPr>
        <w:t xml:space="preserve">najbardziej drażliwych i szeroko komentowanych kwestii. Wynika to między innymi </w:t>
      </w:r>
      <w:r w:rsidRPr="00647049">
        <w:rPr>
          <w:rFonts w:ascii="Times New Roman" w:eastAsia="Times New Roman" w:hAnsi="Times New Roman" w:cs="Times New Roman"/>
          <w:sz w:val="24"/>
          <w:szCs w:val="24"/>
          <w:lang w:eastAsia="pl-PL"/>
        </w:rPr>
        <w:lastRenderedPageBreak/>
        <w:t>z</w:t>
      </w:r>
      <w:r w:rsidR="00705F2F">
        <w:rPr>
          <w:rFonts w:ascii="Times New Roman" w:eastAsia="Times New Roman" w:hAnsi="Times New Roman" w:cs="Times New Roman"/>
          <w:sz w:val="24"/>
          <w:szCs w:val="24"/>
          <w:lang w:eastAsia="pl-PL"/>
        </w:rPr>
        <w:t> </w:t>
      </w:r>
      <w:r w:rsidRPr="00647049">
        <w:rPr>
          <w:rFonts w:ascii="Times New Roman" w:eastAsia="Times New Roman" w:hAnsi="Times New Roman" w:cs="Times New Roman"/>
          <w:sz w:val="24"/>
          <w:szCs w:val="24"/>
          <w:lang w:eastAsia="pl-PL"/>
        </w:rPr>
        <w:t xml:space="preserve">niemożności zaspokojenia wszystkich oczekiwań świadczeniobiorców zgłaszających w tej kwestii szereg, często wzajemnie wykluczających się, wniosków.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Proponowana w marcu 2017 r. waloryzacja prognozowanym wskaźnikiem, z gwarancją minimalnej kwoty podwyżki na poziomie 10 zł oraz podwyższenie świadczeń najniższych do 1000 zł, stanowić będzie wsparcie dla najuboższych</w:t>
      </w:r>
      <w:r w:rsidR="00705F2F">
        <w:rPr>
          <w:rFonts w:ascii="Times New Roman" w:eastAsia="Times New Roman" w:hAnsi="Times New Roman" w:cs="Times New Roman"/>
          <w:sz w:val="24"/>
          <w:szCs w:val="24"/>
          <w:lang w:eastAsia="pl-PL"/>
        </w:rPr>
        <w:t xml:space="preserve"> grup emerytów i </w:t>
      </w:r>
      <w:r w:rsidRPr="00647049">
        <w:rPr>
          <w:rFonts w:ascii="Times New Roman" w:eastAsia="Times New Roman" w:hAnsi="Times New Roman" w:cs="Times New Roman"/>
          <w:sz w:val="24"/>
          <w:szCs w:val="24"/>
          <w:lang w:eastAsia="pl-PL"/>
        </w:rPr>
        <w:t>rencistów,</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z zachowaniem wartości realnej wszystkich emerytur i rent.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 xml:space="preserve">Przyjęcie w 2017 r. zasady waloryzacji procentowej z gwarantowaną minimalną podwyżką na poziomie 10 zł powoduje, że świadczenia wypłacane w kwocie poniżej 1369,86 zł miesięcznie będą podwyższone w stopniu większym, niż gdyby przeprowadzono waloryzację według obecnie funkcjonujących zasad. Na </w:t>
      </w:r>
      <w:r w:rsidRPr="00647049">
        <w:rPr>
          <w:rFonts w:ascii="Times New Roman" w:eastAsia="Times New Roman" w:hAnsi="Times New Roman" w:cs="Times New Roman"/>
          <w:color w:val="000000"/>
          <w:sz w:val="24"/>
          <w:szCs w:val="24"/>
          <w:lang w:eastAsia="pl-PL"/>
        </w:rPr>
        <w:t>tak określonych zasadach waloryzacji</w:t>
      </w:r>
      <w:r w:rsidRPr="00647049">
        <w:rPr>
          <w:rFonts w:ascii="Times New Roman" w:eastAsia="Times New Roman" w:hAnsi="Times New Roman" w:cs="Times New Roman"/>
          <w:sz w:val="24"/>
          <w:szCs w:val="24"/>
          <w:lang w:eastAsia="pl-PL"/>
        </w:rPr>
        <w:t xml:space="preserve"> skorzysta ok. 2,1 mln zł świadczeniobiorców FUS oraz prawie wszyscy świadczeniobiorcy KRUS (ok. 1,1 mln osób).</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color w:val="000000"/>
          <w:sz w:val="24"/>
          <w:szCs w:val="24"/>
          <w:lang w:eastAsia="pl-PL"/>
        </w:rPr>
        <w:t xml:space="preserve">W związku z podwyższeniem do 1000 zł najniższej emerytury, renty z tytułu całkowitej niezdolności do pracy i renty rodzinnej, świadczenia te wzrosną z obecnej kwoty </w:t>
      </w:r>
      <w:r w:rsidR="00705F2F">
        <w:rPr>
          <w:rFonts w:ascii="Times New Roman" w:eastAsia="Times New Roman" w:hAnsi="Times New Roman" w:cs="Times New Roman"/>
          <w:sz w:val="24"/>
          <w:szCs w:val="24"/>
          <w:lang w:eastAsia="pl-PL"/>
        </w:rPr>
        <w:t>z </w:t>
      </w:r>
      <w:r w:rsidRPr="00647049">
        <w:rPr>
          <w:rFonts w:ascii="Times New Roman" w:eastAsia="Times New Roman" w:hAnsi="Times New Roman" w:cs="Times New Roman"/>
          <w:sz w:val="24"/>
          <w:szCs w:val="24"/>
          <w:lang w:eastAsia="pl-PL"/>
        </w:rPr>
        <w:t xml:space="preserve">882,56 zł do 1000 zł, tj. o 117,44 zł; w wyniku samej waloryzacji prognozowanym wskaźnikiem waloryzacji wzrosłyby do 889,00 zł, tj. o 6,44 zł. Najniższe renty z tytułu częściowej niezdolności do pracy wzrosną z 676,75 zł do </w:t>
      </w:r>
      <w:r w:rsidR="00705F2F">
        <w:rPr>
          <w:rFonts w:ascii="Times New Roman" w:eastAsia="Times New Roman" w:hAnsi="Times New Roman" w:cs="Times New Roman"/>
          <w:sz w:val="24"/>
          <w:szCs w:val="24"/>
          <w:lang w:eastAsia="pl-PL"/>
        </w:rPr>
        <w:t>750 zł, tj. o 73,25 zł; w </w:t>
      </w:r>
      <w:r w:rsidRPr="00647049">
        <w:rPr>
          <w:rFonts w:ascii="Times New Roman" w:eastAsia="Times New Roman" w:hAnsi="Times New Roman" w:cs="Times New Roman"/>
          <w:sz w:val="24"/>
          <w:szCs w:val="24"/>
          <w:lang w:eastAsia="pl-PL"/>
        </w:rPr>
        <w:t xml:space="preserve">wyniku samej waloryzacji prognozowanym wskaźnikiem waloryzacji wzrosłyby do 681,69 zł, tj. o 4,94 zł.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Zgodnie z danymi ZUS w wysokości najniższej (gwarantowanej) w marcu 2016 r. wypłacanych było 396 911 świadczeń, w tym 88</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 xml:space="preserve">020 rent z tytułu częściowej niezdolności do pracy. </w:t>
      </w:r>
    </w:p>
    <w:p w:rsidR="002F01ED" w:rsidRPr="002F01ED" w:rsidRDefault="002F01ED" w:rsidP="002F01ED">
      <w:pPr>
        <w:spacing w:after="0" w:line="360" w:lineRule="auto"/>
        <w:jc w:val="both"/>
        <w:rPr>
          <w:rFonts w:ascii="Times New Roman CE" w:eastAsia="Times New Roman" w:hAnsi="Times New Roman CE" w:cs="Times New Roman"/>
          <w:b/>
          <w:bCs/>
          <w:sz w:val="24"/>
          <w:szCs w:val="24"/>
          <w:lang w:eastAsia="pl-PL"/>
        </w:rPr>
      </w:pPr>
      <w:r w:rsidRPr="002F01ED">
        <w:rPr>
          <w:rFonts w:ascii="Times New Roman CE" w:eastAsia="Times New Roman" w:hAnsi="Times New Roman CE" w:cs="Times New Roman"/>
          <w:b/>
          <w:bCs/>
          <w:sz w:val="24"/>
          <w:szCs w:val="24"/>
          <w:lang w:eastAsia="pl-PL"/>
        </w:rPr>
        <w:t>Liczba świadczeń* wypłacanych przez ZUS w wysokości najniższej</w:t>
      </w:r>
    </w:p>
    <w:tbl>
      <w:tblPr>
        <w:tblStyle w:val="Tabela-Siatka"/>
        <w:tblW w:w="0" w:type="auto"/>
        <w:tblCellMar>
          <w:left w:w="0" w:type="dxa"/>
          <w:right w:w="0" w:type="dxa"/>
        </w:tblCellMar>
        <w:tblLook w:val="04A0" w:firstRow="1" w:lastRow="0" w:firstColumn="1" w:lastColumn="0" w:noHBand="0" w:noVBand="1"/>
      </w:tblPr>
      <w:tblGrid>
        <w:gridCol w:w="4361"/>
        <w:gridCol w:w="2041"/>
      </w:tblGrid>
      <w:tr w:rsidR="002F01ED" w:rsidRPr="002F01ED" w:rsidTr="00CF1BBF">
        <w:trPr>
          <w:trHeight w:val="426"/>
        </w:trPr>
        <w:tc>
          <w:tcPr>
            <w:tcW w:w="4361" w:type="dxa"/>
            <w:vAlign w:val="center"/>
          </w:tcPr>
          <w:p w:rsidR="002F01ED" w:rsidRPr="002F01ED" w:rsidRDefault="002F01ED" w:rsidP="002F01ED">
            <w:pPr>
              <w:jc w:val="center"/>
              <w:rPr>
                <w:rFonts w:ascii="Times New Roman CE" w:hAnsi="Times New Roman CE"/>
                <w:b/>
                <w:bCs/>
                <w:iCs/>
                <w:sz w:val="24"/>
                <w:szCs w:val="24"/>
              </w:rPr>
            </w:pPr>
            <w:r w:rsidRPr="002F01ED">
              <w:rPr>
                <w:rFonts w:ascii="Times New Roman CE" w:hAnsi="Times New Roman CE"/>
                <w:b/>
                <w:bCs/>
                <w:iCs/>
                <w:sz w:val="24"/>
                <w:szCs w:val="24"/>
              </w:rPr>
              <w:t>Wyszczególnienie</w:t>
            </w:r>
          </w:p>
        </w:tc>
        <w:tc>
          <w:tcPr>
            <w:tcW w:w="2041" w:type="dxa"/>
            <w:vAlign w:val="center"/>
          </w:tcPr>
          <w:p w:rsidR="002F01ED" w:rsidRPr="002F01ED" w:rsidRDefault="002F01ED" w:rsidP="002F01ED">
            <w:pPr>
              <w:jc w:val="center"/>
              <w:rPr>
                <w:rFonts w:ascii="Times New Roman CE" w:hAnsi="Times New Roman CE"/>
                <w:b/>
                <w:bCs/>
                <w:sz w:val="24"/>
                <w:szCs w:val="24"/>
              </w:rPr>
            </w:pPr>
            <w:r w:rsidRPr="002F01ED">
              <w:rPr>
                <w:rFonts w:ascii="Times New Roman CE" w:hAnsi="Times New Roman CE"/>
                <w:b/>
                <w:bCs/>
                <w:sz w:val="24"/>
                <w:szCs w:val="24"/>
              </w:rPr>
              <w:t>Liczba świadczeń</w:t>
            </w:r>
          </w:p>
        </w:tc>
      </w:tr>
      <w:tr w:rsidR="002F01ED" w:rsidRPr="002F01ED" w:rsidTr="00CF1BBF">
        <w:trPr>
          <w:trHeight w:val="434"/>
        </w:trPr>
        <w:tc>
          <w:tcPr>
            <w:tcW w:w="4361" w:type="dxa"/>
            <w:vAlign w:val="center"/>
          </w:tcPr>
          <w:p w:rsidR="002F01ED" w:rsidRPr="002F01ED" w:rsidRDefault="002F01ED" w:rsidP="002F01ED">
            <w:pPr>
              <w:ind w:left="57"/>
              <w:rPr>
                <w:rFonts w:ascii="Times New Roman CE" w:hAnsi="Times New Roman CE"/>
              </w:rPr>
            </w:pPr>
            <w:r w:rsidRPr="002F01ED">
              <w:rPr>
                <w:rFonts w:ascii="Times New Roman CE" w:hAnsi="Times New Roman CE"/>
              </w:rPr>
              <w:t>Emerytura</w:t>
            </w:r>
          </w:p>
        </w:tc>
        <w:tc>
          <w:tcPr>
            <w:tcW w:w="2041" w:type="dxa"/>
            <w:vAlign w:val="center"/>
          </w:tcPr>
          <w:p w:rsidR="002F01ED" w:rsidRPr="002F01ED" w:rsidRDefault="002F01ED" w:rsidP="002F01ED">
            <w:pPr>
              <w:ind w:right="57"/>
              <w:jc w:val="right"/>
              <w:rPr>
                <w:rFonts w:ascii="Times New Roman CE" w:hAnsi="Times New Roman CE"/>
              </w:rPr>
            </w:pPr>
            <w:r w:rsidRPr="002F01ED">
              <w:rPr>
                <w:rFonts w:ascii="Times New Roman CE" w:hAnsi="Times New Roman CE"/>
              </w:rPr>
              <w:t xml:space="preserve">140 483 </w:t>
            </w:r>
          </w:p>
        </w:tc>
      </w:tr>
      <w:tr w:rsidR="002F01ED" w:rsidRPr="002F01ED" w:rsidTr="00CF1BBF">
        <w:trPr>
          <w:trHeight w:val="454"/>
        </w:trPr>
        <w:tc>
          <w:tcPr>
            <w:tcW w:w="4361" w:type="dxa"/>
            <w:vAlign w:val="center"/>
          </w:tcPr>
          <w:p w:rsidR="002F01ED" w:rsidRPr="002F01ED" w:rsidRDefault="002F01ED" w:rsidP="002F01ED">
            <w:pPr>
              <w:ind w:left="57"/>
              <w:rPr>
                <w:rFonts w:ascii="Times New Roman CE" w:hAnsi="Times New Roman CE"/>
              </w:rPr>
            </w:pPr>
            <w:r w:rsidRPr="002F01ED">
              <w:rPr>
                <w:rFonts w:ascii="Times New Roman CE" w:hAnsi="Times New Roman CE"/>
              </w:rPr>
              <w:t>Renta z tytułu niezdolności do pracy</w:t>
            </w:r>
          </w:p>
        </w:tc>
        <w:tc>
          <w:tcPr>
            <w:tcW w:w="2041" w:type="dxa"/>
            <w:vAlign w:val="center"/>
          </w:tcPr>
          <w:p w:rsidR="002F01ED" w:rsidRPr="002F01ED" w:rsidRDefault="002F01ED" w:rsidP="002F01ED">
            <w:pPr>
              <w:ind w:right="57"/>
              <w:jc w:val="right"/>
              <w:rPr>
                <w:rFonts w:ascii="Times New Roman CE" w:hAnsi="Times New Roman CE"/>
              </w:rPr>
            </w:pPr>
            <w:r w:rsidRPr="002F01ED">
              <w:rPr>
                <w:rFonts w:ascii="Times New Roman CE" w:hAnsi="Times New Roman CE"/>
              </w:rPr>
              <w:t>163 123</w:t>
            </w:r>
          </w:p>
        </w:tc>
      </w:tr>
      <w:tr w:rsidR="002F01ED" w:rsidRPr="002F01ED" w:rsidTr="00CF1BBF">
        <w:trPr>
          <w:trHeight w:val="454"/>
        </w:trPr>
        <w:tc>
          <w:tcPr>
            <w:tcW w:w="4361" w:type="dxa"/>
            <w:vAlign w:val="center"/>
          </w:tcPr>
          <w:p w:rsidR="002F01ED" w:rsidRPr="002F01ED" w:rsidRDefault="002F01ED" w:rsidP="002F01ED">
            <w:pPr>
              <w:ind w:left="57"/>
              <w:rPr>
                <w:rFonts w:ascii="Times New Roman CE" w:hAnsi="Times New Roman CE"/>
              </w:rPr>
            </w:pPr>
            <w:r w:rsidRPr="002F01ED">
              <w:rPr>
                <w:rFonts w:ascii="Times New Roman CE" w:hAnsi="Times New Roman CE"/>
              </w:rPr>
              <w:t xml:space="preserve">w tym z tytułu częściowej niezdolności do pracy </w:t>
            </w:r>
          </w:p>
        </w:tc>
        <w:tc>
          <w:tcPr>
            <w:tcW w:w="2041" w:type="dxa"/>
            <w:vAlign w:val="center"/>
          </w:tcPr>
          <w:p w:rsidR="002F01ED" w:rsidRPr="002F01ED" w:rsidRDefault="002F01ED" w:rsidP="002F01ED">
            <w:pPr>
              <w:ind w:right="57"/>
              <w:jc w:val="right"/>
              <w:rPr>
                <w:rFonts w:ascii="Times New Roman CE" w:hAnsi="Times New Roman CE"/>
              </w:rPr>
            </w:pPr>
            <w:r w:rsidRPr="002F01ED">
              <w:rPr>
                <w:rFonts w:ascii="Times New Roman CE" w:hAnsi="Times New Roman CE"/>
              </w:rPr>
              <w:t>83 682</w:t>
            </w:r>
          </w:p>
        </w:tc>
      </w:tr>
      <w:tr w:rsidR="002F01ED" w:rsidRPr="002F01ED" w:rsidTr="00CF1BBF">
        <w:trPr>
          <w:trHeight w:val="454"/>
        </w:trPr>
        <w:tc>
          <w:tcPr>
            <w:tcW w:w="4361" w:type="dxa"/>
            <w:vAlign w:val="center"/>
          </w:tcPr>
          <w:p w:rsidR="002F01ED" w:rsidRPr="002F01ED" w:rsidRDefault="002F01ED" w:rsidP="002F01ED">
            <w:pPr>
              <w:ind w:left="57"/>
              <w:rPr>
                <w:rFonts w:ascii="Times New Roman CE" w:hAnsi="Times New Roman CE"/>
              </w:rPr>
            </w:pPr>
            <w:r w:rsidRPr="002F01ED">
              <w:rPr>
                <w:rFonts w:ascii="Times New Roman CE" w:hAnsi="Times New Roman CE"/>
              </w:rPr>
              <w:t>Renta rodzinna</w:t>
            </w:r>
          </w:p>
        </w:tc>
        <w:tc>
          <w:tcPr>
            <w:tcW w:w="2041" w:type="dxa"/>
            <w:vAlign w:val="center"/>
          </w:tcPr>
          <w:p w:rsidR="002F01ED" w:rsidRPr="002F01ED" w:rsidRDefault="002F01ED" w:rsidP="002F01ED">
            <w:pPr>
              <w:ind w:right="57"/>
              <w:jc w:val="right"/>
              <w:rPr>
                <w:rFonts w:ascii="Times New Roman CE" w:hAnsi="Times New Roman CE"/>
              </w:rPr>
            </w:pPr>
            <w:r w:rsidRPr="002F01ED">
              <w:rPr>
                <w:rFonts w:ascii="Times New Roman CE" w:hAnsi="Times New Roman CE"/>
              </w:rPr>
              <w:t>93 305</w:t>
            </w:r>
          </w:p>
        </w:tc>
      </w:tr>
      <w:tr w:rsidR="002F01ED" w:rsidRPr="004F2770" w:rsidTr="00CF1BBF">
        <w:trPr>
          <w:trHeight w:val="454"/>
        </w:trPr>
        <w:tc>
          <w:tcPr>
            <w:tcW w:w="4361" w:type="dxa"/>
            <w:vAlign w:val="center"/>
          </w:tcPr>
          <w:p w:rsidR="002F01ED" w:rsidRPr="004F2770" w:rsidRDefault="002F01ED" w:rsidP="002F01ED">
            <w:pPr>
              <w:ind w:left="57"/>
              <w:rPr>
                <w:rFonts w:ascii="Times New Roman CE" w:hAnsi="Times New Roman CE"/>
                <w:b/>
                <w:bCs/>
              </w:rPr>
            </w:pPr>
            <w:r w:rsidRPr="004F2770">
              <w:rPr>
                <w:rFonts w:ascii="Times New Roman CE" w:hAnsi="Times New Roman CE"/>
                <w:b/>
              </w:rPr>
              <w:t>OGÓŁEM</w:t>
            </w:r>
          </w:p>
        </w:tc>
        <w:tc>
          <w:tcPr>
            <w:tcW w:w="2041" w:type="dxa"/>
            <w:vAlign w:val="center"/>
          </w:tcPr>
          <w:p w:rsidR="002F01ED" w:rsidRPr="004F2770" w:rsidRDefault="002F01ED" w:rsidP="002F01ED">
            <w:pPr>
              <w:ind w:right="57"/>
              <w:jc w:val="right"/>
              <w:rPr>
                <w:rFonts w:ascii="Times New Roman CE" w:hAnsi="Times New Roman CE"/>
                <w:b/>
                <w:bCs/>
              </w:rPr>
            </w:pPr>
            <w:r w:rsidRPr="004F2770">
              <w:rPr>
                <w:rFonts w:ascii="Times New Roman CE" w:hAnsi="Times New Roman CE"/>
                <w:b/>
              </w:rPr>
              <w:t>396</w:t>
            </w:r>
            <w:r w:rsidRPr="004F2770">
              <w:rPr>
                <w:rFonts w:ascii="Times New Roman CE" w:hAnsi="Times New Roman CE"/>
                <w:b/>
                <w:bCs/>
              </w:rPr>
              <w:t xml:space="preserve"> 911</w:t>
            </w:r>
          </w:p>
        </w:tc>
      </w:tr>
      <w:tr w:rsidR="002F01ED" w:rsidRPr="002F01ED" w:rsidTr="00CF1BBF">
        <w:trPr>
          <w:trHeight w:val="454"/>
        </w:trPr>
        <w:tc>
          <w:tcPr>
            <w:tcW w:w="4361" w:type="dxa"/>
            <w:vAlign w:val="center"/>
          </w:tcPr>
          <w:p w:rsidR="002F01ED" w:rsidRPr="002F01ED" w:rsidRDefault="002F01ED" w:rsidP="002F01ED">
            <w:pPr>
              <w:ind w:left="57"/>
              <w:rPr>
                <w:rFonts w:ascii="Times New Roman CE" w:hAnsi="Times New Roman CE"/>
              </w:rPr>
            </w:pPr>
            <w:r w:rsidRPr="002F01ED">
              <w:rPr>
                <w:rFonts w:ascii="Times New Roman CE" w:hAnsi="Times New Roman CE"/>
              </w:rPr>
              <w:t xml:space="preserve">w tym z tytułu częściowej niezdolności do pracy </w:t>
            </w:r>
          </w:p>
        </w:tc>
        <w:tc>
          <w:tcPr>
            <w:tcW w:w="2041" w:type="dxa"/>
            <w:vAlign w:val="center"/>
          </w:tcPr>
          <w:p w:rsidR="002F01ED" w:rsidRPr="004F2770" w:rsidRDefault="002F01ED" w:rsidP="002F01ED">
            <w:pPr>
              <w:ind w:right="57"/>
              <w:jc w:val="right"/>
              <w:rPr>
                <w:rFonts w:ascii="Times New Roman CE" w:hAnsi="Times New Roman CE"/>
                <w:b/>
              </w:rPr>
            </w:pPr>
            <w:r w:rsidRPr="004F2770">
              <w:rPr>
                <w:rFonts w:ascii="Times New Roman CE" w:hAnsi="Times New Roman CE"/>
                <w:b/>
              </w:rPr>
              <w:t>88 020</w:t>
            </w:r>
          </w:p>
        </w:tc>
      </w:tr>
    </w:tbl>
    <w:p w:rsidR="002F01ED" w:rsidRPr="002F01ED" w:rsidRDefault="002F01ED" w:rsidP="0024176D">
      <w:pPr>
        <w:tabs>
          <w:tab w:val="left" w:pos="284"/>
        </w:tabs>
        <w:spacing w:before="120" w:after="0" w:line="240" w:lineRule="auto"/>
        <w:ind w:left="284" w:hanging="284"/>
        <w:jc w:val="both"/>
        <w:rPr>
          <w:rFonts w:ascii="Times New Roman" w:eastAsia="Times New Roman" w:hAnsi="Times New Roman" w:cs="Times New Roman"/>
          <w:sz w:val="24"/>
          <w:szCs w:val="24"/>
          <w:lang w:eastAsia="pl-PL"/>
        </w:rPr>
      </w:pPr>
      <w:r>
        <w:rPr>
          <w:rFonts w:ascii="Times New Roman CE" w:eastAsia="Times New Roman" w:hAnsi="Times New Roman CE" w:cs="Times New Roman"/>
          <w:lang w:eastAsia="pl-PL"/>
        </w:rPr>
        <w:t>*</w:t>
      </w:r>
      <w:r w:rsidR="0024176D">
        <w:rPr>
          <w:rFonts w:ascii="Times New Roman CE" w:eastAsia="Times New Roman" w:hAnsi="Times New Roman CE" w:cs="Times New Roman"/>
          <w:lang w:eastAsia="pl-PL"/>
        </w:rPr>
        <w:tab/>
      </w:r>
      <w:r w:rsidRPr="002F01ED">
        <w:rPr>
          <w:rFonts w:ascii="Times New Roman CE" w:eastAsia="Times New Roman" w:hAnsi="Times New Roman CE" w:cs="Times New Roman"/>
          <w:sz w:val="20"/>
          <w:szCs w:val="20"/>
          <w:lang w:eastAsia="pl-PL"/>
        </w:rPr>
        <w:t>łącznie ze świadczeniami realizowanymi na mocy umów mię</w:t>
      </w:r>
      <w:r>
        <w:rPr>
          <w:rFonts w:ascii="Times New Roman CE" w:eastAsia="Times New Roman" w:hAnsi="Times New Roman CE" w:cs="Times New Roman"/>
          <w:sz w:val="20"/>
          <w:szCs w:val="20"/>
          <w:lang w:eastAsia="pl-PL"/>
        </w:rPr>
        <w:t>dzynarodowych, bez zbiegowych z </w:t>
      </w:r>
      <w:r w:rsidRPr="002F01ED">
        <w:rPr>
          <w:rFonts w:ascii="Times New Roman CE" w:eastAsia="Times New Roman" w:hAnsi="Times New Roman CE" w:cs="Times New Roman"/>
          <w:sz w:val="20"/>
          <w:szCs w:val="20"/>
          <w:lang w:eastAsia="pl-PL"/>
        </w:rPr>
        <w:t>rolniczymi</w:t>
      </w:r>
    </w:p>
    <w:p w:rsidR="00647049" w:rsidRPr="00647049" w:rsidRDefault="00647049" w:rsidP="00EB29E9">
      <w:pPr>
        <w:spacing w:before="120" w:after="0" w:line="360" w:lineRule="auto"/>
        <w:jc w:val="both"/>
        <w:rPr>
          <w:rFonts w:ascii="Times New Roman" w:eastAsia="Times New Roman" w:hAnsi="Times New Roman" w:cs="Times New Roman"/>
          <w:b/>
          <w:sz w:val="24"/>
          <w:szCs w:val="24"/>
          <w:lang w:eastAsia="pl-PL"/>
        </w:rPr>
      </w:pPr>
      <w:r w:rsidRPr="00647049">
        <w:rPr>
          <w:rFonts w:ascii="Times New Roman" w:eastAsia="Times New Roman" w:hAnsi="Times New Roman" w:cs="Times New Roman"/>
          <w:b/>
          <w:sz w:val="24"/>
          <w:szCs w:val="24"/>
          <w:lang w:eastAsia="pl-PL"/>
        </w:rPr>
        <w:lastRenderedPageBreak/>
        <w:t>Proponowane w ramach waloryzacji w marcu 2017 r. działania realizują następujące cele:</w:t>
      </w:r>
    </w:p>
    <w:p w:rsidR="00647049" w:rsidRPr="00647049" w:rsidRDefault="00647049" w:rsidP="002F01ED">
      <w:pPr>
        <w:numPr>
          <w:ilvl w:val="0"/>
          <w:numId w:val="4"/>
        </w:numPr>
        <w:tabs>
          <w:tab w:val="left" w:pos="350"/>
        </w:tabs>
        <w:spacing w:before="120" w:after="0" w:line="360" w:lineRule="auto"/>
        <w:ind w:hanging="706"/>
        <w:contextualSpacing/>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utrzymanie realnej wartości wszystkich emerytur i rent</w:t>
      </w:r>
      <w:r w:rsidR="00292ADA">
        <w:rPr>
          <w:rFonts w:ascii="Times New Roman" w:eastAsia="Times New Roman" w:hAnsi="Times New Roman" w:cs="Times New Roman"/>
          <w:sz w:val="24"/>
          <w:szCs w:val="24"/>
          <w:lang w:eastAsia="pl-PL"/>
        </w:rPr>
        <w:t>;</w:t>
      </w:r>
    </w:p>
    <w:p w:rsidR="00647049" w:rsidRPr="00647049" w:rsidRDefault="00647049" w:rsidP="002F01ED">
      <w:pPr>
        <w:numPr>
          <w:ilvl w:val="0"/>
          <w:numId w:val="4"/>
        </w:numPr>
        <w:tabs>
          <w:tab w:val="left" w:pos="350"/>
        </w:tabs>
        <w:spacing w:before="120" w:after="0" w:line="360" w:lineRule="auto"/>
        <w:ind w:left="350" w:hanging="336"/>
        <w:contextualSpacing/>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zagwarantowanie przy bardzo niskim wskaźniku waloryzacji w miarę odczuwalnej podwyżki z tytułu waloryzacji dla uboższych emer</w:t>
      </w:r>
      <w:r w:rsidR="002F01ED">
        <w:rPr>
          <w:rFonts w:ascii="Times New Roman" w:eastAsia="Times New Roman" w:hAnsi="Times New Roman" w:cs="Times New Roman"/>
          <w:sz w:val="24"/>
          <w:szCs w:val="24"/>
          <w:lang w:eastAsia="pl-PL"/>
        </w:rPr>
        <w:t>ytów i rencistów na poziomie 10 </w:t>
      </w:r>
      <w:r w:rsidRPr="00647049">
        <w:rPr>
          <w:rFonts w:ascii="Times New Roman" w:eastAsia="Times New Roman" w:hAnsi="Times New Roman" w:cs="Times New Roman"/>
          <w:sz w:val="24"/>
          <w:szCs w:val="24"/>
          <w:lang w:eastAsia="pl-PL"/>
        </w:rPr>
        <w:t>zł</w:t>
      </w:r>
      <w:r w:rsidR="00292ADA">
        <w:rPr>
          <w:rFonts w:ascii="Times New Roman" w:eastAsia="Times New Roman" w:hAnsi="Times New Roman" w:cs="Times New Roman"/>
          <w:sz w:val="24"/>
          <w:szCs w:val="24"/>
          <w:lang w:eastAsia="pl-PL"/>
        </w:rPr>
        <w:t>;</w:t>
      </w:r>
    </w:p>
    <w:p w:rsidR="00647049" w:rsidRPr="00647049" w:rsidRDefault="00647049" w:rsidP="002F01ED">
      <w:pPr>
        <w:numPr>
          <w:ilvl w:val="0"/>
          <w:numId w:val="4"/>
        </w:numPr>
        <w:tabs>
          <w:tab w:val="left" w:pos="350"/>
        </w:tabs>
        <w:spacing w:before="120" w:after="0" w:line="360" w:lineRule="auto"/>
        <w:ind w:left="350" w:hanging="336"/>
        <w:contextualSpacing/>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ochrona poziomu najniższej emerytury poprzez podwyższenie do 1000 zł oznaczać będzie, że najniższa emerytura w 2017 r. stanowić będzie 50% minimalnego wynagrodzenia i oscylować będzie ok. poziomu minimum socjalnego</w:t>
      </w:r>
      <w:r w:rsidR="00393ADD">
        <w:rPr>
          <w:rFonts w:ascii="Times New Roman" w:eastAsia="Times New Roman" w:hAnsi="Times New Roman" w:cs="Times New Roman"/>
          <w:sz w:val="24"/>
          <w:szCs w:val="24"/>
          <w:lang w:eastAsia="pl-PL"/>
        </w:rPr>
        <w:br/>
      </w:r>
      <w:r w:rsidRPr="00647049">
        <w:rPr>
          <w:rFonts w:ascii="Times New Roman" w:eastAsia="Times New Roman" w:hAnsi="Times New Roman" w:cs="Times New Roman"/>
          <w:sz w:val="24"/>
          <w:szCs w:val="24"/>
          <w:lang w:eastAsia="pl-PL"/>
        </w:rPr>
        <w:t>w 1-osobowych gospodarstwa</w:t>
      </w:r>
      <w:r w:rsidR="00292ADA">
        <w:rPr>
          <w:rFonts w:ascii="Times New Roman" w:eastAsia="Times New Roman" w:hAnsi="Times New Roman" w:cs="Times New Roman"/>
          <w:sz w:val="24"/>
          <w:szCs w:val="24"/>
          <w:lang w:eastAsia="pl-PL"/>
        </w:rPr>
        <w:t>ch</w:t>
      </w:r>
      <w:r w:rsidRPr="00647049">
        <w:rPr>
          <w:rFonts w:ascii="Times New Roman" w:eastAsia="Times New Roman" w:hAnsi="Times New Roman" w:cs="Times New Roman"/>
          <w:sz w:val="24"/>
          <w:szCs w:val="24"/>
          <w:lang w:eastAsia="pl-PL"/>
        </w:rPr>
        <w:t xml:space="preserve"> emeryckich. W wyniku tej operacji zostaną podwyższone świadczenia dla ok. 800 tys. emerytów i rencistów z FUS, 285 tys. osób pobierających renty socjalne (wszyscy) oraz dla ok. 350 tys. osób pobierających emerytury i renty z KRUS</w:t>
      </w:r>
      <w:r w:rsidR="00292ADA">
        <w:rPr>
          <w:rFonts w:ascii="Times New Roman" w:eastAsia="Times New Roman" w:hAnsi="Times New Roman" w:cs="Times New Roman"/>
          <w:sz w:val="24"/>
          <w:szCs w:val="24"/>
          <w:lang w:eastAsia="pl-PL"/>
        </w:rPr>
        <w:t>;</w:t>
      </w:r>
    </w:p>
    <w:p w:rsidR="00647049" w:rsidRPr="00647049" w:rsidRDefault="00647049" w:rsidP="002F01ED">
      <w:pPr>
        <w:numPr>
          <w:ilvl w:val="0"/>
          <w:numId w:val="4"/>
        </w:numPr>
        <w:tabs>
          <w:tab w:val="left" w:pos="350"/>
        </w:tabs>
        <w:spacing w:before="120" w:after="0" w:line="360" w:lineRule="auto"/>
        <w:ind w:left="350" w:hanging="336"/>
        <w:contextualSpacing/>
        <w:jc w:val="both"/>
        <w:rPr>
          <w:rFonts w:ascii="Times New Roman" w:eastAsia="Times New Roman" w:hAnsi="Times New Roman" w:cs="Times New Roman"/>
          <w:b/>
          <w:color w:val="000000"/>
          <w:sz w:val="20"/>
          <w:szCs w:val="20"/>
          <w:lang w:eastAsia="pl-PL"/>
        </w:rPr>
      </w:pPr>
      <w:r w:rsidRPr="00647049">
        <w:rPr>
          <w:rFonts w:ascii="Times New Roman" w:eastAsia="Times New Roman" w:hAnsi="Times New Roman" w:cs="Times New Roman"/>
          <w:sz w:val="24"/>
          <w:szCs w:val="24"/>
          <w:lang w:eastAsia="pl-PL"/>
        </w:rPr>
        <w:t>odwiązanie sposobu obliczania świadczeń z ubezpieczenia społecznego rolników umożliwi większą elastyczność kształtowania wysokości najniższych świadczeń. Obecnie konsekwencją wzrostu najniższej emerytury z systemu pracowniczego był wzrost wszystkich świadczeń z ubezpieczenia społecznego rolników, w tym również znacznie przewyższających wysokość najniższej emerytury. Proponowane działanie, pozwoli na skierowanie dostępnych środków finansowych w budżecie państwa</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na 2017 r. do najbardziej potrzebujących wsparcia emerytów i rencistów zarówno</w:t>
      </w:r>
      <w:r w:rsidR="00EB29E9" w:rsidRPr="00EB29E9">
        <w:rPr>
          <w:rFonts w:ascii="Times New Roman" w:eastAsia="Times New Roman" w:hAnsi="Times New Roman" w:cs="Times New Roman"/>
          <w:sz w:val="24"/>
          <w:szCs w:val="24"/>
          <w:lang w:eastAsia="pl-PL"/>
        </w:rPr>
        <w:t xml:space="preserve"> </w:t>
      </w:r>
      <w:r w:rsidR="00393ADD">
        <w:rPr>
          <w:rFonts w:ascii="Times New Roman" w:eastAsia="Times New Roman" w:hAnsi="Times New Roman" w:cs="Times New Roman"/>
          <w:sz w:val="24"/>
          <w:szCs w:val="24"/>
          <w:lang w:eastAsia="pl-PL"/>
        </w:rPr>
        <w:t>w </w:t>
      </w:r>
      <w:r w:rsidRPr="00647049">
        <w:rPr>
          <w:rFonts w:ascii="Times New Roman" w:eastAsia="Times New Roman" w:hAnsi="Times New Roman" w:cs="Times New Roman"/>
          <w:sz w:val="24"/>
          <w:szCs w:val="24"/>
          <w:lang w:eastAsia="pl-PL"/>
        </w:rPr>
        <w:t>systemie pracowniczym</w:t>
      </w:r>
      <w:r w:rsidR="00292ADA">
        <w:rPr>
          <w:rFonts w:ascii="Times New Roman" w:eastAsia="Times New Roman" w:hAnsi="Times New Roman" w:cs="Times New Roman"/>
          <w:sz w:val="24"/>
          <w:szCs w:val="24"/>
          <w:lang w:eastAsia="pl-PL"/>
        </w:rPr>
        <w:t>,</w:t>
      </w:r>
      <w:r w:rsidRPr="00647049">
        <w:rPr>
          <w:rFonts w:ascii="Times New Roman" w:eastAsia="Times New Roman" w:hAnsi="Times New Roman" w:cs="Times New Roman"/>
          <w:sz w:val="24"/>
          <w:szCs w:val="24"/>
          <w:lang w:eastAsia="pl-PL"/>
        </w:rPr>
        <w:t xml:space="preserve"> jak i rolników. </w:t>
      </w:r>
      <w:r w:rsidRPr="00647049">
        <w:rPr>
          <w:rFonts w:ascii="Times New Roman" w:eastAsia="Times New Roman" w:hAnsi="Times New Roman" w:cs="Times New Roman"/>
          <w:b/>
          <w:color w:val="000000"/>
          <w:sz w:val="20"/>
          <w:szCs w:val="20"/>
          <w:lang w:eastAsia="pl-PL"/>
        </w:rPr>
        <w:br w:type="page"/>
      </w:r>
    </w:p>
    <w:p w:rsidR="00647049" w:rsidRPr="00647049" w:rsidRDefault="00647049" w:rsidP="00647049">
      <w:pPr>
        <w:autoSpaceDE w:val="0"/>
        <w:autoSpaceDN w:val="0"/>
        <w:spacing w:after="120" w:line="240" w:lineRule="auto"/>
        <w:jc w:val="both"/>
        <w:rPr>
          <w:rFonts w:ascii="Times New Roman" w:eastAsia="Times New Roman" w:hAnsi="Times New Roman" w:cs="Times New Roman"/>
          <w:b/>
          <w:color w:val="000000"/>
          <w:sz w:val="24"/>
          <w:szCs w:val="24"/>
          <w:lang w:eastAsia="pl-PL"/>
        </w:rPr>
      </w:pPr>
      <w:r w:rsidRPr="00647049">
        <w:rPr>
          <w:rFonts w:ascii="Times New Roman" w:eastAsia="Times New Roman" w:hAnsi="Times New Roman" w:cs="Times New Roman"/>
          <w:b/>
          <w:color w:val="000000"/>
          <w:sz w:val="24"/>
          <w:szCs w:val="24"/>
          <w:lang w:eastAsia="pl-PL"/>
        </w:rPr>
        <w:lastRenderedPageBreak/>
        <w:t>Relacja najniższej emerytury do minimalnego wynagrodzenia i przeciętnego wynagrodzenia w latach 2009</w:t>
      </w:r>
      <w:r w:rsidR="00EB29E9" w:rsidRPr="00EB29E9">
        <w:rPr>
          <w:rFonts w:ascii="Times New Roman" w:eastAsia="Times New Roman" w:hAnsi="Times New Roman" w:cs="Times New Roman"/>
          <w:b/>
          <w:color w:val="000000"/>
          <w:sz w:val="24"/>
          <w:szCs w:val="24"/>
          <w:lang w:eastAsia="pl-PL"/>
        </w:rPr>
        <w:t>–</w:t>
      </w:r>
      <w:r w:rsidRPr="00647049">
        <w:rPr>
          <w:rFonts w:ascii="Times New Roman" w:eastAsia="Times New Roman" w:hAnsi="Times New Roman" w:cs="Times New Roman"/>
          <w:b/>
          <w:color w:val="000000"/>
          <w:sz w:val="24"/>
          <w:szCs w:val="24"/>
          <w:lang w:eastAsia="pl-PL"/>
        </w:rPr>
        <w:t>2017.</w:t>
      </w:r>
    </w:p>
    <w:tbl>
      <w:tblPr>
        <w:tblW w:w="9072" w:type="dxa"/>
        <w:tblInd w:w="-5" w:type="dxa"/>
        <w:tblCellMar>
          <w:left w:w="70" w:type="dxa"/>
          <w:right w:w="70" w:type="dxa"/>
        </w:tblCellMar>
        <w:tblLook w:val="04A0" w:firstRow="1" w:lastRow="0" w:firstColumn="1" w:lastColumn="0" w:noHBand="0" w:noVBand="1"/>
      </w:tblPr>
      <w:tblGrid>
        <w:gridCol w:w="723"/>
        <w:gridCol w:w="955"/>
        <w:gridCol w:w="1300"/>
        <w:gridCol w:w="1402"/>
        <w:gridCol w:w="1360"/>
        <w:gridCol w:w="1773"/>
        <w:gridCol w:w="1559"/>
      </w:tblGrid>
      <w:tr w:rsidR="00647049" w:rsidRPr="00647049" w:rsidTr="00CF1BBF">
        <w:trPr>
          <w:trHeight w:val="1226"/>
        </w:trPr>
        <w:tc>
          <w:tcPr>
            <w:tcW w:w="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Rok</w:t>
            </w:r>
          </w:p>
        </w:tc>
        <w:tc>
          <w:tcPr>
            <w:tcW w:w="955"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najniższa emerytura</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minimalne wynagrodzenie</w:t>
            </w:r>
          </w:p>
        </w:tc>
        <w:tc>
          <w:tcPr>
            <w:tcW w:w="1402"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relacja najniższej emerytury do minimalnego wynagrodzenia</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przeciętne wynagrodzenie</w:t>
            </w:r>
          </w:p>
        </w:tc>
        <w:tc>
          <w:tcPr>
            <w:tcW w:w="1773"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relacja najniższej emerytury do przec. wynagrodzenia</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b/>
                <w:bCs/>
                <w:color w:val="000000"/>
                <w:sz w:val="18"/>
                <w:szCs w:val="18"/>
                <w:lang w:eastAsia="pl-PL"/>
              </w:rPr>
            </w:pPr>
            <w:r w:rsidRPr="00647049">
              <w:rPr>
                <w:rFonts w:ascii="Times New Roman" w:eastAsia="Times New Roman" w:hAnsi="Times New Roman" w:cs="Times New Roman"/>
                <w:b/>
                <w:bCs/>
                <w:color w:val="000000"/>
                <w:sz w:val="18"/>
                <w:szCs w:val="18"/>
                <w:lang w:eastAsia="pl-PL"/>
              </w:rPr>
              <w:t>relacja minimalnego wynagrodzenia do przeciętnego wyn</w:t>
            </w:r>
            <w:r w:rsidR="00292ADA">
              <w:rPr>
                <w:rFonts w:ascii="Times New Roman" w:eastAsia="Times New Roman" w:hAnsi="Times New Roman" w:cs="Times New Roman"/>
                <w:b/>
                <w:bCs/>
                <w:color w:val="000000"/>
                <w:sz w:val="18"/>
                <w:szCs w:val="18"/>
                <w:lang w:eastAsia="pl-PL"/>
              </w:rPr>
              <w:t>a</w:t>
            </w:r>
            <w:r w:rsidRPr="00647049">
              <w:rPr>
                <w:rFonts w:ascii="Times New Roman" w:eastAsia="Times New Roman" w:hAnsi="Times New Roman" w:cs="Times New Roman"/>
                <w:b/>
                <w:bCs/>
                <w:color w:val="000000"/>
                <w:sz w:val="18"/>
                <w:szCs w:val="18"/>
                <w:lang w:eastAsia="pl-PL"/>
              </w:rPr>
              <w:t>grodzenia</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 </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2002</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532,91</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760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70,12%</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2133,71</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24,98%</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35,62%</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2003</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552,63</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800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69,08%</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2201,47</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25,10%</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36,34%</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2004</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562,58</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824</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68,27%</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2289,57</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24,57%</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35,99%</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2005</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562,58</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849</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66,26%</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2380,29</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23,63%</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35,67%</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2006</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597,46</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899,1</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66,45%</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2477,23</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24,12%</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36,29%</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2007</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597,46</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936</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63,83%</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2691,03</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22,20%</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34,78%</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2008</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636,29</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1 126</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56,51%</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2943,88</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21,61%</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38,25%</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2009</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675,10</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1 276</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52,91%</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3102,96</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21,76%</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41,12%</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2010</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706,29</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1 317</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53,63%</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3224,94</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21,90%</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40,84%</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2011</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728,18</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1 386</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52,54%</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3399,52</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21,42%</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40,77%</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2012</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799,18</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1 500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53,28%</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3521,67</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22,69%</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42,59%</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2013</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831,15</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1 600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51,95%</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3650,06</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22,77%</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43,83%</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2014</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844,45</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1 680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50,26%</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3783,43</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22,32%</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44,40%</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2015</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880,45</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1750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50,31%</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3899,78</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22,58%</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44,87%</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2016</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882,56</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1850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47,71%</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iCs/>
                <w:color w:val="000000"/>
                <w:sz w:val="18"/>
                <w:szCs w:val="18"/>
                <w:lang w:eastAsia="pl-PL"/>
              </w:rPr>
            </w:pPr>
            <w:r w:rsidRPr="00647049">
              <w:rPr>
                <w:rFonts w:ascii="Times New Roman" w:eastAsia="Times New Roman" w:hAnsi="Times New Roman" w:cs="Times New Roman"/>
                <w:iCs/>
                <w:color w:val="000000"/>
                <w:sz w:val="18"/>
                <w:szCs w:val="18"/>
                <w:lang w:eastAsia="pl-PL"/>
              </w:rPr>
              <w:t>4060</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21,67%</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45,57%</w:t>
            </w:r>
          </w:p>
        </w:tc>
      </w:tr>
      <w:tr w:rsidR="00647049" w:rsidRPr="00647049" w:rsidTr="00CF1BBF">
        <w:trPr>
          <w:trHeight w:val="300"/>
        </w:trPr>
        <w:tc>
          <w:tcPr>
            <w:tcW w:w="723" w:type="dxa"/>
            <w:tcBorders>
              <w:top w:val="nil"/>
              <w:left w:val="single" w:sz="4" w:space="0" w:color="auto"/>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2017</w:t>
            </w:r>
          </w:p>
        </w:tc>
        <w:tc>
          <w:tcPr>
            <w:tcW w:w="955"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iCs/>
                <w:color w:val="000000"/>
                <w:sz w:val="18"/>
                <w:szCs w:val="18"/>
                <w:lang w:eastAsia="pl-PL"/>
              </w:rPr>
            </w:pPr>
            <w:r w:rsidRPr="00647049">
              <w:rPr>
                <w:rFonts w:ascii="Times New Roman" w:eastAsia="Times New Roman" w:hAnsi="Times New Roman" w:cs="Times New Roman"/>
                <w:iCs/>
                <w:color w:val="000000"/>
                <w:sz w:val="18"/>
                <w:szCs w:val="18"/>
                <w:lang w:eastAsia="pl-PL"/>
              </w:rPr>
              <w:t>1 000,00</w:t>
            </w:r>
          </w:p>
        </w:tc>
        <w:tc>
          <w:tcPr>
            <w:tcW w:w="1300"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2000</w:t>
            </w:r>
          </w:p>
        </w:tc>
        <w:tc>
          <w:tcPr>
            <w:tcW w:w="1402" w:type="dxa"/>
            <w:tcBorders>
              <w:top w:val="nil"/>
              <w:left w:val="nil"/>
              <w:bottom w:val="single" w:sz="4" w:space="0" w:color="auto"/>
              <w:right w:val="single" w:sz="4" w:space="0" w:color="auto"/>
            </w:tcBorders>
            <w:shd w:val="clear" w:color="auto" w:fill="auto"/>
            <w:vAlign w:val="center"/>
            <w:hideMark/>
          </w:tcPr>
          <w:p w:rsidR="00647049" w:rsidRPr="00647049" w:rsidRDefault="00647049" w:rsidP="00647049">
            <w:pPr>
              <w:spacing w:after="0" w:line="240" w:lineRule="auto"/>
              <w:jc w:val="center"/>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50,00%</w:t>
            </w:r>
          </w:p>
        </w:tc>
        <w:tc>
          <w:tcPr>
            <w:tcW w:w="1360"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iCs/>
                <w:color w:val="000000"/>
                <w:sz w:val="18"/>
                <w:szCs w:val="18"/>
                <w:lang w:eastAsia="pl-PL"/>
              </w:rPr>
            </w:pPr>
            <w:r w:rsidRPr="00647049">
              <w:rPr>
                <w:rFonts w:ascii="Times New Roman" w:eastAsia="Times New Roman" w:hAnsi="Times New Roman" w:cs="Times New Roman"/>
                <w:iCs/>
                <w:color w:val="000000"/>
                <w:sz w:val="18"/>
                <w:szCs w:val="18"/>
                <w:lang w:eastAsia="pl-PL"/>
              </w:rPr>
              <w:t>4263</w:t>
            </w:r>
          </w:p>
        </w:tc>
        <w:tc>
          <w:tcPr>
            <w:tcW w:w="1773"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23,52%</w:t>
            </w:r>
          </w:p>
        </w:tc>
        <w:tc>
          <w:tcPr>
            <w:tcW w:w="1559" w:type="dxa"/>
            <w:tcBorders>
              <w:top w:val="nil"/>
              <w:left w:val="nil"/>
              <w:bottom w:val="single" w:sz="4" w:space="0" w:color="auto"/>
              <w:right w:val="single" w:sz="4" w:space="0" w:color="auto"/>
            </w:tcBorders>
            <w:shd w:val="clear" w:color="auto" w:fill="auto"/>
            <w:noWrap/>
            <w:vAlign w:val="bottom"/>
            <w:hideMark/>
          </w:tcPr>
          <w:p w:rsidR="00647049" w:rsidRPr="00647049" w:rsidRDefault="00647049" w:rsidP="00647049">
            <w:pPr>
              <w:spacing w:after="0" w:line="240" w:lineRule="auto"/>
              <w:jc w:val="right"/>
              <w:rPr>
                <w:rFonts w:ascii="Times New Roman" w:eastAsia="Times New Roman" w:hAnsi="Times New Roman" w:cs="Times New Roman"/>
                <w:color w:val="000000"/>
                <w:sz w:val="18"/>
                <w:szCs w:val="18"/>
                <w:lang w:eastAsia="pl-PL"/>
              </w:rPr>
            </w:pPr>
            <w:r w:rsidRPr="00647049">
              <w:rPr>
                <w:rFonts w:ascii="Times New Roman" w:eastAsia="Times New Roman" w:hAnsi="Times New Roman" w:cs="Times New Roman"/>
                <w:color w:val="000000"/>
                <w:sz w:val="18"/>
                <w:szCs w:val="18"/>
                <w:lang w:eastAsia="pl-PL"/>
              </w:rPr>
              <w:t>46,92%</w:t>
            </w:r>
          </w:p>
        </w:tc>
      </w:tr>
    </w:tbl>
    <w:p w:rsidR="00647049" w:rsidRPr="00647049" w:rsidRDefault="00647049" w:rsidP="00647049">
      <w:pPr>
        <w:spacing w:after="0" w:line="360" w:lineRule="auto"/>
        <w:jc w:val="both"/>
        <w:rPr>
          <w:rFonts w:ascii="Times New Roman" w:eastAsia="Times New Roman" w:hAnsi="Times New Roman" w:cs="Times New Roman"/>
          <w:sz w:val="24"/>
          <w:szCs w:val="24"/>
          <w:lang w:eastAsia="pl-PL"/>
        </w:rPr>
      </w:pP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Całkowity koszt waloryzacji w 2017 r. przy wskaźniku 100,73</w:t>
      </w:r>
      <w:r w:rsidR="005A643D">
        <w:rPr>
          <w:rFonts w:ascii="Times New Roman" w:eastAsia="Times New Roman" w:hAnsi="Times New Roman" w:cs="Times New Roman"/>
          <w:sz w:val="24"/>
          <w:szCs w:val="24"/>
          <w:lang w:eastAsia="pl-PL"/>
        </w:rPr>
        <w:t>% szacowany jest na ok. </w:t>
      </w:r>
      <w:r w:rsidRPr="00647049">
        <w:rPr>
          <w:rFonts w:ascii="Times New Roman" w:eastAsia="Times New Roman" w:hAnsi="Times New Roman" w:cs="Times New Roman"/>
          <w:sz w:val="24"/>
          <w:szCs w:val="24"/>
          <w:lang w:eastAsia="pl-PL"/>
        </w:rPr>
        <w:t xml:space="preserve">1,4 mld zł (skutek za 10 miesięcy od marca do grudnia). W </w:t>
      </w:r>
      <w:r w:rsidRPr="00647049">
        <w:rPr>
          <w:rFonts w:ascii="Times New Roman" w:eastAsia="Cambria" w:hAnsi="Times New Roman" w:cs="Times New Roman"/>
          <w:sz w:val="24"/>
          <w:szCs w:val="24"/>
          <w:lang w:eastAsia="pl-PL"/>
        </w:rPr>
        <w:t>Programie Konwergencji Aktualizacja 2016 (część Wieloletniego Planu Finansowego Państwa na lata 2016</w:t>
      </w:r>
      <w:r w:rsidR="00EB29E9" w:rsidRPr="00EB29E9">
        <w:rPr>
          <w:rFonts w:ascii="Times New Roman" w:eastAsia="Cambria" w:hAnsi="Times New Roman" w:cs="Times New Roman"/>
          <w:sz w:val="24"/>
          <w:szCs w:val="24"/>
          <w:lang w:eastAsia="pl-PL"/>
        </w:rPr>
        <w:t>–</w:t>
      </w:r>
      <w:r w:rsidRPr="00647049">
        <w:rPr>
          <w:rFonts w:ascii="Times New Roman" w:eastAsia="Cambria" w:hAnsi="Times New Roman" w:cs="Times New Roman"/>
          <w:sz w:val="24"/>
          <w:szCs w:val="24"/>
          <w:lang w:eastAsia="pl-PL"/>
        </w:rPr>
        <w:t xml:space="preserve">2019), przyjętym przez Radę Ministrów w dniu 26 kwietnia </w:t>
      </w:r>
      <w:r w:rsidR="00292ADA">
        <w:rPr>
          <w:rFonts w:ascii="Times New Roman" w:eastAsia="Cambria" w:hAnsi="Times New Roman" w:cs="Times New Roman"/>
          <w:sz w:val="24"/>
          <w:szCs w:val="24"/>
          <w:lang w:eastAsia="pl-PL"/>
        </w:rPr>
        <w:t xml:space="preserve">2016 </w:t>
      </w:r>
      <w:r w:rsidRPr="00647049">
        <w:rPr>
          <w:rFonts w:ascii="Times New Roman" w:eastAsia="Cambria" w:hAnsi="Times New Roman" w:cs="Times New Roman"/>
          <w:sz w:val="24"/>
          <w:szCs w:val="24"/>
          <w:lang w:eastAsia="pl-PL"/>
        </w:rPr>
        <w:t>r. założono (obok kwoty na waloryzację) kwotę 1,4 mld zł na dodatkowe wsparcie finansowe dla emerytów i rencistów w 2017 r.</w:t>
      </w:r>
      <w:r w:rsidR="00EB29E9" w:rsidRPr="00EB29E9">
        <w:rPr>
          <w:rFonts w:ascii="Times New Roman" w:eastAsia="Cambria"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Koszt propono</w:t>
      </w:r>
      <w:r w:rsidR="005A643D">
        <w:rPr>
          <w:rFonts w:ascii="Times New Roman" w:eastAsia="Times New Roman" w:hAnsi="Times New Roman" w:cs="Times New Roman"/>
          <w:sz w:val="24"/>
          <w:szCs w:val="24"/>
          <w:lang w:eastAsia="pl-PL"/>
        </w:rPr>
        <w:t>wanego rozwiązania mieści się w </w:t>
      </w:r>
      <w:r w:rsidRPr="00647049">
        <w:rPr>
          <w:rFonts w:ascii="Times New Roman" w:eastAsia="Times New Roman" w:hAnsi="Times New Roman" w:cs="Times New Roman"/>
          <w:sz w:val="24"/>
          <w:szCs w:val="24"/>
          <w:lang w:eastAsia="pl-PL"/>
        </w:rPr>
        <w:t xml:space="preserve">zabezpieczonej kwocie na 2017 r.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 xml:space="preserve">W ocenie projektodawcy przedmiot projektowanej regulacji nie jest objęty zakresem prawa Unii Europejskiej i nie podlega procedurze notyfikacji w rozumieniu przepisów dotyczących notyfikacji norm i aktów prawnych. </w:t>
      </w:r>
    </w:p>
    <w:p w:rsidR="00647049" w:rsidRPr="00647049" w:rsidRDefault="00647049" w:rsidP="00EB29E9">
      <w:pPr>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t xml:space="preserve">Zgodnie z § 27 ust. 4 uchwały </w:t>
      </w:r>
      <w:r w:rsidR="00292ADA">
        <w:rPr>
          <w:rFonts w:ascii="Times New Roman" w:eastAsia="Times New Roman" w:hAnsi="Times New Roman" w:cs="Times New Roman"/>
          <w:sz w:val="24"/>
          <w:szCs w:val="24"/>
          <w:lang w:eastAsia="pl-PL"/>
        </w:rPr>
        <w:t>n</w:t>
      </w:r>
      <w:r w:rsidRPr="00647049">
        <w:rPr>
          <w:rFonts w:ascii="Times New Roman" w:eastAsia="Times New Roman" w:hAnsi="Times New Roman" w:cs="Times New Roman"/>
          <w:sz w:val="24"/>
          <w:szCs w:val="24"/>
          <w:lang w:eastAsia="pl-PL"/>
        </w:rPr>
        <w:t xml:space="preserve">r 190 Rady Ministrów z dnia 29 października 2013 r. </w:t>
      </w:r>
      <w:r w:rsidR="00EB29E9" w:rsidRPr="00EB29E9">
        <w:rPr>
          <w:rFonts w:ascii="Times New Roman" w:eastAsia="Times New Roman" w:hAnsi="Times New Roman" w:cs="Times New Roman"/>
          <w:sz w:val="24"/>
          <w:szCs w:val="24"/>
          <w:lang w:eastAsia="pl-PL"/>
        </w:rPr>
        <w:t>–</w:t>
      </w:r>
      <w:r w:rsidRPr="00647049">
        <w:rPr>
          <w:rFonts w:ascii="Times New Roman" w:eastAsia="Times New Roman" w:hAnsi="Times New Roman" w:cs="Times New Roman"/>
          <w:sz w:val="24"/>
          <w:szCs w:val="24"/>
          <w:lang w:eastAsia="pl-PL"/>
        </w:rPr>
        <w:t xml:space="preserve"> Reg</w:t>
      </w:r>
      <w:r w:rsidR="001F47C0">
        <w:rPr>
          <w:rFonts w:ascii="Times New Roman" w:eastAsia="Times New Roman" w:hAnsi="Times New Roman" w:cs="Times New Roman"/>
          <w:sz w:val="24"/>
          <w:szCs w:val="24"/>
          <w:lang w:eastAsia="pl-PL"/>
        </w:rPr>
        <w:t>ulamin pracy Rady Ministrów (M.</w:t>
      </w:r>
      <w:r w:rsidRPr="00647049">
        <w:rPr>
          <w:rFonts w:ascii="Times New Roman" w:eastAsia="Times New Roman" w:hAnsi="Times New Roman" w:cs="Times New Roman"/>
          <w:sz w:val="24"/>
          <w:szCs w:val="24"/>
          <w:lang w:eastAsia="pl-PL"/>
        </w:rPr>
        <w:t>P. poz. 979, z 2015 r. poz. 1063 oraz z 2016 r. poz. 494), projekt nie podlega opinii właściwych instytucji i organów Unii Europejskiej, w tym Europejskiego Banku Centralnego.</w:t>
      </w:r>
    </w:p>
    <w:p w:rsidR="00647049" w:rsidRPr="00647049" w:rsidRDefault="00647049" w:rsidP="00EB29E9">
      <w:pPr>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647049">
        <w:rPr>
          <w:rFonts w:ascii="Times New Roman" w:eastAsia="Times New Roman" w:hAnsi="Times New Roman" w:cs="Times New Roman"/>
          <w:sz w:val="24"/>
          <w:szCs w:val="24"/>
          <w:lang w:eastAsia="pl-PL"/>
        </w:rPr>
        <w:lastRenderedPageBreak/>
        <w:t>Zgodnie z art. 5 ustawy z dnia 7 lipca 2005 r. o działalności lobbingowej w procesie stanowienia prawa (Dz. U. poz. 1414, z późn. zm.) oraz § 52 uchwały nr 190 Rady Ministrów</w:t>
      </w:r>
      <w:r w:rsidR="00EB29E9" w:rsidRPr="00EB29E9">
        <w:rPr>
          <w:rFonts w:ascii="Times New Roman" w:eastAsia="Times New Roman" w:hAnsi="Times New Roman" w:cs="Times New Roman"/>
          <w:sz w:val="24"/>
          <w:szCs w:val="24"/>
          <w:lang w:eastAsia="pl-PL"/>
        </w:rPr>
        <w:t xml:space="preserve"> </w:t>
      </w:r>
      <w:r w:rsidRPr="00647049">
        <w:rPr>
          <w:rFonts w:ascii="Times New Roman" w:eastAsia="Times New Roman" w:hAnsi="Times New Roman" w:cs="Times New Roman"/>
          <w:sz w:val="24"/>
          <w:szCs w:val="24"/>
          <w:lang w:eastAsia="pl-PL"/>
        </w:rPr>
        <w:t>z dnia 29 października 2013 r. – Regul</w:t>
      </w:r>
      <w:r w:rsidR="005A643D">
        <w:rPr>
          <w:rFonts w:ascii="Times New Roman" w:eastAsia="Times New Roman" w:hAnsi="Times New Roman" w:cs="Times New Roman"/>
          <w:sz w:val="24"/>
          <w:szCs w:val="24"/>
          <w:lang w:eastAsia="pl-PL"/>
        </w:rPr>
        <w:t>amin pracy Rady Ministrów (M.P. </w:t>
      </w:r>
      <w:r w:rsidR="00E2647E">
        <w:rPr>
          <w:rFonts w:ascii="Times New Roman" w:eastAsia="Times New Roman" w:hAnsi="Times New Roman" w:cs="Times New Roman"/>
          <w:sz w:val="24"/>
          <w:szCs w:val="24"/>
          <w:lang w:eastAsia="pl-PL"/>
        </w:rPr>
        <w:t>poz. 979, z 2015 r. poz. 1063 oraz z 2016 r. poz. 49</w:t>
      </w:r>
      <w:r w:rsidRPr="00647049">
        <w:rPr>
          <w:rFonts w:ascii="Times New Roman" w:eastAsia="Times New Roman" w:hAnsi="Times New Roman" w:cs="Times New Roman"/>
          <w:sz w:val="24"/>
          <w:szCs w:val="24"/>
          <w:lang w:eastAsia="pl-PL"/>
        </w:rPr>
        <w:t>4), projekt został zamieszczony w Biuletynie Informacji Publicznej Ministerstwa Pracy i Polityki Społecznej oraz na stronie podmiotowej Rządowego Centrum Legislacji, w serwisie Rządowy Proces Legislacyjny. Żaden podmiot nie wyraził zainteresowania uczestnictwem w pracach nad projektem w trybie ww. ustawy.</w:t>
      </w:r>
    </w:p>
    <w:sectPr w:rsidR="00647049" w:rsidRPr="00647049" w:rsidSect="00EB29E9">
      <w:headerReference w:type="even" r:id="rId8"/>
      <w:headerReference w:type="default" r:id="rId9"/>
      <w:footerReference w:type="even" r:id="rId10"/>
      <w:footerReference w:type="default" r:id="rId11"/>
      <w:headerReference w:type="first" r:id="rId12"/>
      <w:footerReference w:type="first" r:id="rId13"/>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7E0C" w:rsidRDefault="001B7E0C" w:rsidP="00647049">
      <w:pPr>
        <w:spacing w:after="0" w:line="240" w:lineRule="auto"/>
      </w:pPr>
      <w:r>
        <w:separator/>
      </w:r>
    </w:p>
  </w:endnote>
  <w:endnote w:type="continuationSeparator" w:id="0">
    <w:p w:rsidR="001B7E0C" w:rsidRDefault="001B7E0C" w:rsidP="00647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BF0" w:rsidRDefault="00393ADD" w:rsidP="00C56178">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95BF0" w:rsidRDefault="00F242E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992981"/>
      <w:docPartObj>
        <w:docPartGallery w:val="Page Numbers (Bottom of Page)"/>
        <w:docPartUnique/>
      </w:docPartObj>
    </w:sdtPr>
    <w:sdtEndPr/>
    <w:sdtContent>
      <w:p w:rsidR="00EB29E9" w:rsidRDefault="00EB29E9">
        <w:pPr>
          <w:pStyle w:val="Stopka"/>
          <w:jc w:val="center"/>
        </w:pPr>
        <w:r>
          <w:fldChar w:fldCharType="begin"/>
        </w:r>
        <w:r>
          <w:instrText>PAGE   \* MERGEFORMAT</w:instrText>
        </w:r>
        <w:r>
          <w:fldChar w:fldCharType="separate"/>
        </w:r>
        <w:r w:rsidR="00F242E9">
          <w:rPr>
            <w:noProof/>
          </w:rPr>
          <w:t>12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D" w:rsidRDefault="00393AD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7E0C" w:rsidRDefault="001B7E0C" w:rsidP="00647049">
      <w:pPr>
        <w:spacing w:after="0" w:line="240" w:lineRule="auto"/>
      </w:pPr>
      <w:r>
        <w:separator/>
      </w:r>
    </w:p>
  </w:footnote>
  <w:footnote w:type="continuationSeparator" w:id="0">
    <w:p w:rsidR="001B7E0C" w:rsidRDefault="001B7E0C" w:rsidP="00647049">
      <w:pPr>
        <w:spacing w:after="0" w:line="240" w:lineRule="auto"/>
      </w:pPr>
      <w:r>
        <w:continuationSeparator/>
      </w:r>
    </w:p>
  </w:footnote>
  <w:footnote w:id="1">
    <w:p w:rsidR="00647049" w:rsidRDefault="00647049" w:rsidP="00EB29E9">
      <w:pPr>
        <w:pStyle w:val="Tekstprzypisudolnego"/>
        <w:tabs>
          <w:tab w:val="left" w:pos="284"/>
        </w:tabs>
        <w:ind w:left="284" w:hanging="284"/>
        <w:jc w:val="both"/>
      </w:pPr>
      <w:r>
        <w:rPr>
          <w:rStyle w:val="Odwoanieprzypisudolnego"/>
        </w:rPr>
        <w:footnoteRef/>
      </w:r>
      <w:r w:rsidR="00EB29E9">
        <w:rPr>
          <w:vertAlign w:val="superscript"/>
        </w:rPr>
        <w:t>)</w:t>
      </w:r>
      <w:r w:rsidR="00EB29E9">
        <w:rPr>
          <w:vertAlign w:val="superscript"/>
        </w:rPr>
        <w:tab/>
      </w:r>
      <w:r>
        <w:t>Na mocy ustawy z dnia 13 stycznia 2012 r. o zmianie ustawy o emeryturach i rentach z Funduszu Ubezpieczeń Społecznych oraz niektórych innych ustaw (Dz. U. poz. 118).</w:t>
      </w:r>
    </w:p>
  </w:footnote>
  <w:footnote w:id="2">
    <w:p w:rsidR="00647049" w:rsidRDefault="00647049" w:rsidP="00EB29E9">
      <w:pPr>
        <w:pStyle w:val="Tekstprzypisudolnego"/>
        <w:tabs>
          <w:tab w:val="left" w:pos="284"/>
        </w:tabs>
        <w:ind w:left="284" w:hanging="284"/>
        <w:jc w:val="both"/>
      </w:pPr>
      <w:r>
        <w:rPr>
          <w:rStyle w:val="Odwoanieprzypisudolnego"/>
        </w:rPr>
        <w:footnoteRef/>
      </w:r>
      <w:r w:rsidR="00EB29E9">
        <w:rPr>
          <w:vertAlign w:val="superscript"/>
        </w:rPr>
        <w:t>)</w:t>
      </w:r>
      <w:r w:rsidR="00EB29E9">
        <w:rPr>
          <w:vertAlign w:val="superscript"/>
        </w:rPr>
        <w:tab/>
      </w:r>
      <w:r>
        <w:t>Na mocy ustawy z dnia 23 października 2014 r. o zmianie ustawy o emeryturach i rentach z Funduszu Ubezpieczeń Społecznych oraz niektórych innych ustaw (Dz. U. poz. 1682).</w:t>
      </w:r>
    </w:p>
  </w:footnote>
  <w:footnote w:id="3">
    <w:p w:rsidR="00647049" w:rsidRPr="00113F61" w:rsidRDefault="00647049" w:rsidP="00EB29E9">
      <w:pPr>
        <w:pStyle w:val="Tekstprzypisudolnego"/>
        <w:tabs>
          <w:tab w:val="left" w:pos="284"/>
        </w:tabs>
        <w:rPr>
          <w:vertAlign w:val="superscript"/>
        </w:rPr>
      </w:pPr>
      <w:r>
        <w:rPr>
          <w:rStyle w:val="Odwoanieprzypisudolnego"/>
        </w:rPr>
        <w:footnoteRef/>
      </w:r>
      <w:r w:rsidR="00EB29E9">
        <w:rPr>
          <w:vertAlign w:val="superscript"/>
        </w:rPr>
        <w:t>)</w:t>
      </w:r>
      <w:r w:rsidR="00EB29E9">
        <w:rPr>
          <w:vertAlign w:val="superscript"/>
        </w:rPr>
        <w:tab/>
      </w:r>
      <w:r>
        <w:t>P</w:t>
      </w:r>
      <w:r w:rsidRPr="00113F61">
        <w:t>rzy świadczeniach do 900,00 zł dodatek wynosił 400,00 zł;</w:t>
      </w:r>
    </w:p>
    <w:p w:rsidR="00647049" w:rsidRPr="00113F61" w:rsidRDefault="00EB29E9" w:rsidP="00EB29E9">
      <w:pPr>
        <w:pStyle w:val="Tekstprzypisudolnego"/>
        <w:tabs>
          <w:tab w:val="left" w:pos="284"/>
        </w:tabs>
        <w:rPr>
          <w:vertAlign w:val="superscript"/>
        </w:rPr>
      </w:pPr>
      <w:r>
        <w:tab/>
      </w:r>
      <w:r w:rsidR="00647049">
        <w:t>P</w:t>
      </w:r>
      <w:r w:rsidR="00647049" w:rsidRPr="00113F61">
        <w:t>rzy świadczeniach od 900,01 zł do 1100,00 zł dodatek wynosił 300,00 zł;</w:t>
      </w:r>
    </w:p>
    <w:p w:rsidR="00647049" w:rsidRPr="00113F61" w:rsidRDefault="00EB29E9" w:rsidP="00EB29E9">
      <w:pPr>
        <w:pStyle w:val="Tekstprzypisudolnego"/>
        <w:tabs>
          <w:tab w:val="left" w:pos="284"/>
        </w:tabs>
        <w:rPr>
          <w:vertAlign w:val="superscript"/>
        </w:rPr>
      </w:pPr>
      <w:r>
        <w:tab/>
      </w:r>
      <w:r w:rsidR="00647049">
        <w:t>P</w:t>
      </w:r>
      <w:r w:rsidR="00647049" w:rsidRPr="00113F61">
        <w:t>rzy świadczeniach od 1100,01 zł do 1500,00 zł dodatek wynosił 200,00 zł;</w:t>
      </w:r>
    </w:p>
    <w:p w:rsidR="00647049" w:rsidRPr="00113F61" w:rsidRDefault="00EB29E9" w:rsidP="00EB29E9">
      <w:pPr>
        <w:pStyle w:val="Tekstprzypisudolnego"/>
        <w:tabs>
          <w:tab w:val="left" w:pos="284"/>
        </w:tabs>
      </w:pPr>
      <w:r>
        <w:tab/>
      </w:r>
      <w:r w:rsidR="00647049">
        <w:t>P</w:t>
      </w:r>
      <w:r w:rsidR="00647049" w:rsidRPr="00113F61">
        <w:t>rzy świadczeniach od 1500,01 zł do 2000,00 zł dodatek wynosił 50,00 zł.</w:t>
      </w:r>
    </w:p>
  </w:footnote>
  <w:footnote w:id="4">
    <w:p w:rsidR="00647049" w:rsidRPr="00113F61" w:rsidRDefault="00647049" w:rsidP="00EB29E9">
      <w:pPr>
        <w:pStyle w:val="Tekstpodstawowywcity2"/>
        <w:tabs>
          <w:tab w:val="left" w:pos="284"/>
        </w:tabs>
        <w:spacing w:after="0" w:line="240" w:lineRule="auto"/>
        <w:ind w:left="284" w:hanging="284"/>
        <w:jc w:val="both"/>
        <w:rPr>
          <w:sz w:val="20"/>
          <w:szCs w:val="20"/>
        </w:rPr>
      </w:pPr>
      <w:r w:rsidRPr="00113F61">
        <w:rPr>
          <w:rStyle w:val="Odwoanieprzypisudolnego"/>
          <w:sz w:val="20"/>
          <w:szCs w:val="20"/>
        </w:rPr>
        <w:footnoteRef/>
      </w:r>
      <w:r w:rsidR="00EB29E9">
        <w:rPr>
          <w:sz w:val="20"/>
          <w:szCs w:val="20"/>
          <w:vertAlign w:val="superscript"/>
        </w:rPr>
        <w:t>)</w:t>
      </w:r>
      <w:r w:rsidR="00EB29E9">
        <w:rPr>
          <w:sz w:val="20"/>
          <w:szCs w:val="20"/>
          <w:vertAlign w:val="superscript"/>
        </w:rPr>
        <w:tab/>
      </w:r>
      <w:r w:rsidRPr="00113F61">
        <w:rPr>
          <w:sz w:val="20"/>
          <w:szCs w:val="20"/>
        </w:rPr>
        <w:t xml:space="preserve">W związku z nieuzgodnieniem, w ramach Rady Dialogu Społecznego, wysokości zwiększenia </w:t>
      </w:r>
      <w:r>
        <w:rPr>
          <w:sz w:val="20"/>
          <w:szCs w:val="20"/>
        </w:rPr>
        <w:t xml:space="preserve">wskaźnika </w:t>
      </w:r>
      <w:r w:rsidRPr="00113F61">
        <w:rPr>
          <w:sz w:val="20"/>
          <w:szCs w:val="20"/>
        </w:rPr>
        <w:t>waloryzacji emerytur i rent w 2017 r. Rada Ministrów</w:t>
      </w:r>
      <w:r w:rsidR="00EB29E9">
        <w:rPr>
          <w:sz w:val="20"/>
          <w:szCs w:val="20"/>
        </w:rPr>
        <w:t>, biorąc pod uwagę informacje o </w:t>
      </w:r>
      <w:r w:rsidRPr="00113F61">
        <w:rPr>
          <w:sz w:val="20"/>
          <w:szCs w:val="20"/>
        </w:rPr>
        <w:t>prognozowanych wielkościach makroekonomicznych, w tym wielkość wskaźnika inflacji, stanowiących podstawę do opracowania projektu ustawy budżetowej na rok 2017, ustaliła wysokość zwiększenia wskaźnika waloryzacji emerytur i rent w 2017 r. na minimalnym ustawowym poziomie wynoszącym 20% realnego wzrostu przeciętnego wynagrodzenia w 2016 r.</w:t>
      </w:r>
    </w:p>
  </w:footnote>
  <w:footnote w:id="5">
    <w:p w:rsidR="00647049" w:rsidRPr="00F11F3F" w:rsidRDefault="00647049" w:rsidP="00705F2F">
      <w:pPr>
        <w:pStyle w:val="Tekstprzypisudolnego"/>
        <w:tabs>
          <w:tab w:val="left" w:pos="284"/>
        </w:tabs>
        <w:ind w:left="284" w:hanging="284"/>
        <w:jc w:val="both"/>
      </w:pPr>
      <w:r w:rsidRPr="00F11F3F">
        <w:rPr>
          <w:rStyle w:val="Odwoanieprzypisudolnego"/>
        </w:rPr>
        <w:footnoteRef/>
      </w:r>
      <w:r w:rsidR="00705F2F">
        <w:rPr>
          <w:vertAlign w:val="superscript"/>
        </w:rPr>
        <w:t>)</w:t>
      </w:r>
      <w:r w:rsidR="00705F2F">
        <w:rPr>
          <w:vertAlign w:val="superscript"/>
        </w:rPr>
        <w:tab/>
      </w:r>
      <w:r w:rsidRPr="00F11F3F">
        <w:t>W II i III kwartale 2016 r. wysokość podstawowej miesięcznej składki na ubezpieczenie społeczne rolników wynosi 88 zł (264 zł kwartalnie). Dla porównania od wynagrodzenia pracownika zarabiającego minimalne wynagrodzenie (1850 zł) odprowadzana jest składka na ubezpieczenie emerytalne w kwocie</w:t>
      </w:r>
      <w:r w:rsidR="00393ADD">
        <w:t xml:space="preserve"> </w:t>
      </w:r>
      <w:r w:rsidRPr="00F11F3F">
        <w:t>361,12 zł miesięcznie. Dotacja budżetu państwa do Funduszu Emerytalnego Rolników w 2016 r. wyniesie 92% (bez refundacji kosztów wypłaty świadczeń zbiegowych i innych transferów).</w:t>
      </w:r>
    </w:p>
  </w:footnote>
  <w:footnote w:id="6">
    <w:p w:rsidR="00647049" w:rsidRPr="00705F2F" w:rsidRDefault="00647049" w:rsidP="00705F2F">
      <w:pPr>
        <w:pStyle w:val="Tekstprzypisudolnego"/>
        <w:tabs>
          <w:tab w:val="left" w:pos="284"/>
        </w:tabs>
        <w:ind w:left="284" w:hanging="284"/>
        <w:jc w:val="both"/>
      </w:pPr>
      <w:r>
        <w:rPr>
          <w:rStyle w:val="Odwoanieprzypisudolnego"/>
        </w:rPr>
        <w:footnoteRef/>
      </w:r>
      <w:r w:rsidR="00705F2F">
        <w:rPr>
          <w:vertAlign w:val="superscript"/>
        </w:rPr>
        <w:t>)</w:t>
      </w:r>
      <w:r w:rsidR="00705F2F">
        <w:rPr>
          <w:vertAlign w:val="superscript"/>
        </w:rPr>
        <w:tab/>
      </w:r>
      <w:r w:rsidRPr="00705F2F">
        <w:t xml:space="preserve">Obecnie najniższa emerytura z systemu ubezpieczenia rolników wynosi ok. 115% emerytury najniższej z systemu pracowniczego, tj. 1014 zł, natomiast przeciętna emerytura rolnicza w 2015 r. wynosiła 1103 zł (tj. 125,3% najniższej emerytury z systemu pracowniczego). Natomiast wysokość podstawowej miesięcznej składki na ubezpieczenie społeczne rolników w II i III kwartale 2016 r. wynosi 88 zł. </w:t>
      </w:r>
    </w:p>
    <w:p w:rsidR="00647049" w:rsidRPr="002319D1" w:rsidRDefault="00647049" w:rsidP="00705F2F">
      <w:pPr>
        <w:pStyle w:val="Tekstprzypisudolnego"/>
        <w:ind w:left="284"/>
        <w:jc w:val="both"/>
        <w:rPr>
          <w:sz w:val="18"/>
          <w:szCs w:val="18"/>
        </w:rPr>
      </w:pPr>
      <w:r w:rsidRPr="00705F2F">
        <w:t>Dla porównania od wynagrodzenia pracownika zarabiającego minimalne wynagrodzenie (1850 zł) odprowadzana jest składka na ubezpieczenie emerytalne w kwocie</w:t>
      </w:r>
      <w:r w:rsidR="00393ADD">
        <w:t xml:space="preserve"> </w:t>
      </w:r>
      <w:r w:rsidRPr="00705F2F">
        <w:t>361,12 zł miesięcznie, a najniższa preferencyjna składka od 30% minimalnego wynagrodzenia w przypadku osób rozpoczynających działalność gospodarczą przez okres dwóch pierwszych lat jej prow</w:t>
      </w:r>
      <w:r w:rsidR="00705F2F">
        <w:t>adzenia wynosi miesięcznie 108, </w:t>
      </w:r>
      <w:r w:rsidRPr="00705F2F">
        <w:t>34 zł.</w:t>
      </w:r>
    </w:p>
  </w:footnote>
  <w:footnote w:id="7">
    <w:p w:rsidR="00647049" w:rsidRDefault="00647049" w:rsidP="00705F2F">
      <w:pPr>
        <w:pStyle w:val="Tekstprzypisudolnego"/>
        <w:tabs>
          <w:tab w:val="left" w:pos="284"/>
        </w:tabs>
      </w:pPr>
      <w:r>
        <w:rPr>
          <w:rStyle w:val="Odwoanieprzypisudolnego"/>
        </w:rPr>
        <w:footnoteRef/>
      </w:r>
      <w:r w:rsidR="00705F2F">
        <w:rPr>
          <w:vertAlign w:val="superscript"/>
        </w:rPr>
        <w:t>)</w:t>
      </w:r>
      <w:r w:rsidR="00705F2F">
        <w:rPr>
          <w:vertAlign w:val="superscript"/>
        </w:rPr>
        <w:tab/>
      </w:r>
      <w:r>
        <w:t>Zobacz wyrok TK z dnia 18 listopada 2008 r., sygn. akt P 47/07.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D" w:rsidRDefault="00393AD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D" w:rsidRDefault="00393AD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ADD" w:rsidRDefault="00393AD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152"/>
    <w:multiLevelType w:val="hybridMultilevel"/>
    <w:tmpl w:val="1868956C"/>
    <w:lvl w:ilvl="0" w:tplc="D1BCAA16">
      <w:start w:val="1"/>
      <w:numFmt w:val="decimal"/>
      <w:lvlText w:val="%1)"/>
      <w:lvlJc w:val="left"/>
      <w:pPr>
        <w:ind w:left="720" w:hanging="360"/>
      </w:pPr>
      <w:rPr>
        <w:rFonts w:ascii="Times New Roman" w:hAnsi="Times New Roman" w:cs="Times New Roman"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4BF52A7"/>
    <w:multiLevelType w:val="hybridMultilevel"/>
    <w:tmpl w:val="450A0B3C"/>
    <w:lvl w:ilvl="0" w:tplc="04150001">
      <w:start w:val="1"/>
      <w:numFmt w:val="bullet"/>
      <w:lvlText w:val=""/>
      <w:lvlJc w:val="left"/>
      <w:pPr>
        <w:ind w:left="774" w:hanging="360"/>
      </w:pPr>
      <w:rPr>
        <w:rFonts w:ascii="Symbol" w:hAnsi="Symbol" w:hint="default"/>
      </w:rPr>
    </w:lvl>
    <w:lvl w:ilvl="1" w:tplc="44F27922">
      <w:start w:val="1"/>
      <w:numFmt w:val="bullet"/>
      <w:lvlText w:val=""/>
      <w:lvlJc w:val="left"/>
      <w:pPr>
        <w:ind w:left="1494" w:hanging="360"/>
      </w:pPr>
      <w:rPr>
        <w:rFonts w:ascii="Symbol" w:hAnsi="Symbol"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
    <w:nsid w:val="3F4459A0"/>
    <w:multiLevelType w:val="hybridMultilevel"/>
    <w:tmpl w:val="20DACB94"/>
    <w:lvl w:ilvl="0" w:tplc="44F27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63810E3D"/>
    <w:multiLevelType w:val="hybridMultilevel"/>
    <w:tmpl w:val="E69224DC"/>
    <w:lvl w:ilvl="0" w:tplc="44F279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7049"/>
    <w:rsid w:val="000F5E14"/>
    <w:rsid w:val="00143BE1"/>
    <w:rsid w:val="001B7E0C"/>
    <w:rsid w:val="001F47C0"/>
    <w:rsid w:val="002049EF"/>
    <w:rsid w:val="00222ADB"/>
    <w:rsid w:val="0024176D"/>
    <w:rsid w:val="0025092C"/>
    <w:rsid w:val="00292ADA"/>
    <w:rsid w:val="00294916"/>
    <w:rsid w:val="002F01ED"/>
    <w:rsid w:val="0032642B"/>
    <w:rsid w:val="00393ADD"/>
    <w:rsid w:val="00397FB0"/>
    <w:rsid w:val="003B0CBC"/>
    <w:rsid w:val="004B2D89"/>
    <w:rsid w:val="004F2770"/>
    <w:rsid w:val="005A643D"/>
    <w:rsid w:val="00647049"/>
    <w:rsid w:val="00705DA8"/>
    <w:rsid w:val="00705F2F"/>
    <w:rsid w:val="007A3C5B"/>
    <w:rsid w:val="009C0AAF"/>
    <w:rsid w:val="00A50684"/>
    <w:rsid w:val="00B10A8C"/>
    <w:rsid w:val="00C47973"/>
    <w:rsid w:val="00CB5ACF"/>
    <w:rsid w:val="00D669EC"/>
    <w:rsid w:val="00E2647E"/>
    <w:rsid w:val="00EA0543"/>
    <w:rsid w:val="00EB29E9"/>
    <w:rsid w:val="00EC05FB"/>
    <w:rsid w:val="00F242E9"/>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Stopka">
    <w:name w:val="footer"/>
    <w:basedOn w:val="Normalny"/>
    <w:link w:val="StopkaZnak1"/>
    <w:uiPriority w:val="99"/>
    <w:unhideWhenUsed/>
    <w:rsid w:val="0064704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uiPriority w:val="99"/>
    <w:rsid w:val="00647049"/>
  </w:style>
  <w:style w:type="character" w:customStyle="1" w:styleId="StopkaZnak1">
    <w:name w:val="Stopka Znak1"/>
    <w:basedOn w:val="Domylnaczcionkaakapitu"/>
    <w:link w:val="Stopka"/>
    <w:uiPriority w:val="99"/>
    <w:rsid w:val="00647049"/>
    <w:rPr>
      <w:rFonts w:ascii="Times New Roman" w:eastAsia="Times New Roman" w:hAnsi="Times New Roman" w:cs="Times New Roman"/>
      <w:sz w:val="24"/>
      <w:szCs w:val="24"/>
      <w:lang w:eastAsia="pl-PL"/>
    </w:rPr>
  </w:style>
  <w:style w:type="character" w:styleId="Numerstrony">
    <w:name w:val="page number"/>
    <w:basedOn w:val="Domylnaczcionkaakapitu"/>
    <w:uiPriority w:val="99"/>
    <w:rsid w:val="00647049"/>
    <w:rPr>
      <w:rFonts w:cs="Times New Roman"/>
    </w:rPr>
  </w:style>
  <w:style w:type="paragraph" w:styleId="Tekstprzypisudolnego">
    <w:name w:val="footnote text"/>
    <w:basedOn w:val="Normalny"/>
    <w:link w:val="TekstprzypisudolnegoZnak"/>
    <w:uiPriority w:val="99"/>
    <w:unhideWhenUsed/>
    <w:rsid w:val="00647049"/>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647049"/>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647049"/>
    <w:rPr>
      <w:vertAlign w:val="superscript"/>
    </w:rPr>
  </w:style>
  <w:style w:type="paragraph" w:styleId="Tekstpodstawowywcity2">
    <w:name w:val="Body Text Indent 2"/>
    <w:basedOn w:val="Normalny"/>
    <w:link w:val="Tekstpodstawowywcity2Znak"/>
    <w:semiHidden/>
    <w:unhideWhenUsed/>
    <w:rsid w:val="00647049"/>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semiHidden/>
    <w:rsid w:val="00647049"/>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EB29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29E9"/>
  </w:style>
  <w:style w:type="table" w:styleId="Tabela-Siatka">
    <w:name w:val="Table Grid"/>
    <w:basedOn w:val="Standardowy"/>
    <w:rsid w:val="002F01E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F01ED"/>
    <w:pPr>
      <w:ind w:left="720"/>
      <w:contextualSpacing/>
    </w:pPr>
  </w:style>
  <w:style w:type="paragraph" w:styleId="Tekstdymka">
    <w:name w:val="Balloon Text"/>
    <w:basedOn w:val="Normalny"/>
    <w:link w:val="TekstdymkaZnak"/>
    <w:uiPriority w:val="99"/>
    <w:semiHidden/>
    <w:unhideWhenUsed/>
    <w:rsid w:val="004F277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F27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Stopka">
    <w:name w:val="footer"/>
    <w:basedOn w:val="Normalny"/>
    <w:link w:val="StopkaZnak1"/>
    <w:uiPriority w:val="99"/>
    <w:unhideWhenUsed/>
    <w:rsid w:val="0064704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uiPriority w:val="99"/>
    <w:rsid w:val="00647049"/>
  </w:style>
  <w:style w:type="character" w:customStyle="1" w:styleId="StopkaZnak1">
    <w:name w:val="Stopka Znak1"/>
    <w:basedOn w:val="Domylnaczcionkaakapitu"/>
    <w:link w:val="Stopka"/>
    <w:uiPriority w:val="99"/>
    <w:rsid w:val="00647049"/>
    <w:rPr>
      <w:rFonts w:ascii="Times New Roman" w:eastAsia="Times New Roman" w:hAnsi="Times New Roman" w:cs="Times New Roman"/>
      <w:sz w:val="24"/>
      <w:szCs w:val="24"/>
      <w:lang w:eastAsia="pl-PL"/>
    </w:rPr>
  </w:style>
  <w:style w:type="character" w:styleId="Numerstrony">
    <w:name w:val="page number"/>
    <w:basedOn w:val="Domylnaczcionkaakapitu"/>
    <w:uiPriority w:val="99"/>
    <w:rsid w:val="00647049"/>
    <w:rPr>
      <w:rFonts w:cs="Times New Roman"/>
    </w:rPr>
  </w:style>
  <w:style w:type="paragraph" w:styleId="Tekstprzypisudolnego">
    <w:name w:val="footnote text"/>
    <w:basedOn w:val="Normalny"/>
    <w:link w:val="TekstprzypisudolnegoZnak"/>
    <w:uiPriority w:val="99"/>
    <w:unhideWhenUsed/>
    <w:rsid w:val="00647049"/>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647049"/>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647049"/>
    <w:rPr>
      <w:vertAlign w:val="superscript"/>
    </w:rPr>
  </w:style>
  <w:style w:type="paragraph" w:styleId="Tekstpodstawowywcity2">
    <w:name w:val="Body Text Indent 2"/>
    <w:basedOn w:val="Normalny"/>
    <w:link w:val="Tekstpodstawowywcity2Znak"/>
    <w:semiHidden/>
    <w:unhideWhenUsed/>
    <w:rsid w:val="00647049"/>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semiHidden/>
    <w:rsid w:val="00647049"/>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EB29E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B29E9"/>
  </w:style>
  <w:style w:type="table" w:styleId="Tabela-Siatka">
    <w:name w:val="Table Grid"/>
    <w:basedOn w:val="Standardowy"/>
    <w:rsid w:val="002F01ED"/>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2F01ED"/>
    <w:pPr>
      <w:ind w:left="720"/>
      <w:contextualSpacing/>
    </w:pPr>
  </w:style>
  <w:style w:type="paragraph" w:styleId="Tekstdymka">
    <w:name w:val="Balloon Text"/>
    <w:basedOn w:val="Normalny"/>
    <w:link w:val="TekstdymkaZnak"/>
    <w:uiPriority w:val="99"/>
    <w:semiHidden/>
    <w:unhideWhenUsed/>
    <w:rsid w:val="004F277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F27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3319</Words>
  <Characters>19914</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dcterms:created xsi:type="dcterms:W3CDTF">2016-11-15T10:00:00Z</dcterms:created>
  <dcterms:modified xsi:type="dcterms:W3CDTF">2016-11-15T10:00:00Z</dcterms:modified>
</cp:coreProperties>
</file>