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F17" w:rsidRPr="006D6C9D" w:rsidRDefault="00B82F17" w:rsidP="006D6C9D">
      <w:pPr>
        <w:widowControl/>
        <w:jc w:val="center"/>
        <w:rPr>
          <w:rFonts w:cs="Times New Roman"/>
          <w:szCs w:val="24"/>
        </w:rPr>
      </w:pPr>
      <w:bookmarkStart w:id="0" w:name="_GoBack"/>
      <w:bookmarkEnd w:id="0"/>
      <w:r w:rsidRPr="006D6C9D">
        <w:rPr>
          <w:rFonts w:cs="Times New Roman"/>
          <w:szCs w:val="24"/>
        </w:rPr>
        <w:t>UZASADNIENIE</w:t>
      </w:r>
    </w:p>
    <w:p w:rsidR="00B82F17" w:rsidRPr="006D6C9D" w:rsidRDefault="00B82F17" w:rsidP="006D6C9D">
      <w:pPr>
        <w:widowControl/>
        <w:spacing w:before="120"/>
        <w:jc w:val="center"/>
        <w:rPr>
          <w:rFonts w:cs="Times New Roman"/>
          <w:b/>
          <w:szCs w:val="24"/>
        </w:rPr>
      </w:pPr>
    </w:p>
    <w:p w:rsidR="00B82F17" w:rsidRPr="006D6C9D" w:rsidRDefault="00B82F17" w:rsidP="006D6C9D">
      <w:pPr>
        <w:widowControl/>
        <w:spacing w:before="120"/>
        <w:jc w:val="both"/>
        <w:rPr>
          <w:rFonts w:cs="Times New Roman"/>
          <w:szCs w:val="24"/>
        </w:rPr>
      </w:pPr>
      <w:r w:rsidRPr="006D6C9D">
        <w:rPr>
          <w:rFonts w:cs="Times New Roman"/>
          <w:szCs w:val="24"/>
        </w:rPr>
        <w:t>Projekt ustawy o</w:t>
      </w:r>
      <w:r w:rsidR="00933E4F" w:rsidRPr="006D6C9D">
        <w:rPr>
          <w:rFonts w:cs="Times New Roman"/>
          <w:szCs w:val="24"/>
        </w:rPr>
        <w:t xml:space="preserve"> </w:t>
      </w:r>
      <w:r w:rsidRPr="006D6C9D">
        <w:rPr>
          <w:rFonts w:cs="Times New Roman"/>
          <w:szCs w:val="24"/>
        </w:rPr>
        <w:t>zmianie ustawy o</w:t>
      </w:r>
      <w:r w:rsidR="00933E4F" w:rsidRPr="006D6C9D">
        <w:rPr>
          <w:rFonts w:cs="Times New Roman"/>
          <w:szCs w:val="24"/>
        </w:rPr>
        <w:t xml:space="preserve"> </w:t>
      </w:r>
      <w:r w:rsidRPr="006D6C9D">
        <w:rPr>
          <w:rFonts w:cs="Times New Roman"/>
          <w:szCs w:val="24"/>
        </w:rPr>
        <w:t>nasiennictwie oraz ustawy o ochronie roślin wdraża postanowienia:</w:t>
      </w:r>
    </w:p>
    <w:p w:rsidR="00B82F17" w:rsidRPr="006D6C9D" w:rsidRDefault="00B82F17" w:rsidP="006D6C9D">
      <w:pPr>
        <w:widowControl/>
        <w:numPr>
          <w:ilvl w:val="0"/>
          <w:numId w:val="1"/>
        </w:numPr>
        <w:tabs>
          <w:tab w:val="left" w:pos="426"/>
        </w:tabs>
        <w:autoSpaceDE/>
        <w:autoSpaceDN/>
        <w:adjustRightInd/>
        <w:ind w:left="426" w:hanging="426"/>
        <w:jc w:val="both"/>
        <w:rPr>
          <w:rFonts w:cs="Times New Roman"/>
          <w:szCs w:val="24"/>
        </w:rPr>
      </w:pPr>
      <w:r w:rsidRPr="006D6C9D">
        <w:rPr>
          <w:rFonts w:cs="Times New Roman"/>
          <w:szCs w:val="24"/>
        </w:rPr>
        <w:t>dyrektywy wykonawczej Komisji 2014/96/UE z</w:t>
      </w:r>
      <w:r w:rsidR="00933E4F" w:rsidRPr="006D6C9D">
        <w:rPr>
          <w:rFonts w:cs="Times New Roman"/>
          <w:szCs w:val="24"/>
        </w:rPr>
        <w:t xml:space="preserve"> </w:t>
      </w:r>
      <w:r w:rsidRPr="006D6C9D">
        <w:rPr>
          <w:rFonts w:cs="Times New Roman"/>
          <w:szCs w:val="24"/>
        </w:rPr>
        <w:t>dnia 15</w:t>
      </w:r>
      <w:r w:rsidR="00933E4F" w:rsidRPr="006D6C9D">
        <w:rPr>
          <w:rFonts w:cs="Times New Roman"/>
          <w:szCs w:val="24"/>
        </w:rPr>
        <w:t xml:space="preserve">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6D6C9D" w:rsidRPr="006D6C9D">
        <w:rPr>
          <w:rFonts w:cs="Times New Roman"/>
          <w:szCs w:val="24"/>
        </w:rPr>
        <w:t> </w:t>
      </w:r>
      <w:r w:rsidRPr="006D6C9D">
        <w:rPr>
          <w:rFonts w:cs="Times New Roman"/>
          <w:szCs w:val="24"/>
        </w:rPr>
        <w:t>sprawie wymagań dotyczących etykietowania, plombowania i</w:t>
      </w:r>
      <w:r w:rsidR="00933E4F" w:rsidRPr="006D6C9D">
        <w:rPr>
          <w:rFonts w:cs="Times New Roman"/>
          <w:szCs w:val="24"/>
        </w:rPr>
        <w:t xml:space="preserve"> </w:t>
      </w:r>
      <w:r w:rsidRPr="006D6C9D">
        <w:rPr>
          <w:rFonts w:cs="Times New Roman"/>
          <w:szCs w:val="24"/>
        </w:rPr>
        <w:t>pakowania materiału rozmnożeniowego roślin sadowniczych oraz roślin sadowniczych przeznaczonych do produkcji owoców, który to materiał i</w:t>
      </w:r>
      <w:r w:rsidR="00933E4F" w:rsidRPr="006D6C9D">
        <w:rPr>
          <w:rFonts w:cs="Times New Roman"/>
          <w:szCs w:val="24"/>
        </w:rPr>
        <w:t xml:space="preserve"> </w:t>
      </w:r>
      <w:r w:rsidRPr="006D6C9D">
        <w:rPr>
          <w:rFonts w:cs="Times New Roman"/>
          <w:szCs w:val="24"/>
        </w:rPr>
        <w:t>rośliny są objęte zakresem dyrektywy Rady 2008/90/WE (Dz. Urz. UE L 298</w:t>
      </w:r>
      <w:r w:rsidR="00933E4F" w:rsidRPr="006D6C9D">
        <w:rPr>
          <w:rFonts w:cs="Times New Roman"/>
          <w:szCs w:val="24"/>
        </w:rPr>
        <w:t xml:space="preserve"> </w:t>
      </w:r>
      <w:r w:rsidRPr="006D6C9D">
        <w:rPr>
          <w:rFonts w:cs="Times New Roman"/>
          <w:szCs w:val="24"/>
        </w:rPr>
        <w:t>z</w:t>
      </w:r>
      <w:r w:rsidR="00933E4F" w:rsidRPr="006D6C9D">
        <w:rPr>
          <w:rFonts w:cs="Times New Roman"/>
          <w:szCs w:val="24"/>
        </w:rPr>
        <w:t xml:space="preserve"> </w:t>
      </w:r>
      <w:r w:rsidRPr="006D6C9D">
        <w:rPr>
          <w:rFonts w:cs="Times New Roman"/>
          <w:szCs w:val="24"/>
        </w:rPr>
        <w:t>16.10.2014, str.</w:t>
      </w:r>
      <w:r w:rsidR="00132D89">
        <w:rPr>
          <w:rFonts w:cs="Times New Roman"/>
          <w:szCs w:val="24"/>
        </w:rPr>
        <w:t xml:space="preserve"> </w:t>
      </w:r>
      <w:r w:rsidRPr="006D6C9D">
        <w:rPr>
          <w:rFonts w:cs="Times New Roman"/>
          <w:szCs w:val="24"/>
        </w:rPr>
        <w:t>12);</w:t>
      </w:r>
    </w:p>
    <w:p w:rsidR="00B82F17" w:rsidRPr="006D6C9D" w:rsidRDefault="00B82F17" w:rsidP="006D6C9D">
      <w:pPr>
        <w:widowControl/>
        <w:numPr>
          <w:ilvl w:val="0"/>
          <w:numId w:val="1"/>
        </w:numPr>
        <w:tabs>
          <w:tab w:val="left" w:pos="426"/>
        </w:tabs>
        <w:autoSpaceDE/>
        <w:autoSpaceDN/>
        <w:adjustRightInd/>
        <w:ind w:left="426" w:hanging="426"/>
        <w:jc w:val="both"/>
        <w:rPr>
          <w:rFonts w:cs="Times New Roman"/>
          <w:szCs w:val="24"/>
        </w:rPr>
      </w:pPr>
      <w:r w:rsidRPr="006D6C9D">
        <w:rPr>
          <w:rFonts w:cs="Times New Roman"/>
          <w:szCs w:val="24"/>
        </w:rPr>
        <w:t>dyrektywy wykonawczej Komisji 2014/97/UE z</w:t>
      </w:r>
      <w:r w:rsidR="00933E4F" w:rsidRPr="006D6C9D">
        <w:rPr>
          <w:rFonts w:cs="Times New Roman"/>
          <w:szCs w:val="24"/>
        </w:rPr>
        <w:t xml:space="preserve"> </w:t>
      </w:r>
      <w:r w:rsidRPr="006D6C9D">
        <w:rPr>
          <w:rFonts w:cs="Times New Roman"/>
          <w:szCs w:val="24"/>
        </w:rPr>
        <w:t>dnia 15</w:t>
      </w:r>
      <w:r w:rsidR="00933E4F" w:rsidRPr="006D6C9D">
        <w:rPr>
          <w:rFonts w:cs="Times New Roman"/>
          <w:szCs w:val="24"/>
        </w:rPr>
        <w:t xml:space="preserve">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6D6C9D" w:rsidRPr="006D6C9D">
        <w:rPr>
          <w:rFonts w:cs="Times New Roman"/>
          <w:szCs w:val="24"/>
        </w:rPr>
        <w:t> </w:t>
      </w:r>
      <w:r w:rsidRPr="006D6C9D">
        <w:rPr>
          <w:rFonts w:cs="Times New Roman"/>
          <w:szCs w:val="24"/>
        </w:rPr>
        <w:t>sprawie wykonania dyrektywy Rady 2008/90/WE w</w:t>
      </w:r>
      <w:r w:rsidR="00933E4F" w:rsidRPr="006D6C9D">
        <w:rPr>
          <w:rFonts w:cs="Times New Roman"/>
          <w:szCs w:val="24"/>
        </w:rPr>
        <w:t xml:space="preserve"> </w:t>
      </w:r>
      <w:r w:rsidRPr="006D6C9D">
        <w:rPr>
          <w:rFonts w:cs="Times New Roman"/>
          <w:szCs w:val="24"/>
        </w:rPr>
        <w:t>odniesieniu do rejestracji dostawców i</w:t>
      </w:r>
      <w:r w:rsidR="00933E4F" w:rsidRPr="006D6C9D">
        <w:rPr>
          <w:rFonts w:cs="Times New Roman"/>
          <w:szCs w:val="24"/>
        </w:rPr>
        <w:t xml:space="preserve"> </w:t>
      </w:r>
      <w:r w:rsidRPr="006D6C9D">
        <w:rPr>
          <w:rFonts w:cs="Times New Roman"/>
          <w:szCs w:val="24"/>
        </w:rPr>
        <w:t>odmian oraz w</w:t>
      </w:r>
      <w:r w:rsidR="00933E4F" w:rsidRPr="006D6C9D">
        <w:rPr>
          <w:rFonts w:cs="Times New Roman"/>
          <w:szCs w:val="24"/>
        </w:rPr>
        <w:t xml:space="preserve"> </w:t>
      </w:r>
      <w:r w:rsidRPr="006D6C9D">
        <w:rPr>
          <w:rFonts w:cs="Times New Roman"/>
          <w:szCs w:val="24"/>
        </w:rPr>
        <w:t>odniesieniu do wspólnego wykazu odmian (Dz. Urz. UE L 298</w:t>
      </w:r>
      <w:r w:rsidR="00933E4F" w:rsidRPr="006D6C9D">
        <w:rPr>
          <w:rFonts w:cs="Times New Roman"/>
          <w:szCs w:val="24"/>
        </w:rPr>
        <w:t xml:space="preserve"> </w:t>
      </w:r>
      <w:r w:rsidRPr="006D6C9D">
        <w:rPr>
          <w:rFonts w:cs="Times New Roman"/>
          <w:szCs w:val="24"/>
        </w:rPr>
        <w:t>z</w:t>
      </w:r>
      <w:r w:rsidR="00933E4F" w:rsidRPr="006D6C9D">
        <w:rPr>
          <w:rFonts w:cs="Times New Roman"/>
          <w:szCs w:val="24"/>
        </w:rPr>
        <w:t xml:space="preserve"> </w:t>
      </w:r>
      <w:r w:rsidRPr="006D6C9D">
        <w:rPr>
          <w:rFonts w:cs="Times New Roman"/>
          <w:szCs w:val="24"/>
        </w:rPr>
        <w:t>16.10.2014, str.</w:t>
      </w:r>
      <w:r w:rsidR="00132D89">
        <w:rPr>
          <w:rFonts w:cs="Times New Roman"/>
          <w:szCs w:val="24"/>
        </w:rPr>
        <w:t xml:space="preserve"> </w:t>
      </w:r>
      <w:r w:rsidRPr="006D6C9D">
        <w:rPr>
          <w:rFonts w:cs="Times New Roman"/>
          <w:szCs w:val="24"/>
        </w:rPr>
        <w:t>16);</w:t>
      </w:r>
    </w:p>
    <w:p w:rsidR="00B82F17" w:rsidRPr="006D6C9D" w:rsidRDefault="00B82F17" w:rsidP="006D6C9D">
      <w:pPr>
        <w:widowControl/>
        <w:numPr>
          <w:ilvl w:val="0"/>
          <w:numId w:val="1"/>
        </w:numPr>
        <w:tabs>
          <w:tab w:val="left" w:pos="426"/>
        </w:tabs>
        <w:autoSpaceDE/>
        <w:autoSpaceDN/>
        <w:adjustRightInd/>
        <w:ind w:left="426" w:hanging="426"/>
        <w:jc w:val="both"/>
        <w:rPr>
          <w:rFonts w:cs="Times New Roman"/>
          <w:szCs w:val="24"/>
        </w:rPr>
      </w:pPr>
      <w:r w:rsidRPr="006D6C9D">
        <w:rPr>
          <w:rFonts w:cs="Times New Roman"/>
          <w:szCs w:val="24"/>
        </w:rPr>
        <w:t>dyrektywy wykonawczej Komisji 2014/98/UE z</w:t>
      </w:r>
      <w:r w:rsidR="00933E4F" w:rsidRPr="006D6C9D">
        <w:rPr>
          <w:rFonts w:cs="Times New Roman"/>
          <w:szCs w:val="24"/>
        </w:rPr>
        <w:t xml:space="preserve"> </w:t>
      </w:r>
      <w:r w:rsidRPr="006D6C9D">
        <w:rPr>
          <w:rFonts w:cs="Times New Roman"/>
          <w:szCs w:val="24"/>
        </w:rPr>
        <w:t>dnia 15</w:t>
      </w:r>
      <w:r w:rsidR="00933E4F" w:rsidRPr="006D6C9D">
        <w:rPr>
          <w:rFonts w:cs="Times New Roman"/>
          <w:szCs w:val="24"/>
        </w:rPr>
        <w:t xml:space="preserve">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6D6C9D" w:rsidRPr="006D6C9D">
        <w:rPr>
          <w:rFonts w:cs="Times New Roman"/>
          <w:szCs w:val="24"/>
        </w:rPr>
        <w:t> </w:t>
      </w:r>
      <w:r w:rsidRPr="006D6C9D">
        <w:rPr>
          <w:rFonts w:cs="Times New Roman"/>
          <w:szCs w:val="24"/>
        </w:rPr>
        <w:t>sprawie wykonania dyrektywy Rady 2008/90/WE w</w:t>
      </w:r>
      <w:r w:rsidR="00933E4F" w:rsidRPr="006D6C9D">
        <w:rPr>
          <w:rFonts w:cs="Times New Roman"/>
          <w:szCs w:val="24"/>
        </w:rPr>
        <w:t xml:space="preserve"> </w:t>
      </w:r>
      <w:r w:rsidRPr="006D6C9D">
        <w:rPr>
          <w:rFonts w:cs="Times New Roman"/>
          <w:szCs w:val="24"/>
        </w:rPr>
        <w:t>odniesieniu do szczegółowych wymogów dotyczących rodzajów i</w:t>
      </w:r>
      <w:r w:rsidR="00933E4F" w:rsidRPr="006D6C9D">
        <w:rPr>
          <w:rFonts w:cs="Times New Roman"/>
          <w:szCs w:val="24"/>
        </w:rPr>
        <w:t xml:space="preserve"> </w:t>
      </w:r>
      <w:r w:rsidRPr="006D6C9D">
        <w:rPr>
          <w:rFonts w:cs="Times New Roman"/>
          <w:szCs w:val="24"/>
        </w:rPr>
        <w:t>gatunków roślin sadowniczych, o</w:t>
      </w:r>
      <w:r w:rsidR="00933E4F" w:rsidRPr="006D6C9D">
        <w:rPr>
          <w:rFonts w:cs="Times New Roman"/>
          <w:szCs w:val="24"/>
        </w:rPr>
        <w:t xml:space="preserve"> </w:t>
      </w:r>
      <w:r w:rsidRPr="006D6C9D">
        <w:rPr>
          <w:rFonts w:cs="Times New Roman"/>
          <w:szCs w:val="24"/>
        </w:rPr>
        <w:t>których mowa w</w:t>
      </w:r>
      <w:r w:rsidR="00933E4F" w:rsidRPr="006D6C9D">
        <w:rPr>
          <w:rFonts w:cs="Times New Roman"/>
          <w:szCs w:val="24"/>
        </w:rPr>
        <w:t xml:space="preserve"> </w:t>
      </w:r>
      <w:r w:rsidRPr="006D6C9D">
        <w:rPr>
          <w:rFonts w:cs="Times New Roman"/>
          <w:szCs w:val="24"/>
        </w:rPr>
        <w:t>załączniku I</w:t>
      </w:r>
      <w:r w:rsidR="00933E4F" w:rsidRPr="006D6C9D">
        <w:rPr>
          <w:rFonts w:cs="Times New Roman"/>
          <w:szCs w:val="24"/>
        </w:rPr>
        <w:t xml:space="preserve"> </w:t>
      </w:r>
      <w:r w:rsidRPr="006D6C9D">
        <w:rPr>
          <w:rFonts w:cs="Times New Roman"/>
          <w:szCs w:val="24"/>
        </w:rPr>
        <w:t>do tej dyrektywy, szczegółowych wymogów wobec dostawców oraz szczegółowych zasad dotyczących inspekcji urzędowych (Dz. Urz. UE L 298</w:t>
      </w:r>
      <w:r w:rsidR="00933E4F" w:rsidRPr="006D6C9D">
        <w:rPr>
          <w:rFonts w:cs="Times New Roman"/>
          <w:szCs w:val="24"/>
        </w:rPr>
        <w:t xml:space="preserve"> </w:t>
      </w:r>
      <w:r w:rsidRPr="006D6C9D">
        <w:rPr>
          <w:rFonts w:cs="Times New Roman"/>
          <w:szCs w:val="24"/>
        </w:rPr>
        <w:t>z</w:t>
      </w:r>
      <w:r w:rsidR="00933E4F" w:rsidRPr="006D6C9D">
        <w:rPr>
          <w:rFonts w:cs="Times New Roman"/>
          <w:szCs w:val="24"/>
        </w:rPr>
        <w:t xml:space="preserve"> </w:t>
      </w:r>
      <w:r w:rsidRPr="006D6C9D">
        <w:rPr>
          <w:rFonts w:cs="Times New Roman"/>
          <w:szCs w:val="24"/>
        </w:rPr>
        <w:t>16.10.2014, str. 22).</w:t>
      </w:r>
    </w:p>
    <w:p w:rsidR="00B82F17" w:rsidRPr="006D6C9D" w:rsidRDefault="00B82F17" w:rsidP="006D6C9D">
      <w:pPr>
        <w:widowControl/>
        <w:spacing w:before="120"/>
        <w:jc w:val="both"/>
        <w:rPr>
          <w:rFonts w:cs="Times New Roman"/>
          <w:szCs w:val="24"/>
        </w:rPr>
      </w:pPr>
      <w:r w:rsidRPr="006D6C9D">
        <w:rPr>
          <w:rFonts w:cs="Times New Roman"/>
          <w:szCs w:val="24"/>
        </w:rPr>
        <w:t>Wyżej wymienione przepisy dyrektyw Unii Europejskiej należy wdrożyć do prawodawstwa krajowego do dnia 31</w:t>
      </w:r>
      <w:r w:rsidR="00933E4F" w:rsidRPr="006D6C9D">
        <w:rPr>
          <w:rFonts w:cs="Times New Roman"/>
          <w:szCs w:val="24"/>
        </w:rPr>
        <w:t xml:space="preserve"> </w:t>
      </w:r>
      <w:r w:rsidRPr="006D6C9D">
        <w:rPr>
          <w:rFonts w:cs="Times New Roman"/>
          <w:szCs w:val="24"/>
        </w:rPr>
        <w:t>grudnia 2016</w:t>
      </w:r>
      <w:r w:rsidR="00933E4F" w:rsidRPr="006D6C9D">
        <w:rPr>
          <w:rFonts w:cs="Times New Roman"/>
          <w:szCs w:val="24"/>
        </w:rPr>
        <w:t xml:space="preserve"> </w:t>
      </w:r>
      <w:r w:rsidRPr="006D6C9D">
        <w:rPr>
          <w:rFonts w:cs="Times New Roman"/>
          <w:szCs w:val="24"/>
        </w:rPr>
        <w:t>r.</w:t>
      </w:r>
    </w:p>
    <w:p w:rsidR="00B82F17" w:rsidRPr="006D6C9D" w:rsidRDefault="00B82F17" w:rsidP="006D6C9D">
      <w:pPr>
        <w:widowControl/>
        <w:spacing w:before="120"/>
        <w:jc w:val="both"/>
        <w:rPr>
          <w:rFonts w:cs="Times New Roman"/>
          <w:szCs w:val="24"/>
        </w:rPr>
      </w:pPr>
      <w:r w:rsidRPr="006D6C9D">
        <w:rPr>
          <w:rFonts w:cs="Times New Roman"/>
          <w:szCs w:val="24"/>
        </w:rPr>
        <w:t>Ustawa z dnia 9 listopada 2012 r. o nasiennictwie, zwana dalej „ustawą</w:t>
      </w:r>
      <w:r w:rsidR="006D6C9D" w:rsidRPr="006D6C9D">
        <w:rPr>
          <w:rFonts w:cs="Times New Roman"/>
          <w:szCs w:val="24"/>
        </w:rPr>
        <w:t xml:space="preserve"> o </w:t>
      </w:r>
      <w:r w:rsidRPr="006D6C9D">
        <w:rPr>
          <w:rFonts w:cs="Times New Roman"/>
          <w:szCs w:val="24"/>
        </w:rPr>
        <w:t>nasiennictwie”, jest ustawą, która reguluje swoim zakresem różne rodzaje materiału siewnego. Dlatego też wdrażane przepisy UE musiały zostać wpisane w konwencję przyjętą w ustawie o nasiennictwie. Dotyczy to przede wszystkim:</w:t>
      </w:r>
    </w:p>
    <w:p w:rsidR="00B82F17" w:rsidRPr="006D6C9D" w:rsidRDefault="00B82F17" w:rsidP="006D6C9D">
      <w:pPr>
        <w:widowControl/>
        <w:numPr>
          <w:ilvl w:val="0"/>
          <w:numId w:val="2"/>
        </w:numPr>
        <w:tabs>
          <w:tab w:val="left" w:pos="426"/>
        </w:tabs>
        <w:autoSpaceDE/>
        <w:autoSpaceDN/>
        <w:adjustRightInd/>
        <w:ind w:left="462" w:hanging="434"/>
        <w:jc w:val="both"/>
        <w:rPr>
          <w:rFonts w:cs="Times New Roman"/>
          <w:szCs w:val="24"/>
        </w:rPr>
      </w:pPr>
      <w:r w:rsidRPr="006D6C9D">
        <w:rPr>
          <w:rFonts w:cs="Times New Roman"/>
          <w:szCs w:val="24"/>
        </w:rPr>
        <w:t>definicji materiału siewnego, która dotyczy również materiału szkółkarskiego oraz materiału szkółkarskiego CAC; materiał ten oznacza rośliny lub materiał rozmnożeniowy i służy do rozmnażania lub produkcji owoców;</w:t>
      </w:r>
    </w:p>
    <w:p w:rsidR="00B82F17" w:rsidRPr="006D6C9D" w:rsidRDefault="00B82F17" w:rsidP="006D6C9D">
      <w:pPr>
        <w:widowControl/>
        <w:numPr>
          <w:ilvl w:val="0"/>
          <w:numId w:val="2"/>
        </w:numPr>
        <w:tabs>
          <w:tab w:val="left" w:pos="426"/>
        </w:tabs>
        <w:autoSpaceDE/>
        <w:autoSpaceDN/>
        <w:adjustRightInd/>
        <w:ind w:left="462" w:hanging="434"/>
        <w:jc w:val="both"/>
        <w:rPr>
          <w:rFonts w:cs="Times New Roman"/>
          <w:szCs w:val="24"/>
        </w:rPr>
      </w:pPr>
      <w:r w:rsidRPr="006D6C9D">
        <w:rPr>
          <w:rFonts w:cs="Times New Roman"/>
          <w:szCs w:val="24"/>
        </w:rPr>
        <w:t>przepisów z zakresu rejestracji, w szczególności w odniesieniu do badań odrębności, wyrównania i trwałości oraz stosowanych metodyk;</w:t>
      </w:r>
    </w:p>
    <w:p w:rsidR="00B82F17" w:rsidRPr="006D6C9D" w:rsidRDefault="00B82F17" w:rsidP="006D6C9D">
      <w:pPr>
        <w:widowControl/>
        <w:numPr>
          <w:ilvl w:val="0"/>
          <w:numId w:val="2"/>
        </w:numPr>
        <w:tabs>
          <w:tab w:val="left" w:pos="426"/>
        </w:tabs>
        <w:autoSpaceDE/>
        <w:autoSpaceDN/>
        <w:adjustRightInd/>
        <w:ind w:left="462" w:hanging="434"/>
        <w:jc w:val="both"/>
        <w:rPr>
          <w:rFonts w:cs="Times New Roman"/>
          <w:szCs w:val="24"/>
        </w:rPr>
      </w:pPr>
      <w:r w:rsidRPr="006D6C9D">
        <w:rPr>
          <w:rFonts w:cs="Times New Roman"/>
          <w:szCs w:val="24"/>
        </w:rPr>
        <w:t>przepisów dotyczących etykietowania.</w:t>
      </w:r>
    </w:p>
    <w:p w:rsidR="00B82F17" w:rsidRPr="006D6C9D" w:rsidRDefault="00B82F17" w:rsidP="006D6C9D">
      <w:pPr>
        <w:widowControl/>
        <w:spacing w:before="120"/>
        <w:jc w:val="both"/>
        <w:rPr>
          <w:rFonts w:cs="Times New Roman"/>
          <w:bCs/>
          <w:szCs w:val="24"/>
        </w:rPr>
      </w:pPr>
      <w:r w:rsidRPr="006D6C9D">
        <w:rPr>
          <w:rFonts w:cs="Times New Roman"/>
          <w:bCs/>
          <w:szCs w:val="24"/>
        </w:rPr>
        <w:lastRenderedPageBreak/>
        <w:t>W związku z wdrażaniem wyżej wymienionych dyrektyw UE należało doprecyzować definicję materiału szkółkarskiego CAC oraz wprowadzić definicję materiału szkółkarskiego kategorii elitarny (art. 3 ust. 1 pkt 10a i 13). Należy zaznaczyć, że określenia materiału: „przedelitarny” i „elitarny”, znajdujące się we wdrażanych dyrektywach są niepoprawnie przetłumaczone na język polski. W rozumieniu przepisów ustawy o nasiennictwie oznacza on odpow</w:t>
      </w:r>
      <w:r w:rsidR="006D6C9D" w:rsidRPr="006D6C9D">
        <w:rPr>
          <w:rFonts w:cs="Times New Roman"/>
          <w:bCs/>
          <w:szCs w:val="24"/>
        </w:rPr>
        <w:t>iednio materiał „przedbazowy” i </w:t>
      </w:r>
      <w:r w:rsidRPr="006D6C9D">
        <w:rPr>
          <w:rFonts w:cs="Times New Roman"/>
          <w:bCs/>
          <w:szCs w:val="24"/>
        </w:rPr>
        <w:t xml:space="preserve">„bazowy”, na które dzieli się kategoria materiału siewnego – materiał siewny kategorii elitarny roślin sadowniczych. </w:t>
      </w:r>
    </w:p>
    <w:p w:rsidR="00B82F17" w:rsidRPr="006D6C9D" w:rsidRDefault="00B82F17" w:rsidP="006D6C9D">
      <w:pPr>
        <w:widowControl/>
        <w:spacing w:before="120"/>
        <w:jc w:val="both"/>
        <w:rPr>
          <w:rFonts w:cs="Times New Roman"/>
          <w:bCs/>
          <w:szCs w:val="24"/>
        </w:rPr>
      </w:pPr>
      <w:r w:rsidRPr="006D6C9D">
        <w:rPr>
          <w:rFonts w:cs="Times New Roman"/>
          <w:bCs/>
          <w:szCs w:val="24"/>
        </w:rPr>
        <w:t>Przepisy dotyczące rejestracji odmian roślin sadowniczych, wytwarzania i obrotu materiałem szkółkarskim obowiązują w Polsce od początku lat 90-tych. A definicja materiału szkółkarskiego w obecnym brzmieniu istnieje od wejścia Polski do UE. Nie ma potrzeby zmiany tej definicji ponieważ powszechnie wiadomym jest, że materiał szkółkarski kategorii elitarny i kategorii kwalifikowany, a także kategorii CAC oznacza rośliny przeznaczone do produkcji owoców.</w:t>
      </w:r>
    </w:p>
    <w:p w:rsidR="00B82F17" w:rsidRPr="006D6C9D" w:rsidRDefault="00B82F17" w:rsidP="006D6C9D">
      <w:pPr>
        <w:widowControl/>
        <w:spacing w:before="120"/>
        <w:jc w:val="both"/>
        <w:rPr>
          <w:rFonts w:cs="Times New Roman"/>
          <w:szCs w:val="24"/>
        </w:rPr>
      </w:pPr>
      <w:r w:rsidRPr="006D6C9D">
        <w:rPr>
          <w:rFonts w:cs="Times New Roman"/>
          <w:szCs w:val="24"/>
        </w:rPr>
        <w:t>Konieczna była jednak zmiana definicji materiału siewnego kategori</w:t>
      </w:r>
      <w:r w:rsidR="006D6C9D" w:rsidRPr="006D6C9D">
        <w:rPr>
          <w:rFonts w:cs="Times New Roman"/>
          <w:szCs w:val="24"/>
        </w:rPr>
        <w:t>i elitarny w </w:t>
      </w:r>
      <w:r w:rsidRPr="006D6C9D">
        <w:rPr>
          <w:rFonts w:cs="Times New Roman"/>
          <w:szCs w:val="24"/>
        </w:rPr>
        <w:t>przypadku materiału szkółkarskiego. W odróżnieniu od istniejącej definicji materiał siewny kategorii elitarny obejmuje rośliny poprzedzające materiał przedbazowy,</w:t>
      </w:r>
      <w:r w:rsidR="00933E4F" w:rsidRPr="006D6C9D">
        <w:rPr>
          <w:rFonts w:cs="Times New Roman"/>
          <w:szCs w:val="24"/>
        </w:rPr>
        <w:t xml:space="preserve"> </w:t>
      </w:r>
      <w:r w:rsidR="006D6C9D" w:rsidRPr="006D6C9D">
        <w:rPr>
          <w:rFonts w:cs="Times New Roman"/>
          <w:szCs w:val="24"/>
        </w:rPr>
        <w:t>tzw. </w:t>
      </w:r>
      <w:r w:rsidRPr="006D6C9D">
        <w:rPr>
          <w:rFonts w:cs="Times New Roman"/>
          <w:szCs w:val="24"/>
        </w:rPr>
        <w:t>rośliny kandydackie.</w:t>
      </w:r>
    </w:p>
    <w:p w:rsidR="00B82F17" w:rsidRPr="006D6C9D" w:rsidRDefault="00B82F17" w:rsidP="006D6C9D">
      <w:pPr>
        <w:widowControl/>
        <w:spacing w:before="120"/>
        <w:jc w:val="both"/>
        <w:rPr>
          <w:rFonts w:cs="Times New Roman"/>
          <w:szCs w:val="24"/>
        </w:rPr>
      </w:pPr>
      <w:r w:rsidRPr="006D6C9D">
        <w:rPr>
          <w:rFonts w:cs="Times New Roman"/>
          <w:szCs w:val="24"/>
        </w:rPr>
        <w:t>Biorąc pod uwagę wdrożenie przepisów dyrektywy wykonawczej Komisji 2014/96/UE z</w:t>
      </w:r>
      <w:r w:rsidR="00933E4F" w:rsidRPr="006D6C9D">
        <w:rPr>
          <w:rFonts w:cs="Times New Roman"/>
          <w:szCs w:val="24"/>
        </w:rPr>
        <w:t xml:space="preserve"> </w:t>
      </w:r>
      <w:r w:rsidRPr="006D6C9D">
        <w:rPr>
          <w:rFonts w:cs="Times New Roman"/>
          <w:szCs w:val="24"/>
        </w:rPr>
        <w:t>dnia 15</w:t>
      </w:r>
      <w:r w:rsidR="00933E4F" w:rsidRPr="006D6C9D">
        <w:rPr>
          <w:rFonts w:cs="Times New Roman"/>
          <w:szCs w:val="24"/>
        </w:rPr>
        <w:t xml:space="preserve">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933E4F" w:rsidRPr="006D6C9D">
        <w:rPr>
          <w:rFonts w:cs="Times New Roman"/>
          <w:szCs w:val="24"/>
        </w:rPr>
        <w:t xml:space="preserve"> </w:t>
      </w:r>
      <w:r w:rsidRPr="006D6C9D">
        <w:rPr>
          <w:rFonts w:cs="Times New Roman"/>
          <w:szCs w:val="24"/>
        </w:rPr>
        <w:t>sprawie wymagań dotyczących etykietowania, plombowania i</w:t>
      </w:r>
      <w:r w:rsidR="00933E4F" w:rsidRPr="006D6C9D">
        <w:rPr>
          <w:rFonts w:cs="Times New Roman"/>
          <w:szCs w:val="24"/>
        </w:rPr>
        <w:t xml:space="preserve"> </w:t>
      </w:r>
      <w:r w:rsidRPr="006D6C9D">
        <w:rPr>
          <w:rFonts w:cs="Times New Roman"/>
          <w:szCs w:val="24"/>
        </w:rPr>
        <w:t>pakowania materiału rozmnożeniowego roślin sadowniczych oraz roślin sadowniczych przeznaczonych do produkcji owoców, który to materiał i</w:t>
      </w:r>
      <w:r w:rsidR="00933E4F" w:rsidRPr="006D6C9D">
        <w:rPr>
          <w:rFonts w:cs="Times New Roman"/>
          <w:szCs w:val="24"/>
        </w:rPr>
        <w:t xml:space="preserve"> </w:t>
      </w:r>
      <w:r w:rsidRPr="006D6C9D">
        <w:rPr>
          <w:rFonts w:cs="Times New Roman"/>
          <w:szCs w:val="24"/>
        </w:rPr>
        <w:t>rośliny są objęte zakresem dyrektywy Rady 2008/90/WE (dyrektywa 2014/96/UE), przedmiotowy projekt ustawy uzupełnia obowiązujące przepisy ustawy o</w:t>
      </w:r>
      <w:r w:rsidR="00933E4F" w:rsidRPr="006D6C9D">
        <w:rPr>
          <w:rFonts w:cs="Times New Roman"/>
          <w:szCs w:val="24"/>
        </w:rPr>
        <w:t xml:space="preserve"> </w:t>
      </w:r>
      <w:r w:rsidRPr="006D6C9D">
        <w:rPr>
          <w:rFonts w:cs="Times New Roman"/>
          <w:szCs w:val="24"/>
        </w:rPr>
        <w:t>nasiennictwie. W</w:t>
      </w:r>
      <w:r w:rsidR="00933E4F" w:rsidRPr="006D6C9D">
        <w:rPr>
          <w:rFonts w:cs="Times New Roman"/>
          <w:szCs w:val="24"/>
        </w:rPr>
        <w:t xml:space="preserve"> </w:t>
      </w:r>
      <w:r w:rsidRPr="006D6C9D">
        <w:rPr>
          <w:rFonts w:cs="Times New Roman"/>
          <w:szCs w:val="24"/>
        </w:rPr>
        <w:t>zakresie etykietowania wypis ze świadectwa oceny polowej został zastąpiony szkółkarskim dokumentem towarzyszącym (art. 103a). W</w:t>
      </w:r>
      <w:r w:rsidR="00933E4F" w:rsidRPr="006D6C9D">
        <w:rPr>
          <w:rFonts w:cs="Times New Roman"/>
          <w:szCs w:val="24"/>
        </w:rPr>
        <w:t xml:space="preserve"> </w:t>
      </w:r>
      <w:r w:rsidRPr="006D6C9D">
        <w:rPr>
          <w:rFonts w:cs="Times New Roman"/>
          <w:szCs w:val="24"/>
        </w:rPr>
        <w:t>odróżnieniu od obowiązujących przepisów zostały również dodane przepisy dotyczące tworzenia partii oraz plombowania materiału szkółkarskiego kategorii elitarny i</w:t>
      </w:r>
      <w:r w:rsidR="00933E4F" w:rsidRPr="006D6C9D">
        <w:rPr>
          <w:rFonts w:cs="Times New Roman"/>
          <w:szCs w:val="24"/>
        </w:rPr>
        <w:t xml:space="preserve"> </w:t>
      </w:r>
      <w:r w:rsidRPr="006D6C9D">
        <w:rPr>
          <w:rFonts w:cs="Times New Roman"/>
          <w:szCs w:val="24"/>
        </w:rPr>
        <w:t>kwalifikowany (art. 103). Uzupełnione zostały również informacje wymagane na szkółkarskim dokumencie dostawcy dla materiału szkółkarskiego CAC (art. 103b</w:t>
      </w:r>
      <w:r w:rsidR="006D6C9D" w:rsidRPr="006D6C9D">
        <w:rPr>
          <w:rFonts w:cs="Times New Roman"/>
          <w:szCs w:val="24"/>
        </w:rPr>
        <w:t>). Przepisy wykonawcze ustawy o </w:t>
      </w:r>
      <w:r w:rsidRPr="006D6C9D">
        <w:rPr>
          <w:rFonts w:cs="Times New Roman"/>
          <w:szCs w:val="24"/>
        </w:rPr>
        <w:t xml:space="preserve">nasiennictwie dotyczące etykietowania materiału siewnego nie określają wzoru etykiety, zawierają natomiast wymagania odnośnie </w:t>
      </w:r>
      <w:r w:rsidR="00132D89">
        <w:rPr>
          <w:rFonts w:cs="Times New Roman"/>
          <w:szCs w:val="24"/>
        </w:rPr>
        <w:t xml:space="preserve">do </w:t>
      </w:r>
      <w:r w:rsidRPr="006D6C9D">
        <w:rPr>
          <w:rFonts w:cs="Times New Roman"/>
          <w:szCs w:val="24"/>
        </w:rPr>
        <w:t xml:space="preserve">kształtu, wymiarów i koloru </w:t>
      </w:r>
      <w:r w:rsidRPr="006D6C9D">
        <w:rPr>
          <w:rFonts w:cs="Times New Roman"/>
          <w:szCs w:val="24"/>
        </w:rPr>
        <w:lastRenderedPageBreak/>
        <w:t xml:space="preserve">etykiety oraz informacje, które mają być zamieszczone na etykiecie, a także informacje, które mają być zamieszczone na szkółkarskim dokumencie towarzyszącym oraz szkółkarskim dokumencie dostawcy. W odróżnieniu od obowiązujących przepisów nowym dokumentem jest szkółkarski dokument towarzyszący, a wszystkie przepisy dotyczące tego dokumentu wynikają z konieczności wdrożenia przepisów dyrektywy 2014/96/UE. I tak np. dyrektywa ta wskazuje, że szkółkarski dokument dostawcy ma różnić się od etykiety i szkółkarskiego dokumentu towarzyszącego, ale nie określa na czym ta różnica ma polegać. </w:t>
      </w:r>
    </w:p>
    <w:p w:rsidR="00B82F17" w:rsidRPr="006D6C9D" w:rsidRDefault="00B82F17" w:rsidP="006D6C9D">
      <w:pPr>
        <w:widowControl/>
        <w:spacing w:before="120"/>
        <w:jc w:val="both"/>
        <w:rPr>
          <w:rFonts w:cs="Times New Roman"/>
          <w:szCs w:val="24"/>
        </w:rPr>
      </w:pPr>
      <w:r w:rsidRPr="006D6C9D">
        <w:rPr>
          <w:rFonts w:cs="Times New Roman"/>
          <w:szCs w:val="24"/>
        </w:rPr>
        <w:t>Przepisy wdrażanej dyrektywy 2014/96/UE zawierają przepis mówiący o tym, że dostawca</w:t>
      </w:r>
      <w:r w:rsidR="00933E4F" w:rsidRPr="006D6C9D">
        <w:rPr>
          <w:rFonts w:cs="Times New Roman"/>
          <w:szCs w:val="24"/>
        </w:rPr>
        <w:t xml:space="preserve"> </w:t>
      </w:r>
      <w:r w:rsidRPr="006D6C9D">
        <w:rPr>
          <w:rFonts w:cs="Times New Roman"/>
          <w:szCs w:val="24"/>
        </w:rPr>
        <w:t>sporządza dokument towarzyszący pod urzędowym nadzorem. Przepis ten nie został zaimplementowany wprost poniewa</w:t>
      </w:r>
      <w:r w:rsidR="006D6C9D" w:rsidRPr="006D6C9D">
        <w:rPr>
          <w:rFonts w:cs="Times New Roman"/>
          <w:szCs w:val="24"/>
        </w:rPr>
        <w:t>ż zgodnie z przepisami ustawy o </w:t>
      </w:r>
      <w:r w:rsidRPr="006D6C9D">
        <w:rPr>
          <w:rFonts w:cs="Times New Roman"/>
          <w:szCs w:val="24"/>
        </w:rPr>
        <w:t xml:space="preserve">nasiennictwie cała działalność dostawcy (w tym sporządzanie dokumentu towarzyszącego) wpisanego do ewidencji dostawców odbywa się pod nadzorem Państwowej Inspekcji Ochrony Roślin i Nasiennictwa (PIORiN), która jest zobowiązana do kontroli dostawców w zakresie wykonywania przepisów ustawy </w:t>
      </w:r>
      <w:r w:rsidR="006D6C9D" w:rsidRPr="006D6C9D">
        <w:rPr>
          <w:rFonts w:cs="Times New Roman"/>
          <w:szCs w:val="24"/>
        </w:rPr>
        <w:t>o </w:t>
      </w:r>
      <w:r w:rsidRPr="006D6C9D">
        <w:rPr>
          <w:rFonts w:cs="Times New Roman"/>
          <w:szCs w:val="24"/>
        </w:rPr>
        <w:t xml:space="preserve">nasiennictwie. Zgodnie z przepisami przedmiotowego projektu ustawy etykieta, szkółkarski dokument towarzyszący i szkółkarski dokument dostawcy </w:t>
      </w:r>
      <w:r w:rsidR="002D24A9" w:rsidRPr="006D6C9D">
        <w:rPr>
          <w:rFonts w:cs="Times New Roman"/>
          <w:szCs w:val="24"/>
        </w:rPr>
        <w:t xml:space="preserve">są </w:t>
      </w:r>
      <w:r w:rsidRPr="006D6C9D">
        <w:rPr>
          <w:rFonts w:cs="Times New Roman"/>
          <w:szCs w:val="24"/>
        </w:rPr>
        <w:t>wydawan</w:t>
      </w:r>
      <w:r w:rsidR="006D6C9D" w:rsidRPr="006D6C9D">
        <w:rPr>
          <w:rFonts w:cs="Times New Roman"/>
          <w:szCs w:val="24"/>
        </w:rPr>
        <w:t>e w </w:t>
      </w:r>
      <w:r w:rsidRPr="006D6C9D">
        <w:rPr>
          <w:rFonts w:cs="Times New Roman"/>
          <w:szCs w:val="24"/>
        </w:rPr>
        <w:t>języku polskim</w:t>
      </w:r>
      <w:r w:rsidR="00EF65EC">
        <w:rPr>
          <w:rFonts w:cs="Times New Roman"/>
          <w:szCs w:val="24"/>
        </w:rPr>
        <w:t>,</w:t>
      </w:r>
      <w:r w:rsidRPr="006D6C9D">
        <w:rPr>
          <w:rFonts w:cs="Times New Roman"/>
          <w:szCs w:val="24"/>
        </w:rPr>
        <w:t xml:space="preserve"> ponieważ dotyczą terytorium Rzeczypospolitej Polskiej i jest to zgodne z </w:t>
      </w:r>
      <w:r w:rsidR="002D24A9">
        <w:rPr>
          <w:rFonts w:cs="Times New Roman"/>
          <w:szCs w:val="24"/>
        </w:rPr>
        <w:t xml:space="preserve">przepisami art. 4, art. 5 i art. 7 </w:t>
      </w:r>
      <w:r w:rsidRPr="006D6C9D">
        <w:rPr>
          <w:rFonts w:cs="Times New Roman"/>
          <w:szCs w:val="24"/>
        </w:rPr>
        <w:t>ustaw</w:t>
      </w:r>
      <w:r w:rsidR="002D24A9">
        <w:rPr>
          <w:rFonts w:cs="Times New Roman"/>
          <w:szCs w:val="24"/>
        </w:rPr>
        <w:t>y</w:t>
      </w:r>
      <w:r w:rsidRPr="006D6C9D">
        <w:rPr>
          <w:rFonts w:cs="Times New Roman"/>
          <w:szCs w:val="24"/>
        </w:rPr>
        <w:t xml:space="preserve"> z dnia 7 października 1999 r. o języku polskim (</w:t>
      </w:r>
      <w:r w:rsidR="006D6C9D" w:rsidRPr="006D6C9D">
        <w:rPr>
          <w:rFonts w:cs="Times New Roman"/>
          <w:szCs w:val="24"/>
        </w:rPr>
        <w:t>Dz. U. z </w:t>
      </w:r>
      <w:r w:rsidRPr="006D6C9D">
        <w:rPr>
          <w:rFonts w:cs="Times New Roman"/>
          <w:szCs w:val="24"/>
        </w:rPr>
        <w:t>2011 r. poz. 224</w:t>
      </w:r>
      <w:r w:rsidR="002D24A9">
        <w:rPr>
          <w:rFonts w:cs="Times New Roman"/>
          <w:szCs w:val="24"/>
        </w:rPr>
        <w:t>, z późn. zm.</w:t>
      </w:r>
      <w:r w:rsidRPr="006D6C9D">
        <w:rPr>
          <w:rFonts w:cs="Times New Roman"/>
          <w:szCs w:val="24"/>
        </w:rPr>
        <w:t>). W konsekwencji wprowadzenia przepisów dotyczących etykiet i</w:t>
      </w:r>
      <w:r w:rsidR="006D6C9D" w:rsidRPr="006D6C9D">
        <w:rPr>
          <w:rFonts w:cs="Times New Roman"/>
          <w:szCs w:val="24"/>
        </w:rPr>
        <w:t> </w:t>
      </w:r>
      <w:r w:rsidRPr="006D6C9D">
        <w:rPr>
          <w:rFonts w:cs="Times New Roman"/>
          <w:szCs w:val="24"/>
        </w:rPr>
        <w:t>dokumentów dla materiału szkółkarskiego kategorii elitarny i</w:t>
      </w:r>
      <w:r w:rsidR="00933E4F" w:rsidRPr="006D6C9D">
        <w:rPr>
          <w:rFonts w:cs="Times New Roman"/>
          <w:szCs w:val="24"/>
        </w:rPr>
        <w:t xml:space="preserve"> </w:t>
      </w:r>
      <w:r w:rsidRPr="006D6C9D">
        <w:rPr>
          <w:rFonts w:cs="Times New Roman"/>
          <w:szCs w:val="24"/>
        </w:rPr>
        <w:t>kwalifikowany oraz materiału szkółkarskiego CAC, przepisy dotyczące dokumentu dostawcy zawarte w</w:t>
      </w:r>
      <w:r w:rsidR="006D6C9D" w:rsidRPr="006D6C9D">
        <w:rPr>
          <w:rFonts w:cs="Times New Roman"/>
          <w:szCs w:val="24"/>
        </w:rPr>
        <w:t> </w:t>
      </w:r>
      <w:r w:rsidRPr="006D6C9D">
        <w:rPr>
          <w:rFonts w:cs="Times New Roman"/>
          <w:szCs w:val="24"/>
        </w:rPr>
        <w:t>ustawie o</w:t>
      </w:r>
      <w:r w:rsidR="00933E4F" w:rsidRPr="006D6C9D">
        <w:rPr>
          <w:rFonts w:cs="Times New Roman"/>
          <w:szCs w:val="24"/>
        </w:rPr>
        <w:t xml:space="preserve"> </w:t>
      </w:r>
      <w:r w:rsidRPr="006D6C9D">
        <w:rPr>
          <w:rFonts w:cs="Times New Roman"/>
          <w:szCs w:val="24"/>
        </w:rPr>
        <w:t>nasiennictwie zostały ograniczone wyłącznie do materiału rozmnożeniowego i</w:t>
      </w:r>
      <w:r w:rsidR="00933E4F" w:rsidRPr="006D6C9D">
        <w:rPr>
          <w:rFonts w:cs="Times New Roman"/>
          <w:szCs w:val="24"/>
        </w:rPr>
        <w:t xml:space="preserve"> </w:t>
      </w:r>
      <w:r w:rsidRPr="006D6C9D">
        <w:rPr>
          <w:rFonts w:cs="Times New Roman"/>
          <w:szCs w:val="24"/>
        </w:rPr>
        <w:t>nasadzeniowego roślin warzywnych i</w:t>
      </w:r>
      <w:r w:rsidR="00933E4F" w:rsidRPr="006D6C9D">
        <w:rPr>
          <w:rFonts w:cs="Times New Roman"/>
          <w:szCs w:val="24"/>
        </w:rPr>
        <w:t xml:space="preserve"> </w:t>
      </w:r>
      <w:r w:rsidRPr="006D6C9D">
        <w:rPr>
          <w:rFonts w:cs="Times New Roman"/>
          <w:szCs w:val="24"/>
        </w:rPr>
        <w:t>ozdobnych (art. 102).</w:t>
      </w:r>
    </w:p>
    <w:p w:rsidR="00B82F17" w:rsidRPr="006D6C9D" w:rsidRDefault="00B82F17" w:rsidP="006D6C9D">
      <w:pPr>
        <w:widowControl/>
        <w:spacing w:before="120"/>
        <w:jc w:val="both"/>
        <w:rPr>
          <w:rFonts w:cs="Times New Roman"/>
          <w:szCs w:val="24"/>
        </w:rPr>
      </w:pPr>
      <w:r w:rsidRPr="006D6C9D">
        <w:rPr>
          <w:rFonts w:cs="Times New Roman"/>
          <w:szCs w:val="24"/>
        </w:rPr>
        <w:t>Przy implementacji przepisów dyrektywy wykonawczej Komisji 2014/97/UE z</w:t>
      </w:r>
      <w:r w:rsidR="00933E4F" w:rsidRPr="006D6C9D">
        <w:rPr>
          <w:rFonts w:cs="Times New Roman"/>
          <w:szCs w:val="24"/>
        </w:rPr>
        <w:t xml:space="preserve"> </w:t>
      </w:r>
      <w:r w:rsidRPr="006D6C9D">
        <w:rPr>
          <w:rFonts w:cs="Times New Roman"/>
          <w:szCs w:val="24"/>
        </w:rPr>
        <w:t>dnia 15</w:t>
      </w:r>
      <w:r w:rsidR="006D6C9D" w:rsidRPr="006D6C9D">
        <w:rPr>
          <w:rFonts w:cs="Times New Roman"/>
          <w:szCs w:val="24"/>
        </w:rPr>
        <w:t>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933E4F" w:rsidRPr="006D6C9D">
        <w:rPr>
          <w:rFonts w:cs="Times New Roman"/>
          <w:szCs w:val="24"/>
        </w:rPr>
        <w:t xml:space="preserve"> </w:t>
      </w:r>
      <w:r w:rsidRPr="006D6C9D">
        <w:rPr>
          <w:rFonts w:cs="Times New Roman"/>
          <w:szCs w:val="24"/>
        </w:rPr>
        <w:t>sprawie wykonania dyrektywy Rady 2008/90/WE w</w:t>
      </w:r>
      <w:r w:rsidR="006D6C9D" w:rsidRPr="006D6C9D">
        <w:rPr>
          <w:rFonts w:cs="Times New Roman"/>
          <w:szCs w:val="24"/>
        </w:rPr>
        <w:t> </w:t>
      </w:r>
      <w:r w:rsidRPr="006D6C9D">
        <w:rPr>
          <w:rFonts w:cs="Times New Roman"/>
          <w:szCs w:val="24"/>
        </w:rPr>
        <w:t>odniesieniu do rejestracji dostawców i</w:t>
      </w:r>
      <w:r w:rsidR="00933E4F" w:rsidRPr="006D6C9D">
        <w:rPr>
          <w:rFonts w:cs="Times New Roman"/>
          <w:szCs w:val="24"/>
        </w:rPr>
        <w:t xml:space="preserve"> </w:t>
      </w:r>
      <w:r w:rsidRPr="006D6C9D">
        <w:rPr>
          <w:rFonts w:cs="Times New Roman"/>
          <w:szCs w:val="24"/>
        </w:rPr>
        <w:t>odmian oraz w</w:t>
      </w:r>
      <w:r w:rsidR="00933E4F" w:rsidRPr="006D6C9D">
        <w:rPr>
          <w:rFonts w:cs="Times New Roman"/>
          <w:szCs w:val="24"/>
        </w:rPr>
        <w:t xml:space="preserve"> </w:t>
      </w:r>
      <w:r w:rsidRPr="006D6C9D">
        <w:rPr>
          <w:rFonts w:cs="Times New Roman"/>
          <w:szCs w:val="24"/>
        </w:rPr>
        <w:t>odniesieniu do wspólnego wykazu odmian (dyrektywa 2014/97/UE), do przepisów ustawy o</w:t>
      </w:r>
      <w:r w:rsidR="00933E4F" w:rsidRPr="006D6C9D">
        <w:rPr>
          <w:rFonts w:cs="Times New Roman"/>
          <w:szCs w:val="24"/>
        </w:rPr>
        <w:t xml:space="preserve"> </w:t>
      </w:r>
      <w:r w:rsidRPr="006D6C9D">
        <w:rPr>
          <w:rFonts w:cs="Times New Roman"/>
          <w:szCs w:val="24"/>
        </w:rPr>
        <w:t>nasiennictwie w</w:t>
      </w:r>
      <w:r w:rsidR="006D6C9D" w:rsidRPr="006D6C9D">
        <w:rPr>
          <w:rFonts w:cs="Times New Roman"/>
          <w:szCs w:val="24"/>
        </w:rPr>
        <w:t> </w:t>
      </w:r>
      <w:r w:rsidRPr="006D6C9D">
        <w:rPr>
          <w:rFonts w:cs="Times New Roman"/>
          <w:szCs w:val="24"/>
        </w:rPr>
        <w:t>zakresie informacji wymaganych przy wpisie dostawców do ewidencji podmiotów został wprowadzony przepis mówiący o</w:t>
      </w:r>
      <w:r w:rsidR="00933E4F" w:rsidRPr="006D6C9D">
        <w:rPr>
          <w:rFonts w:cs="Times New Roman"/>
          <w:szCs w:val="24"/>
        </w:rPr>
        <w:t xml:space="preserve"> </w:t>
      </w:r>
      <w:r w:rsidRPr="006D6C9D">
        <w:rPr>
          <w:rFonts w:cs="Times New Roman"/>
          <w:szCs w:val="24"/>
        </w:rPr>
        <w:t>wskazaniu przez dostawcę głównych rodzajów lub gatunków uprawnych objętych jego działalnością (art. 87 ust.</w:t>
      </w:r>
      <w:r w:rsidR="00933E4F" w:rsidRPr="006D6C9D">
        <w:rPr>
          <w:rFonts w:cs="Times New Roman"/>
          <w:szCs w:val="24"/>
        </w:rPr>
        <w:t xml:space="preserve"> </w:t>
      </w:r>
      <w:r w:rsidRPr="006D6C9D">
        <w:rPr>
          <w:rFonts w:cs="Times New Roman"/>
          <w:szCs w:val="24"/>
        </w:rPr>
        <w:t>4 pkt</w:t>
      </w:r>
      <w:r w:rsidR="00933E4F" w:rsidRPr="006D6C9D">
        <w:rPr>
          <w:rFonts w:cs="Times New Roman"/>
          <w:szCs w:val="24"/>
        </w:rPr>
        <w:t xml:space="preserve"> </w:t>
      </w:r>
      <w:r w:rsidRPr="006D6C9D">
        <w:rPr>
          <w:rFonts w:cs="Times New Roman"/>
          <w:szCs w:val="24"/>
        </w:rPr>
        <w:t>3). Nie zostały zaimplementowane wprost przepisy mówiące o</w:t>
      </w:r>
      <w:r w:rsidR="00933E4F" w:rsidRPr="006D6C9D">
        <w:rPr>
          <w:rFonts w:cs="Times New Roman"/>
          <w:szCs w:val="24"/>
        </w:rPr>
        <w:t xml:space="preserve"> </w:t>
      </w:r>
      <w:r w:rsidRPr="006D6C9D">
        <w:rPr>
          <w:rFonts w:cs="Times New Roman"/>
          <w:szCs w:val="24"/>
        </w:rPr>
        <w:t xml:space="preserve">tym, że ewidencja dostawców ma </w:t>
      </w:r>
      <w:r w:rsidRPr="006D6C9D">
        <w:rPr>
          <w:rFonts w:cs="Times New Roman"/>
          <w:szCs w:val="24"/>
        </w:rPr>
        <w:lastRenderedPageBreak/>
        <w:t>zawierać dane kontaktowe ponieważ informacje dostawcy, o których mowa w art. 87 ust. 4 ustawy o nasiennictwie, zapewniają szybki i</w:t>
      </w:r>
      <w:r w:rsidR="00933E4F" w:rsidRPr="006D6C9D">
        <w:rPr>
          <w:rFonts w:cs="Times New Roman"/>
          <w:szCs w:val="24"/>
        </w:rPr>
        <w:t xml:space="preserve"> </w:t>
      </w:r>
      <w:r w:rsidRPr="006D6C9D">
        <w:rPr>
          <w:rFonts w:cs="Times New Roman"/>
          <w:szCs w:val="24"/>
        </w:rPr>
        <w:t>właściwy kontakt z dostawcą. Natomiast w</w:t>
      </w:r>
      <w:r w:rsidR="00933E4F" w:rsidRPr="006D6C9D">
        <w:rPr>
          <w:rFonts w:cs="Times New Roman"/>
          <w:szCs w:val="24"/>
        </w:rPr>
        <w:t xml:space="preserve"> </w:t>
      </w:r>
      <w:r w:rsidRPr="006D6C9D">
        <w:rPr>
          <w:rFonts w:cs="Times New Roman"/>
          <w:szCs w:val="24"/>
        </w:rPr>
        <w:t>zakresie rejestracji odmian obowiązujące przepisy zostały uzupełnione o</w:t>
      </w:r>
      <w:r w:rsidR="006D6C9D" w:rsidRPr="006D6C9D">
        <w:rPr>
          <w:rFonts w:cs="Times New Roman"/>
          <w:szCs w:val="24"/>
        </w:rPr>
        <w:t> </w:t>
      </w:r>
      <w:r w:rsidRPr="006D6C9D">
        <w:rPr>
          <w:rFonts w:cs="Times New Roman"/>
          <w:szCs w:val="24"/>
        </w:rPr>
        <w:t>specyfikę wytwarzania materiału szkółkarskiego i wpisywanie odmian, które są powszechnie znane, wprowadzenie odmian z</w:t>
      </w:r>
      <w:r w:rsidR="00933E4F" w:rsidRPr="006D6C9D">
        <w:rPr>
          <w:rFonts w:cs="Times New Roman"/>
          <w:szCs w:val="24"/>
        </w:rPr>
        <w:t xml:space="preserve"> </w:t>
      </w:r>
      <w:r w:rsidRPr="006D6C9D">
        <w:rPr>
          <w:rFonts w:cs="Times New Roman"/>
          <w:szCs w:val="24"/>
        </w:rPr>
        <w:t xml:space="preserve">urzędowo uznanym opisem (art. 3 ust. </w:t>
      </w:r>
      <w:r w:rsidR="002D24A9">
        <w:rPr>
          <w:rFonts w:cs="Times New Roman"/>
          <w:szCs w:val="24"/>
        </w:rPr>
        <w:t>3</w:t>
      </w:r>
      <w:r w:rsidRPr="006D6C9D">
        <w:rPr>
          <w:rFonts w:cs="Times New Roman"/>
          <w:szCs w:val="24"/>
        </w:rPr>
        <w:t>, art. 7 ust.</w:t>
      </w:r>
      <w:r w:rsidR="00933E4F" w:rsidRPr="006D6C9D">
        <w:rPr>
          <w:rFonts w:cs="Times New Roman"/>
          <w:szCs w:val="24"/>
        </w:rPr>
        <w:t xml:space="preserve"> </w:t>
      </w:r>
      <w:r w:rsidRPr="006D6C9D">
        <w:rPr>
          <w:rFonts w:cs="Times New Roman"/>
          <w:szCs w:val="24"/>
        </w:rPr>
        <w:t>1 pkt</w:t>
      </w:r>
      <w:r w:rsidR="00933E4F" w:rsidRPr="006D6C9D">
        <w:rPr>
          <w:rFonts w:cs="Times New Roman"/>
          <w:szCs w:val="24"/>
        </w:rPr>
        <w:t xml:space="preserve"> </w:t>
      </w:r>
      <w:r w:rsidRPr="006D6C9D">
        <w:rPr>
          <w:rFonts w:cs="Times New Roman"/>
          <w:szCs w:val="24"/>
        </w:rPr>
        <w:t>3 i</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19 ust.</w:t>
      </w:r>
      <w:r w:rsidR="00933E4F" w:rsidRPr="006D6C9D">
        <w:rPr>
          <w:rFonts w:cs="Times New Roman"/>
          <w:szCs w:val="24"/>
        </w:rPr>
        <w:t xml:space="preserve"> </w:t>
      </w:r>
      <w:r w:rsidRPr="006D6C9D">
        <w:rPr>
          <w:rFonts w:cs="Times New Roman"/>
          <w:szCs w:val="24"/>
        </w:rPr>
        <w:t xml:space="preserve">4). Odmiany wpisywane na sadowniczą listę B uznaje się za odmiany z urzędowo uznanym opisem, ponieważ badanie takich odmian nie odbywa się w Centralnym Ośrodku Badania Odmian Roślin Uprawnych (COBORU). COBORU jako urząd odpowiedzialny za rejestrację odmian sprawdza jedynie czy opis takiej odmiany </w:t>
      </w:r>
      <w:r w:rsidR="002D24A9">
        <w:rPr>
          <w:rFonts w:cs="Times New Roman"/>
          <w:szCs w:val="24"/>
        </w:rPr>
        <w:t xml:space="preserve">jest </w:t>
      </w:r>
      <w:r w:rsidRPr="006D6C9D">
        <w:rPr>
          <w:rFonts w:cs="Times New Roman"/>
          <w:szCs w:val="24"/>
        </w:rPr>
        <w:t xml:space="preserve">sporządzony </w:t>
      </w:r>
      <w:r w:rsidR="002D24A9">
        <w:rPr>
          <w:rFonts w:cs="Times New Roman"/>
          <w:szCs w:val="24"/>
        </w:rPr>
        <w:t>w oparciu</w:t>
      </w:r>
      <w:r w:rsidRPr="006D6C9D">
        <w:rPr>
          <w:rFonts w:cs="Times New Roman"/>
          <w:szCs w:val="24"/>
        </w:rPr>
        <w:t xml:space="preserve"> o rozporządzeni</w:t>
      </w:r>
      <w:r w:rsidR="002D24A9">
        <w:rPr>
          <w:rFonts w:cs="Times New Roman"/>
          <w:szCs w:val="24"/>
        </w:rPr>
        <w:t>e</w:t>
      </w:r>
      <w:r w:rsidRPr="006D6C9D">
        <w:rPr>
          <w:rFonts w:cs="Times New Roman"/>
          <w:szCs w:val="24"/>
        </w:rPr>
        <w:t xml:space="preserve"> wydane na podstawie art. 13 ust. 8. Jest to rozróżnienie wprowadzone dla odmian, które są badane przez COBORU i wpisywane na sadowniczą listę A jako odmiany z urzędowym opisem (art. 19 ust. 1).</w:t>
      </w:r>
    </w:p>
    <w:p w:rsidR="00B82F17" w:rsidRPr="006D6C9D" w:rsidRDefault="00B82F17" w:rsidP="006D6C9D">
      <w:pPr>
        <w:widowControl/>
        <w:spacing w:before="120"/>
        <w:jc w:val="both"/>
        <w:rPr>
          <w:rFonts w:cs="Times New Roman"/>
          <w:szCs w:val="24"/>
          <w:highlight w:val="yellow"/>
        </w:rPr>
      </w:pPr>
      <w:r w:rsidRPr="006D6C9D">
        <w:rPr>
          <w:rFonts w:cs="Times New Roman"/>
          <w:szCs w:val="24"/>
        </w:rPr>
        <w:t>W odróżnieniu od przepisów ustawy o nasiennictwie zostały wprowadzone odpowiednio zmiany w odniesieniu do okr</w:t>
      </w:r>
      <w:r w:rsidR="006D6C9D" w:rsidRPr="006D6C9D">
        <w:rPr>
          <w:rFonts w:cs="Times New Roman"/>
          <w:szCs w:val="24"/>
        </w:rPr>
        <w:t>esu wpisu odmian sadowniczych i </w:t>
      </w:r>
      <w:r w:rsidRPr="006D6C9D">
        <w:rPr>
          <w:rFonts w:cs="Times New Roman"/>
          <w:szCs w:val="24"/>
        </w:rPr>
        <w:t>przedłużenia ich wpisu w krajowym rejestrze z „30 lat” na „</w:t>
      </w:r>
      <w:r w:rsidR="002D24A9">
        <w:rPr>
          <w:rFonts w:cs="Times New Roman"/>
          <w:szCs w:val="24"/>
        </w:rPr>
        <w:t xml:space="preserve">nie dłuższy niż </w:t>
      </w:r>
      <w:r w:rsidRPr="006D6C9D">
        <w:rPr>
          <w:rFonts w:cs="Times New Roman"/>
          <w:szCs w:val="24"/>
        </w:rPr>
        <w:t xml:space="preserve">30 </w:t>
      </w:r>
      <w:r w:rsidR="006D6C9D" w:rsidRPr="006D6C9D">
        <w:rPr>
          <w:rFonts w:cs="Times New Roman"/>
          <w:szCs w:val="24"/>
        </w:rPr>
        <w:t>lat” (art. 20 ust. 1 i </w:t>
      </w:r>
      <w:r w:rsidRPr="006D6C9D">
        <w:rPr>
          <w:rFonts w:cs="Times New Roman"/>
          <w:szCs w:val="24"/>
        </w:rPr>
        <w:t>2) ponieważ przepis dyrektywy 2014/97/UE stanowi, że maksymalny okres ważności wpisanej odmiany wynosi 30 lat. Przedmiotowy projekt ustawy nie przewiduje w tym zakresie przepisów przejściowych ponieważ nie toczą się żadne postępowania w tym obszarze. Zachowujący odmianę we wniosku o wpis do krajowego rejestru będzie proponował okres wpisu (w przypadku roślin sadowniczych). Podobnie w przypadku przedłużenia okresu wpisu do krajowego rejestru.</w:t>
      </w:r>
    </w:p>
    <w:p w:rsidR="00B82F17" w:rsidRPr="006D6C9D" w:rsidRDefault="00B82F17" w:rsidP="006D6C9D">
      <w:pPr>
        <w:widowControl/>
        <w:spacing w:before="120"/>
        <w:jc w:val="both"/>
        <w:rPr>
          <w:rFonts w:cs="Times New Roman"/>
          <w:szCs w:val="24"/>
        </w:rPr>
      </w:pPr>
      <w:r w:rsidRPr="006D6C9D">
        <w:rPr>
          <w:rFonts w:cs="Times New Roman"/>
          <w:szCs w:val="24"/>
        </w:rPr>
        <w:t xml:space="preserve">Przepisy dyrektywy 2014/97/UE nie uwzględniły sytuacji, że niektóre państwa członkowskie tak jak Polska posiadały system rejestracji odmian roślin sadowniczych przed ustanowieniem przepisów na poziomie UE. Dlatego też określenie odmiany powszechnie znanej musi uwzględniać również odmiany skreślone z krajowego rejestru. </w:t>
      </w:r>
    </w:p>
    <w:p w:rsidR="00B82F17" w:rsidRPr="006D6C9D" w:rsidRDefault="00B82F17" w:rsidP="006D6C9D">
      <w:pPr>
        <w:widowControl/>
        <w:spacing w:before="120"/>
        <w:jc w:val="both"/>
        <w:rPr>
          <w:rFonts w:cs="Times New Roman"/>
          <w:szCs w:val="24"/>
        </w:rPr>
      </w:pPr>
      <w:r w:rsidRPr="006D6C9D">
        <w:rPr>
          <w:rFonts w:cs="Times New Roman"/>
          <w:szCs w:val="24"/>
        </w:rPr>
        <w:t xml:space="preserve">Przedmiotowy projekt nie implementuje wprost przepisów 2014/97/UE </w:t>
      </w:r>
      <w:r w:rsidR="006D6C9D" w:rsidRPr="006D6C9D">
        <w:rPr>
          <w:rFonts w:cs="Times New Roman"/>
          <w:szCs w:val="24"/>
        </w:rPr>
        <w:t>mówiących o </w:t>
      </w:r>
      <w:r w:rsidRPr="006D6C9D">
        <w:rPr>
          <w:rFonts w:cs="Times New Roman"/>
          <w:szCs w:val="24"/>
        </w:rPr>
        <w:t>prowadzeniu, aktualizacji i publikacji rejestru. COBORU od początku istnienia rejestru, tj. od lat pięćdziesiątych, prowadzi krajowy</w:t>
      </w:r>
      <w:r w:rsidR="006D6C9D" w:rsidRPr="006D6C9D">
        <w:rPr>
          <w:rFonts w:cs="Times New Roman"/>
          <w:szCs w:val="24"/>
        </w:rPr>
        <w:t xml:space="preserve"> rejestr odmian, publikuje go i </w:t>
      </w:r>
      <w:r w:rsidRPr="006D6C9D">
        <w:rPr>
          <w:rFonts w:cs="Times New Roman"/>
          <w:szCs w:val="24"/>
        </w:rPr>
        <w:t>aktualizuje, ponieważ inaczej taki rejestr byłby bezużyteczny.</w:t>
      </w:r>
    </w:p>
    <w:p w:rsidR="00B82F17" w:rsidRPr="006D6C9D" w:rsidRDefault="00B82F17" w:rsidP="006D6C9D">
      <w:pPr>
        <w:widowControl/>
        <w:spacing w:before="120"/>
        <w:jc w:val="both"/>
        <w:rPr>
          <w:rFonts w:cs="Times New Roman"/>
          <w:szCs w:val="24"/>
        </w:rPr>
      </w:pPr>
      <w:r w:rsidRPr="006D6C9D">
        <w:rPr>
          <w:rFonts w:cs="Times New Roman"/>
          <w:szCs w:val="24"/>
        </w:rPr>
        <w:t>Biorąc pod uwagę wdrożenie przepisów dyrektywy wykonawczej Komisji 2014/98/UE z</w:t>
      </w:r>
      <w:r w:rsidR="00933E4F" w:rsidRPr="006D6C9D">
        <w:rPr>
          <w:rFonts w:cs="Times New Roman"/>
          <w:szCs w:val="24"/>
        </w:rPr>
        <w:t xml:space="preserve"> </w:t>
      </w:r>
      <w:r w:rsidRPr="006D6C9D">
        <w:rPr>
          <w:rFonts w:cs="Times New Roman"/>
          <w:szCs w:val="24"/>
        </w:rPr>
        <w:t>dnia 15</w:t>
      </w:r>
      <w:r w:rsidR="00933E4F" w:rsidRPr="006D6C9D">
        <w:rPr>
          <w:rFonts w:cs="Times New Roman"/>
          <w:szCs w:val="24"/>
        </w:rPr>
        <w:t xml:space="preserve"> </w:t>
      </w:r>
      <w:r w:rsidRPr="006D6C9D">
        <w:rPr>
          <w:rFonts w:cs="Times New Roman"/>
          <w:szCs w:val="24"/>
        </w:rPr>
        <w:t>października 2014</w:t>
      </w:r>
      <w:r w:rsidR="00933E4F" w:rsidRPr="006D6C9D">
        <w:rPr>
          <w:rFonts w:cs="Times New Roman"/>
          <w:szCs w:val="24"/>
        </w:rPr>
        <w:t xml:space="preserve"> </w:t>
      </w:r>
      <w:r w:rsidRPr="006D6C9D">
        <w:rPr>
          <w:rFonts w:cs="Times New Roman"/>
          <w:szCs w:val="24"/>
        </w:rPr>
        <w:t>r. w</w:t>
      </w:r>
      <w:r w:rsidR="00933E4F" w:rsidRPr="006D6C9D">
        <w:rPr>
          <w:rFonts w:cs="Times New Roman"/>
          <w:szCs w:val="24"/>
        </w:rPr>
        <w:t xml:space="preserve"> </w:t>
      </w:r>
      <w:r w:rsidRPr="006D6C9D">
        <w:rPr>
          <w:rFonts w:cs="Times New Roman"/>
          <w:szCs w:val="24"/>
        </w:rPr>
        <w:t xml:space="preserve">sprawie wykonania dyrektywy Rady 2008/90/WE </w:t>
      </w:r>
      <w:r w:rsidRPr="006D6C9D">
        <w:rPr>
          <w:rFonts w:cs="Times New Roman"/>
          <w:szCs w:val="24"/>
        </w:rPr>
        <w:lastRenderedPageBreak/>
        <w:t>w</w:t>
      </w:r>
      <w:r w:rsidR="006D6C9D" w:rsidRPr="006D6C9D">
        <w:rPr>
          <w:rFonts w:cs="Times New Roman"/>
          <w:szCs w:val="24"/>
        </w:rPr>
        <w:t> </w:t>
      </w:r>
      <w:r w:rsidRPr="006D6C9D">
        <w:rPr>
          <w:rFonts w:cs="Times New Roman"/>
          <w:szCs w:val="24"/>
        </w:rPr>
        <w:t>odniesieniu do szczegółowych wymogów dotyczących rodzajów i</w:t>
      </w:r>
      <w:r w:rsidR="00933E4F" w:rsidRPr="006D6C9D">
        <w:rPr>
          <w:rFonts w:cs="Times New Roman"/>
          <w:szCs w:val="24"/>
        </w:rPr>
        <w:t xml:space="preserve"> </w:t>
      </w:r>
      <w:r w:rsidRPr="006D6C9D">
        <w:rPr>
          <w:rFonts w:cs="Times New Roman"/>
          <w:szCs w:val="24"/>
        </w:rPr>
        <w:t>gatunków roślin sadowniczych, o</w:t>
      </w:r>
      <w:r w:rsidR="00933E4F" w:rsidRPr="006D6C9D">
        <w:rPr>
          <w:rFonts w:cs="Times New Roman"/>
          <w:szCs w:val="24"/>
        </w:rPr>
        <w:t xml:space="preserve"> </w:t>
      </w:r>
      <w:r w:rsidRPr="006D6C9D">
        <w:rPr>
          <w:rFonts w:cs="Times New Roman"/>
          <w:szCs w:val="24"/>
        </w:rPr>
        <w:t>których mowa w</w:t>
      </w:r>
      <w:r w:rsidR="00933E4F" w:rsidRPr="006D6C9D">
        <w:rPr>
          <w:rFonts w:cs="Times New Roman"/>
          <w:szCs w:val="24"/>
        </w:rPr>
        <w:t xml:space="preserve"> </w:t>
      </w:r>
      <w:r w:rsidRPr="006D6C9D">
        <w:rPr>
          <w:rFonts w:cs="Times New Roman"/>
          <w:szCs w:val="24"/>
        </w:rPr>
        <w:t>załączniku I</w:t>
      </w:r>
      <w:r w:rsidR="00933E4F" w:rsidRPr="006D6C9D">
        <w:rPr>
          <w:rFonts w:cs="Times New Roman"/>
          <w:szCs w:val="24"/>
        </w:rPr>
        <w:t xml:space="preserve"> </w:t>
      </w:r>
      <w:r w:rsidRPr="006D6C9D">
        <w:rPr>
          <w:rFonts w:cs="Times New Roman"/>
          <w:szCs w:val="24"/>
        </w:rPr>
        <w:t>do tej dyrektywy, szczegółowych wymogów wobec dostawców oraz szczegółowych zasad dotyczących inspekcji urzędowych (dyrektywa 2014/98/UE), przepisy ustawy o</w:t>
      </w:r>
      <w:r w:rsidR="00933E4F" w:rsidRPr="006D6C9D">
        <w:rPr>
          <w:rFonts w:cs="Times New Roman"/>
          <w:szCs w:val="24"/>
        </w:rPr>
        <w:t xml:space="preserve"> </w:t>
      </w:r>
      <w:r w:rsidRPr="006D6C9D">
        <w:rPr>
          <w:rFonts w:cs="Times New Roman"/>
          <w:szCs w:val="24"/>
        </w:rPr>
        <w:t>nasiennictwie zostały uzupełnione o</w:t>
      </w:r>
      <w:r w:rsidR="00933E4F" w:rsidRPr="006D6C9D">
        <w:rPr>
          <w:rFonts w:cs="Times New Roman"/>
          <w:szCs w:val="24"/>
        </w:rPr>
        <w:t xml:space="preserve"> </w:t>
      </w:r>
      <w:r w:rsidRPr="006D6C9D">
        <w:rPr>
          <w:rFonts w:cs="Times New Roman"/>
          <w:szCs w:val="24"/>
        </w:rPr>
        <w:t xml:space="preserve">obowiązki dostawców materiału szkółkarskiego w zakresie </w:t>
      </w:r>
      <w:r w:rsidR="002D24A9">
        <w:rPr>
          <w:rFonts w:cs="Times New Roman"/>
          <w:szCs w:val="24"/>
        </w:rPr>
        <w:t xml:space="preserve">prowadzenia i </w:t>
      </w:r>
      <w:r w:rsidRPr="006D6C9D">
        <w:rPr>
          <w:rFonts w:cs="Times New Roman"/>
          <w:szCs w:val="24"/>
        </w:rPr>
        <w:t>przechowywania dokumentacji dotyczącej identyfikacji i monitorowania punktów krytycznych (art. 64 ust. 3a) oraz badania gleby i podłoża (art. 65 ust.</w:t>
      </w:r>
      <w:r w:rsidR="00933E4F" w:rsidRPr="006D6C9D">
        <w:rPr>
          <w:rFonts w:cs="Times New Roman"/>
          <w:szCs w:val="24"/>
        </w:rPr>
        <w:t xml:space="preserve"> </w:t>
      </w:r>
      <w:r w:rsidR="006D6C9D" w:rsidRPr="006D6C9D">
        <w:rPr>
          <w:rFonts w:cs="Times New Roman"/>
          <w:szCs w:val="24"/>
        </w:rPr>
        <w:t>1a). W </w:t>
      </w:r>
      <w:r w:rsidRPr="006D6C9D">
        <w:rPr>
          <w:rFonts w:cs="Times New Roman"/>
          <w:szCs w:val="24"/>
        </w:rPr>
        <w:t>konsekwencji wprowadzenia tych przepisów zostały zmienione przepisy dotyczące dostawców materiału rozmnożeniowego i nas</w:t>
      </w:r>
      <w:r w:rsidR="006D6C9D" w:rsidRPr="006D6C9D">
        <w:rPr>
          <w:rFonts w:cs="Times New Roman"/>
          <w:szCs w:val="24"/>
        </w:rPr>
        <w:t>adzeniowego roślin warzywnych i </w:t>
      </w:r>
      <w:r w:rsidRPr="006D6C9D">
        <w:rPr>
          <w:rFonts w:cs="Times New Roman"/>
          <w:szCs w:val="24"/>
        </w:rPr>
        <w:t xml:space="preserve">ozdobnych (art. 64 ust. 1 </w:t>
      </w:r>
      <w:r w:rsidR="002D24A9">
        <w:rPr>
          <w:rFonts w:cs="Times New Roman"/>
          <w:szCs w:val="24"/>
        </w:rPr>
        <w:t>pkt 1</w:t>
      </w:r>
      <w:r w:rsidRPr="006D6C9D">
        <w:rPr>
          <w:rFonts w:cs="Times New Roman"/>
          <w:szCs w:val="24"/>
        </w:rPr>
        <w:t xml:space="preserve"> i ust. 4). </w:t>
      </w:r>
    </w:p>
    <w:p w:rsidR="00B82F17" w:rsidRPr="006D6C9D" w:rsidRDefault="00B82F17" w:rsidP="006D6C9D">
      <w:pPr>
        <w:widowControl/>
        <w:spacing w:before="120"/>
        <w:jc w:val="both"/>
        <w:rPr>
          <w:rFonts w:cs="Times New Roman"/>
          <w:szCs w:val="24"/>
        </w:rPr>
      </w:pPr>
      <w:r w:rsidRPr="006D6C9D">
        <w:rPr>
          <w:rFonts w:cs="Times New Roman"/>
          <w:szCs w:val="24"/>
        </w:rPr>
        <w:t>Zmieniony został również przepis mówiący o</w:t>
      </w:r>
      <w:r w:rsidR="00933E4F" w:rsidRPr="006D6C9D">
        <w:rPr>
          <w:rFonts w:cs="Times New Roman"/>
          <w:szCs w:val="24"/>
        </w:rPr>
        <w:t xml:space="preserve"> </w:t>
      </w:r>
      <w:r w:rsidRPr="006D6C9D">
        <w:rPr>
          <w:rFonts w:cs="Times New Roman"/>
          <w:szCs w:val="24"/>
        </w:rPr>
        <w:t>tym, co uznaje się za materiał szkółkarski kategorii elitarny lub kategorii kwalifikowany oraz materiał szkółkarski CAC (art. 66 ust.</w:t>
      </w:r>
      <w:r w:rsidR="00933E4F" w:rsidRPr="006D6C9D">
        <w:rPr>
          <w:rFonts w:cs="Times New Roman"/>
          <w:szCs w:val="24"/>
        </w:rPr>
        <w:t xml:space="preserve"> </w:t>
      </w:r>
      <w:r w:rsidRPr="006D6C9D">
        <w:rPr>
          <w:rFonts w:cs="Times New Roman"/>
          <w:szCs w:val="24"/>
        </w:rPr>
        <w:t>1). W</w:t>
      </w:r>
      <w:r w:rsidR="00933E4F" w:rsidRPr="006D6C9D">
        <w:rPr>
          <w:rFonts w:cs="Times New Roman"/>
          <w:szCs w:val="24"/>
        </w:rPr>
        <w:t xml:space="preserve"> </w:t>
      </w:r>
      <w:r w:rsidRPr="006D6C9D">
        <w:rPr>
          <w:rFonts w:cs="Times New Roman"/>
          <w:szCs w:val="24"/>
        </w:rPr>
        <w:t>celu wdrożenia szczegółowych przepisów dotyczących wytwarzania i</w:t>
      </w:r>
      <w:r w:rsidR="00933E4F" w:rsidRPr="006D6C9D">
        <w:rPr>
          <w:rFonts w:cs="Times New Roman"/>
          <w:szCs w:val="24"/>
        </w:rPr>
        <w:t xml:space="preserve"> </w:t>
      </w:r>
      <w:r w:rsidRPr="006D6C9D">
        <w:rPr>
          <w:rFonts w:cs="Times New Roman"/>
          <w:szCs w:val="24"/>
        </w:rPr>
        <w:t>jakości poszczególnych kategorii materiału szkółkarskiego uzupełniony został przepis dotyczący oceny laboratoryjnej o</w:t>
      </w:r>
      <w:r w:rsidR="00933E4F" w:rsidRPr="006D6C9D">
        <w:rPr>
          <w:rFonts w:cs="Times New Roman"/>
          <w:szCs w:val="24"/>
        </w:rPr>
        <w:t xml:space="preserve"> </w:t>
      </w:r>
      <w:r w:rsidRPr="006D6C9D">
        <w:rPr>
          <w:rFonts w:cs="Times New Roman"/>
          <w:szCs w:val="24"/>
        </w:rPr>
        <w:t>badanie wymagań gleby i</w:t>
      </w:r>
      <w:r w:rsidR="00933E4F" w:rsidRPr="006D6C9D">
        <w:rPr>
          <w:rFonts w:cs="Times New Roman"/>
          <w:szCs w:val="24"/>
        </w:rPr>
        <w:t xml:space="preserve"> </w:t>
      </w:r>
      <w:r w:rsidRPr="006D6C9D">
        <w:rPr>
          <w:rFonts w:cs="Times New Roman"/>
          <w:szCs w:val="24"/>
        </w:rPr>
        <w:t>podłoża (art. 65 ust.</w:t>
      </w:r>
      <w:r w:rsidR="00933E4F" w:rsidRPr="006D6C9D">
        <w:rPr>
          <w:rFonts w:cs="Times New Roman"/>
          <w:szCs w:val="24"/>
        </w:rPr>
        <w:t xml:space="preserve"> </w:t>
      </w:r>
      <w:r w:rsidRPr="006D6C9D">
        <w:rPr>
          <w:rFonts w:cs="Times New Roman"/>
          <w:szCs w:val="24"/>
        </w:rPr>
        <w:t>1a), a</w:t>
      </w:r>
      <w:r w:rsidR="006D6C9D" w:rsidRPr="006D6C9D">
        <w:rPr>
          <w:rFonts w:cs="Times New Roman"/>
          <w:szCs w:val="24"/>
        </w:rPr>
        <w:t> </w:t>
      </w:r>
      <w:r w:rsidRPr="006D6C9D">
        <w:rPr>
          <w:rFonts w:cs="Times New Roman"/>
          <w:szCs w:val="24"/>
        </w:rPr>
        <w:t>z</w:t>
      </w:r>
      <w:r w:rsidR="006D6C9D" w:rsidRPr="006D6C9D">
        <w:rPr>
          <w:rFonts w:cs="Times New Roman"/>
          <w:szCs w:val="24"/>
        </w:rPr>
        <w:t> </w:t>
      </w:r>
      <w:r w:rsidRPr="006D6C9D">
        <w:rPr>
          <w:rFonts w:cs="Times New Roman"/>
          <w:szCs w:val="24"/>
        </w:rPr>
        <w:t>upoważnienia ustawowego do wydania rozporządzenia (art. 72, art. 115 ust. 1 pkt 2) został wyłączony materiał rozmnożeniowy i</w:t>
      </w:r>
      <w:r w:rsidR="00933E4F" w:rsidRPr="006D6C9D">
        <w:rPr>
          <w:rFonts w:cs="Times New Roman"/>
          <w:szCs w:val="24"/>
        </w:rPr>
        <w:t xml:space="preserve"> </w:t>
      </w:r>
      <w:r w:rsidRPr="006D6C9D">
        <w:rPr>
          <w:rFonts w:cs="Times New Roman"/>
          <w:szCs w:val="24"/>
        </w:rPr>
        <w:t>nasadzeniowy roślin warzywnych i</w:t>
      </w:r>
      <w:r w:rsidR="006D6C9D" w:rsidRPr="006D6C9D">
        <w:rPr>
          <w:rFonts w:cs="Times New Roman"/>
          <w:szCs w:val="24"/>
        </w:rPr>
        <w:t> </w:t>
      </w:r>
      <w:r w:rsidRPr="006D6C9D">
        <w:rPr>
          <w:rFonts w:cs="Times New Roman"/>
          <w:szCs w:val="24"/>
        </w:rPr>
        <w:t>ozdobnych. Dla materiału tego wprowadzone zostały</w:t>
      </w:r>
      <w:r w:rsidR="006D6C9D" w:rsidRPr="006D6C9D">
        <w:rPr>
          <w:rFonts w:cs="Times New Roman"/>
          <w:szCs w:val="24"/>
        </w:rPr>
        <w:t xml:space="preserve"> odrębne przepisy (art. 72a). W </w:t>
      </w:r>
      <w:r w:rsidRPr="006D6C9D">
        <w:rPr>
          <w:rFonts w:cs="Times New Roman"/>
          <w:szCs w:val="24"/>
        </w:rPr>
        <w:t>dostosowaniu do przepisów UE zmienione zostały również przepisy dotyczące podmiotu dokonującego oceny polowej, oceny laboratoryjnej, próbobrania, oceny cech zewnętrznych oraz oceny czystości tożsamości odmianowej zarówno materiału szkółkarskiego kategorii elitarny i kategorii kwalifikowany, jak też materiału szkółkarskiego CAC. W przypadku materiału szkółkarskiego kategorii eli</w:t>
      </w:r>
      <w:r w:rsidR="006D6C9D" w:rsidRPr="006D6C9D">
        <w:rPr>
          <w:rFonts w:cs="Times New Roman"/>
          <w:szCs w:val="24"/>
        </w:rPr>
        <w:t>tarny i </w:t>
      </w:r>
      <w:r w:rsidRPr="006D6C9D">
        <w:rPr>
          <w:rFonts w:cs="Times New Roman"/>
          <w:szCs w:val="24"/>
        </w:rPr>
        <w:t>kategorii kwalifikowany wyżej wymienione działania dokonuje wojewódzki inspektor ochrony roślin i nasiennictwa lub dostawca. Przepis ten dotyczy również pobierania prób gleby i podłoża, na którym wytwarzany jest materiał szkółkarski kategorii elitarny i kategorii kwalifikowany (art. 70 ust. 2a, 2b, 5, 5a</w:t>
      </w:r>
      <w:r w:rsidR="002D24A9">
        <w:rPr>
          <w:rFonts w:cs="Times New Roman"/>
          <w:szCs w:val="24"/>
        </w:rPr>
        <w:t xml:space="preserve"> i</w:t>
      </w:r>
      <w:r w:rsidRPr="006D6C9D">
        <w:rPr>
          <w:rFonts w:cs="Times New Roman"/>
          <w:szCs w:val="24"/>
        </w:rPr>
        <w:t xml:space="preserve"> 6). Konsekwencją wprowadzenia nowych przepisów dla materiału szkółkarskiego są przepisy przejściowe dla materiału szkółkarskiego, który jest wytwarzany zgodnie z</w:t>
      </w:r>
      <w:r w:rsidR="00933E4F" w:rsidRPr="006D6C9D">
        <w:rPr>
          <w:rFonts w:cs="Times New Roman"/>
          <w:szCs w:val="24"/>
        </w:rPr>
        <w:t xml:space="preserve"> </w:t>
      </w:r>
      <w:r w:rsidRPr="006D6C9D">
        <w:rPr>
          <w:rFonts w:cs="Times New Roman"/>
          <w:szCs w:val="24"/>
        </w:rPr>
        <w:t>obowiązującymi przepisami.</w:t>
      </w:r>
    </w:p>
    <w:p w:rsidR="00B82F17" w:rsidRPr="006D6C9D" w:rsidRDefault="00B82F17" w:rsidP="006D6C9D">
      <w:pPr>
        <w:widowControl/>
        <w:spacing w:before="120"/>
        <w:jc w:val="both"/>
        <w:rPr>
          <w:rFonts w:cs="Times New Roman"/>
          <w:szCs w:val="24"/>
        </w:rPr>
      </w:pPr>
      <w:r w:rsidRPr="006D6C9D">
        <w:rPr>
          <w:rFonts w:cs="Times New Roman"/>
          <w:szCs w:val="24"/>
        </w:rPr>
        <w:t>Niezależnie od wdrożenia przepisów Unii Europejskiej, na wniosek Polskiej Izby Nasiennej (PIN), zostały dodane przepisy umożliwiające rejestrację odmian gatunków roślin uprawnych tradycyjnie uprawianych, które nie są objęte przepisami Unii Europejskiej oraz wytwarzanie, ocenę i</w:t>
      </w:r>
      <w:r w:rsidR="00933E4F" w:rsidRPr="006D6C9D">
        <w:rPr>
          <w:rFonts w:cs="Times New Roman"/>
          <w:szCs w:val="24"/>
        </w:rPr>
        <w:t xml:space="preserve"> </w:t>
      </w:r>
      <w:r w:rsidRPr="006D6C9D">
        <w:rPr>
          <w:rFonts w:cs="Times New Roman"/>
          <w:szCs w:val="24"/>
        </w:rPr>
        <w:t xml:space="preserve">obrót materiałem siewnym tych odmian. Przepis </w:t>
      </w:r>
      <w:r w:rsidRPr="006D6C9D">
        <w:rPr>
          <w:rFonts w:cs="Times New Roman"/>
          <w:szCs w:val="24"/>
        </w:rPr>
        <w:lastRenderedPageBreak/>
        <w:t>ten stwarza możliwość wzrostu konkurencyjności dla polskich producentów na rynku Unii Europejskiej, a</w:t>
      </w:r>
      <w:r w:rsidR="00933E4F" w:rsidRPr="006D6C9D">
        <w:rPr>
          <w:rFonts w:cs="Times New Roman"/>
          <w:szCs w:val="24"/>
        </w:rPr>
        <w:t xml:space="preserve"> </w:t>
      </w:r>
      <w:r w:rsidRPr="006D6C9D">
        <w:rPr>
          <w:rFonts w:cs="Times New Roman"/>
          <w:szCs w:val="24"/>
        </w:rPr>
        <w:t xml:space="preserve">także poza tym rynkiem, ponieważ wiele państw członkowskich – zgodnie ze swoimi przepisami krajowymi </w:t>
      </w:r>
      <w:r w:rsidR="006D6C9D" w:rsidRPr="006D6C9D">
        <w:rPr>
          <w:rFonts w:cs="Times New Roman"/>
          <w:szCs w:val="24"/>
        </w:rPr>
        <w:t>–</w:t>
      </w:r>
      <w:r w:rsidRPr="006D6C9D">
        <w:rPr>
          <w:rFonts w:cs="Times New Roman"/>
          <w:szCs w:val="24"/>
        </w:rPr>
        <w:t xml:space="preserve"> rejestruje odmiany nieobjęte przepisami Unii Europejskiej oraz wytwarza, ocenia i</w:t>
      </w:r>
      <w:r w:rsidR="00933E4F" w:rsidRPr="006D6C9D">
        <w:rPr>
          <w:rFonts w:cs="Times New Roman"/>
          <w:szCs w:val="24"/>
        </w:rPr>
        <w:t xml:space="preserve"> </w:t>
      </w:r>
      <w:r w:rsidRPr="006D6C9D">
        <w:rPr>
          <w:rFonts w:cs="Times New Roman"/>
          <w:szCs w:val="24"/>
        </w:rPr>
        <w:t>wprowadza do obrotu materiał siewny tych odmian. I</w:t>
      </w:r>
      <w:r w:rsidR="00933E4F" w:rsidRPr="006D6C9D">
        <w:rPr>
          <w:rFonts w:cs="Times New Roman"/>
          <w:szCs w:val="24"/>
        </w:rPr>
        <w:t xml:space="preserve"> </w:t>
      </w:r>
      <w:r w:rsidRPr="006D6C9D">
        <w:rPr>
          <w:rFonts w:cs="Times New Roman"/>
          <w:szCs w:val="24"/>
        </w:rPr>
        <w:t>tak np. odmiany gryki są rejestrowane w</w:t>
      </w:r>
      <w:r w:rsidR="00933E4F" w:rsidRPr="006D6C9D">
        <w:rPr>
          <w:rFonts w:cs="Times New Roman"/>
          <w:szCs w:val="24"/>
        </w:rPr>
        <w:t xml:space="preserve"> </w:t>
      </w:r>
      <w:r w:rsidRPr="006D6C9D">
        <w:rPr>
          <w:rFonts w:cs="Times New Roman"/>
          <w:szCs w:val="24"/>
        </w:rPr>
        <w:t>Holandii, Austrii, Słowenii, Słowacji i</w:t>
      </w:r>
      <w:r w:rsidR="00933E4F" w:rsidRPr="006D6C9D">
        <w:rPr>
          <w:rFonts w:cs="Times New Roman"/>
          <w:szCs w:val="24"/>
        </w:rPr>
        <w:t xml:space="preserve"> </w:t>
      </w:r>
      <w:r w:rsidRPr="006D6C9D">
        <w:rPr>
          <w:rFonts w:cs="Times New Roman"/>
          <w:szCs w:val="24"/>
        </w:rPr>
        <w:t>Litwie. Polscy producenci będą mogli poszerzyć swoją ofertę handlową i</w:t>
      </w:r>
      <w:r w:rsidR="00933E4F" w:rsidRPr="006D6C9D">
        <w:rPr>
          <w:rFonts w:cs="Times New Roman"/>
          <w:szCs w:val="24"/>
        </w:rPr>
        <w:t xml:space="preserve"> </w:t>
      </w:r>
      <w:r w:rsidRPr="006D6C9D">
        <w:rPr>
          <w:rFonts w:cs="Times New Roman"/>
          <w:szCs w:val="24"/>
        </w:rPr>
        <w:t>konkurować z</w:t>
      </w:r>
      <w:r w:rsidR="00933E4F" w:rsidRPr="006D6C9D">
        <w:rPr>
          <w:rFonts w:cs="Times New Roman"/>
          <w:szCs w:val="24"/>
        </w:rPr>
        <w:t xml:space="preserve"> </w:t>
      </w:r>
      <w:r w:rsidRPr="006D6C9D">
        <w:rPr>
          <w:rFonts w:cs="Times New Roman"/>
          <w:szCs w:val="24"/>
        </w:rPr>
        <w:t>producentami z</w:t>
      </w:r>
      <w:r w:rsidR="00933E4F" w:rsidRPr="006D6C9D">
        <w:rPr>
          <w:rFonts w:cs="Times New Roman"/>
          <w:szCs w:val="24"/>
        </w:rPr>
        <w:t xml:space="preserve"> </w:t>
      </w:r>
      <w:r w:rsidRPr="006D6C9D">
        <w:rPr>
          <w:rFonts w:cs="Times New Roman"/>
          <w:szCs w:val="24"/>
        </w:rPr>
        <w:t>innych państw członkowskich. Ponadto polski odbiorca materiału siewnego będzie miał możliwość wyboru pomiędzy odmianowym materiałem siewnym, który daje gwarancję jakości, a</w:t>
      </w:r>
      <w:r w:rsidR="00933E4F" w:rsidRPr="006D6C9D">
        <w:rPr>
          <w:rFonts w:cs="Times New Roman"/>
          <w:szCs w:val="24"/>
        </w:rPr>
        <w:t xml:space="preserve"> </w:t>
      </w:r>
      <w:r w:rsidRPr="006D6C9D">
        <w:rPr>
          <w:rFonts w:cs="Times New Roman"/>
          <w:szCs w:val="24"/>
        </w:rPr>
        <w:t>nasionami danego gatunku (art. 1 ust.</w:t>
      </w:r>
      <w:r w:rsidR="00933E4F" w:rsidRPr="006D6C9D">
        <w:rPr>
          <w:rFonts w:cs="Times New Roman"/>
          <w:szCs w:val="24"/>
        </w:rPr>
        <w:t xml:space="preserve"> </w:t>
      </w:r>
      <w:r w:rsidRPr="006D6C9D">
        <w:rPr>
          <w:rFonts w:cs="Times New Roman"/>
          <w:szCs w:val="24"/>
        </w:rPr>
        <w:t>1 pkt 1a, art.</w:t>
      </w:r>
      <w:r w:rsidR="00933E4F" w:rsidRPr="006D6C9D">
        <w:rPr>
          <w:rFonts w:cs="Times New Roman"/>
          <w:szCs w:val="24"/>
        </w:rPr>
        <w:t xml:space="preserve"> </w:t>
      </w:r>
      <w:r w:rsidRPr="006D6C9D">
        <w:rPr>
          <w:rFonts w:cs="Times New Roman"/>
          <w:szCs w:val="24"/>
        </w:rPr>
        <w:t xml:space="preserve">6 </w:t>
      </w:r>
      <w:r w:rsidR="002D24A9">
        <w:rPr>
          <w:rFonts w:cs="Times New Roman"/>
          <w:szCs w:val="24"/>
        </w:rPr>
        <w:br/>
      </w:r>
      <w:r w:rsidRPr="006D6C9D">
        <w:rPr>
          <w:rFonts w:cs="Times New Roman"/>
          <w:szCs w:val="24"/>
        </w:rPr>
        <w:t>ust.</w:t>
      </w:r>
      <w:r w:rsidR="00933E4F" w:rsidRPr="006D6C9D">
        <w:rPr>
          <w:rFonts w:cs="Times New Roman"/>
          <w:szCs w:val="24"/>
        </w:rPr>
        <w:t xml:space="preserve"> </w:t>
      </w:r>
      <w:r w:rsidRPr="006D6C9D">
        <w:rPr>
          <w:rFonts w:cs="Times New Roman"/>
          <w:szCs w:val="24"/>
        </w:rPr>
        <w:t>1</w:t>
      </w:r>
      <w:r w:rsidR="002D24A9">
        <w:rPr>
          <w:rFonts w:cs="Times New Roman"/>
          <w:szCs w:val="24"/>
        </w:rPr>
        <w:t>a</w:t>
      </w:r>
      <w:r w:rsidRPr="006D6C9D">
        <w:rPr>
          <w:rFonts w:cs="Times New Roman"/>
          <w:szCs w:val="24"/>
        </w:rPr>
        <w:t>, art. 25</w:t>
      </w:r>
      <w:r w:rsidR="002D24A9">
        <w:rPr>
          <w:rFonts w:cs="Times New Roman"/>
          <w:szCs w:val="24"/>
        </w:rPr>
        <w:t>a</w:t>
      </w:r>
      <w:r w:rsidRPr="006D6C9D">
        <w:rPr>
          <w:rFonts w:cs="Times New Roman"/>
          <w:szCs w:val="24"/>
        </w:rPr>
        <w:t>). Wprowadzenie przepisów dotyczących rejestracji odmian gatunków nieobjętych przepisami Unii Europejskiej, pomimo obciążeń związanych z</w:t>
      </w:r>
      <w:r w:rsidR="006D6C9D" w:rsidRPr="006D6C9D">
        <w:rPr>
          <w:rFonts w:cs="Times New Roman"/>
          <w:szCs w:val="24"/>
        </w:rPr>
        <w:t> </w:t>
      </w:r>
      <w:r w:rsidRPr="006D6C9D">
        <w:rPr>
          <w:rFonts w:cs="Times New Roman"/>
          <w:szCs w:val="24"/>
        </w:rPr>
        <w:t>kosztami dotyczącymi procesu rejestracji, a</w:t>
      </w:r>
      <w:r w:rsidR="00933E4F" w:rsidRPr="006D6C9D">
        <w:rPr>
          <w:rFonts w:cs="Times New Roman"/>
          <w:szCs w:val="24"/>
        </w:rPr>
        <w:t xml:space="preserve"> </w:t>
      </w:r>
      <w:r w:rsidRPr="006D6C9D">
        <w:rPr>
          <w:rFonts w:cs="Times New Roman"/>
          <w:szCs w:val="24"/>
        </w:rPr>
        <w:t>także oceny materiału siewnego dają polskim przedsiębiorcom możliwość produkcji materiału siewnego o</w:t>
      </w:r>
      <w:r w:rsidR="00933E4F" w:rsidRPr="006D6C9D">
        <w:rPr>
          <w:rFonts w:cs="Times New Roman"/>
          <w:szCs w:val="24"/>
        </w:rPr>
        <w:t xml:space="preserve"> </w:t>
      </w:r>
      <w:r w:rsidRPr="006D6C9D">
        <w:rPr>
          <w:rFonts w:cs="Times New Roman"/>
          <w:szCs w:val="24"/>
        </w:rPr>
        <w:t>dobrej jakości sprawdzonych odmian i</w:t>
      </w:r>
      <w:r w:rsidR="00933E4F" w:rsidRPr="006D6C9D">
        <w:rPr>
          <w:rFonts w:cs="Times New Roman"/>
          <w:szCs w:val="24"/>
        </w:rPr>
        <w:t xml:space="preserve"> </w:t>
      </w:r>
      <w:r w:rsidRPr="006D6C9D">
        <w:rPr>
          <w:rFonts w:cs="Times New Roman"/>
          <w:szCs w:val="24"/>
        </w:rPr>
        <w:t>wprowadzania go do obrotu na całym obszarze Unii Europejskiej, a</w:t>
      </w:r>
      <w:r w:rsidR="00933E4F" w:rsidRPr="006D6C9D">
        <w:rPr>
          <w:rFonts w:cs="Times New Roman"/>
          <w:szCs w:val="24"/>
        </w:rPr>
        <w:t xml:space="preserve"> </w:t>
      </w:r>
      <w:r w:rsidRPr="006D6C9D">
        <w:rPr>
          <w:rFonts w:cs="Times New Roman"/>
          <w:szCs w:val="24"/>
        </w:rPr>
        <w:t>także poza jej granicami. Przepisy odmian tradycyjnych mają dotyczyć wyłącznie odmian wpisanych do krajowego rejestru.</w:t>
      </w:r>
    </w:p>
    <w:p w:rsidR="00B82F17" w:rsidRPr="006D6C9D" w:rsidRDefault="00B82F17" w:rsidP="006D6C9D">
      <w:pPr>
        <w:widowControl/>
        <w:spacing w:before="120"/>
        <w:jc w:val="both"/>
        <w:rPr>
          <w:rFonts w:cs="Times New Roman"/>
          <w:szCs w:val="24"/>
        </w:rPr>
      </w:pPr>
      <w:r w:rsidRPr="006D6C9D">
        <w:rPr>
          <w:rFonts w:cs="Times New Roman"/>
          <w:szCs w:val="24"/>
        </w:rPr>
        <w:t>W celu ograniczenia kosztów firm hodowlano</w:t>
      </w:r>
      <w:r w:rsidR="006D6C9D" w:rsidRPr="006D6C9D">
        <w:rPr>
          <w:rFonts w:cs="Times New Roman"/>
          <w:szCs w:val="24"/>
        </w:rPr>
        <w:t>-</w:t>
      </w:r>
      <w:r w:rsidRPr="006D6C9D">
        <w:rPr>
          <w:rFonts w:cs="Times New Roman"/>
          <w:szCs w:val="24"/>
        </w:rPr>
        <w:t>nasiennych obowiązek uczestniczenia akredytowanych podmiotów raz na 2 lata w</w:t>
      </w:r>
      <w:r w:rsidR="00933E4F" w:rsidRPr="006D6C9D">
        <w:rPr>
          <w:rFonts w:cs="Times New Roman"/>
          <w:szCs w:val="24"/>
        </w:rPr>
        <w:t xml:space="preserve"> </w:t>
      </w:r>
      <w:r w:rsidRPr="006D6C9D">
        <w:rPr>
          <w:rFonts w:cs="Times New Roman"/>
          <w:szCs w:val="24"/>
        </w:rPr>
        <w:t>szkoleniach doskonalących został zmieniony na uczestnictwo raz na 5 lat. Ale w</w:t>
      </w:r>
      <w:r w:rsidR="00933E4F" w:rsidRPr="006D6C9D">
        <w:rPr>
          <w:rFonts w:cs="Times New Roman"/>
          <w:szCs w:val="24"/>
        </w:rPr>
        <w:t xml:space="preserve"> </w:t>
      </w:r>
      <w:r w:rsidRPr="006D6C9D">
        <w:rPr>
          <w:rFonts w:cs="Times New Roman"/>
          <w:szCs w:val="24"/>
        </w:rPr>
        <w:t>przypadku zmiany przepisów z</w:t>
      </w:r>
      <w:r w:rsidR="00933E4F" w:rsidRPr="006D6C9D">
        <w:rPr>
          <w:rFonts w:cs="Times New Roman"/>
          <w:szCs w:val="24"/>
        </w:rPr>
        <w:t xml:space="preserve"> </w:t>
      </w:r>
      <w:r w:rsidRPr="006D6C9D">
        <w:rPr>
          <w:rFonts w:cs="Times New Roman"/>
          <w:szCs w:val="24"/>
        </w:rPr>
        <w:t>zakresu nasiennictwa lub braku minimalnej liczby wykonanej oceny polowej, pobranych prób materiału siewnego i wykonanych analiz laboratoryjnych akredytowane podmioty uczestniczą w</w:t>
      </w:r>
      <w:r w:rsidR="00933E4F" w:rsidRPr="006D6C9D">
        <w:rPr>
          <w:rFonts w:cs="Times New Roman"/>
          <w:szCs w:val="24"/>
        </w:rPr>
        <w:t xml:space="preserve"> </w:t>
      </w:r>
      <w:r w:rsidRPr="006D6C9D">
        <w:rPr>
          <w:rFonts w:cs="Times New Roman"/>
          <w:szCs w:val="24"/>
        </w:rPr>
        <w:t>szkoleniach doskonalących częściej niż raz na 5 lat (art. 79 ust.</w:t>
      </w:r>
      <w:r w:rsidR="00933E4F" w:rsidRPr="006D6C9D">
        <w:rPr>
          <w:rFonts w:cs="Times New Roman"/>
          <w:szCs w:val="24"/>
        </w:rPr>
        <w:t xml:space="preserve"> </w:t>
      </w:r>
      <w:r w:rsidR="002D24A9">
        <w:rPr>
          <w:rFonts w:cs="Times New Roman"/>
          <w:szCs w:val="24"/>
        </w:rPr>
        <w:t>5</w:t>
      </w:r>
      <w:r w:rsidRPr="006D6C9D">
        <w:rPr>
          <w:rFonts w:cs="Times New Roman"/>
          <w:szCs w:val="24"/>
        </w:rPr>
        <w:t xml:space="preserve">). </w:t>
      </w:r>
    </w:p>
    <w:p w:rsidR="00B82F17" w:rsidRPr="006D6C9D" w:rsidRDefault="00B82F17" w:rsidP="006D6C9D">
      <w:pPr>
        <w:widowControl/>
        <w:tabs>
          <w:tab w:val="left" w:pos="6663"/>
        </w:tabs>
        <w:spacing w:before="120"/>
        <w:jc w:val="both"/>
        <w:rPr>
          <w:rFonts w:cs="Times New Roman"/>
          <w:szCs w:val="24"/>
        </w:rPr>
      </w:pPr>
      <w:r w:rsidRPr="006D6C9D">
        <w:rPr>
          <w:rFonts w:cs="Times New Roman"/>
          <w:szCs w:val="24"/>
        </w:rPr>
        <w:t xml:space="preserve">Przedmiotowy projekt ustawy w obszarze dotyczącym akredytacji doprecyzowuje również przepisy dotyczące kontroli akredytowanych kwalifikatorów, akredytowanych próbobiorców oraz akredytowanych laboratoriów. W art. 81 w ust. 4 wprowadzony został przepis mówiący o tym, że wojewódzki inspektor ochrony roślin i nasiennictwa, w zależności od zakresu i stopnia stwierdzonych uchybień, w drodze decyzji , może cofnąć akredytację lub nakazuje usunięcie stwierdzonych uchybień w określonym terminie lub nakazuje odbycie szkolenia doskonalącego. Termin nie jest doprecyzowany ponieważ przepis ten obejmuje zbyt różniące się od siebie rodzaje akredytacji </w:t>
      </w:r>
      <w:r w:rsidR="006D6C9D" w:rsidRPr="006D6C9D">
        <w:rPr>
          <w:rFonts w:cs="Times New Roman"/>
          <w:szCs w:val="24"/>
        </w:rPr>
        <w:t>–</w:t>
      </w:r>
      <w:r w:rsidRPr="006D6C9D">
        <w:rPr>
          <w:rFonts w:cs="Times New Roman"/>
          <w:szCs w:val="24"/>
        </w:rPr>
        <w:t xml:space="preserve"> od kwalifikatorów, przez próbobiorców i laboratoria.</w:t>
      </w:r>
    </w:p>
    <w:p w:rsidR="00B82F17" w:rsidRPr="006D6C9D" w:rsidRDefault="00B82F17" w:rsidP="006D6C9D">
      <w:pPr>
        <w:widowControl/>
        <w:spacing w:before="120"/>
        <w:jc w:val="both"/>
        <w:rPr>
          <w:rFonts w:cs="Times New Roman"/>
          <w:szCs w:val="24"/>
        </w:rPr>
      </w:pPr>
      <w:r w:rsidRPr="006D6C9D">
        <w:rPr>
          <w:rFonts w:cs="Times New Roman"/>
          <w:szCs w:val="24"/>
        </w:rPr>
        <w:lastRenderedPageBreak/>
        <w:t>Dostosowując przepisy ustawy o</w:t>
      </w:r>
      <w:r w:rsidR="00933E4F" w:rsidRPr="006D6C9D">
        <w:rPr>
          <w:rFonts w:cs="Times New Roman"/>
          <w:szCs w:val="24"/>
        </w:rPr>
        <w:t xml:space="preserve"> </w:t>
      </w:r>
      <w:r w:rsidRPr="006D6C9D">
        <w:rPr>
          <w:rFonts w:cs="Times New Roman"/>
          <w:szCs w:val="24"/>
        </w:rPr>
        <w:t>nasiennictwie do przepisów z</w:t>
      </w:r>
      <w:r w:rsidR="00933E4F" w:rsidRPr="006D6C9D">
        <w:rPr>
          <w:rFonts w:cs="Times New Roman"/>
          <w:szCs w:val="24"/>
        </w:rPr>
        <w:t xml:space="preserve"> </w:t>
      </w:r>
      <w:r w:rsidRPr="006D6C9D">
        <w:rPr>
          <w:rFonts w:cs="Times New Roman"/>
          <w:szCs w:val="24"/>
        </w:rPr>
        <w:t>zakresu nasiennictwa stosowanych przez inne państwa członkowskie, na wniosek PIN,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50 ust.</w:t>
      </w:r>
      <w:r w:rsidR="00933E4F" w:rsidRPr="006D6C9D">
        <w:rPr>
          <w:rFonts w:cs="Times New Roman"/>
          <w:szCs w:val="24"/>
        </w:rPr>
        <w:t xml:space="preserve"> </w:t>
      </w:r>
      <w:r w:rsidRPr="006D6C9D">
        <w:rPr>
          <w:rFonts w:cs="Times New Roman"/>
          <w:szCs w:val="24"/>
        </w:rPr>
        <w:t>3 i</w:t>
      </w:r>
      <w:r w:rsidR="00933E4F" w:rsidRPr="006D6C9D">
        <w:rPr>
          <w:rFonts w:cs="Times New Roman"/>
          <w:szCs w:val="24"/>
        </w:rPr>
        <w:t xml:space="preserve"> </w:t>
      </w:r>
      <w:r w:rsidRPr="006D6C9D">
        <w:rPr>
          <w:rFonts w:cs="Times New Roman"/>
          <w:szCs w:val="24"/>
        </w:rPr>
        <w:t>4</w:t>
      </w:r>
      <w:r w:rsidR="00933E4F" w:rsidRPr="006D6C9D">
        <w:rPr>
          <w:rFonts w:cs="Times New Roman"/>
          <w:szCs w:val="24"/>
        </w:rPr>
        <w:t xml:space="preserve"> </w:t>
      </w:r>
      <w:r w:rsidRPr="006D6C9D">
        <w:rPr>
          <w:rFonts w:cs="Times New Roman"/>
          <w:szCs w:val="24"/>
        </w:rPr>
        <w:t>została wprowadzona możliwość degradacji nie tylko całej partii, ale również jej części. Jednocześnie został wprowadzony warunek nadania części zdegradowanej partii nowego numeru partii, tak aby zapewnić możliwość śledzenia partii materiału siewnego w</w:t>
      </w:r>
      <w:r w:rsidR="00933E4F" w:rsidRPr="006D6C9D">
        <w:rPr>
          <w:rFonts w:cs="Times New Roman"/>
          <w:szCs w:val="24"/>
        </w:rPr>
        <w:t xml:space="preserve"> </w:t>
      </w:r>
      <w:r w:rsidRPr="006D6C9D">
        <w:rPr>
          <w:rFonts w:cs="Times New Roman"/>
          <w:szCs w:val="24"/>
        </w:rPr>
        <w:t>obrocie.</w:t>
      </w:r>
    </w:p>
    <w:p w:rsidR="00B82F17" w:rsidRPr="006D6C9D" w:rsidRDefault="00B82F17" w:rsidP="006D6C9D">
      <w:pPr>
        <w:widowControl/>
        <w:spacing w:before="120"/>
        <w:jc w:val="both"/>
        <w:rPr>
          <w:rFonts w:cs="Times New Roman"/>
          <w:szCs w:val="24"/>
        </w:rPr>
      </w:pPr>
      <w:r w:rsidRPr="006D6C9D">
        <w:rPr>
          <w:rFonts w:cs="Times New Roman"/>
          <w:szCs w:val="24"/>
        </w:rPr>
        <w:t>Biorąc pod uwagę coraz większe znaczenie zachowania bioróżnorodności dla rolnictwa i</w:t>
      </w:r>
      <w:r w:rsidR="00933E4F" w:rsidRPr="006D6C9D">
        <w:rPr>
          <w:rFonts w:cs="Times New Roman"/>
          <w:szCs w:val="24"/>
        </w:rPr>
        <w:t xml:space="preserve"> </w:t>
      </w:r>
      <w:r w:rsidRPr="006D6C9D">
        <w:rPr>
          <w:rFonts w:cs="Times New Roman"/>
          <w:szCs w:val="24"/>
        </w:rPr>
        <w:t>środowiska, w</w:t>
      </w:r>
      <w:r w:rsidR="00933E4F" w:rsidRPr="006D6C9D">
        <w:rPr>
          <w:rFonts w:cs="Times New Roman"/>
          <w:szCs w:val="24"/>
        </w:rPr>
        <w:t xml:space="preserve"> </w:t>
      </w:r>
      <w:r w:rsidRPr="006D6C9D">
        <w:rPr>
          <w:rFonts w:cs="Times New Roman"/>
          <w:szCs w:val="24"/>
        </w:rPr>
        <w:t>projekcie ustawy przewiduje się, że za badanie i</w:t>
      </w:r>
      <w:r w:rsidR="00933E4F" w:rsidRPr="006D6C9D">
        <w:rPr>
          <w:rFonts w:cs="Times New Roman"/>
          <w:szCs w:val="24"/>
        </w:rPr>
        <w:t xml:space="preserve"> </w:t>
      </w:r>
      <w:r w:rsidRPr="006D6C9D">
        <w:rPr>
          <w:rFonts w:cs="Times New Roman"/>
          <w:szCs w:val="24"/>
        </w:rPr>
        <w:t>rejestrację odmian regionalnych i</w:t>
      </w:r>
      <w:r w:rsidR="00933E4F" w:rsidRPr="006D6C9D">
        <w:rPr>
          <w:rFonts w:cs="Times New Roman"/>
          <w:szCs w:val="24"/>
        </w:rPr>
        <w:t xml:space="preserve"> </w:t>
      </w:r>
      <w:r w:rsidRPr="006D6C9D">
        <w:rPr>
          <w:rFonts w:cs="Times New Roman"/>
          <w:szCs w:val="24"/>
        </w:rPr>
        <w:t>amatorskich nie będzie pobierać się opłat (art. 32 ust.</w:t>
      </w:r>
      <w:r w:rsidR="00933E4F" w:rsidRPr="006D6C9D">
        <w:rPr>
          <w:rFonts w:cs="Times New Roman"/>
          <w:szCs w:val="24"/>
        </w:rPr>
        <w:t xml:space="preserve"> </w:t>
      </w:r>
      <w:r w:rsidRPr="006D6C9D">
        <w:rPr>
          <w:rFonts w:cs="Times New Roman"/>
          <w:szCs w:val="24"/>
        </w:rPr>
        <w:t>6). Od wprowadzenia przepisów umożliwiających badanie i</w:t>
      </w:r>
      <w:r w:rsidR="00933E4F" w:rsidRPr="006D6C9D">
        <w:rPr>
          <w:rFonts w:cs="Times New Roman"/>
          <w:szCs w:val="24"/>
        </w:rPr>
        <w:t xml:space="preserve"> </w:t>
      </w:r>
      <w:r w:rsidRPr="006D6C9D">
        <w:rPr>
          <w:rFonts w:cs="Times New Roman"/>
          <w:szCs w:val="24"/>
        </w:rPr>
        <w:t>rejestrację odmian regionalnych i</w:t>
      </w:r>
      <w:r w:rsidR="006D6C9D" w:rsidRPr="006D6C9D">
        <w:rPr>
          <w:rFonts w:cs="Times New Roman"/>
          <w:szCs w:val="24"/>
        </w:rPr>
        <w:t> </w:t>
      </w:r>
      <w:r w:rsidRPr="006D6C9D">
        <w:rPr>
          <w:rFonts w:cs="Times New Roman"/>
          <w:szCs w:val="24"/>
        </w:rPr>
        <w:t>amatorskich w</w:t>
      </w:r>
      <w:r w:rsidR="00933E4F" w:rsidRPr="006D6C9D">
        <w:rPr>
          <w:rFonts w:cs="Times New Roman"/>
          <w:szCs w:val="24"/>
        </w:rPr>
        <w:t xml:space="preserve"> </w:t>
      </w:r>
      <w:r w:rsidRPr="006D6C9D">
        <w:rPr>
          <w:rFonts w:cs="Times New Roman"/>
          <w:szCs w:val="24"/>
        </w:rPr>
        <w:t>roku 2009</w:t>
      </w:r>
      <w:r w:rsidR="00933E4F" w:rsidRPr="006D6C9D">
        <w:rPr>
          <w:rFonts w:cs="Times New Roman"/>
          <w:szCs w:val="24"/>
        </w:rPr>
        <w:t xml:space="preserve"> </w:t>
      </w:r>
      <w:r w:rsidRPr="006D6C9D">
        <w:rPr>
          <w:rFonts w:cs="Times New Roman"/>
          <w:szCs w:val="24"/>
        </w:rPr>
        <w:t>nie została zarejestrowana ani jedna odmiana regionalna lub amatorska. Produkcja materiału siewnego odmian regionalnych i</w:t>
      </w:r>
      <w:r w:rsidR="00933E4F" w:rsidRPr="006D6C9D">
        <w:rPr>
          <w:rFonts w:cs="Times New Roman"/>
          <w:szCs w:val="24"/>
        </w:rPr>
        <w:t xml:space="preserve"> </w:t>
      </w:r>
      <w:r w:rsidRPr="006D6C9D">
        <w:rPr>
          <w:rFonts w:cs="Times New Roman"/>
          <w:szCs w:val="24"/>
        </w:rPr>
        <w:t>amatorskich jest produkcją ukierunkowaną na nieprofesjonalnych odbiorców. Dlatego też duże firmy hodowlano</w:t>
      </w:r>
      <w:r w:rsidR="006D6C9D" w:rsidRPr="006D6C9D">
        <w:rPr>
          <w:rFonts w:cs="Times New Roman"/>
          <w:szCs w:val="24"/>
        </w:rPr>
        <w:t>-</w:t>
      </w:r>
      <w:r w:rsidRPr="006D6C9D">
        <w:rPr>
          <w:rFonts w:cs="Times New Roman"/>
          <w:szCs w:val="24"/>
        </w:rPr>
        <w:t>nasienne nie są zainteresowane tym obszarem, a</w:t>
      </w:r>
      <w:r w:rsidR="00933E4F" w:rsidRPr="006D6C9D">
        <w:rPr>
          <w:rFonts w:cs="Times New Roman"/>
          <w:szCs w:val="24"/>
        </w:rPr>
        <w:t xml:space="preserve"> </w:t>
      </w:r>
      <w:r w:rsidRPr="006D6C9D">
        <w:rPr>
          <w:rFonts w:cs="Times New Roman"/>
          <w:szCs w:val="24"/>
        </w:rPr>
        <w:t>dla małych firm opłaty za badanie i</w:t>
      </w:r>
      <w:r w:rsidR="00933E4F" w:rsidRPr="006D6C9D">
        <w:rPr>
          <w:rFonts w:cs="Times New Roman"/>
          <w:szCs w:val="24"/>
        </w:rPr>
        <w:t xml:space="preserve"> </w:t>
      </w:r>
      <w:r w:rsidRPr="006D6C9D">
        <w:rPr>
          <w:rFonts w:cs="Times New Roman"/>
          <w:szCs w:val="24"/>
        </w:rPr>
        <w:t>rejestrację okazały się za</w:t>
      </w:r>
      <w:r w:rsidR="00933E4F" w:rsidRPr="006D6C9D">
        <w:rPr>
          <w:rFonts w:cs="Times New Roman"/>
          <w:szCs w:val="24"/>
        </w:rPr>
        <w:t xml:space="preserve"> </w:t>
      </w:r>
      <w:r w:rsidRPr="006D6C9D">
        <w:rPr>
          <w:rFonts w:cs="Times New Roman"/>
          <w:szCs w:val="24"/>
        </w:rPr>
        <w:t>wysokie. Ponadto zmiana ta wynika z</w:t>
      </w:r>
      <w:r w:rsidR="00933E4F" w:rsidRPr="006D6C9D">
        <w:rPr>
          <w:rFonts w:cs="Times New Roman"/>
          <w:szCs w:val="24"/>
        </w:rPr>
        <w:t xml:space="preserve"> </w:t>
      </w:r>
      <w:r w:rsidRPr="006D6C9D">
        <w:rPr>
          <w:rFonts w:cs="Times New Roman"/>
          <w:szCs w:val="24"/>
        </w:rPr>
        <w:t>propozycji Ministra Rolnictwa i</w:t>
      </w:r>
      <w:r w:rsidR="00933E4F" w:rsidRPr="006D6C9D">
        <w:rPr>
          <w:rFonts w:cs="Times New Roman"/>
          <w:szCs w:val="24"/>
        </w:rPr>
        <w:t xml:space="preserve"> </w:t>
      </w:r>
      <w:r w:rsidRPr="006D6C9D">
        <w:rPr>
          <w:rFonts w:cs="Times New Roman"/>
          <w:szCs w:val="24"/>
        </w:rPr>
        <w:t>Rozwoju Wsi przyjęcia Paktu dla obszarów wiejskich.</w:t>
      </w:r>
    </w:p>
    <w:p w:rsidR="00B82F17" w:rsidRPr="006D6C9D" w:rsidRDefault="00B82F17" w:rsidP="006D6C9D">
      <w:pPr>
        <w:widowControl/>
        <w:spacing w:before="120"/>
        <w:jc w:val="both"/>
        <w:rPr>
          <w:rFonts w:cs="Times New Roman"/>
          <w:szCs w:val="24"/>
        </w:rPr>
      </w:pPr>
      <w:r w:rsidRPr="006D6C9D">
        <w:rPr>
          <w:rFonts w:cs="Times New Roman"/>
          <w:szCs w:val="24"/>
        </w:rPr>
        <w:t>W przepisach ustawy o</w:t>
      </w:r>
      <w:r w:rsidR="00933E4F" w:rsidRPr="006D6C9D">
        <w:rPr>
          <w:rFonts w:cs="Times New Roman"/>
          <w:szCs w:val="24"/>
        </w:rPr>
        <w:t xml:space="preserve"> </w:t>
      </w:r>
      <w:r w:rsidRPr="006D6C9D">
        <w:rPr>
          <w:rFonts w:cs="Times New Roman"/>
          <w:szCs w:val="24"/>
        </w:rPr>
        <w:t>nasiennictwie pobieranie prób materiału siewnego odbywa się zgodnie z</w:t>
      </w:r>
      <w:r w:rsidR="00933E4F" w:rsidRPr="006D6C9D">
        <w:rPr>
          <w:rFonts w:cs="Times New Roman"/>
          <w:szCs w:val="24"/>
        </w:rPr>
        <w:t xml:space="preserve"> </w:t>
      </w:r>
      <w:r w:rsidRPr="006D6C9D">
        <w:rPr>
          <w:rFonts w:cs="Times New Roman"/>
          <w:szCs w:val="24"/>
        </w:rPr>
        <w:t>wytycznymi Międzynarodowego Związku Oceny Nasion – ISTA. Przepis pkt</w:t>
      </w:r>
      <w:r w:rsidR="006D6C9D" w:rsidRPr="006D6C9D">
        <w:rPr>
          <w:rFonts w:cs="Times New Roman"/>
          <w:szCs w:val="24"/>
        </w:rPr>
        <w:t> </w:t>
      </w:r>
      <w:r w:rsidRPr="006D6C9D">
        <w:rPr>
          <w:rFonts w:cs="Times New Roman"/>
          <w:szCs w:val="24"/>
        </w:rPr>
        <w:t>3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46 ust.</w:t>
      </w:r>
      <w:r w:rsidR="00933E4F" w:rsidRPr="006D6C9D">
        <w:rPr>
          <w:rFonts w:cs="Times New Roman"/>
          <w:szCs w:val="24"/>
        </w:rPr>
        <w:t xml:space="preserve"> </w:t>
      </w:r>
      <w:r w:rsidRPr="006D6C9D">
        <w:rPr>
          <w:rFonts w:cs="Times New Roman"/>
          <w:szCs w:val="24"/>
        </w:rPr>
        <w:t>3</w:t>
      </w:r>
      <w:r w:rsidR="00933E4F" w:rsidRPr="006D6C9D">
        <w:rPr>
          <w:rFonts w:cs="Times New Roman"/>
          <w:szCs w:val="24"/>
        </w:rPr>
        <w:t xml:space="preserve"> </w:t>
      </w:r>
      <w:r w:rsidRPr="006D6C9D">
        <w:rPr>
          <w:rFonts w:cs="Times New Roman"/>
          <w:szCs w:val="24"/>
        </w:rPr>
        <w:t>został zmieniony wskutek zmian w wyżej wymienionych wytycznych.</w:t>
      </w:r>
    </w:p>
    <w:p w:rsidR="00B82F17" w:rsidRPr="006D6C9D" w:rsidRDefault="00B82F17" w:rsidP="006D6C9D">
      <w:pPr>
        <w:widowControl/>
        <w:spacing w:before="120"/>
        <w:jc w:val="both"/>
        <w:rPr>
          <w:rFonts w:cs="Times New Roman"/>
          <w:szCs w:val="24"/>
        </w:rPr>
      </w:pPr>
      <w:r w:rsidRPr="006D6C9D">
        <w:rPr>
          <w:rFonts w:cs="Times New Roman"/>
          <w:szCs w:val="24"/>
        </w:rPr>
        <w:t>Biorąc pod uwagę uproszczenie prawodawstwa oraz powtarzanie przepisów prawa w</w:t>
      </w:r>
      <w:r w:rsidR="006D6C9D" w:rsidRPr="006D6C9D">
        <w:rPr>
          <w:rFonts w:cs="Times New Roman"/>
          <w:szCs w:val="24"/>
        </w:rPr>
        <w:t> </w:t>
      </w:r>
      <w:r w:rsidRPr="006D6C9D">
        <w:rPr>
          <w:rFonts w:cs="Times New Roman"/>
          <w:szCs w:val="24"/>
        </w:rPr>
        <w:t>zakresie akredytowania podmiotów do oceny polowej, próbobrania i</w:t>
      </w:r>
      <w:r w:rsidR="00933E4F" w:rsidRPr="006D6C9D">
        <w:rPr>
          <w:rFonts w:cs="Times New Roman"/>
          <w:szCs w:val="24"/>
        </w:rPr>
        <w:t xml:space="preserve"> </w:t>
      </w:r>
      <w:r w:rsidRPr="006D6C9D">
        <w:rPr>
          <w:rFonts w:cs="Times New Roman"/>
          <w:szCs w:val="24"/>
        </w:rPr>
        <w:t>oceny laboratoryjnej, w</w:t>
      </w:r>
      <w:r w:rsidR="00933E4F" w:rsidRPr="006D6C9D">
        <w:rPr>
          <w:rFonts w:cs="Times New Roman"/>
          <w:szCs w:val="24"/>
        </w:rPr>
        <w:t xml:space="preserve"> </w:t>
      </w:r>
      <w:r w:rsidRPr="006D6C9D">
        <w:rPr>
          <w:rFonts w:cs="Times New Roman"/>
          <w:szCs w:val="24"/>
        </w:rPr>
        <w:t>projekcie ustawy uchyla się przepisy dotyczące składania oświadczenia przez akredytowane podmioty (art. 78 ust.</w:t>
      </w:r>
      <w:r w:rsidR="00933E4F" w:rsidRPr="006D6C9D">
        <w:rPr>
          <w:rFonts w:cs="Times New Roman"/>
          <w:szCs w:val="24"/>
        </w:rPr>
        <w:t xml:space="preserve"> </w:t>
      </w:r>
      <w:r w:rsidRPr="006D6C9D">
        <w:rPr>
          <w:rFonts w:cs="Times New Roman"/>
          <w:szCs w:val="24"/>
        </w:rPr>
        <w:t>7–9). Obowiązki znajdujące się w</w:t>
      </w:r>
      <w:r w:rsidR="00933E4F" w:rsidRPr="006D6C9D">
        <w:rPr>
          <w:rFonts w:cs="Times New Roman"/>
          <w:szCs w:val="24"/>
        </w:rPr>
        <w:t xml:space="preserve"> </w:t>
      </w:r>
      <w:r w:rsidRPr="006D6C9D">
        <w:rPr>
          <w:rFonts w:cs="Times New Roman"/>
          <w:szCs w:val="24"/>
        </w:rPr>
        <w:t>oświadczeniu bezpośrednio wynikają z</w:t>
      </w:r>
      <w:r w:rsidR="00933E4F" w:rsidRPr="006D6C9D">
        <w:rPr>
          <w:rFonts w:cs="Times New Roman"/>
          <w:szCs w:val="24"/>
        </w:rPr>
        <w:t xml:space="preserve"> </w:t>
      </w:r>
      <w:r w:rsidRPr="006D6C9D">
        <w:rPr>
          <w:rFonts w:cs="Times New Roman"/>
          <w:szCs w:val="24"/>
        </w:rPr>
        <w:t>przepisów obowiązującej ustawy o</w:t>
      </w:r>
      <w:r w:rsidR="006D6C9D" w:rsidRPr="006D6C9D">
        <w:rPr>
          <w:rFonts w:cs="Times New Roman"/>
          <w:szCs w:val="24"/>
        </w:rPr>
        <w:t> </w:t>
      </w:r>
      <w:r w:rsidRPr="006D6C9D">
        <w:rPr>
          <w:rFonts w:cs="Times New Roman"/>
          <w:szCs w:val="24"/>
        </w:rPr>
        <w:t>nasiennictwie.</w:t>
      </w:r>
    </w:p>
    <w:p w:rsidR="00B82F17" w:rsidRPr="006D6C9D" w:rsidRDefault="00B82F17" w:rsidP="006D6C9D">
      <w:pPr>
        <w:widowControl/>
        <w:spacing w:before="120"/>
        <w:jc w:val="both"/>
        <w:rPr>
          <w:rFonts w:cs="Times New Roman"/>
          <w:szCs w:val="24"/>
        </w:rPr>
      </w:pPr>
      <w:r w:rsidRPr="006D6C9D">
        <w:rPr>
          <w:rFonts w:cs="Times New Roman"/>
          <w:szCs w:val="24"/>
        </w:rPr>
        <w:t>Przepisy dotyczące upoważniania do wypełniania etykiet (art. 98) zostały dostosowane do art.</w:t>
      </w:r>
      <w:r w:rsidR="00933E4F" w:rsidRPr="006D6C9D">
        <w:rPr>
          <w:rFonts w:cs="Times New Roman"/>
          <w:szCs w:val="24"/>
        </w:rPr>
        <w:t xml:space="preserve"> </w:t>
      </w:r>
      <w:r w:rsidRPr="006D6C9D">
        <w:rPr>
          <w:rFonts w:cs="Times New Roman"/>
          <w:szCs w:val="24"/>
        </w:rPr>
        <w:t>16</w:t>
      </w:r>
      <w:r w:rsidR="00933E4F" w:rsidRPr="006D6C9D">
        <w:rPr>
          <w:rFonts w:cs="Times New Roman"/>
          <w:szCs w:val="24"/>
        </w:rPr>
        <w:t xml:space="preserve"> </w:t>
      </w:r>
      <w:r w:rsidRPr="006D6C9D">
        <w:rPr>
          <w:rFonts w:cs="Times New Roman"/>
          <w:szCs w:val="24"/>
        </w:rPr>
        <w:t>ustawy z</w:t>
      </w:r>
      <w:r w:rsidR="00933E4F" w:rsidRPr="006D6C9D">
        <w:rPr>
          <w:rFonts w:cs="Times New Roman"/>
          <w:szCs w:val="24"/>
        </w:rPr>
        <w:t xml:space="preserve"> </w:t>
      </w:r>
      <w:r w:rsidRPr="006D6C9D">
        <w:rPr>
          <w:rFonts w:cs="Times New Roman"/>
          <w:szCs w:val="24"/>
        </w:rPr>
        <w:t>dnia 18</w:t>
      </w:r>
      <w:r w:rsidR="00933E4F" w:rsidRPr="006D6C9D">
        <w:rPr>
          <w:rFonts w:cs="Times New Roman"/>
          <w:szCs w:val="24"/>
        </w:rPr>
        <w:t xml:space="preserve"> </w:t>
      </w:r>
      <w:r w:rsidRPr="006D6C9D">
        <w:rPr>
          <w:rFonts w:cs="Times New Roman"/>
          <w:szCs w:val="24"/>
        </w:rPr>
        <w:t>grudnia 2003</w:t>
      </w:r>
      <w:r w:rsidR="00933E4F" w:rsidRPr="006D6C9D">
        <w:rPr>
          <w:rFonts w:cs="Times New Roman"/>
          <w:szCs w:val="24"/>
        </w:rPr>
        <w:t xml:space="preserve"> </w:t>
      </w:r>
      <w:r w:rsidRPr="006D6C9D">
        <w:rPr>
          <w:rFonts w:cs="Times New Roman"/>
          <w:szCs w:val="24"/>
        </w:rPr>
        <w:t>r. o</w:t>
      </w:r>
      <w:r w:rsidR="00933E4F" w:rsidRPr="006D6C9D">
        <w:rPr>
          <w:rFonts w:cs="Times New Roman"/>
          <w:szCs w:val="24"/>
        </w:rPr>
        <w:t xml:space="preserve"> </w:t>
      </w:r>
      <w:r w:rsidRPr="006D6C9D">
        <w:rPr>
          <w:rFonts w:cs="Times New Roman"/>
          <w:szCs w:val="24"/>
        </w:rPr>
        <w:t>ochronie roślin (Dz.</w:t>
      </w:r>
      <w:r w:rsidR="00933E4F" w:rsidRPr="006D6C9D">
        <w:rPr>
          <w:rFonts w:cs="Times New Roman"/>
          <w:szCs w:val="24"/>
        </w:rPr>
        <w:t xml:space="preserve"> </w:t>
      </w:r>
      <w:r w:rsidRPr="006D6C9D">
        <w:rPr>
          <w:rFonts w:cs="Times New Roman"/>
          <w:szCs w:val="24"/>
        </w:rPr>
        <w:t>U. z</w:t>
      </w:r>
      <w:r w:rsidR="00933E4F" w:rsidRPr="006D6C9D">
        <w:rPr>
          <w:rFonts w:cs="Times New Roman"/>
          <w:szCs w:val="24"/>
        </w:rPr>
        <w:t xml:space="preserve"> </w:t>
      </w:r>
      <w:r w:rsidRPr="006D6C9D">
        <w:rPr>
          <w:rFonts w:cs="Times New Roman"/>
          <w:szCs w:val="24"/>
        </w:rPr>
        <w:t>2016</w:t>
      </w:r>
      <w:r w:rsidR="00933E4F" w:rsidRPr="006D6C9D">
        <w:rPr>
          <w:rFonts w:cs="Times New Roman"/>
          <w:szCs w:val="24"/>
        </w:rPr>
        <w:t xml:space="preserve"> </w:t>
      </w:r>
      <w:r w:rsidRPr="006D6C9D">
        <w:rPr>
          <w:rFonts w:cs="Times New Roman"/>
          <w:szCs w:val="24"/>
        </w:rPr>
        <w:t>r. poz.</w:t>
      </w:r>
      <w:r w:rsidR="00933E4F" w:rsidRPr="006D6C9D">
        <w:rPr>
          <w:rFonts w:cs="Times New Roman"/>
          <w:szCs w:val="24"/>
        </w:rPr>
        <w:t xml:space="preserve"> </w:t>
      </w:r>
      <w:r w:rsidR="006D6C9D">
        <w:rPr>
          <w:rFonts w:cs="Times New Roman"/>
          <w:szCs w:val="24"/>
        </w:rPr>
        <w:t>17, z </w:t>
      </w:r>
      <w:r w:rsidRPr="006D6C9D">
        <w:rPr>
          <w:rFonts w:cs="Times New Roman"/>
          <w:szCs w:val="24"/>
        </w:rPr>
        <w:t>późn. zm.), który reguluje zasady upoważniania do wydawania paszportów roślin przez upoważnione podmioty. Etykiety nasienne i</w:t>
      </w:r>
      <w:r w:rsidR="00933E4F" w:rsidRPr="006D6C9D">
        <w:rPr>
          <w:rFonts w:cs="Times New Roman"/>
          <w:szCs w:val="24"/>
        </w:rPr>
        <w:t xml:space="preserve"> </w:t>
      </w:r>
      <w:r w:rsidRPr="006D6C9D">
        <w:rPr>
          <w:rFonts w:cs="Times New Roman"/>
          <w:szCs w:val="24"/>
        </w:rPr>
        <w:t>paszporty roślin są wydawane przez Państwową Inspekcję Ochrony Roślin i</w:t>
      </w:r>
      <w:r w:rsidR="00933E4F" w:rsidRPr="006D6C9D">
        <w:rPr>
          <w:rFonts w:cs="Times New Roman"/>
          <w:szCs w:val="24"/>
        </w:rPr>
        <w:t xml:space="preserve"> </w:t>
      </w:r>
      <w:r w:rsidRPr="006D6C9D">
        <w:rPr>
          <w:rFonts w:cs="Times New Roman"/>
          <w:szCs w:val="24"/>
        </w:rPr>
        <w:t>Nasiennictwa. Zaproponowana zmiana ujednolici działania jednego urzędu szczególnie w</w:t>
      </w:r>
      <w:r w:rsidR="00933E4F" w:rsidRPr="006D6C9D">
        <w:rPr>
          <w:rFonts w:cs="Times New Roman"/>
          <w:szCs w:val="24"/>
        </w:rPr>
        <w:t xml:space="preserve"> </w:t>
      </w:r>
      <w:r w:rsidRPr="006D6C9D">
        <w:rPr>
          <w:rFonts w:cs="Times New Roman"/>
          <w:szCs w:val="24"/>
        </w:rPr>
        <w:t xml:space="preserve">przypadku gatunków, dla których </w:t>
      </w:r>
      <w:r w:rsidRPr="006D6C9D">
        <w:rPr>
          <w:rFonts w:cs="Times New Roman"/>
          <w:szCs w:val="24"/>
        </w:rPr>
        <w:lastRenderedPageBreak/>
        <w:t>wydaje się etykiety zgodnie z</w:t>
      </w:r>
      <w:r w:rsidR="00933E4F" w:rsidRPr="006D6C9D">
        <w:rPr>
          <w:rFonts w:cs="Times New Roman"/>
          <w:szCs w:val="24"/>
        </w:rPr>
        <w:t xml:space="preserve"> </w:t>
      </w:r>
      <w:r w:rsidRPr="006D6C9D">
        <w:rPr>
          <w:rFonts w:cs="Times New Roman"/>
          <w:szCs w:val="24"/>
        </w:rPr>
        <w:t>przepisami obowiązującej ustawy o</w:t>
      </w:r>
      <w:r w:rsidR="00933E4F" w:rsidRPr="006D6C9D">
        <w:rPr>
          <w:rFonts w:cs="Times New Roman"/>
          <w:szCs w:val="24"/>
        </w:rPr>
        <w:t xml:space="preserve"> </w:t>
      </w:r>
      <w:r w:rsidRPr="006D6C9D">
        <w:rPr>
          <w:rFonts w:cs="Times New Roman"/>
          <w:szCs w:val="24"/>
        </w:rPr>
        <w:t>nasiennictwie oraz paszporty roślin zgodnie z</w:t>
      </w:r>
      <w:r w:rsidR="00933E4F" w:rsidRPr="006D6C9D">
        <w:rPr>
          <w:rFonts w:cs="Times New Roman"/>
          <w:szCs w:val="24"/>
        </w:rPr>
        <w:t xml:space="preserve"> </w:t>
      </w:r>
      <w:r w:rsidRPr="006D6C9D">
        <w:rPr>
          <w:rFonts w:cs="Times New Roman"/>
          <w:szCs w:val="24"/>
        </w:rPr>
        <w:t>przepisami obowiązującej ustawy o</w:t>
      </w:r>
      <w:r w:rsidR="00933E4F" w:rsidRPr="006D6C9D">
        <w:rPr>
          <w:rFonts w:cs="Times New Roman"/>
          <w:szCs w:val="24"/>
        </w:rPr>
        <w:t xml:space="preserve"> </w:t>
      </w:r>
      <w:r w:rsidRPr="006D6C9D">
        <w:rPr>
          <w:rFonts w:cs="Times New Roman"/>
          <w:szCs w:val="24"/>
        </w:rPr>
        <w:t>ochronie roślin. W</w:t>
      </w:r>
      <w:r w:rsidR="00933E4F" w:rsidRPr="006D6C9D">
        <w:rPr>
          <w:rFonts w:cs="Times New Roman"/>
          <w:szCs w:val="24"/>
        </w:rPr>
        <w:t xml:space="preserve"> </w:t>
      </w:r>
      <w:r w:rsidRPr="006D6C9D">
        <w:rPr>
          <w:rFonts w:cs="Times New Roman"/>
          <w:szCs w:val="24"/>
        </w:rPr>
        <w:t>tych przypadkach można wydawać jeden dokument będący zarówno etykietą, jak i</w:t>
      </w:r>
      <w:r w:rsidR="006D6C9D" w:rsidRPr="006D6C9D">
        <w:rPr>
          <w:rFonts w:cs="Times New Roman"/>
          <w:szCs w:val="24"/>
        </w:rPr>
        <w:t> </w:t>
      </w:r>
      <w:r w:rsidRPr="006D6C9D">
        <w:rPr>
          <w:rFonts w:cs="Times New Roman"/>
          <w:szCs w:val="24"/>
        </w:rPr>
        <w:t>paszportem roślin. W</w:t>
      </w:r>
      <w:r w:rsidR="00933E4F" w:rsidRPr="006D6C9D">
        <w:rPr>
          <w:rFonts w:cs="Times New Roman"/>
          <w:szCs w:val="24"/>
        </w:rPr>
        <w:t xml:space="preserve"> </w:t>
      </w:r>
      <w:r w:rsidRPr="006D6C9D">
        <w:rPr>
          <w:rFonts w:cs="Times New Roman"/>
          <w:szCs w:val="24"/>
        </w:rPr>
        <w:t>tym celu zostaje również zmieniony art.</w:t>
      </w:r>
      <w:r w:rsidR="00933E4F" w:rsidRPr="006D6C9D">
        <w:rPr>
          <w:rFonts w:cs="Times New Roman"/>
          <w:szCs w:val="24"/>
        </w:rPr>
        <w:t xml:space="preserve"> </w:t>
      </w:r>
      <w:r w:rsidRPr="006D6C9D">
        <w:rPr>
          <w:rFonts w:cs="Times New Roman"/>
          <w:szCs w:val="24"/>
        </w:rPr>
        <w:t>16</w:t>
      </w:r>
      <w:r w:rsidR="00933E4F" w:rsidRPr="006D6C9D">
        <w:rPr>
          <w:rFonts w:cs="Times New Roman"/>
          <w:szCs w:val="24"/>
        </w:rPr>
        <w:t xml:space="preserve"> </w:t>
      </w:r>
      <w:r w:rsidRPr="006D6C9D">
        <w:rPr>
          <w:rFonts w:cs="Times New Roman"/>
          <w:szCs w:val="24"/>
        </w:rPr>
        <w:t>w obowiązującej ustawie o</w:t>
      </w:r>
      <w:r w:rsidR="00933E4F" w:rsidRPr="006D6C9D">
        <w:rPr>
          <w:rFonts w:cs="Times New Roman"/>
          <w:szCs w:val="24"/>
        </w:rPr>
        <w:t xml:space="preserve"> </w:t>
      </w:r>
      <w:r w:rsidRPr="006D6C9D">
        <w:rPr>
          <w:rFonts w:cs="Times New Roman"/>
          <w:szCs w:val="24"/>
        </w:rPr>
        <w:t>ochronie roślin (art. 2</w:t>
      </w:r>
      <w:r w:rsidR="00933E4F" w:rsidRPr="006D6C9D">
        <w:rPr>
          <w:rFonts w:cs="Times New Roman"/>
          <w:szCs w:val="24"/>
        </w:rPr>
        <w:t xml:space="preserve"> </w:t>
      </w:r>
      <w:r w:rsidRPr="006D6C9D">
        <w:rPr>
          <w:rFonts w:cs="Times New Roman"/>
          <w:szCs w:val="24"/>
        </w:rPr>
        <w:t xml:space="preserve">projektu ustawy). </w:t>
      </w:r>
    </w:p>
    <w:p w:rsidR="00B82F17" w:rsidRPr="006D6C9D" w:rsidRDefault="00B82F17" w:rsidP="006D6C9D">
      <w:pPr>
        <w:widowControl/>
        <w:spacing w:before="120"/>
        <w:jc w:val="both"/>
        <w:rPr>
          <w:rFonts w:cs="Times New Roman"/>
          <w:szCs w:val="24"/>
        </w:rPr>
      </w:pPr>
      <w:r w:rsidRPr="006D6C9D">
        <w:rPr>
          <w:rFonts w:cs="Times New Roman"/>
          <w:szCs w:val="24"/>
        </w:rPr>
        <w:t>Polska w</w:t>
      </w:r>
      <w:r w:rsidR="00933E4F" w:rsidRPr="006D6C9D">
        <w:rPr>
          <w:rFonts w:cs="Times New Roman"/>
          <w:szCs w:val="24"/>
        </w:rPr>
        <w:t xml:space="preserve"> </w:t>
      </w:r>
      <w:r w:rsidRPr="006D6C9D">
        <w:rPr>
          <w:rFonts w:cs="Times New Roman"/>
          <w:szCs w:val="24"/>
        </w:rPr>
        <w:t>1998</w:t>
      </w:r>
      <w:r w:rsidR="00933E4F" w:rsidRPr="006D6C9D">
        <w:rPr>
          <w:rFonts w:cs="Times New Roman"/>
          <w:szCs w:val="24"/>
        </w:rPr>
        <w:t xml:space="preserve"> </w:t>
      </w:r>
      <w:r w:rsidRPr="006D6C9D">
        <w:rPr>
          <w:rFonts w:cs="Times New Roman"/>
          <w:szCs w:val="24"/>
        </w:rPr>
        <w:t>r. podpisała Konwencję Organizacji Współpracy Gospodarczej i</w:t>
      </w:r>
      <w:r w:rsidR="006D6C9D" w:rsidRPr="006D6C9D">
        <w:rPr>
          <w:rFonts w:cs="Times New Roman"/>
          <w:szCs w:val="24"/>
        </w:rPr>
        <w:t> </w:t>
      </w:r>
      <w:r w:rsidRPr="006D6C9D">
        <w:rPr>
          <w:rFonts w:cs="Times New Roman"/>
          <w:szCs w:val="24"/>
        </w:rPr>
        <w:t>Rozwoju (OECD), a</w:t>
      </w:r>
      <w:r w:rsidR="00933E4F" w:rsidRPr="006D6C9D">
        <w:rPr>
          <w:rFonts w:cs="Times New Roman"/>
          <w:szCs w:val="24"/>
        </w:rPr>
        <w:t xml:space="preserve"> </w:t>
      </w:r>
      <w:r w:rsidRPr="006D6C9D">
        <w:rPr>
          <w:rFonts w:cs="Times New Roman"/>
          <w:szCs w:val="24"/>
        </w:rPr>
        <w:t>od lat sześćdziesiątych korzysta z</w:t>
      </w:r>
      <w:r w:rsidR="00933E4F" w:rsidRPr="006D6C9D">
        <w:rPr>
          <w:rFonts w:cs="Times New Roman"/>
          <w:szCs w:val="24"/>
        </w:rPr>
        <w:t xml:space="preserve"> </w:t>
      </w:r>
      <w:r w:rsidRPr="006D6C9D">
        <w:rPr>
          <w:rFonts w:cs="Times New Roman"/>
          <w:szCs w:val="24"/>
        </w:rPr>
        <w:t>systemów nasiennych OECD dla kwalifikacji odmianowej. W</w:t>
      </w:r>
      <w:r w:rsidR="00933E4F" w:rsidRPr="006D6C9D">
        <w:rPr>
          <w:rFonts w:cs="Times New Roman"/>
          <w:szCs w:val="24"/>
        </w:rPr>
        <w:t xml:space="preserve"> </w:t>
      </w:r>
      <w:r w:rsidRPr="006D6C9D">
        <w:rPr>
          <w:rFonts w:cs="Times New Roman"/>
          <w:szCs w:val="24"/>
        </w:rPr>
        <w:t>projekcie ustawy zostały wprowadzone doprecyzowujące przepisy dotyczące wytwarzania oraz opłat związanych z</w:t>
      </w:r>
      <w:r w:rsidR="00933E4F" w:rsidRPr="006D6C9D">
        <w:rPr>
          <w:rFonts w:cs="Times New Roman"/>
          <w:szCs w:val="24"/>
        </w:rPr>
        <w:t xml:space="preserve"> </w:t>
      </w:r>
      <w:r w:rsidRPr="006D6C9D">
        <w:rPr>
          <w:rFonts w:cs="Times New Roman"/>
          <w:szCs w:val="24"/>
        </w:rPr>
        <w:t>oceną materiału siewnego zgodnie z</w:t>
      </w:r>
      <w:r w:rsidR="00933E4F" w:rsidRPr="006D6C9D">
        <w:rPr>
          <w:rFonts w:cs="Times New Roman"/>
          <w:szCs w:val="24"/>
        </w:rPr>
        <w:t xml:space="preserve"> </w:t>
      </w:r>
      <w:r w:rsidRPr="006D6C9D">
        <w:rPr>
          <w:rFonts w:cs="Times New Roman"/>
          <w:szCs w:val="24"/>
        </w:rPr>
        <w:t>wyżej wymienionymi</w:t>
      </w:r>
      <w:r w:rsidR="00933E4F" w:rsidRPr="006D6C9D">
        <w:rPr>
          <w:rFonts w:cs="Times New Roman"/>
          <w:szCs w:val="24"/>
        </w:rPr>
        <w:t xml:space="preserve"> </w:t>
      </w:r>
      <w:r w:rsidRPr="006D6C9D">
        <w:rPr>
          <w:rFonts w:cs="Times New Roman"/>
          <w:szCs w:val="24"/>
        </w:rPr>
        <w:t>systemami (art. 36 ust.</w:t>
      </w:r>
      <w:r w:rsidR="00933E4F" w:rsidRPr="006D6C9D">
        <w:rPr>
          <w:rFonts w:cs="Times New Roman"/>
          <w:szCs w:val="24"/>
        </w:rPr>
        <w:t xml:space="preserve"> </w:t>
      </w:r>
      <w:r w:rsidRPr="006D6C9D">
        <w:rPr>
          <w:rFonts w:cs="Times New Roman"/>
          <w:szCs w:val="24"/>
        </w:rPr>
        <w:t>10 i</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115 ust.</w:t>
      </w:r>
      <w:r w:rsidR="00933E4F" w:rsidRPr="006D6C9D">
        <w:rPr>
          <w:rFonts w:cs="Times New Roman"/>
          <w:szCs w:val="24"/>
        </w:rPr>
        <w:t xml:space="preserve"> </w:t>
      </w:r>
      <w:r w:rsidRPr="006D6C9D">
        <w:rPr>
          <w:rFonts w:cs="Times New Roman"/>
          <w:szCs w:val="24"/>
        </w:rPr>
        <w:t>7).</w:t>
      </w:r>
    </w:p>
    <w:p w:rsidR="00B82F17" w:rsidRPr="006D6C9D" w:rsidRDefault="00B82F17" w:rsidP="006D6C9D">
      <w:pPr>
        <w:widowControl/>
        <w:spacing w:before="120"/>
        <w:jc w:val="both"/>
        <w:rPr>
          <w:rFonts w:cs="Times New Roman"/>
          <w:szCs w:val="24"/>
        </w:rPr>
      </w:pPr>
      <w:r w:rsidRPr="006D6C9D">
        <w:rPr>
          <w:rFonts w:cs="Times New Roman"/>
          <w:szCs w:val="24"/>
        </w:rPr>
        <w:t>Na wniosek PIORiN, w</w:t>
      </w:r>
      <w:r w:rsidR="00933E4F" w:rsidRPr="006D6C9D">
        <w:rPr>
          <w:rFonts w:cs="Times New Roman"/>
          <w:szCs w:val="24"/>
        </w:rPr>
        <w:t xml:space="preserve"> </w:t>
      </w:r>
      <w:r w:rsidRPr="006D6C9D">
        <w:rPr>
          <w:rFonts w:cs="Times New Roman"/>
          <w:szCs w:val="24"/>
        </w:rPr>
        <w:t>celu ujednolicenia przepisów dotyczących wykonywania poszczególnych ocen wprowadzono przepis mówiący o</w:t>
      </w:r>
      <w:r w:rsidR="00933E4F" w:rsidRPr="006D6C9D">
        <w:rPr>
          <w:rFonts w:cs="Times New Roman"/>
          <w:szCs w:val="24"/>
        </w:rPr>
        <w:t xml:space="preserve"> </w:t>
      </w:r>
      <w:r w:rsidRPr="006D6C9D">
        <w:rPr>
          <w:rFonts w:cs="Times New Roman"/>
          <w:szCs w:val="24"/>
        </w:rPr>
        <w:t>tym, że oceny cech zewnętrznych materiału siewnego dokonuje urzędowy kwalifikator, z wyłączeniem odmian regionalnych (art.</w:t>
      </w:r>
      <w:r w:rsidR="00933E4F" w:rsidRPr="006D6C9D">
        <w:rPr>
          <w:rFonts w:cs="Times New Roman"/>
          <w:szCs w:val="24"/>
        </w:rPr>
        <w:t xml:space="preserve"> </w:t>
      </w:r>
      <w:r w:rsidRPr="006D6C9D">
        <w:rPr>
          <w:rFonts w:cs="Times New Roman"/>
          <w:szCs w:val="24"/>
        </w:rPr>
        <w:t xml:space="preserve">44a). </w:t>
      </w:r>
    </w:p>
    <w:p w:rsidR="00B82F17" w:rsidRPr="006D6C9D" w:rsidRDefault="00B82F17" w:rsidP="006D6C9D">
      <w:pPr>
        <w:widowControl/>
        <w:spacing w:before="120"/>
        <w:jc w:val="both"/>
        <w:rPr>
          <w:rFonts w:cs="Times New Roman"/>
          <w:szCs w:val="24"/>
        </w:rPr>
      </w:pPr>
      <w:r w:rsidRPr="006D6C9D">
        <w:rPr>
          <w:rFonts w:cs="Times New Roman"/>
          <w:szCs w:val="24"/>
        </w:rPr>
        <w:t>W konsekwencji tej zmiany zostały rozszerzone kompetencje ośrodka szkoleniowego o</w:t>
      </w:r>
      <w:r w:rsidR="006D6C9D">
        <w:rPr>
          <w:rFonts w:cs="Times New Roman"/>
          <w:szCs w:val="24"/>
        </w:rPr>
        <w:t> </w:t>
      </w:r>
      <w:r w:rsidRPr="006D6C9D">
        <w:rPr>
          <w:rFonts w:cs="Times New Roman"/>
          <w:szCs w:val="24"/>
        </w:rPr>
        <w:t>dokonywanie szkoleń z</w:t>
      </w:r>
      <w:r w:rsidR="00933E4F" w:rsidRPr="006D6C9D">
        <w:rPr>
          <w:rFonts w:cs="Times New Roman"/>
          <w:szCs w:val="24"/>
        </w:rPr>
        <w:t xml:space="preserve"> </w:t>
      </w:r>
      <w:r w:rsidRPr="006D6C9D">
        <w:rPr>
          <w:rFonts w:cs="Times New Roman"/>
          <w:szCs w:val="24"/>
        </w:rPr>
        <w:t>zakresu oceny cech zewnętrznych (art. 83 ust.</w:t>
      </w:r>
      <w:r w:rsidR="00933E4F" w:rsidRPr="006D6C9D">
        <w:rPr>
          <w:rFonts w:cs="Times New Roman"/>
          <w:szCs w:val="24"/>
        </w:rPr>
        <w:t xml:space="preserve"> </w:t>
      </w:r>
      <w:r w:rsidRPr="006D6C9D">
        <w:rPr>
          <w:rFonts w:cs="Times New Roman"/>
          <w:szCs w:val="24"/>
        </w:rPr>
        <w:t>2) oraz zostały dostosowane przepisy dotyczące kontroli akredytowanych kwalifikatorów dokonujących oceny cech zewnętrznych (art. 81–83).</w:t>
      </w:r>
    </w:p>
    <w:p w:rsidR="00B82F17" w:rsidRPr="006D6C9D" w:rsidRDefault="00B82F17" w:rsidP="006D6C9D">
      <w:pPr>
        <w:widowControl/>
        <w:spacing w:before="120"/>
        <w:jc w:val="both"/>
        <w:rPr>
          <w:rFonts w:cs="Times New Roman"/>
          <w:szCs w:val="24"/>
        </w:rPr>
      </w:pPr>
      <w:r w:rsidRPr="006D6C9D">
        <w:rPr>
          <w:rFonts w:cs="Times New Roman"/>
          <w:szCs w:val="24"/>
        </w:rPr>
        <w:t>W przedmiotowym projekcie zostały</w:t>
      </w:r>
      <w:r w:rsidRPr="006D6C9D" w:rsidDel="00E72551">
        <w:rPr>
          <w:rFonts w:cs="Times New Roman"/>
          <w:szCs w:val="24"/>
        </w:rPr>
        <w:t xml:space="preserve"> </w:t>
      </w:r>
      <w:r w:rsidRPr="006D6C9D">
        <w:rPr>
          <w:rFonts w:cs="Times New Roman"/>
          <w:szCs w:val="24"/>
        </w:rPr>
        <w:t>doprecyzowane również przepisy dotyczące odwołań od decyzji dyrektora COBORU (art. 20 ust.</w:t>
      </w:r>
      <w:r w:rsidR="00933E4F" w:rsidRPr="006D6C9D">
        <w:rPr>
          <w:rFonts w:cs="Times New Roman"/>
          <w:szCs w:val="24"/>
        </w:rPr>
        <w:t xml:space="preserve"> </w:t>
      </w:r>
      <w:r w:rsidRPr="006D6C9D">
        <w:rPr>
          <w:rFonts w:cs="Times New Roman"/>
          <w:szCs w:val="24"/>
        </w:rPr>
        <w:t>8 i</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32 ust.</w:t>
      </w:r>
      <w:r w:rsidR="00933E4F" w:rsidRPr="006D6C9D">
        <w:rPr>
          <w:rFonts w:cs="Times New Roman"/>
          <w:szCs w:val="24"/>
        </w:rPr>
        <w:t xml:space="preserve"> </w:t>
      </w:r>
      <w:r w:rsidRPr="006D6C9D">
        <w:rPr>
          <w:rFonts w:cs="Times New Roman"/>
          <w:szCs w:val="24"/>
        </w:rPr>
        <w:t>5).</w:t>
      </w:r>
    </w:p>
    <w:p w:rsidR="00B82F17" w:rsidRPr="006D6C9D" w:rsidRDefault="00B82F17" w:rsidP="006D6C9D">
      <w:pPr>
        <w:widowControl/>
        <w:spacing w:before="120"/>
        <w:jc w:val="both"/>
        <w:rPr>
          <w:rFonts w:cs="Times New Roman"/>
          <w:szCs w:val="24"/>
        </w:rPr>
      </w:pPr>
      <w:r w:rsidRPr="006D6C9D">
        <w:rPr>
          <w:rFonts w:cs="Times New Roman"/>
          <w:szCs w:val="24"/>
        </w:rPr>
        <w:t>W celu uporządkowania przepisów dotyczących obrotu materiałem siewnym odmian skreślonych z</w:t>
      </w:r>
      <w:r w:rsidR="00933E4F" w:rsidRPr="006D6C9D">
        <w:rPr>
          <w:rFonts w:cs="Times New Roman"/>
          <w:szCs w:val="24"/>
        </w:rPr>
        <w:t xml:space="preserve"> </w:t>
      </w:r>
      <w:r w:rsidRPr="006D6C9D">
        <w:rPr>
          <w:rFonts w:cs="Times New Roman"/>
          <w:szCs w:val="24"/>
        </w:rPr>
        <w:t>krajowego rejestru został zmieniony ust.</w:t>
      </w:r>
      <w:r w:rsidR="00933E4F" w:rsidRPr="006D6C9D">
        <w:rPr>
          <w:rFonts w:cs="Times New Roman"/>
          <w:szCs w:val="24"/>
        </w:rPr>
        <w:t xml:space="preserve"> </w:t>
      </w:r>
      <w:r w:rsidRPr="006D6C9D">
        <w:rPr>
          <w:rFonts w:cs="Times New Roman"/>
          <w:szCs w:val="24"/>
        </w:rPr>
        <w:t>2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104 w związku z</w:t>
      </w:r>
      <w:r w:rsidR="006D6C9D">
        <w:rPr>
          <w:rFonts w:cs="Times New Roman"/>
          <w:szCs w:val="24"/>
        </w:rPr>
        <w:t> </w:t>
      </w:r>
      <w:r w:rsidRPr="006D6C9D">
        <w:rPr>
          <w:rFonts w:cs="Times New Roman"/>
          <w:szCs w:val="24"/>
        </w:rPr>
        <w:t>wprowadzeniem przepisu ust.</w:t>
      </w:r>
      <w:r w:rsidR="00933E4F" w:rsidRPr="006D6C9D">
        <w:rPr>
          <w:rFonts w:cs="Times New Roman"/>
          <w:szCs w:val="24"/>
        </w:rPr>
        <w:t xml:space="preserve"> </w:t>
      </w:r>
      <w:r w:rsidRPr="006D6C9D">
        <w:rPr>
          <w:rFonts w:cs="Times New Roman"/>
          <w:szCs w:val="24"/>
        </w:rPr>
        <w:t>2a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25. W</w:t>
      </w:r>
      <w:r w:rsidR="00933E4F" w:rsidRPr="006D6C9D">
        <w:rPr>
          <w:rFonts w:cs="Times New Roman"/>
          <w:szCs w:val="24"/>
        </w:rPr>
        <w:t xml:space="preserve"> </w:t>
      </w:r>
      <w:r w:rsidRPr="006D6C9D">
        <w:rPr>
          <w:rFonts w:cs="Times New Roman"/>
          <w:szCs w:val="24"/>
        </w:rPr>
        <w:t>zaproponowanym brzmieniu przepis ten jest w</w:t>
      </w:r>
      <w:r w:rsidR="00933E4F" w:rsidRPr="006D6C9D">
        <w:rPr>
          <w:rFonts w:cs="Times New Roman"/>
          <w:szCs w:val="24"/>
        </w:rPr>
        <w:t xml:space="preserve"> </w:t>
      </w:r>
      <w:r w:rsidRPr="006D6C9D">
        <w:rPr>
          <w:rFonts w:cs="Times New Roman"/>
          <w:szCs w:val="24"/>
        </w:rPr>
        <w:t>pełni zgodny z</w:t>
      </w:r>
      <w:r w:rsidR="00933E4F" w:rsidRPr="006D6C9D">
        <w:rPr>
          <w:rFonts w:cs="Times New Roman"/>
          <w:szCs w:val="24"/>
        </w:rPr>
        <w:t xml:space="preserve"> </w:t>
      </w:r>
      <w:r w:rsidRPr="006D6C9D">
        <w:rPr>
          <w:rFonts w:cs="Times New Roman"/>
          <w:szCs w:val="24"/>
        </w:rPr>
        <w:t>przepisami UE.</w:t>
      </w:r>
    </w:p>
    <w:p w:rsidR="00B82F17" w:rsidRPr="006D6C9D" w:rsidRDefault="00B82F17" w:rsidP="006D6C9D">
      <w:pPr>
        <w:widowControl/>
        <w:spacing w:before="120"/>
        <w:jc w:val="both"/>
        <w:rPr>
          <w:rFonts w:cs="Times New Roman"/>
          <w:szCs w:val="24"/>
        </w:rPr>
      </w:pPr>
      <w:r w:rsidRPr="006D6C9D">
        <w:rPr>
          <w:rFonts w:cs="Times New Roman"/>
          <w:szCs w:val="24"/>
        </w:rPr>
        <w:t>Na wniosek PIN ocena cech zewnętrznych materiału siewnego kategorii kwalifikowany będzie mogła być dokonywana przez akredytowanych kwalifikatorów (art. 44a ust. 2). Przepis ten ograniczy wydatki PIORiN (ocena cech zewnętrznych nie podlega opłacie), szczególnie w</w:t>
      </w:r>
      <w:r w:rsidR="00933E4F" w:rsidRPr="006D6C9D">
        <w:rPr>
          <w:rFonts w:cs="Times New Roman"/>
          <w:szCs w:val="24"/>
        </w:rPr>
        <w:t xml:space="preserve"> </w:t>
      </w:r>
      <w:r w:rsidRPr="006D6C9D">
        <w:rPr>
          <w:rFonts w:cs="Times New Roman"/>
          <w:szCs w:val="24"/>
        </w:rPr>
        <w:t xml:space="preserve">zakresie oceny cech zewnętrznych sadzeniaków ziemniaka. Do tej zmiany zostały dostosowane przepisy dotyczące kontroli akredytowanych kwalifikatorów dokonujących oceny cech zewnętrznych (art. 81–83). </w:t>
      </w:r>
    </w:p>
    <w:p w:rsidR="00B82F17" w:rsidRPr="006D6C9D" w:rsidRDefault="00B82F17" w:rsidP="006D6C9D">
      <w:pPr>
        <w:widowControl/>
        <w:spacing w:before="120"/>
        <w:jc w:val="both"/>
        <w:rPr>
          <w:rFonts w:cs="Times New Roman"/>
          <w:szCs w:val="24"/>
        </w:rPr>
      </w:pPr>
      <w:r w:rsidRPr="006D6C9D">
        <w:rPr>
          <w:rFonts w:cs="Times New Roman"/>
          <w:szCs w:val="24"/>
        </w:rPr>
        <w:lastRenderedPageBreak/>
        <w:t xml:space="preserve">W celu usprawnienia kontroli obrotu materiałem siewnym zostały wprowadzone przepisy pozwalające na bardziej skuteczną kontrolę przez PIORiN nielegalnego obrotu materiałem siewnym (art. 105a) ograniczające stosowanie określeń: „materiał siewny”, „materiał do siewu” lub „materiał do sadzenia”, o którym mowa w art. 104 i </w:t>
      </w:r>
      <w:r w:rsidR="00132D89">
        <w:rPr>
          <w:rFonts w:cs="Times New Roman"/>
          <w:szCs w:val="24"/>
        </w:rPr>
        <w:t xml:space="preserve">art. </w:t>
      </w:r>
      <w:r w:rsidRPr="006D6C9D">
        <w:rPr>
          <w:rFonts w:cs="Times New Roman"/>
          <w:szCs w:val="24"/>
        </w:rPr>
        <w:t>105 ustawy o nasiennictwie. W konsekwencji tej zmiany został wprowadzony odpowiedni przepis karny (art. 126).</w:t>
      </w:r>
    </w:p>
    <w:p w:rsidR="00B82F17" w:rsidRPr="006D6C9D" w:rsidRDefault="00B82F17" w:rsidP="006D6C9D">
      <w:pPr>
        <w:widowControl/>
        <w:spacing w:before="120"/>
        <w:jc w:val="both"/>
        <w:rPr>
          <w:rFonts w:cs="Times New Roman"/>
          <w:szCs w:val="24"/>
        </w:rPr>
      </w:pPr>
      <w:r w:rsidRPr="006D6C9D">
        <w:rPr>
          <w:rFonts w:cs="Times New Roman"/>
          <w:szCs w:val="24"/>
        </w:rPr>
        <w:t>Mając na uwadze uproszczenie przepisów, a</w:t>
      </w:r>
      <w:r w:rsidR="00933E4F" w:rsidRPr="006D6C9D">
        <w:rPr>
          <w:rFonts w:cs="Times New Roman"/>
          <w:szCs w:val="24"/>
        </w:rPr>
        <w:t xml:space="preserve"> </w:t>
      </w:r>
      <w:r w:rsidRPr="006D6C9D">
        <w:rPr>
          <w:rFonts w:cs="Times New Roman"/>
          <w:szCs w:val="24"/>
        </w:rPr>
        <w:t>także sprawne i</w:t>
      </w:r>
      <w:r w:rsidR="00933E4F" w:rsidRPr="006D6C9D">
        <w:rPr>
          <w:rFonts w:cs="Times New Roman"/>
          <w:szCs w:val="24"/>
        </w:rPr>
        <w:t xml:space="preserve"> </w:t>
      </w:r>
      <w:r w:rsidRPr="006D6C9D">
        <w:rPr>
          <w:rFonts w:cs="Times New Roman"/>
          <w:szCs w:val="24"/>
        </w:rPr>
        <w:t>właściwe ich stosowanie w</w:t>
      </w:r>
      <w:r w:rsidR="006D6C9D">
        <w:rPr>
          <w:rFonts w:cs="Times New Roman"/>
          <w:szCs w:val="24"/>
        </w:rPr>
        <w:t> </w:t>
      </w:r>
      <w:r w:rsidRPr="006D6C9D">
        <w:rPr>
          <w:rFonts w:cs="Times New Roman"/>
          <w:szCs w:val="24"/>
        </w:rPr>
        <w:t>praktyce wprowadzono zmianę przepisów dotyczącą przekazywania informacji o</w:t>
      </w:r>
      <w:r w:rsidR="006D6C9D">
        <w:rPr>
          <w:rFonts w:cs="Times New Roman"/>
          <w:szCs w:val="24"/>
        </w:rPr>
        <w:t> </w:t>
      </w:r>
      <w:r w:rsidRPr="006D6C9D">
        <w:rPr>
          <w:rFonts w:cs="Times New Roman"/>
          <w:szCs w:val="24"/>
        </w:rPr>
        <w:t>wynikach oceny tożsamości i</w:t>
      </w:r>
      <w:r w:rsidR="00933E4F" w:rsidRPr="006D6C9D">
        <w:rPr>
          <w:rFonts w:cs="Times New Roman"/>
          <w:szCs w:val="24"/>
        </w:rPr>
        <w:t xml:space="preserve"> </w:t>
      </w:r>
      <w:r w:rsidRPr="006D6C9D">
        <w:rPr>
          <w:rFonts w:cs="Times New Roman"/>
          <w:szCs w:val="24"/>
        </w:rPr>
        <w:t>czystości odmianowej. Zgodnie z</w:t>
      </w:r>
      <w:r w:rsidR="00933E4F" w:rsidRPr="006D6C9D">
        <w:rPr>
          <w:rFonts w:cs="Times New Roman"/>
          <w:szCs w:val="24"/>
        </w:rPr>
        <w:t xml:space="preserve"> </w:t>
      </w:r>
      <w:r w:rsidRPr="006D6C9D">
        <w:rPr>
          <w:rFonts w:cs="Times New Roman"/>
          <w:szCs w:val="24"/>
        </w:rPr>
        <w:t>obowiązującymi przepisami ustawy o nasiennictwie informacja ta jest przekazywana za pomocą poczty elektronicznej lub telefaksu. Do projektu ustawy wprowadzony został przepis mówiący o</w:t>
      </w:r>
      <w:r w:rsidR="00933E4F" w:rsidRPr="006D6C9D">
        <w:rPr>
          <w:rFonts w:cs="Times New Roman"/>
          <w:szCs w:val="24"/>
        </w:rPr>
        <w:t xml:space="preserve"> </w:t>
      </w:r>
      <w:r w:rsidRPr="006D6C9D">
        <w:rPr>
          <w:rFonts w:cs="Times New Roman"/>
          <w:szCs w:val="24"/>
        </w:rPr>
        <w:t>przekazywaniu tej informacji w</w:t>
      </w:r>
      <w:r w:rsidR="00933E4F" w:rsidRPr="006D6C9D">
        <w:rPr>
          <w:rFonts w:cs="Times New Roman"/>
          <w:szCs w:val="24"/>
        </w:rPr>
        <w:t xml:space="preserve"> </w:t>
      </w:r>
      <w:r w:rsidRPr="006D6C9D">
        <w:rPr>
          <w:rFonts w:cs="Times New Roman"/>
          <w:szCs w:val="24"/>
        </w:rPr>
        <w:t>inny sposób lub w innej formie, po uzgodnieniu z</w:t>
      </w:r>
      <w:r w:rsidR="006D6C9D">
        <w:rPr>
          <w:rFonts w:cs="Times New Roman"/>
          <w:szCs w:val="24"/>
        </w:rPr>
        <w:t> </w:t>
      </w:r>
      <w:r w:rsidRPr="006D6C9D">
        <w:rPr>
          <w:rFonts w:cs="Times New Roman"/>
          <w:szCs w:val="24"/>
        </w:rPr>
        <w:t>zainteresowanym podmiotem (art. 55 ust.</w:t>
      </w:r>
      <w:r w:rsidR="00933E4F" w:rsidRPr="006D6C9D">
        <w:rPr>
          <w:rFonts w:cs="Times New Roman"/>
          <w:szCs w:val="24"/>
        </w:rPr>
        <w:t xml:space="preserve"> </w:t>
      </w:r>
      <w:r w:rsidRPr="006D6C9D">
        <w:rPr>
          <w:rFonts w:cs="Times New Roman"/>
          <w:szCs w:val="24"/>
        </w:rPr>
        <w:t>3a). Został zmniejszony również zakres informacji na niej umieszczanych (art. 55 ust.</w:t>
      </w:r>
      <w:r w:rsidR="00933E4F" w:rsidRPr="006D6C9D">
        <w:rPr>
          <w:rFonts w:cs="Times New Roman"/>
          <w:szCs w:val="24"/>
        </w:rPr>
        <w:t xml:space="preserve"> </w:t>
      </w:r>
      <w:r w:rsidRPr="006D6C9D">
        <w:rPr>
          <w:rFonts w:cs="Times New Roman"/>
          <w:szCs w:val="24"/>
        </w:rPr>
        <w:t>5).</w:t>
      </w:r>
    </w:p>
    <w:p w:rsidR="00B82F17" w:rsidRPr="006D6C9D" w:rsidRDefault="00B82F17" w:rsidP="006D6C9D">
      <w:pPr>
        <w:widowControl/>
        <w:spacing w:before="120"/>
        <w:jc w:val="both"/>
        <w:rPr>
          <w:rFonts w:cs="Times New Roman"/>
          <w:szCs w:val="24"/>
        </w:rPr>
      </w:pPr>
      <w:r w:rsidRPr="006D6C9D">
        <w:rPr>
          <w:rFonts w:cs="Times New Roman"/>
          <w:szCs w:val="24"/>
        </w:rPr>
        <w:t>W projekcie ustawy zostało ujednolicone nazewnictwo w</w:t>
      </w:r>
      <w:r w:rsidR="00933E4F" w:rsidRPr="006D6C9D">
        <w:rPr>
          <w:rFonts w:cs="Times New Roman"/>
          <w:szCs w:val="24"/>
        </w:rPr>
        <w:t xml:space="preserve"> </w:t>
      </w:r>
      <w:r w:rsidRPr="006D6C9D">
        <w:rPr>
          <w:rFonts w:cs="Times New Roman"/>
          <w:szCs w:val="24"/>
        </w:rPr>
        <w:t>zakresie materiału szkółkarskiego w</w:t>
      </w:r>
      <w:r w:rsidR="00933E4F" w:rsidRPr="006D6C9D">
        <w:rPr>
          <w:rFonts w:cs="Times New Roman"/>
          <w:szCs w:val="24"/>
        </w:rPr>
        <w:t xml:space="preserve"> </w:t>
      </w:r>
      <w:r w:rsidRPr="006D6C9D">
        <w:rPr>
          <w:rFonts w:cs="Times New Roman"/>
          <w:szCs w:val="24"/>
        </w:rPr>
        <w:t>odniesieniu do jego definicji zawartej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3 ust.</w:t>
      </w:r>
      <w:r w:rsidR="00933E4F" w:rsidRPr="006D6C9D">
        <w:rPr>
          <w:rFonts w:cs="Times New Roman"/>
          <w:szCs w:val="24"/>
        </w:rPr>
        <w:t xml:space="preserve"> </w:t>
      </w:r>
      <w:r w:rsidRPr="006D6C9D">
        <w:rPr>
          <w:rFonts w:cs="Times New Roman"/>
          <w:szCs w:val="24"/>
        </w:rPr>
        <w:t>1 pkt</w:t>
      </w:r>
      <w:r w:rsidR="00933E4F" w:rsidRPr="006D6C9D">
        <w:rPr>
          <w:rFonts w:cs="Times New Roman"/>
          <w:szCs w:val="24"/>
        </w:rPr>
        <w:t xml:space="preserve"> </w:t>
      </w:r>
      <w:r w:rsidRPr="006D6C9D">
        <w:rPr>
          <w:rFonts w:cs="Times New Roman"/>
          <w:szCs w:val="24"/>
        </w:rPr>
        <w:t>8 lit.</w:t>
      </w:r>
      <w:r w:rsidR="00933E4F" w:rsidRPr="006D6C9D">
        <w:rPr>
          <w:rFonts w:cs="Times New Roman"/>
          <w:szCs w:val="24"/>
        </w:rPr>
        <w:t xml:space="preserve"> </w:t>
      </w:r>
      <w:r w:rsidRPr="006D6C9D">
        <w:rPr>
          <w:rFonts w:cs="Times New Roman"/>
          <w:szCs w:val="24"/>
        </w:rPr>
        <w:t>d. Określenie „materiał siewny kategorii elitarny i</w:t>
      </w:r>
      <w:r w:rsidR="00933E4F" w:rsidRPr="006D6C9D">
        <w:rPr>
          <w:rFonts w:cs="Times New Roman"/>
          <w:szCs w:val="24"/>
        </w:rPr>
        <w:t xml:space="preserve"> </w:t>
      </w:r>
      <w:r w:rsidRPr="006D6C9D">
        <w:rPr>
          <w:rFonts w:cs="Times New Roman"/>
          <w:szCs w:val="24"/>
        </w:rPr>
        <w:t>kwalifikowany roślin sadowniczych” został zmieniony na „materiał szkółkarski kategorii elitarny i</w:t>
      </w:r>
      <w:r w:rsidR="00933E4F" w:rsidRPr="006D6C9D">
        <w:rPr>
          <w:rFonts w:cs="Times New Roman"/>
          <w:szCs w:val="24"/>
        </w:rPr>
        <w:t xml:space="preserve"> </w:t>
      </w:r>
      <w:r w:rsidRPr="006D6C9D">
        <w:rPr>
          <w:rFonts w:cs="Times New Roman"/>
          <w:szCs w:val="24"/>
        </w:rPr>
        <w:t>kwalifikowany”.</w:t>
      </w:r>
    </w:p>
    <w:p w:rsidR="00B82F17" w:rsidRPr="006D6C9D" w:rsidRDefault="00B82F17" w:rsidP="006D6C9D">
      <w:pPr>
        <w:widowControl/>
        <w:spacing w:before="120"/>
        <w:jc w:val="both"/>
        <w:rPr>
          <w:rFonts w:cs="Times New Roman"/>
          <w:szCs w:val="24"/>
        </w:rPr>
      </w:pPr>
      <w:r w:rsidRPr="006D6C9D">
        <w:rPr>
          <w:rFonts w:cs="Times New Roman"/>
          <w:szCs w:val="24"/>
        </w:rPr>
        <w:t>Przedmiotowy projekt ustawy zawiera również poprawki redakcyjne, porządkowe i</w:t>
      </w:r>
      <w:r w:rsidR="006D6C9D">
        <w:rPr>
          <w:rFonts w:cs="Times New Roman"/>
          <w:szCs w:val="24"/>
        </w:rPr>
        <w:t> </w:t>
      </w:r>
      <w:r w:rsidRPr="006D6C9D">
        <w:rPr>
          <w:rFonts w:cs="Times New Roman"/>
          <w:szCs w:val="24"/>
        </w:rPr>
        <w:t>techniczne (art. 3 ust.</w:t>
      </w:r>
      <w:r w:rsidR="00933E4F" w:rsidRPr="006D6C9D">
        <w:rPr>
          <w:rFonts w:cs="Times New Roman"/>
          <w:szCs w:val="24"/>
        </w:rPr>
        <w:t xml:space="preserve"> </w:t>
      </w:r>
      <w:r w:rsidRPr="006D6C9D">
        <w:rPr>
          <w:rFonts w:cs="Times New Roman"/>
          <w:szCs w:val="24"/>
        </w:rPr>
        <w:t>1 pkt</w:t>
      </w:r>
      <w:r w:rsidR="00933E4F" w:rsidRPr="006D6C9D">
        <w:rPr>
          <w:rFonts w:cs="Times New Roman"/>
          <w:szCs w:val="24"/>
        </w:rPr>
        <w:t xml:space="preserve"> </w:t>
      </w:r>
      <w:r w:rsidRPr="006D6C9D">
        <w:rPr>
          <w:rFonts w:cs="Times New Roman"/>
          <w:szCs w:val="24"/>
        </w:rPr>
        <w:t>8, art.</w:t>
      </w:r>
      <w:r w:rsidR="00933E4F" w:rsidRPr="006D6C9D">
        <w:rPr>
          <w:rFonts w:cs="Times New Roman"/>
          <w:szCs w:val="24"/>
        </w:rPr>
        <w:t xml:space="preserve"> </w:t>
      </w:r>
      <w:r w:rsidRPr="006D6C9D">
        <w:rPr>
          <w:rFonts w:cs="Times New Roman"/>
          <w:szCs w:val="24"/>
        </w:rPr>
        <w:t>32 ust.</w:t>
      </w:r>
      <w:r w:rsidR="00933E4F" w:rsidRPr="006D6C9D">
        <w:rPr>
          <w:rFonts w:cs="Times New Roman"/>
          <w:szCs w:val="24"/>
        </w:rPr>
        <w:t xml:space="preserve"> </w:t>
      </w:r>
      <w:r w:rsidRPr="006D6C9D">
        <w:rPr>
          <w:rFonts w:cs="Times New Roman"/>
          <w:szCs w:val="24"/>
        </w:rPr>
        <w:t>4</w:t>
      </w:r>
      <w:r w:rsidR="002D24A9">
        <w:rPr>
          <w:rFonts w:cs="Times New Roman"/>
          <w:szCs w:val="24"/>
        </w:rPr>
        <w:t xml:space="preserve"> i </w:t>
      </w:r>
      <w:r w:rsidRPr="006D6C9D">
        <w:rPr>
          <w:rFonts w:cs="Times New Roman"/>
          <w:szCs w:val="24"/>
        </w:rPr>
        <w:t>ust.</w:t>
      </w:r>
      <w:r w:rsidR="00933E4F" w:rsidRPr="006D6C9D">
        <w:rPr>
          <w:rFonts w:cs="Times New Roman"/>
          <w:szCs w:val="24"/>
        </w:rPr>
        <w:t xml:space="preserve"> </w:t>
      </w:r>
      <w:r w:rsidRPr="006D6C9D">
        <w:rPr>
          <w:rFonts w:cs="Times New Roman"/>
          <w:szCs w:val="24"/>
        </w:rPr>
        <w:t>5 pkt</w:t>
      </w:r>
      <w:r w:rsidR="00933E4F" w:rsidRPr="006D6C9D">
        <w:rPr>
          <w:rFonts w:cs="Times New Roman"/>
          <w:szCs w:val="24"/>
        </w:rPr>
        <w:t xml:space="preserve"> </w:t>
      </w:r>
      <w:r w:rsidRPr="006D6C9D">
        <w:rPr>
          <w:rFonts w:cs="Times New Roman"/>
          <w:szCs w:val="24"/>
        </w:rPr>
        <w:t>3, art.</w:t>
      </w:r>
      <w:r w:rsidR="006D6C9D">
        <w:rPr>
          <w:rFonts w:cs="Times New Roman"/>
          <w:szCs w:val="24"/>
        </w:rPr>
        <w:t> </w:t>
      </w:r>
      <w:r w:rsidRPr="006D6C9D">
        <w:rPr>
          <w:rFonts w:cs="Times New Roman"/>
          <w:szCs w:val="24"/>
        </w:rPr>
        <w:t>32a, art.</w:t>
      </w:r>
      <w:r w:rsidR="00933E4F" w:rsidRPr="006D6C9D">
        <w:rPr>
          <w:rFonts w:cs="Times New Roman"/>
          <w:szCs w:val="24"/>
        </w:rPr>
        <w:t xml:space="preserve"> </w:t>
      </w:r>
      <w:r w:rsidRPr="006D6C9D">
        <w:rPr>
          <w:rFonts w:cs="Times New Roman"/>
          <w:szCs w:val="24"/>
        </w:rPr>
        <w:t>67, art.</w:t>
      </w:r>
      <w:r w:rsidR="00933E4F" w:rsidRPr="006D6C9D">
        <w:rPr>
          <w:rFonts w:cs="Times New Roman"/>
          <w:szCs w:val="24"/>
        </w:rPr>
        <w:t xml:space="preserve"> </w:t>
      </w:r>
      <w:r w:rsidRPr="006D6C9D">
        <w:rPr>
          <w:rFonts w:cs="Times New Roman"/>
          <w:szCs w:val="24"/>
        </w:rPr>
        <w:t>81 ust.</w:t>
      </w:r>
      <w:r w:rsidR="00933E4F" w:rsidRPr="006D6C9D">
        <w:rPr>
          <w:rFonts w:cs="Times New Roman"/>
          <w:szCs w:val="24"/>
        </w:rPr>
        <w:t xml:space="preserve"> </w:t>
      </w:r>
      <w:r w:rsidRPr="006D6C9D">
        <w:rPr>
          <w:rFonts w:cs="Times New Roman"/>
          <w:szCs w:val="24"/>
        </w:rPr>
        <w:t>8, art.</w:t>
      </w:r>
      <w:r w:rsidR="00933E4F" w:rsidRPr="006D6C9D">
        <w:rPr>
          <w:rFonts w:cs="Times New Roman"/>
          <w:szCs w:val="24"/>
        </w:rPr>
        <w:t xml:space="preserve"> </w:t>
      </w:r>
      <w:r w:rsidRPr="006D6C9D">
        <w:rPr>
          <w:rFonts w:cs="Times New Roman"/>
          <w:szCs w:val="24"/>
        </w:rPr>
        <w:t>83 ust.</w:t>
      </w:r>
      <w:r w:rsidR="00933E4F" w:rsidRPr="006D6C9D">
        <w:rPr>
          <w:rFonts w:cs="Times New Roman"/>
          <w:szCs w:val="24"/>
        </w:rPr>
        <w:t xml:space="preserve"> </w:t>
      </w:r>
      <w:r w:rsidRPr="006D6C9D">
        <w:rPr>
          <w:rFonts w:cs="Times New Roman"/>
          <w:szCs w:val="24"/>
        </w:rPr>
        <w:t>2, art.</w:t>
      </w:r>
      <w:r w:rsidR="00933E4F" w:rsidRPr="006D6C9D">
        <w:rPr>
          <w:rFonts w:cs="Times New Roman"/>
          <w:szCs w:val="24"/>
        </w:rPr>
        <w:t xml:space="preserve"> </w:t>
      </w:r>
      <w:r w:rsidRPr="006D6C9D">
        <w:rPr>
          <w:rFonts w:cs="Times New Roman"/>
          <w:szCs w:val="24"/>
        </w:rPr>
        <w:t>104 ust.</w:t>
      </w:r>
      <w:r w:rsidR="00933E4F" w:rsidRPr="006D6C9D">
        <w:rPr>
          <w:rFonts w:cs="Times New Roman"/>
          <w:szCs w:val="24"/>
        </w:rPr>
        <w:t xml:space="preserve"> </w:t>
      </w:r>
      <w:r w:rsidRPr="006D6C9D">
        <w:rPr>
          <w:rFonts w:cs="Times New Roman"/>
          <w:szCs w:val="24"/>
        </w:rPr>
        <w:t>1 pkt</w:t>
      </w:r>
      <w:r w:rsidR="00933E4F" w:rsidRPr="006D6C9D">
        <w:rPr>
          <w:rFonts w:cs="Times New Roman"/>
          <w:szCs w:val="24"/>
        </w:rPr>
        <w:t xml:space="preserve"> </w:t>
      </w:r>
      <w:r w:rsidRPr="006D6C9D">
        <w:rPr>
          <w:rFonts w:cs="Times New Roman"/>
          <w:szCs w:val="24"/>
        </w:rPr>
        <w:t>21</w:t>
      </w:r>
      <w:r w:rsidR="002D24A9">
        <w:rPr>
          <w:rFonts w:cs="Times New Roman"/>
          <w:szCs w:val="24"/>
        </w:rPr>
        <w:t xml:space="preserve"> i </w:t>
      </w:r>
      <w:r w:rsidRPr="006D6C9D">
        <w:rPr>
          <w:rFonts w:cs="Times New Roman"/>
          <w:szCs w:val="24"/>
        </w:rPr>
        <w:t xml:space="preserve"> ust.</w:t>
      </w:r>
      <w:r w:rsidR="00933E4F" w:rsidRPr="006D6C9D">
        <w:rPr>
          <w:rFonts w:cs="Times New Roman"/>
          <w:szCs w:val="24"/>
        </w:rPr>
        <w:t xml:space="preserve"> </w:t>
      </w:r>
      <w:r w:rsidRPr="006D6C9D">
        <w:rPr>
          <w:rFonts w:cs="Times New Roman"/>
          <w:szCs w:val="24"/>
        </w:rPr>
        <w:t>7, art.</w:t>
      </w:r>
      <w:r w:rsidR="006D6C9D">
        <w:rPr>
          <w:rFonts w:cs="Times New Roman"/>
          <w:szCs w:val="24"/>
        </w:rPr>
        <w:t> </w:t>
      </w:r>
      <w:r w:rsidRPr="006D6C9D">
        <w:rPr>
          <w:rFonts w:cs="Times New Roman"/>
          <w:szCs w:val="24"/>
        </w:rPr>
        <w:t>126</w:t>
      </w:r>
      <w:r w:rsidR="00933E4F" w:rsidRPr="006D6C9D">
        <w:rPr>
          <w:rFonts w:cs="Times New Roman"/>
          <w:szCs w:val="24"/>
        </w:rPr>
        <w:t xml:space="preserve"> </w:t>
      </w:r>
      <w:r w:rsidRPr="006D6C9D">
        <w:rPr>
          <w:rFonts w:cs="Times New Roman"/>
          <w:szCs w:val="24"/>
        </w:rPr>
        <w:t>ust</w:t>
      </w:r>
      <w:r w:rsidR="00132D89">
        <w:rPr>
          <w:rFonts w:cs="Times New Roman"/>
          <w:szCs w:val="24"/>
        </w:rPr>
        <w:t>.</w:t>
      </w:r>
      <w:r w:rsidRPr="006D6C9D">
        <w:rPr>
          <w:rFonts w:cs="Times New Roman"/>
          <w:szCs w:val="24"/>
        </w:rPr>
        <w:t xml:space="preserve"> 1 pkt</w:t>
      </w:r>
      <w:r w:rsidR="00933E4F" w:rsidRPr="006D6C9D">
        <w:rPr>
          <w:rFonts w:cs="Times New Roman"/>
          <w:szCs w:val="24"/>
        </w:rPr>
        <w:t xml:space="preserve"> </w:t>
      </w:r>
      <w:r w:rsidRPr="006D6C9D">
        <w:rPr>
          <w:rFonts w:cs="Times New Roman"/>
          <w:szCs w:val="24"/>
        </w:rPr>
        <w:t>7, 12 i</w:t>
      </w:r>
      <w:r w:rsidR="00933E4F" w:rsidRPr="006D6C9D">
        <w:rPr>
          <w:rFonts w:cs="Times New Roman"/>
          <w:szCs w:val="24"/>
        </w:rPr>
        <w:t xml:space="preserve"> </w:t>
      </w:r>
      <w:r w:rsidRPr="006D6C9D">
        <w:rPr>
          <w:rFonts w:cs="Times New Roman"/>
          <w:szCs w:val="24"/>
        </w:rPr>
        <w:t>33).</w:t>
      </w:r>
    </w:p>
    <w:p w:rsidR="00B82F17" w:rsidRPr="006D6C9D" w:rsidRDefault="00B82F17" w:rsidP="006D6C9D">
      <w:pPr>
        <w:widowControl/>
        <w:spacing w:before="120"/>
        <w:jc w:val="both"/>
        <w:rPr>
          <w:rFonts w:cs="Times New Roman"/>
          <w:szCs w:val="24"/>
        </w:rPr>
      </w:pPr>
      <w:r w:rsidRPr="006D6C9D">
        <w:rPr>
          <w:rFonts w:cs="Times New Roman"/>
          <w:szCs w:val="24"/>
        </w:rPr>
        <w:t>Wprowadzenie w</w:t>
      </w:r>
      <w:r w:rsidR="00933E4F" w:rsidRPr="006D6C9D">
        <w:rPr>
          <w:rFonts w:cs="Times New Roman"/>
          <w:szCs w:val="24"/>
        </w:rPr>
        <w:t xml:space="preserve"> </w:t>
      </w:r>
      <w:r w:rsidRPr="006D6C9D">
        <w:rPr>
          <w:rFonts w:cs="Times New Roman"/>
          <w:szCs w:val="24"/>
        </w:rPr>
        <w:t>projektowanej ustawie zmiany w art.</w:t>
      </w:r>
      <w:r w:rsidR="00933E4F" w:rsidRPr="006D6C9D">
        <w:rPr>
          <w:rFonts w:cs="Times New Roman"/>
          <w:szCs w:val="24"/>
        </w:rPr>
        <w:t xml:space="preserve"> </w:t>
      </w:r>
      <w:r w:rsidRPr="006D6C9D">
        <w:rPr>
          <w:rFonts w:cs="Times New Roman"/>
          <w:szCs w:val="24"/>
        </w:rPr>
        <w:t>86 ust.</w:t>
      </w:r>
      <w:r w:rsidR="00933E4F" w:rsidRPr="006D6C9D">
        <w:rPr>
          <w:rFonts w:cs="Times New Roman"/>
          <w:szCs w:val="24"/>
        </w:rPr>
        <w:t xml:space="preserve"> </w:t>
      </w:r>
      <w:r w:rsidRPr="006D6C9D">
        <w:rPr>
          <w:rFonts w:cs="Times New Roman"/>
          <w:szCs w:val="24"/>
        </w:rPr>
        <w:t>1 i</w:t>
      </w:r>
      <w:r w:rsidR="00933E4F" w:rsidRPr="006D6C9D">
        <w:rPr>
          <w:rFonts w:cs="Times New Roman"/>
          <w:szCs w:val="24"/>
        </w:rPr>
        <w:t xml:space="preserve"> </w:t>
      </w:r>
      <w:r w:rsidRPr="006D6C9D">
        <w:rPr>
          <w:rFonts w:cs="Times New Roman"/>
          <w:szCs w:val="24"/>
        </w:rPr>
        <w:t>2</w:t>
      </w:r>
      <w:r w:rsidR="00933E4F" w:rsidRPr="006D6C9D">
        <w:rPr>
          <w:rFonts w:cs="Times New Roman"/>
          <w:szCs w:val="24"/>
        </w:rPr>
        <w:t xml:space="preserve"> </w:t>
      </w:r>
      <w:r w:rsidRPr="006D6C9D">
        <w:rPr>
          <w:rFonts w:cs="Times New Roman"/>
          <w:szCs w:val="24"/>
        </w:rPr>
        <w:t>obowiązującej ustawy z</w:t>
      </w:r>
      <w:r w:rsidR="00933E4F" w:rsidRPr="006D6C9D">
        <w:rPr>
          <w:rFonts w:cs="Times New Roman"/>
          <w:szCs w:val="24"/>
        </w:rPr>
        <w:t xml:space="preserve"> </w:t>
      </w:r>
      <w:r w:rsidRPr="006D6C9D">
        <w:rPr>
          <w:rFonts w:cs="Times New Roman"/>
          <w:szCs w:val="24"/>
        </w:rPr>
        <w:t>dnia 18</w:t>
      </w:r>
      <w:r w:rsidR="00933E4F" w:rsidRPr="006D6C9D">
        <w:rPr>
          <w:rFonts w:cs="Times New Roman"/>
          <w:szCs w:val="24"/>
        </w:rPr>
        <w:t xml:space="preserve"> </w:t>
      </w:r>
      <w:r w:rsidRPr="006D6C9D">
        <w:rPr>
          <w:rFonts w:cs="Times New Roman"/>
          <w:szCs w:val="24"/>
        </w:rPr>
        <w:t>grudnia 2003</w:t>
      </w:r>
      <w:r w:rsidR="00933E4F" w:rsidRPr="006D6C9D">
        <w:rPr>
          <w:rFonts w:cs="Times New Roman"/>
          <w:szCs w:val="24"/>
        </w:rPr>
        <w:t xml:space="preserve"> </w:t>
      </w:r>
      <w:r w:rsidRPr="006D6C9D">
        <w:rPr>
          <w:rFonts w:cs="Times New Roman"/>
          <w:szCs w:val="24"/>
        </w:rPr>
        <w:t>r. o</w:t>
      </w:r>
      <w:r w:rsidR="00933E4F" w:rsidRPr="006D6C9D">
        <w:rPr>
          <w:rFonts w:cs="Times New Roman"/>
          <w:szCs w:val="24"/>
        </w:rPr>
        <w:t xml:space="preserve"> </w:t>
      </w:r>
      <w:r w:rsidRPr="006D6C9D">
        <w:rPr>
          <w:rFonts w:cs="Times New Roman"/>
          <w:szCs w:val="24"/>
        </w:rPr>
        <w:t>ochronie roślin polegającej na dodaniu organów państw członkowskich Unii Europejskiej do listy organów, z</w:t>
      </w:r>
      <w:r w:rsidR="00933E4F" w:rsidRPr="006D6C9D">
        <w:rPr>
          <w:rFonts w:cs="Times New Roman"/>
          <w:szCs w:val="24"/>
        </w:rPr>
        <w:t xml:space="preserve"> </w:t>
      </w:r>
      <w:r w:rsidRPr="006D6C9D">
        <w:rPr>
          <w:rFonts w:cs="Times New Roman"/>
          <w:szCs w:val="24"/>
        </w:rPr>
        <w:t>którymi kontaktuje się Główny Inspektor Ochrony Roślin i</w:t>
      </w:r>
      <w:r w:rsidR="00933E4F" w:rsidRPr="006D6C9D">
        <w:rPr>
          <w:rFonts w:cs="Times New Roman"/>
          <w:szCs w:val="24"/>
        </w:rPr>
        <w:t xml:space="preserve"> </w:t>
      </w:r>
      <w:r w:rsidRPr="006D6C9D">
        <w:rPr>
          <w:rFonts w:cs="Times New Roman"/>
          <w:szCs w:val="24"/>
        </w:rPr>
        <w:t>Nasiennictwa jest związane z</w:t>
      </w:r>
      <w:r w:rsidR="00933E4F" w:rsidRPr="006D6C9D">
        <w:rPr>
          <w:rFonts w:cs="Times New Roman"/>
          <w:szCs w:val="24"/>
        </w:rPr>
        <w:t xml:space="preserve"> </w:t>
      </w:r>
      <w:r w:rsidRPr="006D6C9D">
        <w:rPr>
          <w:rFonts w:cs="Times New Roman"/>
          <w:szCs w:val="24"/>
        </w:rPr>
        <w:t>koniecznością zapewnienia zgodności prawa krajowego z</w:t>
      </w:r>
      <w:r w:rsidR="00933E4F" w:rsidRPr="006D6C9D">
        <w:rPr>
          <w:rFonts w:cs="Times New Roman"/>
          <w:szCs w:val="24"/>
        </w:rPr>
        <w:t xml:space="preserve"> </w:t>
      </w:r>
      <w:r w:rsidRPr="006D6C9D">
        <w:rPr>
          <w:rFonts w:cs="Times New Roman"/>
          <w:szCs w:val="24"/>
        </w:rPr>
        <w:t>regulacjami Unii Europejskiej w obszarze ochrony roślin. Wydawane przez Komisję Europejską decyzje wykonawcze odnoszące się do zwalczania lub zapobiegania rozprzestrzenianiu się organizmów szkodliwych na terenie Unii Europejskiej coraz częściej nakładają na państwa członkowskie obowiązek wymiany informacji o</w:t>
      </w:r>
      <w:r w:rsidR="00933E4F" w:rsidRPr="006D6C9D">
        <w:rPr>
          <w:rFonts w:cs="Times New Roman"/>
          <w:szCs w:val="24"/>
        </w:rPr>
        <w:t xml:space="preserve"> </w:t>
      </w:r>
      <w:r w:rsidRPr="006D6C9D">
        <w:rPr>
          <w:rFonts w:cs="Times New Roman"/>
          <w:szCs w:val="24"/>
        </w:rPr>
        <w:t>zwalczaniu agrofagów pomiędzy tymi państwami, a</w:t>
      </w:r>
      <w:r w:rsidR="00933E4F" w:rsidRPr="006D6C9D">
        <w:rPr>
          <w:rFonts w:cs="Times New Roman"/>
          <w:szCs w:val="24"/>
        </w:rPr>
        <w:t xml:space="preserve"> </w:t>
      </w:r>
      <w:r w:rsidRPr="006D6C9D">
        <w:rPr>
          <w:rFonts w:cs="Times New Roman"/>
          <w:szCs w:val="24"/>
        </w:rPr>
        <w:t>także informowanie państw trzecich. Wdrożenie wyżej wymienionych przepisów w</w:t>
      </w:r>
      <w:r w:rsidR="00933E4F" w:rsidRPr="006D6C9D">
        <w:rPr>
          <w:rFonts w:cs="Times New Roman"/>
          <w:szCs w:val="24"/>
        </w:rPr>
        <w:t xml:space="preserve"> </w:t>
      </w:r>
      <w:r w:rsidRPr="006D6C9D">
        <w:rPr>
          <w:rFonts w:cs="Times New Roman"/>
          <w:szCs w:val="24"/>
        </w:rPr>
        <w:t>oparciu o</w:t>
      </w:r>
      <w:r w:rsidR="006D6C9D">
        <w:rPr>
          <w:rFonts w:cs="Times New Roman"/>
          <w:szCs w:val="24"/>
        </w:rPr>
        <w:t> </w:t>
      </w:r>
      <w:r w:rsidRPr="006D6C9D">
        <w:rPr>
          <w:rFonts w:cs="Times New Roman"/>
          <w:szCs w:val="24"/>
        </w:rPr>
        <w:t xml:space="preserve">aktualnie obowiązujące upoważnienia do wydania rozporządzenia nie jest możliwe, </w:t>
      </w:r>
      <w:r w:rsidRPr="006D6C9D">
        <w:rPr>
          <w:rFonts w:cs="Times New Roman"/>
          <w:szCs w:val="24"/>
        </w:rPr>
        <w:lastRenderedPageBreak/>
        <w:t>stąd konieczność wprowadzenia w</w:t>
      </w:r>
      <w:r w:rsidR="00933E4F" w:rsidRPr="006D6C9D">
        <w:rPr>
          <w:rFonts w:cs="Times New Roman"/>
          <w:szCs w:val="24"/>
        </w:rPr>
        <w:t xml:space="preserve"> </w:t>
      </w:r>
      <w:r w:rsidRPr="006D6C9D">
        <w:rPr>
          <w:rFonts w:cs="Times New Roman"/>
          <w:szCs w:val="24"/>
        </w:rPr>
        <w:t>obowiązującej ustawie z</w:t>
      </w:r>
      <w:r w:rsidR="00933E4F" w:rsidRPr="006D6C9D">
        <w:rPr>
          <w:rFonts w:cs="Times New Roman"/>
          <w:szCs w:val="24"/>
        </w:rPr>
        <w:t xml:space="preserve"> </w:t>
      </w:r>
      <w:r w:rsidRPr="006D6C9D">
        <w:rPr>
          <w:rFonts w:cs="Times New Roman"/>
          <w:szCs w:val="24"/>
        </w:rPr>
        <w:t>dnia 18</w:t>
      </w:r>
      <w:r w:rsidR="00933E4F" w:rsidRPr="006D6C9D">
        <w:rPr>
          <w:rFonts w:cs="Times New Roman"/>
          <w:szCs w:val="24"/>
        </w:rPr>
        <w:t xml:space="preserve"> </w:t>
      </w:r>
      <w:r w:rsidRPr="006D6C9D">
        <w:rPr>
          <w:rFonts w:cs="Times New Roman"/>
          <w:szCs w:val="24"/>
        </w:rPr>
        <w:t>grudnia 2003</w:t>
      </w:r>
      <w:r w:rsidR="00933E4F" w:rsidRPr="006D6C9D">
        <w:rPr>
          <w:rFonts w:cs="Times New Roman"/>
          <w:szCs w:val="24"/>
        </w:rPr>
        <w:t xml:space="preserve"> </w:t>
      </w:r>
      <w:r w:rsidRPr="006D6C9D">
        <w:rPr>
          <w:rFonts w:cs="Times New Roman"/>
          <w:szCs w:val="24"/>
        </w:rPr>
        <w:t>r. o</w:t>
      </w:r>
      <w:r w:rsidR="006D6C9D">
        <w:rPr>
          <w:rFonts w:cs="Times New Roman"/>
          <w:szCs w:val="24"/>
        </w:rPr>
        <w:t> </w:t>
      </w:r>
      <w:r w:rsidRPr="006D6C9D">
        <w:rPr>
          <w:rFonts w:cs="Times New Roman"/>
          <w:szCs w:val="24"/>
        </w:rPr>
        <w:t>ochronie roślin zmian, które pozwolą Głównemu Inspektorowi Ochrony Roślin i</w:t>
      </w:r>
      <w:r w:rsidR="006D6C9D">
        <w:rPr>
          <w:rFonts w:cs="Times New Roman"/>
          <w:szCs w:val="24"/>
        </w:rPr>
        <w:t> </w:t>
      </w:r>
      <w:r w:rsidRPr="006D6C9D">
        <w:rPr>
          <w:rFonts w:cs="Times New Roman"/>
          <w:szCs w:val="24"/>
        </w:rPr>
        <w:t>Nasiennictwa zrealizować obowiązek informacyjny wobec państw członkowskich Unii Europejskiej.</w:t>
      </w:r>
    </w:p>
    <w:p w:rsidR="00B82F17" w:rsidRPr="006D6C9D" w:rsidRDefault="00B82F17" w:rsidP="006D6C9D">
      <w:pPr>
        <w:widowControl/>
        <w:spacing w:before="120"/>
        <w:jc w:val="both"/>
        <w:rPr>
          <w:rFonts w:cs="Times New Roman"/>
          <w:szCs w:val="24"/>
        </w:rPr>
      </w:pPr>
      <w:r w:rsidRPr="006D6C9D">
        <w:rPr>
          <w:rFonts w:cs="Times New Roman"/>
          <w:szCs w:val="24"/>
        </w:rPr>
        <w:t>Stosownie do art.</w:t>
      </w:r>
      <w:r w:rsidR="00933E4F" w:rsidRPr="006D6C9D">
        <w:rPr>
          <w:rFonts w:cs="Times New Roman"/>
          <w:szCs w:val="24"/>
        </w:rPr>
        <w:t xml:space="preserve"> </w:t>
      </w:r>
      <w:r w:rsidRPr="006D6C9D">
        <w:rPr>
          <w:rFonts w:cs="Times New Roman"/>
          <w:szCs w:val="24"/>
        </w:rPr>
        <w:t>91 obowiązującej</w:t>
      </w:r>
      <w:r w:rsidR="00933E4F" w:rsidRPr="006D6C9D">
        <w:rPr>
          <w:rFonts w:cs="Times New Roman"/>
          <w:szCs w:val="24"/>
        </w:rPr>
        <w:t xml:space="preserve"> </w:t>
      </w:r>
      <w:r w:rsidRPr="006D6C9D">
        <w:rPr>
          <w:rFonts w:cs="Times New Roman"/>
          <w:szCs w:val="24"/>
        </w:rPr>
        <w:t>ustawy o</w:t>
      </w:r>
      <w:r w:rsidR="00933E4F" w:rsidRPr="006D6C9D">
        <w:rPr>
          <w:rFonts w:cs="Times New Roman"/>
          <w:szCs w:val="24"/>
        </w:rPr>
        <w:t xml:space="preserve"> </w:t>
      </w:r>
      <w:r w:rsidRPr="006D6C9D">
        <w:rPr>
          <w:rFonts w:cs="Times New Roman"/>
          <w:szCs w:val="24"/>
        </w:rPr>
        <w:t>ochronie roślin, Główny Inspektor Ochrony Roślin i Nasiennictwa i</w:t>
      </w:r>
      <w:r w:rsidR="00933E4F" w:rsidRPr="006D6C9D">
        <w:rPr>
          <w:rFonts w:cs="Times New Roman"/>
          <w:szCs w:val="24"/>
        </w:rPr>
        <w:t xml:space="preserve"> </w:t>
      </w:r>
      <w:r w:rsidRPr="006D6C9D">
        <w:rPr>
          <w:rFonts w:cs="Times New Roman"/>
          <w:szCs w:val="24"/>
        </w:rPr>
        <w:t>wojewódzki inspektor ochrony roślin i nasiennictwa mogą na piśmie upoważnić pracowników Inspekcji do załatwiania spraw w</w:t>
      </w:r>
      <w:r w:rsidR="00933E4F" w:rsidRPr="006D6C9D">
        <w:rPr>
          <w:rFonts w:cs="Times New Roman"/>
          <w:szCs w:val="24"/>
        </w:rPr>
        <w:t xml:space="preserve"> </w:t>
      </w:r>
      <w:r w:rsidRPr="006D6C9D">
        <w:rPr>
          <w:rFonts w:cs="Times New Roman"/>
          <w:szCs w:val="24"/>
        </w:rPr>
        <w:t>ich imieniu, w</w:t>
      </w:r>
      <w:r w:rsidR="00933E4F" w:rsidRPr="006D6C9D">
        <w:rPr>
          <w:rFonts w:cs="Times New Roman"/>
          <w:szCs w:val="24"/>
        </w:rPr>
        <w:t xml:space="preserve"> </w:t>
      </w:r>
      <w:r w:rsidRPr="006D6C9D">
        <w:rPr>
          <w:rFonts w:cs="Times New Roman"/>
          <w:szCs w:val="24"/>
        </w:rPr>
        <w:t>tym do przeprowadzania czynności kontrolnych i</w:t>
      </w:r>
      <w:r w:rsidR="00933E4F" w:rsidRPr="006D6C9D">
        <w:rPr>
          <w:rFonts w:cs="Times New Roman"/>
          <w:szCs w:val="24"/>
        </w:rPr>
        <w:t xml:space="preserve"> </w:t>
      </w:r>
      <w:r w:rsidRPr="006D6C9D">
        <w:rPr>
          <w:rFonts w:cs="Times New Roman"/>
          <w:szCs w:val="24"/>
        </w:rPr>
        <w:t>wydawania decyzji administracyjnych oraz prowadzą rejestr tych upoważnień. Art. 91 ust.</w:t>
      </w:r>
      <w:r w:rsidR="00933E4F" w:rsidRPr="006D6C9D">
        <w:rPr>
          <w:rFonts w:cs="Times New Roman"/>
          <w:szCs w:val="24"/>
        </w:rPr>
        <w:t xml:space="preserve"> </w:t>
      </w:r>
      <w:r w:rsidRPr="006D6C9D">
        <w:rPr>
          <w:rFonts w:cs="Times New Roman"/>
          <w:szCs w:val="24"/>
        </w:rPr>
        <w:t>4 obowiązującej</w:t>
      </w:r>
      <w:r w:rsidR="00933E4F" w:rsidRPr="006D6C9D">
        <w:rPr>
          <w:rFonts w:cs="Times New Roman"/>
          <w:szCs w:val="24"/>
        </w:rPr>
        <w:t xml:space="preserve"> </w:t>
      </w:r>
      <w:r w:rsidRPr="006D6C9D">
        <w:rPr>
          <w:rFonts w:cs="Times New Roman"/>
          <w:szCs w:val="24"/>
        </w:rPr>
        <w:t>ustawy o</w:t>
      </w:r>
      <w:r w:rsidR="00933E4F" w:rsidRPr="006D6C9D">
        <w:rPr>
          <w:rFonts w:cs="Times New Roman"/>
          <w:szCs w:val="24"/>
        </w:rPr>
        <w:t xml:space="preserve"> </w:t>
      </w:r>
      <w:r w:rsidRPr="006D6C9D">
        <w:rPr>
          <w:rFonts w:cs="Times New Roman"/>
          <w:szCs w:val="24"/>
        </w:rPr>
        <w:t>ochronie roślin określa, jakie dane zawiera upoważnienie do czynności kontrolnych wykonywanych przez państwowego inspektora. Natomiast przepis art.</w:t>
      </w:r>
      <w:r w:rsidR="00933E4F" w:rsidRPr="006D6C9D">
        <w:rPr>
          <w:rFonts w:cs="Times New Roman"/>
          <w:szCs w:val="24"/>
        </w:rPr>
        <w:t xml:space="preserve"> </w:t>
      </w:r>
      <w:r w:rsidRPr="006D6C9D">
        <w:rPr>
          <w:rFonts w:cs="Times New Roman"/>
          <w:szCs w:val="24"/>
        </w:rPr>
        <w:t>91 ust.</w:t>
      </w:r>
      <w:r w:rsidR="00933E4F" w:rsidRPr="006D6C9D">
        <w:rPr>
          <w:rFonts w:cs="Times New Roman"/>
          <w:szCs w:val="24"/>
        </w:rPr>
        <w:t xml:space="preserve"> </w:t>
      </w:r>
      <w:r w:rsidRPr="006D6C9D">
        <w:rPr>
          <w:rFonts w:cs="Times New Roman"/>
          <w:szCs w:val="24"/>
        </w:rPr>
        <w:t>4a ustawy o</w:t>
      </w:r>
      <w:r w:rsidR="00933E4F" w:rsidRPr="006D6C9D">
        <w:rPr>
          <w:rFonts w:cs="Times New Roman"/>
          <w:szCs w:val="24"/>
        </w:rPr>
        <w:t xml:space="preserve"> </w:t>
      </w:r>
      <w:r w:rsidRPr="006D6C9D">
        <w:rPr>
          <w:rFonts w:cs="Times New Roman"/>
          <w:szCs w:val="24"/>
        </w:rPr>
        <w:t>ochronie roślin reguluje, jakie informacje poza tymi wskazanymi w</w:t>
      </w:r>
      <w:r w:rsidR="00933E4F" w:rsidRPr="006D6C9D">
        <w:rPr>
          <w:rFonts w:cs="Times New Roman"/>
          <w:szCs w:val="24"/>
        </w:rPr>
        <w:t xml:space="preserve"> </w:t>
      </w:r>
      <w:r w:rsidRPr="006D6C9D">
        <w:rPr>
          <w:rFonts w:cs="Times New Roman"/>
          <w:szCs w:val="24"/>
        </w:rPr>
        <w:t>ust.</w:t>
      </w:r>
      <w:r w:rsidR="00933E4F" w:rsidRPr="006D6C9D">
        <w:rPr>
          <w:rFonts w:cs="Times New Roman"/>
          <w:szCs w:val="24"/>
        </w:rPr>
        <w:t xml:space="preserve"> </w:t>
      </w:r>
      <w:r w:rsidRPr="006D6C9D">
        <w:rPr>
          <w:rFonts w:cs="Times New Roman"/>
          <w:szCs w:val="24"/>
        </w:rPr>
        <w:t>4</w:t>
      </w:r>
      <w:r w:rsidR="00933E4F" w:rsidRPr="006D6C9D">
        <w:rPr>
          <w:rFonts w:cs="Times New Roman"/>
          <w:szCs w:val="24"/>
        </w:rPr>
        <w:t xml:space="preserve"> </w:t>
      </w:r>
      <w:r w:rsidRPr="006D6C9D">
        <w:rPr>
          <w:rFonts w:cs="Times New Roman"/>
          <w:szCs w:val="24"/>
        </w:rPr>
        <w:t>powinno zawierać upoważnienie do czynności kontrolnych wykonywanych przez państwowego inspektora, inspekcji ochrony roślin i nasiennictwa. Przepis ten został dodany ustawą z</w:t>
      </w:r>
      <w:r w:rsidR="00933E4F" w:rsidRPr="006D6C9D">
        <w:rPr>
          <w:rFonts w:cs="Times New Roman"/>
          <w:szCs w:val="24"/>
        </w:rPr>
        <w:t xml:space="preserve"> </w:t>
      </w:r>
      <w:r w:rsidRPr="006D6C9D">
        <w:rPr>
          <w:rFonts w:cs="Times New Roman"/>
          <w:szCs w:val="24"/>
        </w:rPr>
        <w:t>dnia 30</w:t>
      </w:r>
      <w:r w:rsidR="00933E4F" w:rsidRPr="006D6C9D">
        <w:rPr>
          <w:rFonts w:cs="Times New Roman"/>
          <w:szCs w:val="24"/>
        </w:rPr>
        <w:t xml:space="preserve"> </w:t>
      </w:r>
      <w:r w:rsidRPr="006D6C9D">
        <w:rPr>
          <w:rFonts w:cs="Times New Roman"/>
          <w:szCs w:val="24"/>
        </w:rPr>
        <w:t>marca 2007</w:t>
      </w:r>
      <w:r w:rsidR="00933E4F" w:rsidRPr="006D6C9D">
        <w:rPr>
          <w:rFonts w:cs="Times New Roman"/>
          <w:szCs w:val="24"/>
        </w:rPr>
        <w:t xml:space="preserve"> </w:t>
      </w:r>
      <w:r w:rsidRPr="006D6C9D">
        <w:rPr>
          <w:rFonts w:cs="Times New Roman"/>
          <w:szCs w:val="24"/>
        </w:rPr>
        <w:t>r. o</w:t>
      </w:r>
      <w:r w:rsidR="00933E4F" w:rsidRPr="006D6C9D">
        <w:rPr>
          <w:rFonts w:cs="Times New Roman"/>
          <w:szCs w:val="24"/>
        </w:rPr>
        <w:t xml:space="preserve"> </w:t>
      </w:r>
      <w:r w:rsidRPr="006D6C9D">
        <w:rPr>
          <w:rFonts w:cs="Times New Roman"/>
          <w:szCs w:val="24"/>
        </w:rPr>
        <w:t>zmianie ustawy o</w:t>
      </w:r>
      <w:r w:rsidR="00933E4F" w:rsidRPr="006D6C9D">
        <w:rPr>
          <w:rFonts w:cs="Times New Roman"/>
          <w:szCs w:val="24"/>
        </w:rPr>
        <w:t xml:space="preserve"> </w:t>
      </w:r>
      <w:r w:rsidRPr="006D6C9D">
        <w:rPr>
          <w:rFonts w:cs="Times New Roman"/>
          <w:szCs w:val="24"/>
        </w:rPr>
        <w:t>ochronie roślin oraz niektórych innych ustaw (Dz.</w:t>
      </w:r>
      <w:r w:rsidR="00933E4F" w:rsidRPr="006D6C9D">
        <w:rPr>
          <w:rFonts w:cs="Times New Roman"/>
          <w:szCs w:val="24"/>
        </w:rPr>
        <w:t xml:space="preserve"> </w:t>
      </w:r>
      <w:r w:rsidRPr="006D6C9D">
        <w:rPr>
          <w:rFonts w:cs="Times New Roman"/>
          <w:szCs w:val="24"/>
        </w:rPr>
        <w:t>U. poz.</w:t>
      </w:r>
      <w:r w:rsidR="00933E4F" w:rsidRPr="006D6C9D">
        <w:rPr>
          <w:rFonts w:cs="Times New Roman"/>
          <w:szCs w:val="24"/>
        </w:rPr>
        <w:t xml:space="preserve"> </w:t>
      </w:r>
      <w:r w:rsidRPr="006D6C9D">
        <w:rPr>
          <w:rFonts w:cs="Times New Roman"/>
          <w:szCs w:val="24"/>
        </w:rPr>
        <w:t>541). Na podstawie wyżej wymienionych przepisów państwowy inspektor inspekcji ochrony roślin i nasiennictwa przed przystąpieniem do czynności kontrolnych okazuje legitymację służbową, upoważnienie wydane na podstawie art.</w:t>
      </w:r>
      <w:r w:rsidR="00933E4F" w:rsidRPr="006D6C9D">
        <w:rPr>
          <w:rFonts w:cs="Times New Roman"/>
          <w:szCs w:val="24"/>
        </w:rPr>
        <w:t xml:space="preserve"> </w:t>
      </w:r>
      <w:r w:rsidRPr="006D6C9D">
        <w:rPr>
          <w:rFonts w:cs="Times New Roman"/>
          <w:szCs w:val="24"/>
        </w:rPr>
        <w:t>91 ust.</w:t>
      </w:r>
      <w:r w:rsidR="00933E4F" w:rsidRPr="006D6C9D">
        <w:rPr>
          <w:rFonts w:cs="Times New Roman"/>
          <w:szCs w:val="24"/>
        </w:rPr>
        <w:t xml:space="preserve"> </w:t>
      </w:r>
      <w:r w:rsidRPr="006D6C9D">
        <w:rPr>
          <w:rFonts w:cs="Times New Roman"/>
          <w:szCs w:val="24"/>
        </w:rPr>
        <w:t>4 ustawy o ochronie roślin oraz upoważnienie wydane na podstawie art.</w:t>
      </w:r>
      <w:r w:rsidR="00933E4F" w:rsidRPr="006D6C9D">
        <w:rPr>
          <w:rFonts w:cs="Times New Roman"/>
          <w:szCs w:val="24"/>
        </w:rPr>
        <w:t xml:space="preserve"> </w:t>
      </w:r>
      <w:r w:rsidRPr="006D6C9D">
        <w:rPr>
          <w:rFonts w:cs="Times New Roman"/>
          <w:szCs w:val="24"/>
        </w:rPr>
        <w:t>91 ust.</w:t>
      </w:r>
      <w:r w:rsidR="00933E4F" w:rsidRPr="006D6C9D">
        <w:rPr>
          <w:rFonts w:cs="Times New Roman"/>
          <w:szCs w:val="24"/>
        </w:rPr>
        <w:t xml:space="preserve"> </w:t>
      </w:r>
      <w:r w:rsidRPr="006D6C9D">
        <w:rPr>
          <w:rFonts w:cs="Times New Roman"/>
          <w:szCs w:val="24"/>
        </w:rPr>
        <w:t>4a tej ustawy. Stosownie do art.</w:t>
      </w:r>
      <w:r w:rsidR="00933E4F" w:rsidRPr="006D6C9D">
        <w:rPr>
          <w:rFonts w:cs="Times New Roman"/>
          <w:szCs w:val="24"/>
        </w:rPr>
        <w:t xml:space="preserve"> </w:t>
      </w:r>
      <w:r w:rsidRPr="006D6C9D">
        <w:rPr>
          <w:rFonts w:cs="Times New Roman"/>
          <w:szCs w:val="24"/>
        </w:rPr>
        <w:t>91 ust.</w:t>
      </w:r>
      <w:r w:rsidR="00933E4F" w:rsidRPr="006D6C9D">
        <w:rPr>
          <w:rFonts w:cs="Times New Roman"/>
          <w:szCs w:val="24"/>
        </w:rPr>
        <w:t xml:space="preserve"> </w:t>
      </w:r>
      <w:r w:rsidRPr="006D6C9D">
        <w:rPr>
          <w:rFonts w:cs="Times New Roman"/>
          <w:szCs w:val="24"/>
        </w:rPr>
        <w:t>4a ustawy o ochronie roślin, upoważnienie do każdej czynności kontrolnej powinno być wydawane przez wojewódzkiego inspektora ochrony roślin i nasiennictwa. W</w:t>
      </w:r>
      <w:r w:rsidR="00933E4F" w:rsidRPr="006D6C9D">
        <w:rPr>
          <w:rFonts w:cs="Times New Roman"/>
          <w:szCs w:val="24"/>
        </w:rPr>
        <w:t xml:space="preserve"> </w:t>
      </w:r>
      <w:r w:rsidRPr="006D6C9D">
        <w:rPr>
          <w:rFonts w:cs="Times New Roman"/>
          <w:szCs w:val="24"/>
        </w:rPr>
        <w:t>praktyce, biorąc pod uwagę fakt, że w</w:t>
      </w:r>
      <w:r w:rsidR="00933E4F" w:rsidRPr="006D6C9D">
        <w:rPr>
          <w:rFonts w:cs="Times New Roman"/>
          <w:szCs w:val="24"/>
        </w:rPr>
        <w:t xml:space="preserve"> </w:t>
      </w:r>
      <w:r w:rsidRPr="006D6C9D">
        <w:rPr>
          <w:rFonts w:cs="Times New Roman"/>
          <w:szCs w:val="24"/>
        </w:rPr>
        <w:t>województwie wykonuje się od kilkunastu do kilkudziesięciu kontroli dziennie, wydanie przez wojewódzkiego inspektora ochrony roślin i nasiennictwa każdorazowo upoważnienia do wykonywania czynności kontrolnych znacząco utrudnia wykonywanie obowiązków ustawowych. Przepis ten utrudnia przeprowadzanie kontroli doraźnych wymagających natychmiastowego ich podję</w:t>
      </w:r>
      <w:r w:rsidR="006D6C9D">
        <w:rPr>
          <w:rFonts w:cs="Times New Roman"/>
          <w:szCs w:val="24"/>
        </w:rPr>
        <w:t>cia, systematycznych kontroli u </w:t>
      </w:r>
      <w:r w:rsidRPr="006D6C9D">
        <w:rPr>
          <w:rFonts w:cs="Times New Roman"/>
          <w:szCs w:val="24"/>
        </w:rPr>
        <w:t>podmiotów zarejestrowanych, jak również przypadków kiedy nie można precyzyjnie określić statusu podmiotu kontrolowanego przed podjęciem czynności kontrolnych (kontrole podmiotów sprzedających ziemniaki na targowisku). Proponowana zmiana ma zatem na celu skrócenie procedur formalnych przy kontrolach wykonywanych na podstawie obowiązującej ustawy o</w:t>
      </w:r>
      <w:r w:rsidR="00933E4F" w:rsidRPr="006D6C9D">
        <w:rPr>
          <w:rFonts w:cs="Times New Roman"/>
          <w:szCs w:val="24"/>
        </w:rPr>
        <w:t xml:space="preserve"> </w:t>
      </w:r>
      <w:r w:rsidRPr="006D6C9D">
        <w:rPr>
          <w:rFonts w:cs="Times New Roman"/>
          <w:szCs w:val="24"/>
        </w:rPr>
        <w:t>ochronie roślin, przy jednoczesnym zwiększeniu ich skuteczności i</w:t>
      </w:r>
      <w:r w:rsidR="00933E4F" w:rsidRPr="006D6C9D">
        <w:rPr>
          <w:rFonts w:cs="Times New Roman"/>
          <w:szCs w:val="24"/>
        </w:rPr>
        <w:t xml:space="preserve"> </w:t>
      </w:r>
      <w:r w:rsidRPr="006D6C9D">
        <w:rPr>
          <w:rFonts w:cs="Times New Roman"/>
          <w:szCs w:val="24"/>
        </w:rPr>
        <w:t xml:space="preserve">efektywności. Kontrole podmiotów niebędących przedsiębiorcami będą </w:t>
      </w:r>
      <w:r w:rsidRPr="006D6C9D">
        <w:rPr>
          <w:rFonts w:cs="Times New Roman"/>
          <w:szCs w:val="24"/>
        </w:rPr>
        <w:lastRenderedPageBreak/>
        <w:t>przeprowadzane po okazaniu legitymacji służbowej oraz upoważnienia, o</w:t>
      </w:r>
      <w:r w:rsidR="00933E4F" w:rsidRPr="006D6C9D">
        <w:rPr>
          <w:rFonts w:cs="Times New Roman"/>
          <w:szCs w:val="24"/>
        </w:rPr>
        <w:t xml:space="preserve"> </w:t>
      </w:r>
      <w:r w:rsidRPr="006D6C9D">
        <w:rPr>
          <w:rFonts w:cs="Times New Roman"/>
          <w:szCs w:val="24"/>
        </w:rPr>
        <w:t>którym mowa w</w:t>
      </w:r>
      <w:r w:rsidR="00933E4F" w:rsidRPr="006D6C9D">
        <w:rPr>
          <w:rFonts w:cs="Times New Roman"/>
          <w:szCs w:val="24"/>
        </w:rPr>
        <w:t xml:space="preserve"> </w:t>
      </w:r>
      <w:r w:rsidRPr="006D6C9D">
        <w:rPr>
          <w:rFonts w:cs="Times New Roman"/>
          <w:szCs w:val="24"/>
        </w:rPr>
        <w:t>art.</w:t>
      </w:r>
      <w:r w:rsidR="00933E4F" w:rsidRPr="006D6C9D">
        <w:rPr>
          <w:rFonts w:cs="Times New Roman"/>
          <w:szCs w:val="24"/>
        </w:rPr>
        <w:t xml:space="preserve"> </w:t>
      </w:r>
      <w:r w:rsidRPr="006D6C9D">
        <w:rPr>
          <w:rFonts w:cs="Times New Roman"/>
          <w:szCs w:val="24"/>
        </w:rPr>
        <w:t>91 ust.</w:t>
      </w:r>
      <w:r w:rsidR="00933E4F" w:rsidRPr="006D6C9D">
        <w:rPr>
          <w:rFonts w:cs="Times New Roman"/>
          <w:szCs w:val="24"/>
        </w:rPr>
        <w:t xml:space="preserve"> </w:t>
      </w:r>
      <w:r w:rsidRPr="006D6C9D">
        <w:rPr>
          <w:rFonts w:cs="Times New Roman"/>
          <w:szCs w:val="24"/>
        </w:rPr>
        <w:t>4</w:t>
      </w:r>
      <w:r w:rsidR="00933E4F" w:rsidRPr="006D6C9D">
        <w:rPr>
          <w:rFonts w:cs="Times New Roman"/>
          <w:szCs w:val="24"/>
        </w:rPr>
        <w:t xml:space="preserve"> </w:t>
      </w:r>
      <w:r w:rsidRPr="006D6C9D">
        <w:rPr>
          <w:rFonts w:cs="Times New Roman"/>
          <w:szCs w:val="24"/>
        </w:rPr>
        <w:t>ustawy o</w:t>
      </w:r>
      <w:r w:rsidR="00933E4F" w:rsidRPr="006D6C9D">
        <w:rPr>
          <w:rFonts w:cs="Times New Roman"/>
          <w:szCs w:val="24"/>
        </w:rPr>
        <w:t xml:space="preserve"> </w:t>
      </w:r>
      <w:r w:rsidRPr="006D6C9D">
        <w:rPr>
          <w:rFonts w:cs="Times New Roman"/>
          <w:szCs w:val="24"/>
        </w:rPr>
        <w:t>ochronie roślin.</w:t>
      </w:r>
    </w:p>
    <w:p w:rsidR="00B82F17" w:rsidRPr="006D6C9D" w:rsidRDefault="00B82F17" w:rsidP="006D6C9D">
      <w:pPr>
        <w:widowControl/>
        <w:spacing w:before="120"/>
        <w:jc w:val="both"/>
        <w:rPr>
          <w:rFonts w:cs="Times New Roman"/>
          <w:szCs w:val="24"/>
        </w:rPr>
      </w:pPr>
      <w:r w:rsidRPr="006D6C9D">
        <w:rPr>
          <w:rFonts w:cs="Times New Roman"/>
          <w:szCs w:val="24"/>
        </w:rPr>
        <w:t>Przepisy przejściowe i</w:t>
      </w:r>
      <w:r w:rsidR="00933E4F" w:rsidRPr="006D6C9D">
        <w:rPr>
          <w:rFonts w:cs="Times New Roman"/>
          <w:szCs w:val="24"/>
        </w:rPr>
        <w:t xml:space="preserve"> </w:t>
      </w:r>
      <w:r w:rsidRPr="006D6C9D">
        <w:rPr>
          <w:rFonts w:cs="Times New Roman"/>
          <w:szCs w:val="24"/>
        </w:rPr>
        <w:t>końcowe przedmiotowego projektu dotyczą przede wszystkim:</w:t>
      </w:r>
    </w:p>
    <w:p w:rsidR="00B82F17" w:rsidRPr="006D6C9D" w:rsidRDefault="00B82F17" w:rsidP="006D6C9D">
      <w:pPr>
        <w:widowControl/>
        <w:numPr>
          <w:ilvl w:val="0"/>
          <w:numId w:val="3"/>
        </w:numPr>
        <w:autoSpaceDE/>
        <w:autoSpaceDN/>
        <w:adjustRightInd/>
        <w:ind w:left="406" w:hanging="392"/>
        <w:jc w:val="both"/>
        <w:rPr>
          <w:rFonts w:cs="Times New Roman"/>
          <w:szCs w:val="24"/>
        </w:rPr>
      </w:pPr>
      <w:r w:rsidRPr="006D6C9D">
        <w:rPr>
          <w:rFonts w:cs="Times New Roman"/>
          <w:szCs w:val="24"/>
        </w:rPr>
        <w:t>utrzymania w krajowym rejestrze odmian roślin sadowniczych zarejestrowanych przed dniem wejścia w życie projektowanej ustawy;</w:t>
      </w:r>
    </w:p>
    <w:p w:rsidR="00B82F17" w:rsidRPr="006D6C9D" w:rsidRDefault="00B82F17" w:rsidP="006D6C9D">
      <w:pPr>
        <w:widowControl/>
        <w:numPr>
          <w:ilvl w:val="0"/>
          <w:numId w:val="3"/>
        </w:numPr>
        <w:autoSpaceDE/>
        <w:autoSpaceDN/>
        <w:adjustRightInd/>
        <w:ind w:left="406" w:hanging="378"/>
        <w:jc w:val="both"/>
        <w:rPr>
          <w:rFonts w:cs="Times New Roman"/>
          <w:szCs w:val="24"/>
        </w:rPr>
      </w:pPr>
      <w:r w:rsidRPr="006D6C9D">
        <w:rPr>
          <w:rFonts w:cs="Times New Roman"/>
          <w:szCs w:val="24"/>
        </w:rPr>
        <w:t>ewidencji dostawców w odniesieniu do utrzymania w rejestrze wpisanego dostawcy, terminu, w którym należy</w:t>
      </w:r>
      <w:r w:rsidR="006D6C9D">
        <w:rPr>
          <w:rFonts w:cs="Times New Roman"/>
          <w:szCs w:val="24"/>
        </w:rPr>
        <w:t xml:space="preserve"> uzupełnić informacje zgodnie z </w:t>
      </w:r>
      <w:r w:rsidRPr="006D6C9D">
        <w:rPr>
          <w:rFonts w:cs="Times New Roman"/>
          <w:szCs w:val="24"/>
        </w:rPr>
        <w:t>projektowanymi przepisami oraz złożenia oświadczenia wojewódzkiemu inspektorowi ochrony roślin i nasiennictwa przez dostawcę o tym, że będzie dokonywać pobierania prób, oceny cech z</w:t>
      </w:r>
      <w:r w:rsidR="006D6C9D">
        <w:rPr>
          <w:rFonts w:cs="Times New Roman"/>
          <w:szCs w:val="24"/>
        </w:rPr>
        <w:t>ewnętrznych, oceny tożsamości i </w:t>
      </w:r>
      <w:r w:rsidRPr="006D6C9D">
        <w:rPr>
          <w:rFonts w:cs="Times New Roman"/>
          <w:szCs w:val="24"/>
        </w:rPr>
        <w:t xml:space="preserve">czystości odmianowej wytwarzanego przez siebie materiału szkółkarskiego kategorii elitarny i kategorii kwalifikowany oraz pobierania prób gleby i podłoża, na którym jest wytwarzany ten materiał; </w:t>
      </w:r>
    </w:p>
    <w:p w:rsidR="00B82F17" w:rsidRPr="006D6C9D" w:rsidRDefault="00B82F17" w:rsidP="006D6C9D">
      <w:pPr>
        <w:widowControl/>
        <w:numPr>
          <w:ilvl w:val="0"/>
          <w:numId w:val="3"/>
        </w:numPr>
        <w:autoSpaceDE/>
        <w:autoSpaceDN/>
        <w:adjustRightInd/>
        <w:ind w:left="406" w:hanging="378"/>
        <w:jc w:val="both"/>
        <w:rPr>
          <w:rFonts w:cs="Times New Roman"/>
          <w:szCs w:val="24"/>
        </w:rPr>
      </w:pPr>
      <w:r w:rsidRPr="006D6C9D">
        <w:rPr>
          <w:rFonts w:cs="Times New Roman"/>
          <w:szCs w:val="24"/>
        </w:rPr>
        <w:t>m</w:t>
      </w:r>
      <w:r w:rsidRPr="006D6C9D">
        <w:rPr>
          <w:rFonts w:cs="Times New Roman"/>
          <w:bCs/>
          <w:szCs w:val="24"/>
        </w:rPr>
        <w:t>ateriału</w:t>
      </w:r>
      <w:r w:rsidRPr="006D6C9D">
        <w:rPr>
          <w:rFonts w:cs="Times New Roman"/>
          <w:szCs w:val="24"/>
        </w:rPr>
        <w:t xml:space="preserve"> szkółkarskiego kategorii elitarny, kategorii kwalifikowany i</w:t>
      </w:r>
      <w:r w:rsidR="00933E4F" w:rsidRPr="006D6C9D">
        <w:rPr>
          <w:rFonts w:cs="Times New Roman"/>
          <w:szCs w:val="24"/>
        </w:rPr>
        <w:t xml:space="preserve"> </w:t>
      </w:r>
      <w:r w:rsidRPr="006D6C9D">
        <w:rPr>
          <w:rFonts w:cs="Times New Roman"/>
          <w:szCs w:val="24"/>
        </w:rPr>
        <w:t>materiału szkółkarskiego CAC roślin sadowniczych, którego ocena została rozpoczęta przed dniem wejścia w życie projektowanej usta</w:t>
      </w:r>
      <w:r w:rsidR="006D6C9D">
        <w:rPr>
          <w:rFonts w:cs="Times New Roman"/>
          <w:szCs w:val="24"/>
        </w:rPr>
        <w:t>wy i wprowadzanego do obrotu w </w:t>
      </w:r>
      <w:r w:rsidRPr="006D6C9D">
        <w:rPr>
          <w:rFonts w:cs="Times New Roman"/>
          <w:szCs w:val="24"/>
        </w:rPr>
        <w:t>odniesieniu do zaopatrywania go w etykiety, wypisu ze świadectwa oraz dokumentu dostawcy, w sposób określony w dotychczasowych przepisach;</w:t>
      </w:r>
    </w:p>
    <w:p w:rsidR="00B82F17" w:rsidRPr="006D6C9D" w:rsidRDefault="00B82F17" w:rsidP="006D6C9D">
      <w:pPr>
        <w:widowControl/>
        <w:numPr>
          <w:ilvl w:val="0"/>
          <w:numId w:val="3"/>
        </w:numPr>
        <w:autoSpaceDE/>
        <w:autoSpaceDN/>
        <w:adjustRightInd/>
        <w:ind w:left="406" w:hanging="378"/>
        <w:jc w:val="both"/>
        <w:rPr>
          <w:rFonts w:cs="Times New Roman"/>
          <w:szCs w:val="24"/>
        </w:rPr>
      </w:pPr>
      <w:r w:rsidRPr="006D6C9D">
        <w:rPr>
          <w:rFonts w:cs="Times New Roman"/>
          <w:szCs w:val="24"/>
        </w:rPr>
        <w:t>materiału szkółkarskiego kategorii elitarny, kategorii kwalifikowany i</w:t>
      </w:r>
      <w:r w:rsidR="00933E4F" w:rsidRPr="006D6C9D">
        <w:rPr>
          <w:rFonts w:cs="Times New Roman"/>
          <w:szCs w:val="24"/>
        </w:rPr>
        <w:t xml:space="preserve"> </w:t>
      </w:r>
      <w:r w:rsidRPr="006D6C9D">
        <w:rPr>
          <w:rFonts w:cs="Times New Roman"/>
          <w:szCs w:val="24"/>
        </w:rPr>
        <w:t>materiału szkółkarskiego CAC roślin sadowniczych, zaopatrzonego w etykiety, wypisu ze świadectwa oraz dokumentu dostawcy.</w:t>
      </w:r>
    </w:p>
    <w:p w:rsidR="00B82F17" w:rsidRPr="006D6C9D" w:rsidRDefault="00B82F17" w:rsidP="006D6C9D">
      <w:pPr>
        <w:widowControl/>
        <w:spacing w:before="120"/>
        <w:jc w:val="both"/>
        <w:rPr>
          <w:rFonts w:cs="Times New Roman"/>
          <w:bCs/>
          <w:szCs w:val="24"/>
        </w:rPr>
      </w:pPr>
      <w:r w:rsidRPr="006D6C9D">
        <w:rPr>
          <w:rFonts w:cs="Times New Roman"/>
          <w:szCs w:val="24"/>
        </w:rPr>
        <w:t>W przepisach przejściowych znalazły się również odmiany roślin sadowniczych utrzymywane przez dostawców na liście odmian materiału szkółkarskiego CAC od dnia 1</w:t>
      </w:r>
      <w:r w:rsidR="00132D89">
        <w:rPr>
          <w:rFonts w:cs="Times New Roman"/>
          <w:szCs w:val="24"/>
        </w:rPr>
        <w:t xml:space="preserve"> </w:t>
      </w:r>
      <w:r w:rsidRPr="006D6C9D">
        <w:rPr>
          <w:rFonts w:cs="Times New Roman"/>
          <w:szCs w:val="24"/>
        </w:rPr>
        <w:t>maja 2014 r. do dnia 27 stycznia 2013 r., które na wniosek zachowującego odmianę mogą być wpisane do krajowego rejestru na sadowniczą listę B. Zachowujący taką</w:t>
      </w:r>
      <w:r w:rsidR="00933E4F" w:rsidRPr="006D6C9D">
        <w:rPr>
          <w:rFonts w:cs="Times New Roman"/>
          <w:szCs w:val="24"/>
        </w:rPr>
        <w:t xml:space="preserve"> </w:t>
      </w:r>
      <w:r w:rsidRPr="006D6C9D">
        <w:rPr>
          <w:rFonts w:cs="Times New Roman"/>
          <w:szCs w:val="24"/>
        </w:rPr>
        <w:t>odmianę do wniosku ma dołączyć opis odmiany sporządzony zgodnie z</w:t>
      </w:r>
      <w:r w:rsidR="00933E4F" w:rsidRPr="006D6C9D">
        <w:rPr>
          <w:rFonts w:cs="Times New Roman"/>
          <w:szCs w:val="24"/>
        </w:rPr>
        <w:t xml:space="preserve"> </w:t>
      </w:r>
      <w:r w:rsidR="004A2876">
        <w:rPr>
          <w:rFonts w:cs="Times New Roman"/>
          <w:szCs w:val="24"/>
        </w:rPr>
        <w:t> </w:t>
      </w:r>
      <w:r w:rsidRPr="006D6C9D">
        <w:rPr>
          <w:rFonts w:cs="Times New Roman"/>
          <w:szCs w:val="24"/>
        </w:rPr>
        <w:t>załącznikiem do dyrektywy Komisji 93/79/EWG z</w:t>
      </w:r>
      <w:r w:rsidR="00933E4F" w:rsidRPr="006D6C9D">
        <w:rPr>
          <w:rFonts w:cs="Times New Roman"/>
          <w:szCs w:val="24"/>
        </w:rPr>
        <w:t xml:space="preserve"> </w:t>
      </w:r>
      <w:r w:rsidRPr="006D6C9D">
        <w:rPr>
          <w:rFonts w:cs="Times New Roman"/>
          <w:szCs w:val="24"/>
        </w:rPr>
        <w:t>dnia 21</w:t>
      </w:r>
      <w:r w:rsidR="00933E4F" w:rsidRPr="006D6C9D">
        <w:rPr>
          <w:rFonts w:cs="Times New Roman"/>
          <w:szCs w:val="24"/>
        </w:rPr>
        <w:t xml:space="preserve"> </w:t>
      </w:r>
      <w:r w:rsidRPr="006D6C9D">
        <w:rPr>
          <w:rFonts w:cs="Times New Roman"/>
          <w:szCs w:val="24"/>
        </w:rPr>
        <w:t>września 1993</w:t>
      </w:r>
      <w:r w:rsidR="00933E4F" w:rsidRPr="006D6C9D">
        <w:rPr>
          <w:rFonts w:cs="Times New Roman"/>
          <w:szCs w:val="24"/>
        </w:rPr>
        <w:t xml:space="preserve"> </w:t>
      </w:r>
      <w:r w:rsidRPr="006D6C9D">
        <w:rPr>
          <w:rFonts w:cs="Times New Roman"/>
          <w:szCs w:val="24"/>
        </w:rPr>
        <w:t>r. określającej dodatkowe przepisy wykonawcze dla wykazów odmian materiału rozmnożeniowego roślin owocowych oraz roślin owocowych przechowywanych przez dostawców zgodnie z</w:t>
      </w:r>
      <w:r w:rsidR="00933E4F" w:rsidRPr="006D6C9D">
        <w:rPr>
          <w:rFonts w:cs="Times New Roman"/>
          <w:szCs w:val="24"/>
        </w:rPr>
        <w:t xml:space="preserve"> </w:t>
      </w:r>
      <w:r w:rsidRPr="006D6C9D">
        <w:rPr>
          <w:rFonts w:cs="Times New Roman"/>
          <w:szCs w:val="24"/>
        </w:rPr>
        <w:t>dyrektywą Rady 92/34/EWG (Dz. Urz. WE L 256</w:t>
      </w:r>
      <w:r w:rsidR="00933E4F" w:rsidRPr="006D6C9D">
        <w:rPr>
          <w:rFonts w:cs="Times New Roman"/>
          <w:szCs w:val="24"/>
        </w:rPr>
        <w:t xml:space="preserve"> </w:t>
      </w:r>
      <w:r w:rsidRPr="006D6C9D">
        <w:rPr>
          <w:rFonts w:cs="Times New Roman"/>
          <w:szCs w:val="24"/>
        </w:rPr>
        <w:t>z</w:t>
      </w:r>
      <w:r w:rsidR="00933E4F" w:rsidRPr="006D6C9D">
        <w:rPr>
          <w:rFonts w:cs="Times New Roman"/>
          <w:szCs w:val="24"/>
        </w:rPr>
        <w:t xml:space="preserve"> </w:t>
      </w:r>
      <w:r w:rsidRPr="006D6C9D">
        <w:rPr>
          <w:rFonts w:cs="Times New Roman"/>
          <w:szCs w:val="24"/>
        </w:rPr>
        <w:t>21.09.1993, str. 25</w:t>
      </w:r>
      <w:r w:rsidR="000011BF">
        <w:rPr>
          <w:rFonts w:cs="Times New Roman"/>
          <w:szCs w:val="24"/>
        </w:rPr>
        <w:t xml:space="preserve"> –</w:t>
      </w:r>
      <w:r w:rsidRPr="006D6C9D">
        <w:rPr>
          <w:rFonts w:cs="Times New Roman"/>
          <w:iCs/>
          <w:szCs w:val="24"/>
        </w:rPr>
        <w:t xml:space="preserve"> Dz. Urz. UE Polskie wydanie specjalne, rozdz. 3, t. 15, str. 115</w:t>
      </w:r>
      <w:r w:rsidRPr="006D6C9D">
        <w:rPr>
          <w:rFonts w:cs="Times New Roman"/>
          <w:szCs w:val="24"/>
        </w:rPr>
        <w:t>).</w:t>
      </w:r>
      <w:r w:rsidRPr="006D6C9D">
        <w:rPr>
          <w:rFonts w:cs="Times New Roman"/>
          <w:bCs/>
          <w:szCs w:val="24"/>
        </w:rPr>
        <w:t xml:space="preserve"> </w:t>
      </w:r>
      <w:r w:rsidRPr="006D6C9D">
        <w:rPr>
          <w:rFonts w:cs="Times New Roman"/>
          <w:szCs w:val="24"/>
        </w:rPr>
        <w:t xml:space="preserve">Data 1 maja 2014 r. wynika z dnia akcesji Polski do UE i wejścia w życie przepisów dotyczących utrzymywania odmian roślin sadowniczych na liście dostawcy zgodnie z wyżej wymienioną dyrektywą. Data </w:t>
      </w:r>
      <w:r w:rsidRPr="006D6C9D">
        <w:rPr>
          <w:rFonts w:cs="Times New Roman"/>
          <w:szCs w:val="24"/>
        </w:rPr>
        <w:lastRenderedPageBreak/>
        <w:t xml:space="preserve">27 stycznia 2013 r. oznacza datę wejścia w życie przepisów ustawy z dnia 9 listopada 2012 r. o nasiennictwie, zgodnie z którymi listy dostawców przestały obowiązywać. Ustawa o nasiennictwie wdrażała przepisy dyrektywy Rady 2008/90/WE z dnia 29 września 2008 r. w sprawie obrotu materiałem rozmnożeniowym roślin sadowniczych </w:t>
      </w:r>
      <w:r w:rsidR="000011BF">
        <w:rPr>
          <w:rFonts w:cs="Times New Roman"/>
          <w:szCs w:val="24"/>
        </w:rPr>
        <w:t>oraz</w:t>
      </w:r>
      <w:r w:rsidRPr="006D6C9D">
        <w:rPr>
          <w:rFonts w:cs="Times New Roman"/>
          <w:szCs w:val="24"/>
        </w:rPr>
        <w:t xml:space="preserve"> roślinami sadowniczymi przeznaczonymi do produkcji owoców (Dz. Urz. UE L 267 z 08.10.2008, str. 8), która uchyliła przepisy dyrektywy Komisji 93/79/WE. Dlatego też biorąc pod uwagę to, że rośliny sadownicze są roślinami wieloletnimi projekt ustawy przewiduje przepisy przejściowe umożliwiające dostawcom wpis odmian na sadowniczą listę B, a z</w:t>
      </w:r>
      <w:r w:rsidRPr="006D6C9D">
        <w:rPr>
          <w:rFonts w:cs="Times New Roman"/>
          <w:bCs/>
          <w:szCs w:val="24"/>
        </w:rPr>
        <w:t>a złożenie wniosku, wpis odmiany</w:t>
      </w:r>
      <w:r w:rsidR="000011BF">
        <w:rPr>
          <w:rFonts w:cs="Times New Roman"/>
          <w:bCs/>
          <w:szCs w:val="24"/>
        </w:rPr>
        <w:t xml:space="preserve"> i</w:t>
      </w:r>
      <w:r w:rsidRPr="006D6C9D">
        <w:rPr>
          <w:rFonts w:cs="Times New Roman"/>
          <w:bCs/>
          <w:szCs w:val="24"/>
        </w:rPr>
        <w:t xml:space="preserve"> jej utrzymanie </w:t>
      </w:r>
      <w:r w:rsidR="000011BF">
        <w:rPr>
          <w:rFonts w:cs="Times New Roman"/>
          <w:bCs/>
          <w:szCs w:val="24"/>
        </w:rPr>
        <w:br/>
      </w:r>
      <w:r w:rsidRPr="006D6C9D">
        <w:rPr>
          <w:rFonts w:cs="Times New Roman"/>
          <w:bCs/>
          <w:szCs w:val="24"/>
        </w:rPr>
        <w:t>w</w:t>
      </w:r>
      <w:r w:rsidR="00933E4F" w:rsidRPr="006D6C9D">
        <w:rPr>
          <w:rFonts w:cs="Times New Roman"/>
          <w:bCs/>
          <w:szCs w:val="24"/>
        </w:rPr>
        <w:t xml:space="preserve"> </w:t>
      </w:r>
      <w:r w:rsidRPr="006D6C9D">
        <w:rPr>
          <w:rFonts w:cs="Times New Roman"/>
          <w:bCs/>
          <w:szCs w:val="24"/>
        </w:rPr>
        <w:t>krajowym rejestrze projekt zwalnia dostawcę z opłat. Ma to na celu utrzymanie</w:t>
      </w:r>
      <w:r w:rsidR="00933E4F" w:rsidRPr="006D6C9D">
        <w:rPr>
          <w:rFonts w:cs="Times New Roman"/>
          <w:bCs/>
          <w:szCs w:val="24"/>
        </w:rPr>
        <w:t xml:space="preserve"> </w:t>
      </w:r>
      <w:r w:rsidR="000011BF">
        <w:rPr>
          <w:rFonts w:cs="Times New Roman"/>
          <w:bCs/>
          <w:szCs w:val="24"/>
        </w:rPr>
        <w:br/>
      </w:r>
      <w:r w:rsidRPr="006D6C9D">
        <w:rPr>
          <w:rFonts w:cs="Times New Roman"/>
          <w:bCs/>
          <w:szCs w:val="24"/>
        </w:rPr>
        <w:t>w krajowym rejestrze i w obrocie</w:t>
      </w:r>
      <w:r w:rsidR="00933E4F" w:rsidRPr="006D6C9D">
        <w:rPr>
          <w:rFonts w:cs="Times New Roman"/>
          <w:bCs/>
          <w:szCs w:val="24"/>
        </w:rPr>
        <w:t xml:space="preserve"> </w:t>
      </w:r>
      <w:r w:rsidRPr="006D6C9D">
        <w:rPr>
          <w:rFonts w:cs="Times New Roman"/>
          <w:bCs/>
          <w:szCs w:val="24"/>
        </w:rPr>
        <w:t>starych odmian roślin sadowniczych.</w:t>
      </w:r>
    </w:p>
    <w:p w:rsidR="00B82F17" w:rsidRPr="006D6C9D" w:rsidRDefault="00B82F17" w:rsidP="006D6C9D">
      <w:pPr>
        <w:widowControl/>
        <w:spacing w:before="120"/>
        <w:jc w:val="both"/>
        <w:rPr>
          <w:rFonts w:cs="Times New Roman"/>
          <w:szCs w:val="24"/>
        </w:rPr>
      </w:pPr>
      <w:r w:rsidRPr="006D6C9D">
        <w:rPr>
          <w:rFonts w:cs="Times New Roman"/>
          <w:szCs w:val="24"/>
        </w:rPr>
        <w:t>Projekt ustawy jest objęty prawem Unii Europejskiej i uznany przez Ministra Spraw Zagranicznych za zgodny z tym prawem.</w:t>
      </w:r>
    </w:p>
    <w:p w:rsidR="00B82F17" w:rsidRPr="006D6C9D" w:rsidRDefault="00B82F17" w:rsidP="006D6C9D">
      <w:pPr>
        <w:widowControl/>
        <w:spacing w:before="120"/>
        <w:jc w:val="both"/>
        <w:rPr>
          <w:rFonts w:cs="Times New Roman"/>
          <w:szCs w:val="24"/>
        </w:rPr>
      </w:pPr>
      <w:r w:rsidRPr="006D6C9D">
        <w:rPr>
          <w:rFonts w:cs="Times New Roman"/>
          <w:szCs w:val="24"/>
        </w:rPr>
        <w:t>W związku z koniecznością wdrożenia przepisów UE projektowana ustawa powinna wejść w życie z dniem 1 stycznia 2017 r.</w:t>
      </w:r>
    </w:p>
    <w:p w:rsidR="00B82F17" w:rsidRPr="006D6C9D" w:rsidRDefault="00B82F17" w:rsidP="006D6C9D">
      <w:pPr>
        <w:widowControl/>
        <w:autoSpaceDE/>
        <w:autoSpaceDN/>
        <w:adjustRightInd/>
        <w:spacing w:before="120"/>
        <w:jc w:val="both"/>
        <w:rPr>
          <w:rFonts w:eastAsia="Calibri" w:cs="Times New Roman"/>
          <w:color w:val="000000"/>
          <w:spacing w:val="-2"/>
          <w:szCs w:val="24"/>
          <w:lang w:eastAsia="en-US"/>
        </w:rPr>
      </w:pPr>
      <w:r w:rsidRPr="006D6C9D">
        <w:rPr>
          <w:rFonts w:eastAsia="Calibri" w:cs="Times New Roman"/>
          <w:color w:val="000000"/>
          <w:spacing w:val="-2"/>
          <w:szCs w:val="24"/>
          <w:lang w:eastAsia="en-US"/>
        </w:rPr>
        <w:t>W trakcie</w:t>
      </w:r>
      <w:r w:rsidR="00933E4F" w:rsidRPr="006D6C9D">
        <w:rPr>
          <w:rFonts w:eastAsia="Calibri" w:cs="Times New Roman"/>
          <w:color w:val="000000"/>
          <w:spacing w:val="-2"/>
          <w:szCs w:val="24"/>
          <w:lang w:eastAsia="en-US"/>
        </w:rPr>
        <w:t xml:space="preserve"> </w:t>
      </w:r>
      <w:r w:rsidRPr="006D6C9D">
        <w:rPr>
          <w:rFonts w:eastAsia="Calibri" w:cs="Times New Roman"/>
          <w:color w:val="000000"/>
          <w:spacing w:val="-2"/>
          <w:szCs w:val="24"/>
          <w:lang w:eastAsia="en-US"/>
        </w:rPr>
        <w:t>uzgodnień przedmiotowego projektu uwagi zgłosiła Polska Izba Nasienna, Stowarzyszenie Polskich Szkółkarzy oraz Zrzeszenie Szkółkarzy Polskich oraz Federacja Gospodarki Żywnościowej, Ministerstwo Finansów, Ministerstwo Spraw Zagranicznych oraz Komitet Przewodniczącego Rady Ministrów.</w:t>
      </w:r>
    </w:p>
    <w:p w:rsidR="00B82F17" w:rsidRPr="006D6C9D" w:rsidRDefault="00B82F17" w:rsidP="006D6C9D">
      <w:pPr>
        <w:widowControl/>
        <w:spacing w:before="120"/>
        <w:jc w:val="both"/>
        <w:rPr>
          <w:rFonts w:cs="Times New Roman"/>
          <w:szCs w:val="24"/>
        </w:rPr>
      </w:pPr>
      <w:r w:rsidRPr="006D6C9D">
        <w:rPr>
          <w:rFonts w:cs="Times New Roman"/>
          <w:szCs w:val="24"/>
        </w:rPr>
        <w:t>W wyniku uwag przekazanych przez Ministerstwo Spraw Zagranicznych oraz Rządowe Centrum Legislacji oraz uzgodnień przyjętych po dyskusji, w trakcie zorganizowanych spotkań, wprowadzono następujące zmiany do projektu ustawy:</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 xml:space="preserve">art. 3 ust. 1 pkt 10a </w:t>
      </w:r>
      <w:r w:rsidR="006D6C9D" w:rsidRPr="006D6C9D">
        <w:rPr>
          <w:rFonts w:cs="Times New Roman"/>
          <w:szCs w:val="24"/>
        </w:rPr>
        <w:t>–</w:t>
      </w:r>
      <w:r w:rsidRPr="006D6C9D">
        <w:rPr>
          <w:rFonts w:cs="Times New Roman"/>
          <w:szCs w:val="24"/>
        </w:rPr>
        <w:t xml:space="preserve"> wprowadzenie definicji materiału siewnego kategorii elitarny roślin sadowniczych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 xml:space="preserve">art. 7 ust. 1 </w:t>
      </w:r>
      <w:r w:rsidR="000011BF">
        <w:rPr>
          <w:rFonts w:cs="Times New Roman"/>
          <w:szCs w:val="24"/>
        </w:rPr>
        <w:t xml:space="preserve">– </w:t>
      </w:r>
      <w:r w:rsidRPr="006D6C9D">
        <w:rPr>
          <w:rFonts w:cs="Times New Roman"/>
          <w:szCs w:val="24"/>
        </w:rPr>
        <w:t>doprecyzowanie przepisów dotyczących rejestracji odmian w zakresie uznawania spełnienia wymagań dotyczących odrębności, wyrównania i trwałości (OWT)</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13 ust</w:t>
      </w:r>
      <w:r w:rsidR="00132D89">
        <w:rPr>
          <w:rFonts w:cs="Times New Roman"/>
          <w:szCs w:val="24"/>
        </w:rPr>
        <w:t>.</w:t>
      </w:r>
      <w:r w:rsidRPr="006D6C9D">
        <w:rPr>
          <w:rFonts w:cs="Times New Roman"/>
          <w:szCs w:val="24"/>
        </w:rPr>
        <w:t xml:space="preserve"> 2 pkt 2a – wprowadzenie kwestionariusza technicznego zawierającego opis odmiany wpisywanej na sadowniczą listę B</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 xml:space="preserve">art. 13 ust. 8 </w:t>
      </w:r>
      <w:r w:rsidR="00EF65EC">
        <w:rPr>
          <w:rFonts w:cs="Times New Roman"/>
          <w:szCs w:val="24"/>
        </w:rPr>
        <w:t xml:space="preserve">– </w:t>
      </w:r>
      <w:r w:rsidRPr="006D6C9D">
        <w:rPr>
          <w:rFonts w:cs="Times New Roman"/>
          <w:szCs w:val="24"/>
        </w:rPr>
        <w:t>dodanie upoważnienia dla ministra właściwego do spraw</w:t>
      </w:r>
      <w:r w:rsidR="00933E4F" w:rsidRPr="006D6C9D">
        <w:rPr>
          <w:rFonts w:cs="Times New Roman"/>
          <w:szCs w:val="24"/>
        </w:rPr>
        <w:t xml:space="preserve"> </w:t>
      </w:r>
      <w:r w:rsidRPr="006D6C9D">
        <w:rPr>
          <w:rFonts w:cs="Times New Roman"/>
          <w:szCs w:val="24"/>
        </w:rPr>
        <w:t xml:space="preserve">rolnictwa do wydania rozporządzenia określającego </w:t>
      </w:r>
      <w:r w:rsidRPr="006D6C9D">
        <w:rPr>
          <w:rFonts w:cs="Times New Roman"/>
          <w:bCs/>
          <w:szCs w:val="24"/>
        </w:rPr>
        <w:t xml:space="preserve">cechy charakterystyczne odmiany roślin sadowniczych zawarte </w:t>
      </w:r>
      <w:r w:rsidR="00132D89">
        <w:rPr>
          <w:rFonts w:cs="Times New Roman"/>
          <w:bCs/>
          <w:szCs w:val="24"/>
        </w:rPr>
        <w:t xml:space="preserve">w </w:t>
      </w:r>
      <w:r w:rsidRPr="006D6C9D">
        <w:rPr>
          <w:rFonts w:cs="Times New Roman"/>
          <w:bCs/>
          <w:szCs w:val="24"/>
        </w:rPr>
        <w:t xml:space="preserve">opisie odmiany wpisywanej na sadowniczą listę B, </w:t>
      </w:r>
      <w:r w:rsidR="00EF65EC">
        <w:rPr>
          <w:rFonts w:cs="Times New Roman"/>
          <w:bCs/>
          <w:szCs w:val="24"/>
        </w:rPr>
        <w:br/>
      </w:r>
      <w:r w:rsidRPr="006D6C9D">
        <w:rPr>
          <w:rFonts w:cs="Times New Roman"/>
          <w:bCs/>
          <w:szCs w:val="24"/>
        </w:rPr>
        <w:lastRenderedPageBreak/>
        <w:t>o której mowa w art. 19 ust. 4 pkt 2, mając na względzie jednolity sposób sporządzania tego opisu,</w:t>
      </w:r>
      <w:r w:rsidRPr="006D6C9D">
        <w:rPr>
          <w:rFonts w:cs="Times New Roman"/>
          <w:szCs w:val="24"/>
        </w:rPr>
        <w:t xml:space="preserve"> a w związku z tym usunięcie ust. 5 w art. 19</w:t>
      </w:r>
      <w:r w:rsidR="00132D89">
        <w:rPr>
          <w:rFonts w:cs="Times New Roman"/>
          <w:szCs w:val="24"/>
        </w:rPr>
        <w:t>;</w:t>
      </w:r>
      <w:r w:rsidRPr="006D6C9D">
        <w:rPr>
          <w:rFonts w:cs="Times New Roman"/>
          <w:szCs w:val="24"/>
        </w:rPr>
        <w:t xml:space="preserve"> </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16 ust. 2 pkt 4 – doprecyzowanie przepisów dotyczących odmowy wpisu do krajowego rejestru</w:t>
      </w:r>
      <w:r w:rsidR="000011BF">
        <w:rPr>
          <w:rFonts w:cs="Times New Roman"/>
          <w:szCs w:val="24"/>
        </w:rPr>
        <w:t>,</w:t>
      </w:r>
      <w:r w:rsidRPr="006D6C9D">
        <w:rPr>
          <w:rFonts w:cs="Times New Roman"/>
          <w:szCs w:val="24"/>
        </w:rPr>
        <w:t xml:space="preserve"> w przypadku odmian z urzędowo uznanym opisem</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16 ust. 6a – dodanie przepisu dotyczącego przechowywania przez dyrektora Centralnego Ośrodka Badania Odmian Roślin Uprawnych dokumentów dotyczących odmian wpisanych do krajowego rejestru przez okre</w:t>
      </w:r>
      <w:r w:rsidR="006D6C9D">
        <w:rPr>
          <w:rFonts w:cs="Times New Roman"/>
          <w:szCs w:val="24"/>
        </w:rPr>
        <w:t>s ich wpisu w </w:t>
      </w:r>
      <w:r w:rsidRPr="006D6C9D">
        <w:rPr>
          <w:rFonts w:cs="Times New Roman"/>
          <w:szCs w:val="24"/>
        </w:rPr>
        <w:t>krajowym rejestrze</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18 pkt 1 – doprecyzowanie informacji zamies</w:t>
      </w:r>
      <w:r w:rsidR="006D6C9D">
        <w:rPr>
          <w:rFonts w:cs="Times New Roman"/>
          <w:szCs w:val="24"/>
        </w:rPr>
        <w:t>zczanych w krajowym rejestrze</w:t>
      </w:r>
      <w:r w:rsidR="000011BF">
        <w:rPr>
          <w:rFonts w:cs="Times New Roman"/>
          <w:szCs w:val="24"/>
        </w:rPr>
        <w:t>,</w:t>
      </w:r>
      <w:r w:rsidR="006D6C9D">
        <w:rPr>
          <w:rFonts w:cs="Times New Roman"/>
          <w:szCs w:val="24"/>
        </w:rPr>
        <w:t xml:space="preserve"> w </w:t>
      </w:r>
      <w:r w:rsidRPr="006D6C9D">
        <w:rPr>
          <w:rFonts w:cs="Times New Roman"/>
          <w:szCs w:val="24"/>
        </w:rPr>
        <w:t>przypadku odmian roślin sadowniczych w odniesieniu do synonimów</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20 ust. 2 – doprecyzowanie przepisów dotyczących przedłużania wpisu odmian do krajowego rejestru w przypadku odmian roślin sadowniczych i roślin warzywnych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25a ust. 1 – doprecyzowanie przepisu dotyczącego pozostawiania w krajowym rejestrze odmian roślin sadowniczych dla zachowania bioróżnorodności</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25a ust. 3 – doprecyzowanie przepisu dotyczącego jednostki odpowiedzialnej za genetyczne zasoby roślin sadowniczych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 xml:space="preserve">art. 25b </w:t>
      </w:r>
      <w:r w:rsidR="006D6C9D" w:rsidRPr="006D6C9D">
        <w:rPr>
          <w:rFonts w:cs="Times New Roman"/>
          <w:szCs w:val="24"/>
        </w:rPr>
        <w:t>–</w:t>
      </w:r>
      <w:r w:rsidRPr="006D6C9D">
        <w:rPr>
          <w:rFonts w:cs="Times New Roman"/>
          <w:szCs w:val="24"/>
        </w:rPr>
        <w:t xml:space="preserve"> korekta błędnego odniesienia</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32 ust. 4, art. 32a – doprecyzowanie przepisów dotyczących odmian regionalnych i amatorskich w krajowym rejestrze</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36 ust. 8 – usunięcie ust. 5 jako uproszczeni</w:t>
      </w:r>
      <w:r w:rsidR="006D6C9D">
        <w:rPr>
          <w:rFonts w:cs="Times New Roman"/>
          <w:szCs w:val="24"/>
        </w:rPr>
        <w:t>e procedury składania wniosku o </w:t>
      </w:r>
      <w:r w:rsidRPr="006D6C9D">
        <w:rPr>
          <w:rFonts w:cs="Times New Roman"/>
          <w:szCs w:val="24"/>
        </w:rPr>
        <w:t>dokonanie oceny polowej</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36 ust. 10 pkt</w:t>
      </w:r>
      <w:r w:rsidR="00132D89">
        <w:rPr>
          <w:rFonts w:cs="Times New Roman"/>
          <w:szCs w:val="24"/>
        </w:rPr>
        <w:t xml:space="preserve"> </w:t>
      </w:r>
      <w:r w:rsidRPr="006D6C9D">
        <w:rPr>
          <w:rFonts w:cs="Times New Roman"/>
          <w:szCs w:val="24"/>
        </w:rPr>
        <w:t>4 – doprecyzowanie przepisów dotyczących dokumentów dołączanych do wniosku o dokonanie oceny polowej materiału siewnego, w tym odmian rozmnażanych zgodnie z systemem nasiennym OECD</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50 ust. 4 pkt 2</w:t>
      </w:r>
      <w:r w:rsidR="000011BF">
        <w:rPr>
          <w:rFonts w:cs="Times New Roman"/>
          <w:szCs w:val="24"/>
        </w:rPr>
        <w:t xml:space="preserve"> i</w:t>
      </w:r>
      <w:r w:rsidRPr="006D6C9D">
        <w:rPr>
          <w:rFonts w:cs="Times New Roman"/>
          <w:szCs w:val="24"/>
        </w:rPr>
        <w:t xml:space="preserve"> 3 – doprecyzowanie przepisów dotyczących częściowej degradacji partii materiału siewnego</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66 ust. 1 pkt 1 – doprecyzowanie przepisu dotyczącego materiału szkółkarskiego</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66 ust. 3 pkt 3 – doprecyzowanie przepisu dotyczącego odmian powszechnie znanych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72a pkt 2 – doprecyzowanie dotyczące oznaczania partii materiału rozmnożeniowego i nasadzeniowego roślin warzywnych i ozdobnych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lastRenderedPageBreak/>
        <w:t>art. 79 – usunięcie ust. 6 dotyczącego przeprow</w:t>
      </w:r>
      <w:r w:rsidR="006D6C9D">
        <w:rPr>
          <w:rFonts w:cs="Times New Roman"/>
          <w:szCs w:val="24"/>
        </w:rPr>
        <w:t>adzania szkoleń doskonalących w </w:t>
      </w:r>
      <w:r w:rsidRPr="006D6C9D">
        <w:rPr>
          <w:rFonts w:cs="Times New Roman"/>
          <w:szCs w:val="24"/>
        </w:rPr>
        <w:t>czwartym kwartale roku</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81 ust. 7 – doprecyzowanie przepisów dotyczących unieważniania wyników oceny cech zewnętrznych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98 ust. 2 pkt 2 – doprecyzowanie przepisu dotyczącego wypełniania etykiet urzędowych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102 ust. 3 – uzupełnienie informacji, które mają być umieszczane na dokumencie dostawcy, o datę wystawienia</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103a – doprecyzowanie przepisu dotyczącego zaopatrywania materiału szkółkarskiego w dokument towarzyszący</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103c pkt 2 – doprecyzowanie upoważnienia dla ministra właściwego do spraw rolnictwa w odniesieniu do szkółkarskiego dokumentu dostawcy i szkółkarskiego dokumentu towarzyszącego dla materiału szkółkarskiego przeznaczonego dla nieprofesjonalnego odbiorcy</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art. 104 ust. 1 pkt 1 – doprecyzowanie przepisów w odniesieniu do dopuszczania do obrotu materiału siewnego odmian tradycyjnych</w:t>
      </w:r>
      <w:r w:rsidR="00132D89">
        <w:rPr>
          <w:rFonts w:cs="Times New Roman"/>
          <w:szCs w:val="24"/>
        </w:rPr>
        <w:t>;</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zmiana ustawy o ochronie roślin:</w:t>
      </w:r>
    </w:p>
    <w:p w:rsidR="00B82F17" w:rsidRPr="006D6C9D" w:rsidRDefault="00B82F17" w:rsidP="006D6C9D">
      <w:pPr>
        <w:widowControl/>
        <w:numPr>
          <w:ilvl w:val="0"/>
          <w:numId w:val="5"/>
        </w:numPr>
        <w:autoSpaceDE/>
        <w:autoSpaceDN/>
        <w:adjustRightInd/>
        <w:jc w:val="both"/>
        <w:rPr>
          <w:rFonts w:cs="Times New Roman"/>
          <w:szCs w:val="24"/>
        </w:rPr>
      </w:pPr>
      <w:r w:rsidRPr="006D6C9D">
        <w:rPr>
          <w:rFonts w:cs="Times New Roman"/>
          <w:szCs w:val="24"/>
        </w:rPr>
        <w:t>art. 16 ust</w:t>
      </w:r>
      <w:r w:rsidR="000011BF">
        <w:rPr>
          <w:rFonts w:cs="Times New Roman"/>
          <w:szCs w:val="24"/>
        </w:rPr>
        <w:t>.</w:t>
      </w:r>
      <w:r w:rsidRPr="006D6C9D">
        <w:rPr>
          <w:rFonts w:cs="Times New Roman"/>
          <w:szCs w:val="24"/>
        </w:rPr>
        <w:t xml:space="preserve"> 8 – doprecyzowanie przepisów dotyczących dokumentów uzupełniających paszport roślin,</w:t>
      </w:r>
    </w:p>
    <w:p w:rsidR="00B82F17" w:rsidRPr="006D6C9D" w:rsidRDefault="00B82F17" w:rsidP="006D6C9D">
      <w:pPr>
        <w:widowControl/>
        <w:numPr>
          <w:ilvl w:val="0"/>
          <w:numId w:val="5"/>
        </w:numPr>
        <w:autoSpaceDE/>
        <w:autoSpaceDN/>
        <w:adjustRightInd/>
        <w:jc w:val="both"/>
        <w:rPr>
          <w:rFonts w:cs="Times New Roman"/>
          <w:szCs w:val="24"/>
        </w:rPr>
      </w:pPr>
      <w:r w:rsidRPr="006D6C9D">
        <w:rPr>
          <w:rFonts w:cs="Times New Roman"/>
          <w:szCs w:val="24"/>
        </w:rPr>
        <w:t xml:space="preserve"> usunięcie błędnie przywołanego art. 85a oraz uchylenie art. 91 ust</w:t>
      </w:r>
      <w:r w:rsidR="00132D89">
        <w:rPr>
          <w:rFonts w:cs="Times New Roman"/>
          <w:szCs w:val="24"/>
        </w:rPr>
        <w:t>.</w:t>
      </w:r>
      <w:r w:rsidRPr="006D6C9D">
        <w:rPr>
          <w:rFonts w:cs="Times New Roman"/>
          <w:szCs w:val="24"/>
        </w:rPr>
        <w:t xml:space="preserve"> 4a</w:t>
      </w:r>
      <w:r w:rsidR="00132D89">
        <w:rPr>
          <w:rFonts w:cs="Times New Roman"/>
          <w:szCs w:val="24"/>
        </w:rPr>
        <w:t>;</w:t>
      </w:r>
      <w:r w:rsidRPr="006D6C9D">
        <w:rPr>
          <w:rFonts w:cs="Times New Roman"/>
          <w:szCs w:val="24"/>
        </w:rPr>
        <w:t xml:space="preserve"> </w:t>
      </w:r>
    </w:p>
    <w:p w:rsidR="00B82F17" w:rsidRPr="006D6C9D" w:rsidRDefault="00B82F17" w:rsidP="006D6C9D">
      <w:pPr>
        <w:widowControl/>
        <w:numPr>
          <w:ilvl w:val="0"/>
          <w:numId w:val="4"/>
        </w:numPr>
        <w:autoSpaceDE/>
        <w:autoSpaceDN/>
        <w:adjustRightInd/>
        <w:ind w:left="448" w:hanging="448"/>
        <w:jc w:val="both"/>
        <w:rPr>
          <w:rFonts w:cs="Times New Roman"/>
          <w:szCs w:val="24"/>
        </w:rPr>
      </w:pPr>
      <w:r w:rsidRPr="006D6C9D">
        <w:rPr>
          <w:rFonts w:cs="Times New Roman"/>
          <w:szCs w:val="24"/>
        </w:rPr>
        <w:t>doprecyzowanie przepisów przejściowych i końcowych.</w:t>
      </w:r>
    </w:p>
    <w:p w:rsidR="00B82F17" w:rsidRPr="006D6C9D" w:rsidRDefault="00B82F17" w:rsidP="006D6C9D">
      <w:pPr>
        <w:widowControl/>
        <w:spacing w:before="120"/>
        <w:jc w:val="both"/>
        <w:rPr>
          <w:rFonts w:cs="Times New Roman"/>
          <w:szCs w:val="24"/>
        </w:rPr>
      </w:pPr>
      <w:r w:rsidRPr="006D6C9D">
        <w:rPr>
          <w:rFonts w:cs="Times New Roman"/>
          <w:szCs w:val="24"/>
        </w:rPr>
        <w:t>Projekt ustawy nie zawiera przepisów technicznych w</w:t>
      </w:r>
      <w:r w:rsidR="00933E4F" w:rsidRPr="006D6C9D">
        <w:rPr>
          <w:rFonts w:cs="Times New Roman"/>
          <w:szCs w:val="24"/>
        </w:rPr>
        <w:t xml:space="preserve"> </w:t>
      </w:r>
      <w:r w:rsidRPr="006D6C9D">
        <w:rPr>
          <w:rFonts w:cs="Times New Roman"/>
          <w:szCs w:val="24"/>
        </w:rPr>
        <w:t>rozumieniu przepisów rozporządzenia Rady Ministrów z</w:t>
      </w:r>
      <w:r w:rsidR="00933E4F" w:rsidRPr="006D6C9D">
        <w:rPr>
          <w:rFonts w:cs="Times New Roman"/>
          <w:szCs w:val="24"/>
        </w:rPr>
        <w:t xml:space="preserve"> </w:t>
      </w:r>
      <w:r w:rsidRPr="006D6C9D">
        <w:rPr>
          <w:rFonts w:cs="Times New Roman"/>
          <w:szCs w:val="24"/>
        </w:rPr>
        <w:t>dnia 23</w:t>
      </w:r>
      <w:r w:rsidR="00933E4F" w:rsidRPr="006D6C9D">
        <w:rPr>
          <w:rFonts w:cs="Times New Roman"/>
          <w:szCs w:val="24"/>
        </w:rPr>
        <w:t xml:space="preserve"> </w:t>
      </w:r>
      <w:r w:rsidRPr="006D6C9D">
        <w:rPr>
          <w:rFonts w:cs="Times New Roman"/>
          <w:szCs w:val="24"/>
        </w:rPr>
        <w:t>grudnia 2002</w:t>
      </w:r>
      <w:r w:rsidR="00933E4F" w:rsidRPr="006D6C9D">
        <w:rPr>
          <w:rFonts w:cs="Times New Roman"/>
          <w:szCs w:val="24"/>
        </w:rPr>
        <w:t xml:space="preserve"> </w:t>
      </w:r>
      <w:r w:rsidRPr="006D6C9D">
        <w:rPr>
          <w:rFonts w:cs="Times New Roman"/>
          <w:szCs w:val="24"/>
        </w:rPr>
        <w:t>r. w</w:t>
      </w:r>
      <w:r w:rsidR="00933E4F" w:rsidRPr="006D6C9D">
        <w:rPr>
          <w:rFonts w:cs="Times New Roman"/>
          <w:szCs w:val="24"/>
        </w:rPr>
        <w:t xml:space="preserve"> </w:t>
      </w:r>
      <w:r w:rsidRPr="006D6C9D">
        <w:rPr>
          <w:rFonts w:cs="Times New Roman"/>
          <w:szCs w:val="24"/>
        </w:rPr>
        <w:t>sprawie sposobu funkcjonowania krajowego systemu notyfikacji norm i</w:t>
      </w:r>
      <w:r w:rsidR="00933E4F" w:rsidRPr="006D6C9D">
        <w:rPr>
          <w:rFonts w:cs="Times New Roman"/>
          <w:szCs w:val="24"/>
        </w:rPr>
        <w:t xml:space="preserve"> </w:t>
      </w:r>
      <w:r w:rsidRPr="006D6C9D">
        <w:rPr>
          <w:rFonts w:cs="Times New Roman"/>
          <w:szCs w:val="24"/>
        </w:rPr>
        <w:t>aktów prawnych (Dz.</w:t>
      </w:r>
      <w:r w:rsidR="00933E4F" w:rsidRPr="006D6C9D">
        <w:rPr>
          <w:rFonts w:cs="Times New Roman"/>
          <w:szCs w:val="24"/>
        </w:rPr>
        <w:t xml:space="preserve"> </w:t>
      </w:r>
      <w:r w:rsidRPr="006D6C9D">
        <w:rPr>
          <w:rFonts w:cs="Times New Roman"/>
          <w:szCs w:val="24"/>
        </w:rPr>
        <w:t>U. poz.</w:t>
      </w:r>
      <w:r w:rsidR="006D6C9D">
        <w:rPr>
          <w:rFonts w:cs="Times New Roman"/>
          <w:szCs w:val="24"/>
        </w:rPr>
        <w:t> </w:t>
      </w:r>
      <w:r w:rsidRPr="006D6C9D">
        <w:rPr>
          <w:rFonts w:cs="Times New Roman"/>
          <w:szCs w:val="24"/>
        </w:rPr>
        <w:t>2039, z późn.</w:t>
      </w:r>
      <w:r w:rsidR="00132D89">
        <w:rPr>
          <w:rFonts w:cs="Times New Roman"/>
          <w:szCs w:val="24"/>
        </w:rPr>
        <w:t xml:space="preserve"> </w:t>
      </w:r>
      <w:r w:rsidRPr="006D6C9D">
        <w:rPr>
          <w:rFonts w:cs="Times New Roman"/>
          <w:szCs w:val="24"/>
        </w:rPr>
        <w:t>zm.),w</w:t>
      </w:r>
      <w:r w:rsidR="00933E4F" w:rsidRPr="006D6C9D">
        <w:rPr>
          <w:rFonts w:cs="Times New Roman"/>
          <w:szCs w:val="24"/>
        </w:rPr>
        <w:t xml:space="preserve"> </w:t>
      </w:r>
      <w:r w:rsidRPr="006D6C9D">
        <w:rPr>
          <w:rFonts w:cs="Times New Roman"/>
          <w:szCs w:val="24"/>
        </w:rPr>
        <w:t>związku z</w:t>
      </w:r>
      <w:r w:rsidR="00933E4F" w:rsidRPr="006D6C9D">
        <w:rPr>
          <w:rFonts w:cs="Times New Roman"/>
          <w:szCs w:val="24"/>
        </w:rPr>
        <w:t xml:space="preserve"> </w:t>
      </w:r>
      <w:r w:rsidRPr="006D6C9D">
        <w:rPr>
          <w:rFonts w:cs="Times New Roman"/>
          <w:szCs w:val="24"/>
        </w:rPr>
        <w:t>tym projekt nie podlegał notyfikacji.</w:t>
      </w:r>
    </w:p>
    <w:p w:rsidR="00B82F17" w:rsidRPr="006D6C9D" w:rsidRDefault="00B82F17" w:rsidP="006D6C9D">
      <w:pPr>
        <w:widowControl/>
        <w:spacing w:before="120"/>
        <w:jc w:val="both"/>
        <w:rPr>
          <w:rFonts w:cs="Times New Roman"/>
          <w:szCs w:val="24"/>
        </w:rPr>
      </w:pPr>
      <w:r w:rsidRPr="006D6C9D">
        <w:rPr>
          <w:rFonts w:cs="Times New Roman"/>
          <w:szCs w:val="24"/>
        </w:rPr>
        <w:t>Stosownie do art.</w:t>
      </w:r>
      <w:r w:rsidR="00933E4F" w:rsidRPr="006D6C9D">
        <w:rPr>
          <w:rFonts w:cs="Times New Roman"/>
          <w:szCs w:val="24"/>
        </w:rPr>
        <w:t xml:space="preserve"> </w:t>
      </w:r>
      <w:r w:rsidRPr="006D6C9D">
        <w:rPr>
          <w:rFonts w:cs="Times New Roman"/>
          <w:szCs w:val="24"/>
        </w:rPr>
        <w:t>5</w:t>
      </w:r>
      <w:r w:rsidR="00933E4F" w:rsidRPr="006D6C9D">
        <w:rPr>
          <w:rFonts w:cs="Times New Roman"/>
          <w:szCs w:val="24"/>
        </w:rPr>
        <w:t xml:space="preserve"> </w:t>
      </w:r>
      <w:r w:rsidRPr="006D6C9D">
        <w:rPr>
          <w:rFonts w:cs="Times New Roman"/>
          <w:szCs w:val="24"/>
        </w:rPr>
        <w:t>ustawy z</w:t>
      </w:r>
      <w:r w:rsidR="00933E4F" w:rsidRPr="006D6C9D">
        <w:rPr>
          <w:rFonts w:cs="Times New Roman"/>
          <w:szCs w:val="24"/>
        </w:rPr>
        <w:t xml:space="preserve"> </w:t>
      </w:r>
      <w:r w:rsidRPr="006D6C9D">
        <w:rPr>
          <w:rFonts w:cs="Times New Roman"/>
          <w:szCs w:val="24"/>
        </w:rPr>
        <w:t>dnia 7</w:t>
      </w:r>
      <w:r w:rsidR="00933E4F" w:rsidRPr="006D6C9D">
        <w:rPr>
          <w:rFonts w:cs="Times New Roman"/>
          <w:szCs w:val="24"/>
        </w:rPr>
        <w:t xml:space="preserve"> </w:t>
      </w:r>
      <w:r w:rsidRPr="006D6C9D">
        <w:rPr>
          <w:rFonts w:cs="Times New Roman"/>
          <w:szCs w:val="24"/>
        </w:rPr>
        <w:t>lipca 2005</w:t>
      </w:r>
      <w:r w:rsidR="00933E4F" w:rsidRPr="006D6C9D">
        <w:rPr>
          <w:rFonts w:cs="Times New Roman"/>
          <w:szCs w:val="24"/>
        </w:rPr>
        <w:t xml:space="preserve"> </w:t>
      </w:r>
      <w:r w:rsidRPr="006D6C9D">
        <w:rPr>
          <w:rFonts w:cs="Times New Roman"/>
          <w:szCs w:val="24"/>
        </w:rPr>
        <w:t>r. o</w:t>
      </w:r>
      <w:r w:rsidR="00933E4F" w:rsidRPr="006D6C9D">
        <w:rPr>
          <w:rFonts w:cs="Times New Roman"/>
          <w:szCs w:val="24"/>
        </w:rPr>
        <w:t xml:space="preserve"> </w:t>
      </w:r>
      <w:r w:rsidRPr="006D6C9D">
        <w:rPr>
          <w:rFonts w:cs="Times New Roman"/>
          <w:szCs w:val="24"/>
        </w:rPr>
        <w:t>działalności lobbingowej w</w:t>
      </w:r>
      <w:r w:rsidR="00933E4F" w:rsidRPr="006D6C9D">
        <w:rPr>
          <w:rFonts w:cs="Times New Roman"/>
          <w:szCs w:val="24"/>
        </w:rPr>
        <w:t xml:space="preserve"> </w:t>
      </w:r>
      <w:r w:rsidRPr="006D6C9D">
        <w:rPr>
          <w:rFonts w:cs="Times New Roman"/>
          <w:szCs w:val="24"/>
        </w:rPr>
        <w:t>procesie stanowienia prawa (Dz.</w:t>
      </w:r>
      <w:r w:rsidR="00933E4F" w:rsidRPr="006D6C9D">
        <w:rPr>
          <w:rFonts w:cs="Times New Roman"/>
          <w:szCs w:val="24"/>
        </w:rPr>
        <w:t xml:space="preserve"> </w:t>
      </w:r>
      <w:r w:rsidRPr="006D6C9D">
        <w:rPr>
          <w:rFonts w:cs="Times New Roman"/>
          <w:szCs w:val="24"/>
        </w:rPr>
        <w:t>U. poz.</w:t>
      </w:r>
      <w:r w:rsidR="00933E4F" w:rsidRPr="006D6C9D">
        <w:rPr>
          <w:rFonts w:cs="Times New Roman"/>
          <w:szCs w:val="24"/>
        </w:rPr>
        <w:t xml:space="preserve"> </w:t>
      </w:r>
      <w:r w:rsidRPr="006D6C9D">
        <w:rPr>
          <w:rFonts w:cs="Times New Roman"/>
          <w:szCs w:val="24"/>
        </w:rPr>
        <w:t>1414, z</w:t>
      </w:r>
      <w:r w:rsidR="00933E4F" w:rsidRPr="006D6C9D">
        <w:rPr>
          <w:rFonts w:cs="Times New Roman"/>
          <w:szCs w:val="24"/>
        </w:rPr>
        <w:t xml:space="preserve"> </w:t>
      </w:r>
      <w:r w:rsidRPr="006D6C9D">
        <w:rPr>
          <w:rFonts w:cs="Times New Roman"/>
          <w:szCs w:val="24"/>
        </w:rPr>
        <w:t>późn.</w:t>
      </w:r>
      <w:r w:rsidR="00132D89">
        <w:rPr>
          <w:rFonts w:cs="Times New Roman"/>
          <w:szCs w:val="24"/>
        </w:rPr>
        <w:t xml:space="preserve"> </w:t>
      </w:r>
      <w:r w:rsidRPr="006D6C9D">
        <w:rPr>
          <w:rFonts w:cs="Times New Roman"/>
          <w:szCs w:val="24"/>
        </w:rPr>
        <w:t>zm.) projekt ustawy został zamieszczony na stronie internetowej Biuletynu Informacji Publicznej Rządowego Centrum Legislacji.</w:t>
      </w:r>
    </w:p>
    <w:p w:rsidR="00B82F17" w:rsidRPr="006D6C9D" w:rsidRDefault="00B82F17" w:rsidP="006D6C9D">
      <w:pPr>
        <w:widowControl/>
        <w:spacing w:before="120"/>
        <w:jc w:val="both"/>
        <w:rPr>
          <w:rFonts w:cs="Times New Roman"/>
          <w:szCs w:val="24"/>
        </w:rPr>
      </w:pPr>
      <w:r w:rsidRPr="006D6C9D">
        <w:rPr>
          <w:rFonts w:cs="Times New Roman"/>
          <w:szCs w:val="24"/>
        </w:rPr>
        <w:t>Projekt ustawy znajduje się w</w:t>
      </w:r>
      <w:r w:rsidR="00933E4F" w:rsidRPr="006D6C9D">
        <w:rPr>
          <w:rFonts w:cs="Times New Roman"/>
          <w:szCs w:val="24"/>
        </w:rPr>
        <w:t xml:space="preserve"> </w:t>
      </w:r>
      <w:r w:rsidRPr="006D6C9D">
        <w:rPr>
          <w:rFonts w:cs="Times New Roman"/>
          <w:szCs w:val="24"/>
        </w:rPr>
        <w:t>Wykazie prac legislacyjnych i</w:t>
      </w:r>
      <w:r w:rsidR="00933E4F" w:rsidRPr="006D6C9D">
        <w:rPr>
          <w:rFonts w:cs="Times New Roman"/>
          <w:szCs w:val="24"/>
        </w:rPr>
        <w:t xml:space="preserve"> </w:t>
      </w:r>
      <w:r w:rsidRPr="006D6C9D">
        <w:rPr>
          <w:rFonts w:cs="Times New Roman"/>
          <w:szCs w:val="24"/>
        </w:rPr>
        <w:t>programowych Rady Ministrów UC47.</w:t>
      </w:r>
    </w:p>
    <w:p w:rsidR="00933E4F" w:rsidRPr="006D6C9D" w:rsidRDefault="00933E4F" w:rsidP="006D6C9D">
      <w:pPr>
        <w:widowControl/>
        <w:spacing w:before="120"/>
        <w:jc w:val="both"/>
        <w:rPr>
          <w:rFonts w:cs="Times New Roman"/>
          <w:szCs w:val="24"/>
        </w:rPr>
      </w:pPr>
    </w:p>
    <w:sectPr w:rsidR="00933E4F" w:rsidRPr="006D6C9D" w:rsidSect="006D6C9D">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C9D" w:rsidRDefault="006D6C9D" w:rsidP="006D6C9D">
      <w:pPr>
        <w:spacing w:line="240" w:lineRule="auto"/>
      </w:pPr>
      <w:r>
        <w:separator/>
      </w:r>
    </w:p>
  </w:endnote>
  <w:endnote w:type="continuationSeparator" w:id="0">
    <w:p w:rsidR="006D6C9D" w:rsidRDefault="006D6C9D" w:rsidP="006D6C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398148"/>
      <w:docPartObj>
        <w:docPartGallery w:val="Page Numbers (Bottom of Page)"/>
        <w:docPartUnique/>
      </w:docPartObj>
    </w:sdtPr>
    <w:sdtEndPr/>
    <w:sdtContent>
      <w:p w:rsidR="006D6C9D" w:rsidRDefault="006D6C9D">
        <w:pPr>
          <w:pStyle w:val="Stopka"/>
          <w:jc w:val="center"/>
        </w:pPr>
        <w:r>
          <w:fldChar w:fldCharType="begin"/>
        </w:r>
        <w:r>
          <w:instrText>PAGE   \* MERGEFORMAT</w:instrText>
        </w:r>
        <w:r>
          <w:fldChar w:fldCharType="separate"/>
        </w:r>
        <w:r w:rsidR="0092025B">
          <w:rPr>
            <w:noProof/>
          </w:rPr>
          <w:t>14</w:t>
        </w:r>
        <w:r>
          <w:fldChar w:fldCharType="end"/>
        </w:r>
      </w:p>
    </w:sdtContent>
  </w:sdt>
  <w:p w:rsidR="006D6C9D" w:rsidRDefault="006D6C9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C9D" w:rsidRDefault="006D6C9D" w:rsidP="006D6C9D">
      <w:pPr>
        <w:spacing w:line="240" w:lineRule="auto"/>
      </w:pPr>
      <w:r>
        <w:separator/>
      </w:r>
    </w:p>
  </w:footnote>
  <w:footnote w:type="continuationSeparator" w:id="0">
    <w:p w:rsidR="006D6C9D" w:rsidRDefault="006D6C9D" w:rsidP="006D6C9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E688D"/>
    <w:multiLevelType w:val="hybridMultilevel"/>
    <w:tmpl w:val="903AAA6C"/>
    <w:lvl w:ilvl="0" w:tplc="04150011">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
    <w:nsid w:val="324963B8"/>
    <w:multiLevelType w:val="hybridMultilevel"/>
    <w:tmpl w:val="9E944086"/>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616738"/>
    <w:multiLevelType w:val="hybridMultilevel"/>
    <w:tmpl w:val="391444DC"/>
    <w:lvl w:ilvl="0" w:tplc="04150017">
      <w:start w:val="1"/>
      <w:numFmt w:val="lowerLetter"/>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nsid w:val="5B923B76"/>
    <w:multiLevelType w:val="hybridMultilevel"/>
    <w:tmpl w:val="BC8E1AC6"/>
    <w:lvl w:ilvl="0" w:tplc="0415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9B93255"/>
    <w:multiLevelType w:val="hybridMultilevel"/>
    <w:tmpl w:val="5B925F7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F17"/>
    <w:rsid w:val="000011BF"/>
    <w:rsid w:val="000F5E14"/>
    <w:rsid w:val="00132D89"/>
    <w:rsid w:val="002049EF"/>
    <w:rsid w:val="00294916"/>
    <w:rsid w:val="002D24A9"/>
    <w:rsid w:val="00397FB0"/>
    <w:rsid w:val="004A2876"/>
    <w:rsid w:val="006059D9"/>
    <w:rsid w:val="006D6C9D"/>
    <w:rsid w:val="0092025B"/>
    <w:rsid w:val="00933E4F"/>
    <w:rsid w:val="00B10A8C"/>
    <w:rsid w:val="00B82F17"/>
    <w:rsid w:val="00C751D8"/>
    <w:rsid w:val="00CB5ACF"/>
    <w:rsid w:val="00EC05FB"/>
    <w:rsid w:val="00EF65EC"/>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2F17"/>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6D6C9D"/>
    <w:pPr>
      <w:tabs>
        <w:tab w:val="center" w:pos="4536"/>
        <w:tab w:val="right" w:pos="9072"/>
      </w:tabs>
      <w:spacing w:line="240" w:lineRule="auto"/>
    </w:pPr>
  </w:style>
  <w:style w:type="character" w:customStyle="1" w:styleId="NagwekZnak">
    <w:name w:val="Nagłówek Znak"/>
    <w:basedOn w:val="Domylnaczcionkaakapitu"/>
    <w:link w:val="Nagwek"/>
    <w:uiPriority w:val="99"/>
    <w:rsid w:val="006D6C9D"/>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6D6C9D"/>
    <w:pPr>
      <w:tabs>
        <w:tab w:val="center" w:pos="4536"/>
        <w:tab w:val="right" w:pos="9072"/>
      </w:tabs>
      <w:spacing w:line="240" w:lineRule="auto"/>
    </w:pPr>
  </w:style>
  <w:style w:type="character" w:customStyle="1" w:styleId="StopkaZnak">
    <w:name w:val="Stopka Znak"/>
    <w:basedOn w:val="Domylnaczcionkaakapitu"/>
    <w:link w:val="Stopka"/>
    <w:uiPriority w:val="99"/>
    <w:rsid w:val="006D6C9D"/>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132D8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2D89"/>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2F17"/>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6D6C9D"/>
    <w:pPr>
      <w:tabs>
        <w:tab w:val="center" w:pos="4536"/>
        <w:tab w:val="right" w:pos="9072"/>
      </w:tabs>
      <w:spacing w:line="240" w:lineRule="auto"/>
    </w:pPr>
  </w:style>
  <w:style w:type="character" w:customStyle="1" w:styleId="NagwekZnak">
    <w:name w:val="Nagłówek Znak"/>
    <w:basedOn w:val="Domylnaczcionkaakapitu"/>
    <w:link w:val="Nagwek"/>
    <w:uiPriority w:val="99"/>
    <w:rsid w:val="006D6C9D"/>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6D6C9D"/>
    <w:pPr>
      <w:tabs>
        <w:tab w:val="center" w:pos="4536"/>
        <w:tab w:val="right" w:pos="9072"/>
      </w:tabs>
      <w:spacing w:line="240" w:lineRule="auto"/>
    </w:pPr>
  </w:style>
  <w:style w:type="character" w:customStyle="1" w:styleId="StopkaZnak">
    <w:name w:val="Stopka Znak"/>
    <w:basedOn w:val="Domylnaczcionkaakapitu"/>
    <w:link w:val="Stopka"/>
    <w:uiPriority w:val="99"/>
    <w:rsid w:val="006D6C9D"/>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132D8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2D89"/>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4632</Words>
  <Characters>27798</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2016-11-16T14:54:00Z</cp:lastPrinted>
  <dcterms:created xsi:type="dcterms:W3CDTF">2016-11-18T11:16:00Z</dcterms:created>
  <dcterms:modified xsi:type="dcterms:W3CDTF">2016-11-18T11:16:00Z</dcterms:modified>
</cp:coreProperties>
</file>