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CE965" w14:textId="407D5B68" w:rsidR="002A1FA9" w:rsidRPr="00B119B3" w:rsidRDefault="002A1FA9" w:rsidP="00CA3B18">
      <w:pPr>
        <w:pStyle w:val="OZNPROJEKTUwskazaniedatylubwersjiprojektu"/>
      </w:pPr>
      <w:bookmarkStart w:id="0" w:name="_GoBack"/>
      <w:bookmarkEnd w:id="0"/>
      <w:r w:rsidRPr="00F70FDC">
        <w:t>Projekt</w:t>
      </w:r>
    </w:p>
    <w:p w14:paraId="0C22BF95" w14:textId="77777777" w:rsidR="002A1FA9" w:rsidRPr="00B119B3" w:rsidRDefault="002A1FA9" w:rsidP="002A1FA9">
      <w:pPr>
        <w:pStyle w:val="OZNRODZAKTUtznustawalubrozporzdzenieiorganwydajcy"/>
      </w:pPr>
      <w:r w:rsidRPr="00B119B3">
        <w:t>Ustawa</w:t>
      </w:r>
    </w:p>
    <w:p w14:paraId="2C1C5C38" w14:textId="45367795" w:rsidR="002A1FA9" w:rsidRPr="00B119B3" w:rsidRDefault="003D2CE7" w:rsidP="002A1FA9">
      <w:pPr>
        <w:pStyle w:val="DATAAKTUdatauchwalenialubwydaniaaktu"/>
      </w:pPr>
      <w:r>
        <w:t>z dnia</w:t>
      </w:r>
    </w:p>
    <w:p w14:paraId="570AA6CF" w14:textId="5EAE4FF1" w:rsidR="002A1FA9" w:rsidRPr="00B119B3" w:rsidRDefault="002A1FA9" w:rsidP="00953E3A">
      <w:pPr>
        <w:pStyle w:val="TYTUAKTUprzedmiotregulacjiustawylubrozporzdzenia"/>
      </w:pPr>
      <w:r w:rsidRPr="00B119B3">
        <w:t>o zmianie ustawy o</w:t>
      </w:r>
      <w:r w:rsidR="003D2CE7">
        <w:t xml:space="preserve"> </w:t>
      </w:r>
      <w:r w:rsidRPr="00B119B3">
        <w:t>rachunkowości</w:t>
      </w:r>
      <w:r w:rsidR="004A7C8F" w:rsidRPr="00417426">
        <w:rPr>
          <w:rStyle w:val="IGPindeksgrnyipogrubienie"/>
        </w:rPr>
        <w:footnoteReference w:id="2"/>
      </w:r>
      <w:r w:rsidR="005B53A4" w:rsidRPr="004A7C8F">
        <w:rPr>
          <w:rStyle w:val="IGPindeksgrnyipogrubienie"/>
        </w:rPr>
        <w:t>)</w:t>
      </w:r>
    </w:p>
    <w:p w14:paraId="178DB460" w14:textId="7CB75C93" w:rsidR="00ED4134" w:rsidRDefault="002A1FA9" w:rsidP="000F3345">
      <w:pPr>
        <w:pStyle w:val="ARTartustawynprozporzdzenia"/>
        <w:keepNext/>
      </w:pPr>
      <w:r w:rsidRPr="00B119B3">
        <w:rPr>
          <w:rStyle w:val="Ppogrubienie"/>
        </w:rPr>
        <w:t>Art.</w:t>
      </w:r>
      <w:r w:rsidR="003D2CE7">
        <w:rPr>
          <w:rStyle w:val="Ppogrubienie"/>
        </w:rPr>
        <w:t> </w:t>
      </w:r>
      <w:r w:rsidRPr="00B119B3">
        <w:rPr>
          <w:rStyle w:val="Ppogrubienie"/>
        </w:rPr>
        <w:t>1.</w:t>
      </w:r>
      <w:r w:rsidR="003D2CE7">
        <w:rPr>
          <w:rStyle w:val="Ppogrubienie"/>
        </w:rPr>
        <w:t> </w:t>
      </w:r>
      <w:r w:rsidRPr="00B119B3">
        <w:t>W</w:t>
      </w:r>
      <w:r w:rsidR="003D2CE7">
        <w:t xml:space="preserve"> </w:t>
      </w:r>
      <w:r w:rsidRPr="00B119B3">
        <w:t>ustawie z</w:t>
      </w:r>
      <w:r w:rsidR="003D2CE7">
        <w:t xml:space="preserve"> </w:t>
      </w:r>
      <w:r w:rsidRPr="00B119B3">
        <w:t>dnia 29</w:t>
      </w:r>
      <w:r w:rsidR="003D2CE7">
        <w:t xml:space="preserve"> </w:t>
      </w:r>
      <w:r w:rsidRPr="00B119B3">
        <w:t>września 1994</w:t>
      </w:r>
      <w:r w:rsidR="003D2CE7">
        <w:t xml:space="preserve"> </w:t>
      </w:r>
      <w:r w:rsidRPr="00B119B3">
        <w:t>r. o</w:t>
      </w:r>
      <w:r w:rsidR="003D2CE7">
        <w:t xml:space="preserve"> </w:t>
      </w:r>
      <w:r w:rsidRPr="00B119B3">
        <w:t>rachunkowości (</w:t>
      </w:r>
      <w:r w:rsidR="005416EE" w:rsidRPr="00B119B3">
        <w:t>Dz.</w:t>
      </w:r>
      <w:r w:rsidR="003D2CE7">
        <w:t xml:space="preserve"> </w:t>
      </w:r>
      <w:r w:rsidR="005416EE" w:rsidRPr="00B119B3">
        <w:t>U.</w:t>
      </w:r>
      <w:r w:rsidRPr="00B119B3">
        <w:t xml:space="preserve"> z</w:t>
      </w:r>
      <w:r w:rsidR="003D2CE7">
        <w:t xml:space="preserve"> </w:t>
      </w:r>
      <w:r w:rsidRPr="00B119B3">
        <w:t>201</w:t>
      </w:r>
      <w:r w:rsidR="001559D4">
        <w:t>6</w:t>
      </w:r>
      <w:r w:rsidR="003D2CE7">
        <w:t xml:space="preserve"> </w:t>
      </w:r>
      <w:r w:rsidRPr="00B119B3">
        <w:t>r.</w:t>
      </w:r>
      <w:r w:rsidR="005416EE" w:rsidRPr="00B119B3">
        <w:t xml:space="preserve"> poz.</w:t>
      </w:r>
      <w:r w:rsidR="003D2CE7">
        <w:t> </w:t>
      </w:r>
      <w:r w:rsidR="001559D4">
        <w:t>1047</w:t>
      </w:r>
      <w:r w:rsidRPr="00B119B3">
        <w:t>) wprowadza się następujące zmiany:</w:t>
      </w:r>
    </w:p>
    <w:p w14:paraId="607C78BE" w14:textId="77777777" w:rsidR="000441A4" w:rsidRDefault="00876D39" w:rsidP="000F3345">
      <w:pPr>
        <w:pStyle w:val="PKTpunkt"/>
      </w:pPr>
      <w:r>
        <w:t>1</w:t>
      </w:r>
      <w:r w:rsidR="00660C6D">
        <w:t>)</w:t>
      </w:r>
      <w:r w:rsidR="00ED4134">
        <w:tab/>
      </w:r>
      <w:r w:rsidR="008E6786">
        <w:t>w art. 3</w:t>
      </w:r>
      <w:r w:rsidR="000441A4">
        <w:t>:</w:t>
      </w:r>
    </w:p>
    <w:p w14:paraId="4B4FBF34" w14:textId="0B08F27A" w:rsidR="000441A4" w:rsidRDefault="003D2CE7" w:rsidP="00BB79CE">
      <w:pPr>
        <w:pStyle w:val="LITlitera"/>
      </w:pPr>
      <w:r>
        <w:t>a)</w:t>
      </w:r>
      <w:r>
        <w:tab/>
      </w:r>
      <w:r w:rsidR="00BB79CE">
        <w:t>w ust. 1a pkt 2 otrzymuje brzmienie:</w:t>
      </w:r>
    </w:p>
    <w:p w14:paraId="4EA783D7" w14:textId="1E4077AC" w:rsidR="00BB79CE" w:rsidRDefault="00BB79CE" w:rsidP="00BB79CE">
      <w:pPr>
        <w:pStyle w:val="ZPKTzmpktartykuempunktem"/>
      </w:pPr>
      <w:r>
        <w:t>,,2)</w:t>
      </w:r>
      <w:r>
        <w:tab/>
      </w:r>
      <w:r w:rsidRPr="00BB79CE">
        <w:t>związki zawodowe, organizacje pracodawców, izby gospodarcze, przedstawicielstwa przedsiębiorców zagrani</w:t>
      </w:r>
      <w:r w:rsidR="003D2CE7">
        <w:t>cznych w rozumieniu przepisów o </w:t>
      </w:r>
      <w:r w:rsidRPr="00BB79CE">
        <w:t xml:space="preserve">swobodzie działalności gospodarczej, społeczno-zawodowe organizacje rolników, organizacje samorządu zawodowego, organizacje samorządu gospodarczego rzemiosła i Polskie Biuro Ubezpieczycieli Komunikacyjnych </w:t>
      </w:r>
      <w:r w:rsidR="003D2CE7">
        <w:t>–</w:t>
      </w:r>
      <w:r w:rsidRPr="00BB79CE">
        <w:t xml:space="preserve"> jeżeli nie prowadzą działalności gospodarczej,</w:t>
      </w:r>
      <w:r w:rsidR="003D2CE7">
        <w:t>”</w:t>
      </w:r>
      <w:r w:rsidR="00151ED7">
        <w:t>,</w:t>
      </w:r>
    </w:p>
    <w:p w14:paraId="04E1D7E2" w14:textId="6227CBBA" w:rsidR="003B1F76" w:rsidRPr="003B1F76" w:rsidRDefault="00BB79CE" w:rsidP="003B1F76">
      <w:pPr>
        <w:pStyle w:val="ZPKTzmpktartykuempunktem"/>
      </w:pPr>
      <w:r>
        <w:t>b)</w:t>
      </w:r>
      <w:r w:rsidR="003D2CE7">
        <w:tab/>
      </w:r>
      <w:r w:rsidR="003B1F76" w:rsidRPr="003B1F76">
        <w:t xml:space="preserve">w ust. </w:t>
      </w:r>
      <w:r w:rsidR="003B1F76">
        <w:t>1e</w:t>
      </w:r>
      <w:r w:rsidR="003B1F76" w:rsidRPr="003B1F76">
        <w:t xml:space="preserve"> </w:t>
      </w:r>
      <w:r w:rsidR="003B1F76">
        <w:t xml:space="preserve">w pkt </w:t>
      </w:r>
      <w:r w:rsidR="008E4690">
        <w:t>7 kropkę zastępuje się</w:t>
      </w:r>
      <w:r w:rsidR="003B1F76" w:rsidRPr="003B1F76">
        <w:t xml:space="preserve"> średnikiem i dodaje się pkt</w:t>
      </w:r>
      <w:r w:rsidR="008E4690">
        <w:t xml:space="preserve"> 8</w:t>
      </w:r>
      <w:r w:rsidR="003B1F76" w:rsidRPr="003B1F76">
        <w:t xml:space="preserve"> w brzmieniu:</w:t>
      </w:r>
    </w:p>
    <w:p w14:paraId="727B2CFD" w14:textId="4F10193F" w:rsidR="00BB79CE" w:rsidRPr="00BB79CE" w:rsidRDefault="008E4690" w:rsidP="00BB79CE">
      <w:pPr>
        <w:pStyle w:val="ZPKTzmpktartykuempunktem"/>
      </w:pPr>
      <w:r w:rsidRPr="008E4690">
        <w:t>,,</w:t>
      </w:r>
      <w:r>
        <w:t>8</w:t>
      </w:r>
      <w:r w:rsidRPr="008E4690">
        <w:t>)</w:t>
      </w:r>
      <w:r w:rsidRPr="008E4690">
        <w:tab/>
        <w:t>jednostek, o których mowa w</w:t>
      </w:r>
      <w:r w:rsidR="003D2CE7">
        <w:t xml:space="preserve"> </w:t>
      </w:r>
      <w:r w:rsidRPr="008E4690">
        <w:t>art. 3 ust. 2 usta</w:t>
      </w:r>
      <w:r w:rsidR="003D2CE7">
        <w:t>wy z dnia 24 kwietnia 2003 r. o </w:t>
      </w:r>
      <w:r w:rsidRPr="008E4690">
        <w:t>działalności pożytku publicznego i</w:t>
      </w:r>
      <w:r w:rsidR="003D2CE7">
        <w:t xml:space="preserve"> </w:t>
      </w:r>
      <w:r w:rsidRPr="008E4690">
        <w:t>o</w:t>
      </w:r>
      <w:r w:rsidR="003D2CE7">
        <w:t xml:space="preserve"> </w:t>
      </w:r>
      <w:r w:rsidRPr="008E4690">
        <w:t>wolontariacie</w:t>
      </w:r>
      <w:r w:rsidR="002508A6">
        <w:t xml:space="preserve"> </w:t>
      </w:r>
      <w:r w:rsidR="003D2CE7">
        <w:t>–</w:t>
      </w:r>
      <w:r w:rsidRPr="008E4690">
        <w:t xml:space="preserve"> z </w:t>
      </w:r>
      <w:r w:rsidR="00151ED7">
        <w:t xml:space="preserve">wyjątkiem </w:t>
      </w:r>
      <w:r w:rsidRPr="008E4690">
        <w:t>spółek kapitałowych</w:t>
      </w:r>
      <w:r w:rsidR="002508A6">
        <w:t xml:space="preserve"> </w:t>
      </w:r>
      <w:r w:rsidR="003D2CE7">
        <w:t>–</w:t>
      </w:r>
      <w:r w:rsidRPr="008E4690">
        <w:t xml:space="preserve"> oraz jednostek, o których mowa w art. 3 ust. 3 pkt 1 i 2 tej ustawy.</w:t>
      </w:r>
      <w:r w:rsidR="003D2CE7">
        <w:t>”</w:t>
      </w:r>
      <w:r w:rsidR="00151ED7">
        <w:t>,</w:t>
      </w:r>
    </w:p>
    <w:p w14:paraId="4685CBDC" w14:textId="6BDB642E" w:rsidR="00FA0BB9" w:rsidRDefault="008E4690" w:rsidP="008E4690">
      <w:pPr>
        <w:pStyle w:val="LITlitera"/>
      </w:pPr>
      <w:r>
        <w:t>c)</w:t>
      </w:r>
      <w:r>
        <w:tab/>
      </w:r>
      <w:r w:rsidR="00FA0BB9" w:rsidRPr="00FA0BB9">
        <w:t xml:space="preserve">ust. </w:t>
      </w:r>
      <w:r w:rsidR="00FA0BB9">
        <w:t>6</w:t>
      </w:r>
      <w:r w:rsidR="00FA0BB9" w:rsidRPr="00FA0BB9">
        <w:t xml:space="preserve"> otrzymuje brzmienie: </w:t>
      </w:r>
    </w:p>
    <w:p w14:paraId="2CA2D92F" w14:textId="37506EB1" w:rsidR="00086376" w:rsidRPr="00086376" w:rsidRDefault="00086376" w:rsidP="003D2CE7">
      <w:pPr>
        <w:pStyle w:val="ZLITUSTzmustliter"/>
      </w:pPr>
      <w:r w:rsidRPr="00086376">
        <w:t>„</w:t>
      </w:r>
      <w:r>
        <w:t xml:space="preserve">6. </w:t>
      </w:r>
      <w:r w:rsidRPr="00086376">
        <w:t xml:space="preserve">Jednostki, </w:t>
      </w:r>
      <w:r w:rsidR="00C520DC">
        <w:t>z wyjątkiem jednostek, o których mowa w ust. 1e pkt 1</w:t>
      </w:r>
      <w:r w:rsidR="003D2CE7">
        <w:t>–</w:t>
      </w:r>
      <w:r w:rsidR="00C520DC">
        <w:t xml:space="preserve">6, </w:t>
      </w:r>
      <w:r w:rsidRPr="00086376">
        <w:t>które za poprzedni rok obrotowy nie przekroczyły co najmniej dwóch z następujących trzech wielkości:</w:t>
      </w:r>
    </w:p>
    <w:p w14:paraId="7E72ADD9" w14:textId="24A88FC6" w:rsidR="00086376" w:rsidRPr="00086376" w:rsidRDefault="003D2CE7" w:rsidP="003D2CE7">
      <w:pPr>
        <w:pStyle w:val="ZLITPKTzmpktliter"/>
      </w:pPr>
      <w:r>
        <w:t>1)</w:t>
      </w:r>
      <w:r>
        <w:tab/>
      </w:r>
      <w:r w:rsidR="00086376" w:rsidRPr="00086376">
        <w:t>17</w:t>
      </w:r>
      <w:r>
        <w:t xml:space="preserve"> </w:t>
      </w:r>
      <w:r w:rsidR="00086376" w:rsidRPr="00086376">
        <w:t>000</w:t>
      </w:r>
      <w:r>
        <w:t xml:space="preserve"> </w:t>
      </w:r>
      <w:r w:rsidR="00086376" w:rsidRPr="00086376">
        <w:t xml:space="preserve">000 zł </w:t>
      </w:r>
      <w:r>
        <w:t>–</w:t>
      </w:r>
      <w:r w:rsidR="00086376" w:rsidRPr="00086376">
        <w:t xml:space="preserve"> w przypadku sumy aktywów bilansu na koniec roku obrotowego,</w:t>
      </w:r>
    </w:p>
    <w:p w14:paraId="10844C81" w14:textId="56651EBC" w:rsidR="00086376" w:rsidRPr="00086376" w:rsidRDefault="00086376" w:rsidP="003D2CE7">
      <w:pPr>
        <w:pStyle w:val="ZLITPKTzmpktliter"/>
      </w:pPr>
      <w:r w:rsidRPr="00086376">
        <w:t>2)</w:t>
      </w:r>
      <w:r w:rsidR="003D2CE7">
        <w:tab/>
      </w:r>
      <w:r w:rsidRPr="00086376">
        <w:t>34</w:t>
      </w:r>
      <w:r w:rsidR="003D2CE7">
        <w:t xml:space="preserve"> </w:t>
      </w:r>
      <w:r w:rsidRPr="00086376">
        <w:t>000</w:t>
      </w:r>
      <w:r w:rsidR="003D2CE7">
        <w:t xml:space="preserve"> </w:t>
      </w:r>
      <w:r w:rsidRPr="00086376">
        <w:t xml:space="preserve">000 zł </w:t>
      </w:r>
      <w:r w:rsidR="003D2CE7">
        <w:t>–</w:t>
      </w:r>
      <w:r w:rsidRPr="00086376">
        <w:t xml:space="preserve"> w przypadku przychod</w:t>
      </w:r>
      <w:r w:rsidR="003D2CE7">
        <w:t>ów netto ze sprzedaży towarów i </w:t>
      </w:r>
      <w:r w:rsidRPr="00086376">
        <w:t>produktów za rok obrotowy,</w:t>
      </w:r>
    </w:p>
    <w:p w14:paraId="3E77AF47" w14:textId="6E2D06C7" w:rsidR="00086376" w:rsidRPr="00086376" w:rsidRDefault="00086376" w:rsidP="003D2CE7">
      <w:pPr>
        <w:pStyle w:val="ZLITPKTzmpktliter"/>
      </w:pPr>
      <w:r w:rsidRPr="00086376">
        <w:lastRenderedPageBreak/>
        <w:t>3)</w:t>
      </w:r>
      <w:r w:rsidR="003D2CE7">
        <w:tab/>
      </w:r>
      <w:r w:rsidRPr="00086376">
        <w:t xml:space="preserve">50 osób </w:t>
      </w:r>
      <w:r w:rsidR="003D2CE7">
        <w:t>–</w:t>
      </w:r>
      <w:r w:rsidRPr="00086376">
        <w:t xml:space="preserve"> w przypadku średniorocznego zatrudnienia w przeliczeniu na pełne etaty</w:t>
      </w:r>
    </w:p>
    <w:p w14:paraId="3FE9E57F" w14:textId="4E555571" w:rsidR="00086376" w:rsidRPr="00086376" w:rsidRDefault="003D2CE7" w:rsidP="003D2CE7">
      <w:pPr>
        <w:pStyle w:val="ZLITCZWSPPKTzmczciwsppktliter"/>
      </w:pPr>
      <w:r>
        <w:t>–</w:t>
      </w:r>
      <w:r w:rsidR="00086376" w:rsidRPr="00086376">
        <w:t xml:space="preserve"> mogą dokonywać kwalifikacji umów, o których mowa w ust. 4, według zasad określonych w </w:t>
      </w:r>
      <w:r w:rsidR="002E3082">
        <w:t>przepisach</w:t>
      </w:r>
      <w:r w:rsidR="00086376" w:rsidRPr="00086376">
        <w:t xml:space="preserve"> podatkowych i nie stosować przepisów ust. 4 i 5.</w:t>
      </w:r>
      <w:r>
        <w:t>”</w:t>
      </w:r>
      <w:r w:rsidR="00FA0BB9">
        <w:t>;</w:t>
      </w:r>
    </w:p>
    <w:p w14:paraId="5C2B18C2" w14:textId="38406A83" w:rsidR="001559D4" w:rsidRDefault="0062432E" w:rsidP="00657A54">
      <w:pPr>
        <w:pStyle w:val="PKTpunkt"/>
      </w:pPr>
      <w:r>
        <w:t>2</w:t>
      </w:r>
      <w:r w:rsidR="00F43835" w:rsidRPr="00F43835">
        <w:t>)</w:t>
      </w:r>
      <w:r w:rsidR="00F43835" w:rsidRPr="00F43835">
        <w:tab/>
      </w:r>
      <w:r w:rsidR="00657A54">
        <w:t>w art. 28</w:t>
      </w:r>
      <w:r w:rsidR="001559D4">
        <w:t>:</w:t>
      </w:r>
    </w:p>
    <w:p w14:paraId="33D92313" w14:textId="7810C10E" w:rsidR="00ED3158" w:rsidRPr="00ED3158" w:rsidRDefault="001559D4" w:rsidP="001559D4">
      <w:pPr>
        <w:pStyle w:val="LITlitera"/>
      </w:pPr>
      <w:r>
        <w:t>a)</w:t>
      </w:r>
      <w:r w:rsidR="003D2CE7">
        <w:tab/>
      </w:r>
      <w:r w:rsidR="00ED3158" w:rsidRPr="00ED3158">
        <w:t>ust. 4a</w:t>
      </w:r>
      <w:r w:rsidR="00730EC1">
        <w:t xml:space="preserve"> </w:t>
      </w:r>
      <w:r w:rsidR="00ED3158" w:rsidRPr="00ED3158">
        <w:t>otrzymuj</w:t>
      </w:r>
      <w:r w:rsidR="00CC61AB">
        <w:t>e</w:t>
      </w:r>
      <w:r w:rsidR="00ED3158" w:rsidRPr="00ED3158">
        <w:t xml:space="preserve"> brzmienie: </w:t>
      </w:r>
    </w:p>
    <w:p w14:paraId="38946AC9" w14:textId="0DC31372" w:rsidR="000B627B" w:rsidRPr="000B627B" w:rsidRDefault="00ED3158" w:rsidP="00603315">
      <w:pPr>
        <w:pStyle w:val="ZLITUSTzmustliter"/>
      </w:pPr>
      <w:r w:rsidRPr="00ED3158">
        <w:t xml:space="preserve">„4a. </w:t>
      </w:r>
      <w:r w:rsidRPr="00DA7FA4">
        <w:t>Jednostki</w:t>
      </w:r>
      <w:r w:rsidRPr="00ED3158">
        <w:t>,</w:t>
      </w:r>
      <w:r w:rsidR="003D2CE7">
        <w:t xml:space="preserve"> </w:t>
      </w:r>
      <w:r w:rsidR="000B627B" w:rsidRPr="000B627B">
        <w:t>z wyjątkiem jednostek, o których mowa w</w:t>
      </w:r>
      <w:r w:rsidR="000B627B">
        <w:t xml:space="preserve"> art. 3</w:t>
      </w:r>
      <w:r w:rsidR="000B627B" w:rsidRPr="000B627B">
        <w:t xml:space="preserve"> ust. 1e</w:t>
      </w:r>
      <w:r w:rsidR="007A3FEA">
        <w:t xml:space="preserve"> </w:t>
      </w:r>
      <w:r w:rsidR="00603315">
        <w:br/>
      </w:r>
      <w:r w:rsidR="007A3FEA">
        <w:t>pkt 1</w:t>
      </w:r>
      <w:r w:rsidR="00603315">
        <w:t>–</w:t>
      </w:r>
      <w:r w:rsidR="007A3FEA">
        <w:t>6</w:t>
      </w:r>
      <w:r w:rsidR="000B627B" w:rsidRPr="000B627B">
        <w:t>, które za poprzedni rok obrotowy nie p</w:t>
      </w:r>
      <w:r w:rsidR="00603315">
        <w:t>rzekroczyły co najmniej dwóch z </w:t>
      </w:r>
      <w:r w:rsidR="000B627B" w:rsidRPr="000B627B">
        <w:t>następujących trzech wielkości:</w:t>
      </w:r>
    </w:p>
    <w:p w14:paraId="30D17205" w14:textId="50366352" w:rsidR="000B627B" w:rsidRPr="000B627B" w:rsidRDefault="000B627B" w:rsidP="00603315">
      <w:pPr>
        <w:pStyle w:val="ZLITPKTzmpktliter"/>
      </w:pPr>
      <w:r w:rsidRPr="000B627B">
        <w:t>1)</w:t>
      </w:r>
      <w:r w:rsidR="003D2CE7">
        <w:tab/>
      </w:r>
      <w:r w:rsidRPr="000B627B">
        <w:t>17</w:t>
      </w:r>
      <w:r w:rsidR="003D2CE7">
        <w:t xml:space="preserve"> </w:t>
      </w:r>
      <w:r w:rsidRPr="000B627B">
        <w:t>000</w:t>
      </w:r>
      <w:r w:rsidR="003D2CE7">
        <w:t xml:space="preserve"> </w:t>
      </w:r>
      <w:r w:rsidRPr="000B627B">
        <w:t xml:space="preserve">000 zł </w:t>
      </w:r>
      <w:r w:rsidR="003D2CE7">
        <w:t>–</w:t>
      </w:r>
      <w:r w:rsidRPr="000B627B">
        <w:t xml:space="preserve"> w przypadku sumy aktywów bilansu na koniec roku obrotowego,</w:t>
      </w:r>
    </w:p>
    <w:p w14:paraId="6E0FEADA" w14:textId="16ADC67A" w:rsidR="000B627B" w:rsidRPr="000B627B" w:rsidRDefault="003D2CE7" w:rsidP="00603315">
      <w:pPr>
        <w:pStyle w:val="ZLITPKTzmpktliter"/>
      </w:pPr>
      <w:r>
        <w:t>2)</w:t>
      </w:r>
      <w:r>
        <w:tab/>
      </w:r>
      <w:r w:rsidR="000B627B" w:rsidRPr="000B627B">
        <w:t>34</w:t>
      </w:r>
      <w:r>
        <w:t xml:space="preserve"> </w:t>
      </w:r>
      <w:r w:rsidR="000B627B" w:rsidRPr="000B627B">
        <w:t>000</w:t>
      </w:r>
      <w:r>
        <w:t xml:space="preserve"> </w:t>
      </w:r>
      <w:r w:rsidR="000B627B" w:rsidRPr="000B627B">
        <w:t xml:space="preserve">000 zł </w:t>
      </w:r>
      <w:r>
        <w:t>–</w:t>
      </w:r>
      <w:r w:rsidR="000B627B" w:rsidRPr="000B627B">
        <w:t xml:space="preserve"> w przypadku przychod</w:t>
      </w:r>
      <w:r w:rsidR="00603315">
        <w:t>ów netto ze sprzedaży towarów i </w:t>
      </w:r>
      <w:r w:rsidR="000B627B" w:rsidRPr="000B627B">
        <w:t>produktów za rok obrotowy,</w:t>
      </w:r>
    </w:p>
    <w:p w14:paraId="73B1A082" w14:textId="4CE45A8E" w:rsidR="000B627B" w:rsidRPr="000B627B" w:rsidRDefault="003D2CE7" w:rsidP="00603315">
      <w:pPr>
        <w:pStyle w:val="ZLITPKTzmpktliter"/>
      </w:pPr>
      <w:r>
        <w:t>3)</w:t>
      </w:r>
      <w:r>
        <w:tab/>
      </w:r>
      <w:r w:rsidR="000B627B" w:rsidRPr="000B627B">
        <w:t xml:space="preserve">50 osób </w:t>
      </w:r>
      <w:r>
        <w:t>–</w:t>
      </w:r>
      <w:r w:rsidR="000B627B" w:rsidRPr="000B627B">
        <w:t xml:space="preserve"> w przypadku średniorocznego zatrudnienia w przeliczeniu na pełne etaty</w:t>
      </w:r>
    </w:p>
    <w:p w14:paraId="2A44D812" w14:textId="182C9BA9" w:rsidR="00ED3158" w:rsidRDefault="003D2CE7" w:rsidP="00603315">
      <w:pPr>
        <w:pStyle w:val="ZLITCZWSPPKTzmczciwsppktliter"/>
      </w:pPr>
      <w:r>
        <w:t>–</w:t>
      </w:r>
      <w:r w:rsidR="000B627B" w:rsidRPr="002634FD">
        <w:t xml:space="preserve"> mogą </w:t>
      </w:r>
      <w:r w:rsidR="00ED3158" w:rsidRPr="002634FD">
        <w:t>przy obliczaniu kosztu wytworze</w:t>
      </w:r>
      <w:r w:rsidR="000B69B3" w:rsidRPr="002634FD">
        <w:t xml:space="preserve">nia produktu zgodnie z ust. 3, </w:t>
      </w:r>
      <w:r w:rsidR="00ED3158" w:rsidRPr="002634FD">
        <w:t>do kosztów bezpośrednich doliczyć koszty pośrednie związane z wytworzeniem tego produktu, niezależnie od poziomu wykorzystania zdolności produkcyjnych. Ustalony w ten sposób koszt wytworzenia nie może być wyższy od</w:t>
      </w:r>
      <w:r w:rsidR="00662F5B" w:rsidRPr="002634FD">
        <w:t xml:space="preserve"> możliwej do uzyskania</w:t>
      </w:r>
      <w:r w:rsidR="00ED3158" w:rsidRPr="002634FD">
        <w:t xml:space="preserve"> ceny sprzedaży netto.</w:t>
      </w:r>
      <w:r w:rsidR="001559D4" w:rsidRPr="00730EC1">
        <w:t>”</w:t>
      </w:r>
      <w:r w:rsidR="00730EC1" w:rsidRPr="002634FD">
        <w:t>,</w:t>
      </w:r>
    </w:p>
    <w:p w14:paraId="10BF462B" w14:textId="7E55CDE6" w:rsidR="001559D4" w:rsidRPr="001559D4" w:rsidRDefault="001559D4" w:rsidP="001559D4">
      <w:pPr>
        <w:pStyle w:val="LITlitera"/>
      </w:pPr>
      <w:r>
        <w:t>b)</w:t>
      </w:r>
      <w:r w:rsidR="00603315">
        <w:tab/>
      </w:r>
      <w:r>
        <w:t>ust. 9 otrzymuje brzmienie:</w:t>
      </w:r>
    </w:p>
    <w:p w14:paraId="47098CC5" w14:textId="28040E9B" w:rsidR="00730EC1" w:rsidRDefault="001559D4" w:rsidP="00603315">
      <w:pPr>
        <w:pStyle w:val="ZLITUSTzmustliter"/>
      </w:pPr>
      <w:r w:rsidRPr="00ED3158">
        <w:t>„</w:t>
      </w:r>
      <w:r w:rsidR="00730EC1">
        <w:t>9</w:t>
      </w:r>
      <w:r w:rsidR="00730EC1" w:rsidRPr="00730EC1">
        <w:t>.</w:t>
      </w:r>
      <w:r w:rsidR="00730EC1">
        <w:t xml:space="preserve"> </w:t>
      </w:r>
      <w:r w:rsidR="00730EC1" w:rsidRPr="00730EC1">
        <w:t>Lokaty, których ryzyko ponosi ubezpieczający, są wyceniane przez zakład ubezpieczeń na życie według wartości godziwych ustalonych na dzień bilansowy. Różnice między wartością godziwą a wartością według cen nabycia albo kosztu wytworzenia tych lokat odpowiednio zwiększają lub zmniejszają rezerwy techniczno-ubezpieczeniowe na życie, których ryzyko lokaty ponosi ubezpieczający. Wartość godziwą nieruchomości określa rzeczoznawca majątkowy co najmniej raz na 5 lat. Wartość godziwą nieruchomości położonych za granicą oraz zagranicznych instrumentów finansowych ustala się według zasad obowiązujących w kraju ich pochodzenia.</w:t>
      </w:r>
      <w:r w:rsidR="000467D3">
        <w:t xml:space="preserve"> </w:t>
      </w:r>
      <w:r w:rsidR="000467D3" w:rsidRPr="000467D3">
        <w:t>Jeżeli nie jest możliwe ustalenie wartości godziwej</w:t>
      </w:r>
      <w:r w:rsidR="003D2CE7">
        <w:t xml:space="preserve"> </w:t>
      </w:r>
      <w:r w:rsidR="000467D3" w:rsidRPr="000467D3">
        <w:t>innych lokat niż nieruchomości, to ich wycena następuje po cenach nabycia</w:t>
      </w:r>
      <w:r w:rsidR="003D2CE7">
        <w:t xml:space="preserve"> </w:t>
      </w:r>
      <w:r w:rsidR="000467D3" w:rsidRPr="000467D3">
        <w:t>albo kosztach</w:t>
      </w:r>
      <w:r w:rsidR="003D2CE7">
        <w:t xml:space="preserve"> </w:t>
      </w:r>
      <w:r w:rsidR="000467D3" w:rsidRPr="000467D3">
        <w:t xml:space="preserve">wytworzenia z uwzględnieniem odpisów z tytułu trwałej utraty wartości, z wyjątkiem instrumentów finansowych, dla których ustalony jest </w:t>
      </w:r>
      <w:r w:rsidR="000467D3" w:rsidRPr="000467D3">
        <w:lastRenderedPageBreak/>
        <w:t>termin wymagalności, których wycena następuje według skorygowanej ceny nabycia z uwzględnieniem odpisów z tytułu trwałej utraty wartości.</w:t>
      </w:r>
      <w:r w:rsidR="00730EC1" w:rsidRPr="00730EC1">
        <w:t>”</w:t>
      </w:r>
      <w:r w:rsidR="00730EC1">
        <w:t>;</w:t>
      </w:r>
    </w:p>
    <w:p w14:paraId="6DB1D735" w14:textId="7727A946" w:rsidR="008A1EAA" w:rsidRPr="00ED3158" w:rsidRDefault="0062432E" w:rsidP="008A1EAA">
      <w:pPr>
        <w:pStyle w:val="PKTpunkt"/>
      </w:pPr>
      <w:r>
        <w:t>3</w:t>
      </w:r>
      <w:r w:rsidR="008A1EAA">
        <w:t>)</w:t>
      </w:r>
      <w:r w:rsidR="008A1EAA">
        <w:tab/>
        <w:t>w art. 41</w:t>
      </w:r>
      <w:r w:rsidR="008A1EAA" w:rsidRPr="008A1EAA">
        <w:t xml:space="preserve"> </w:t>
      </w:r>
      <w:r w:rsidR="005863D7">
        <w:t xml:space="preserve">uchyla się </w:t>
      </w:r>
      <w:r w:rsidR="008A1EAA" w:rsidRPr="008A1EAA">
        <w:t>ust. 3</w:t>
      </w:r>
      <w:r w:rsidR="008A1EAA">
        <w:t>;</w:t>
      </w:r>
    </w:p>
    <w:p w14:paraId="7556AEE7" w14:textId="4795CF60" w:rsidR="00DA7FA4" w:rsidRDefault="0062432E" w:rsidP="002634FD">
      <w:pPr>
        <w:pStyle w:val="PKTpunkt"/>
      </w:pPr>
      <w:r>
        <w:t>4</w:t>
      </w:r>
      <w:r w:rsidR="00D34C89">
        <w:t>)</w:t>
      </w:r>
      <w:r w:rsidR="00D34C89">
        <w:tab/>
      </w:r>
      <w:r w:rsidR="00DA7FA4">
        <w:t>w art. 44</w:t>
      </w:r>
      <w:r w:rsidR="00AA45E7" w:rsidRPr="00AA45E7">
        <w:t xml:space="preserve"> </w:t>
      </w:r>
      <w:r w:rsidR="00AA45E7">
        <w:t>ust. 2 otrzymuje brzmienie</w:t>
      </w:r>
      <w:r w:rsidR="00DA7FA4">
        <w:t>:</w:t>
      </w:r>
    </w:p>
    <w:p w14:paraId="3F6F1AE4" w14:textId="3686999F" w:rsidR="00AA45E7" w:rsidRPr="00AA45E7" w:rsidRDefault="00DA7FA4" w:rsidP="00603315">
      <w:pPr>
        <w:pStyle w:val="ZUSTzmustartykuempunktem"/>
      </w:pPr>
      <w:r w:rsidRPr="00DA7FA4">
        <w:t xml:space="preserve">„2. </w:t>
      </w:r>
      <w:r w:rsidR="00AA45E7" w:rsidRPr="00AA45E7">
        <w:t>Wynik techniczny ubezpieczeń stanowi różnicę między przychodami ze składek, pozostałymi przychodami technicznymi a wypłaconymi odszkodowaniami, świadczeniami</w:t>
      </w:r>
      <w:r w:rsidR="00AA45E7">
        <w:t xml:space="preserve"> </w:t>
      </w:r>
      <w:r w:rsidR="00AA45E7" w:rsidRPr="00AA45E7">
        <w:t>i zmianami rezerw techniczno-ubezpieczeniowych, z uwzględnieniem udziału reasekuratorów</w:t>
      </w:r>
      <w:r w:rsidR="00AA45E7">
        <w:t xml:space="preserve"> </w:t>
      </w:r>
      <w:r w:rsidR="00AA45E7" w:rsidRPr="00AA45E7">
        <w:t>w składce, odszkodowaniach</w:t>
      </w:r>
      <w:r w:rsidR="000467D3">
        <w:t>, świadczeniach</w:t>
      </w:r>
      <w:r w:rsidR="00AA45E7" w:rsidRPr="00AA45E7">
        <w:t xml:space="preserve"> i zmianach stanu rezerw techniczno-ubezpieczeniowych, oraz</w:t>
      </w:r>
      <w:r w:rsidR="00AA45E7">
        <w:t xml:space="preserve"> </w:t>
      </w:r>
      <w:r w:rsidR="00AA45E7" w:rsidRPr="00AA45E7">
        <w:t xml:space="preserve">kosztami </w:t>
      </w:r>
      <w:r w:rsidR="00603315">
        <w:t>działalności ubezpieczeniowej i </w:t>
      </w:r>
      <w:r w:rsidR="00AA45E7" w:rsidRPr="00AA45E7">
        <w:t>pozostałymi kosztami technicznymi. W przypadku</w:t>
      </w:r>
      <w:r w:rsidR="00AA45E7">
        <w:t xml:space="preserve"> </w:t>
      </w:r>
      <w:r w:rsidR="00AA45E7" w:rsidRPr="00AA45E7">
        <w:t>gdy:</w:t>
      </w:r>
    </w:p>
    <w:p w14:paraId="32039B7D" w14:textId="66521A7B" w:rsidR="00AA45E7" w:rsidRPr="00AA45E7" w:rsidRDefault="00AA45E7" w:rsidP="00603315">
      <w:pPr>
        <w:pStyle w:val="ZPKTzmpktartykuempunktem"/>
      </w:pPr>
      <w:r w:rsidRPr="00AA45E7">
        <w:t>1)</w:t>
      </w:r>
      <w:r w:rsidR="00603315">
        <w:tab/>
      </w:r>
      <w:r w:rsidRPr="00AA45E7">
        <w:t>przychody z lokat przeznaczone są zgodnie z odrębnymi przepisami na zwiększenie</w:t>
      </w:r>
      <w:r>
        <w:t xml:space="preserve"> </w:t>
      </w:r>
      <w:r w:rsidRPr="00AA45E7">
        <w:t>rezerw techniczno-ubezpieczeniowych</w:t>
      </w:r>
      <w:r w:rsidR="0070530C">
        <w:t>,</w:t>
      </w:r>
    </w:p>
    <w:p w14:paraId="44666A39" w14:textId="30A47059" w:rsidR="00AA45E7" w:rsidRDefault="00603315" w:rsidP="00603315">
      <w:pPr>
        <w:pStyle w:val="ZPKTzmpktartykuempunktem"/>
      </w:pPr>
      <w:r>
        <w:t>2)</w:t>
      </w:r>
      <w:r>
        <w:tab/>
      </w:r>
      <w:r w:rsidR="00AA45E7" w:rsidRPr="00AA45E7">
        <w:t xml:space="preserve">zakład ubezpieczeń prowadzący działalność </w:t>
      </w:r>
      <w:r w:rsidR="000A3160">
        <w:t xml:space="preserve">ubezpieczeniową </w:t>
      </w:r>
      <w:r w:rsidR="00AA45E7" w:rsidRPr="00AA45E7">
        <w:t>w dziale ubezpieczeń na życie lub zakład</w:t>
      </w:r>
      <w:r w:rsidR="00AA45E7">
        <w:t xml:space="preserve"> </w:t>
      </w:r>
      <w:r w:rsidR="00AA45E7" w:rsidRPr="00AA45E7">
        <w:t>reasekuracji prowadzący działalność reasekuracyjną w zakresie reasekuracji ubezpieczeń</w:t>
      </w:r>
      <w:r w:rsidR="00AA45E7">
        <w:t xml:space="preserve"> </w:t>
      </w:r>
      <w:r w:rsidR="00AA45E7" w:rsidRPr="00AA45E7">
        <w:t xml:space="preserve">na życie inwestują łącznie środki </w:t>
      </w:r>
      <w:r w:rsidR="009C5BDC" w:rsidRPr="009C5BDC">
        <w:t>niestanowiące pokrycia rezerw techniczno-ubezpieczeniowych</w:t>
      </w:r>
      <w:r w:rsidR="00AA45E7" w:rsidRPr="00AA45E7">
        <w:t xml:space="preserve"> i środki stanowiące pokrycie rezerw techniczno</w:t>
      </w:r>
      <w:r w:rsidR="000944E9">
        <w:t>-</w:t>
      </w:r>
      <w:r w:rsidR="00AA45E7" w:rsidRPr="00AA45E7">
        <w:t>ubezpieczeniowych</w:t>
      </w:r>
    </w:p>
    <w:p w14:paraId="5CAB24EB" w14:textId="4CC4BDC0" w:rsidR="00DA7FA4" w:rsidRDefault="003D2CE7" w:rsidP="00603315">
      <w:pPr>
        <w:pStyle w:val="ZCZWSPPKTzmczciwsppktartykuempunktem"/>
      </w:pPr>
      <w:r>
        <w:t>–</w:t>
      </w:r>
      <w:r w:rsidR="00AA45E7" w:rsidRPr="00AA45E7">
        <w:t xml:space="preserve"> to przychody i koszty działalności lokacyjnej wykazuje się w technicznym rachunku</w:t>
      </w:r>
      <w:r w:rsidR="00AA45E7">
        <w:t xml:space="preserve"> </w:t>
      </w:r>
      <w:r w:rsidR="00AA45E7" w:rsidRPr="00AA45E7">
        <w:t>ubezpieczeń.</w:t>
      </w:r>
      <w:r>
        <w:t>”</w:t>
      </w:r>
      <w:r w:rsidR="00AA45E7">
        <w:t>;</w:t>
      </w:r>
    </w:p>
    <w:p w14:paraId="33FD792E" w14:textId="594173C2" w:rsidR="007A3FEA" w:rsidRDefault="0062432E" w:rsidP="008A1EAA">
      <w:pPr>
        <w:pStyle w:val="PKTpunkt"/>
      </w:pPr>
      <w:r>
        <w:t>5</w:t>
      </w:r>
      <w:r w:rsidR="008A1EAA">
        <w:t>)</w:t>
      </w:r>
      <w:r w:rsidR="008A1EAA">
        <w:tab/>
        <w:t>w art. 46</w:t>
      </w:r>
      <w:r w:rsidR="007A3FEA">
        <w:t>:</w:t>
      </w:r>
    </w:p>
    <w:p w14:paraId="06A10A53" w14:textId="2DC1C471" w:rsidR="008A1EAA" w:rsidRDefault="007A3FEA" w:rsidP="007A3FEA">
      <w:pPr>
        <w:pStyle w:val="LITlitera"/>
      </w:pPr>
      <w:r>
        <w:t>a)</w:t>
      </w:r>
      <w:r>
        <w:tab/>
      </w:r>
      <w:r w:rsidR="008A1EAA">
        <w:t xml:space="preserve">w ust. 5 </w:t>
      </w:r>
      <w:r w:rsidR="00CC61AB">
        <w:t>w pkt 5 kropkę zastępuje się</w:t>
      </w:r>
      <w:r w:rsidR="003D2CE7">
        <w:t xml:space="preserve"> </w:t>
      </w:r>
      <w:r w:rsidR="00916920">
        <w:t xml:space="preserve">średnikiem </w:t>
      </w:r>
      <w:r w:rsidR="00CC61AB">
        <w:t xml:space="preserve">i </w:t>
      </w:r>
      <w:r w:rsidR="008A1EAA">
        <w:t>dodaje się p</w:t>
      </w:r>
      <w:r w:rsidR="001559D4">
        <w:t>kt</w:t>
      </w:r>
      <w:r w:rsidR="008A1EAA">
        <w:t xml:space="preserve"> 6 w brzmieniu:</w:t>
      </w:r>
    </w:p>
    <w:p w14:paraId="60178924" w14:textId="45FB49C6" w:rsidR="008A1EAA" w:rsidRDefault="008A1EAA" w:rsidP="00603315">
      <w:pPr>
        <w:pStyle w:val="ZLITPKTzmpktliter"/>
      </w:pPr>
      <w:r>
        <w:t>,,6)</w:t>
      </w:r>
      <w:r w:rsidR="001559D4">
        <w:tab/>
      </w:r>
      <w:r w:rsidR="006673F5" w:rsidRPr="006673F5">
        <w:t xml:space="preserve">dla </w:t>
      </w:r>
      <w:r w:rsidR="00821689">
        <w:t>jednostek, o których mowa w art. 3 ust. 2</w:t>
      </w:r>
      <w:r w:rsidR="00603315">
        <w:t xml:space="preserve"> ustawy z dnia 24 kwietnia 2003 </w:t>
      </w:r>
      <w:r w:rsidR="008E4690" w:rsidRPr="008E4690">
        <w:t>r. o działalności pożytku publicznego i o wolontariacie</w:t>
      </w:r>
      <w:r w:rsidR="002508A6">
        <w:t xml:space="preserve"> </w:t>
      </w:r>
      <w:r w:rsidR="003D2CE7">
        <w:t>–</w:t>
      </w:r>
      <w:r w:rsidR="00821689">
        <w:t xml:space="preserve"> z </w:t>
      </w:r>
      <w:r w:rsidR="001929DF">
        <w:t xml:space="preserve">wyjątkiem </w:t>
      </w:r>
      <w:r w:rsidR="00821689">
        <w:t>spółek kapitałowych</w:t>
      </w:r>
      <w:r w:rsidR="002508A6">
        <w:t xml:space="preserve"> </w:t>
      </w:r>
      <w:r w:rsidR="003D2CE7">
        <w:t>–</w:t>
      </w:r>
      <w:r w:rsidR="00821689">
        <w:t xml:space="preserve"> oraz </w:t>
      </w:r>
      <w:r w:rsidR="001559D4">
        <w:t xml:space="preserve">jednostek, o których mowa </w:t>
      </w:r>
      <w:r w:rsidR="00821689">
        <w:t>w</w:t>
      </w:r>
      <w:r w:rsidR="0025293D">
        <w:t xml:space="preserve"> art. 3</w:t>
      </w:r>
      <w:r w:rsidR="00821689">
        <w:t xml:space="preserve"> ust. 3 pkt 1 i 2</w:t>
      </w:r>
      <w:r w:rsidR="008E4690">
        <w:t xml:space="preserve"> tej ustawy</w:t>
      </w:r>
      <w:r w:rsidR="003D2CE7">
        <w:t xml:space="preserve"> –</w:t>
      </w:r>
      <w:r w:rsidR="006673F5" w:rsidRPr="006673F5">
        <w:t xml:space="preserve"> w załączniku nr </w:t>
      </w:r>
      <w:r w:rsidR="00821689">
        <w:t>6</w:t>
      </w:r>
      <w:r w:rsidR="006673F5" w:rsidRPr="006673F5">
        <w:t xml:space="preserve"> do ustawy.</w:t>
      </w:r>
      <w:r w:rsidR="003D2CE7">
        <w:t>”</w:t>
      </w:r>
      <w:r w:rsidR="007A3FEA">
        <w:t>,</w:t>
      </w:r>
    </w:p>
    <w:p w14:paraId="2F668188" w14:textId="675962F5" w:rsidR="007A3FEA" w:rsidRDefault="007A3FEA" w:rsidP="00603315">
      <w:pPr>
        <w:pStyle w:val="LITlitera"/>
      </w:pPr>
      <w:r>
        <w:t>b)</w:t>
      </w:r>
      <w:r>
        <w:tab/>
        <w:t>dodaje się ust. 6 w brzmieniu:</w:t>
      </w:r>
    </w:p>
    <w:p w14:paraId="6C7BE051" w14:textId="40E7156E" w:rsidR="007A3FEA" w:rsidRDefault="007A3FEA" w:rsidP="00603315">
      <w:pPr>
        <w:pStyle w:val="ZLITUSTzmustliter"/>
      </w:pPr>
      <w:r>
        <w:t xml:space="preserve">,,6. Jednostki, o których mowa w </w:t>
      </w:r>
      <w:r w:rsidR="002508A6">
        <w:t>art. 3 ust. 2</w:t>
      </w:r>
      <w:r w:rsidR="00603315">
        <w:t xml:space="preserve"> ustawy z dnia 24 kwietnia 2003 </w:t>
      </w:r>
      <w:r w:rsidR="002508A6" w:rsidRPr="008E4690">
        <w:t>r. o działalności pożytku publicznego i o wolontariacie</w:t>
      </w:r>
      <w:r w:rsidR="002508A6">
        <w:t xml:space="preserve"> </w:t>
      </w:r>
      <w:r w:rsidR="003D2CE7">
        <w:t>–</w:t>
      </w:r>
      <w:r w:rsidR="002508A6">
        <w:t xml:space="preserve"> z wyjątkiem spółek kapitałowych </w:t>
      </w:r>
      <w:r w:rsidR="003D2CE7">
        <w:t>–</w:t>
      </w:r>
      <w:r w:rsidR="002508A6">
        <w:t xml:space="preserve"> oraz jednostk</w:t>
      </w:r>
      <w:r w:rsidR="00D059FC">
        <w:t>i</w:t>
      </w:r>
      <w:r w:rsidR="002508A6">
        <w:t xml:space="preserve">, o których mowa w art. 3 ust. 3 pkt 1 i 2 tej ustawy, </w:t>
      </w:r>
      <w:r>
        <w:t xml:space="preserve">mogą sporządzać bilans </w:t>
      </w:r>
      <w:r w:rsidR="001929DF">
        <w:t xml:space="preserve">zawierający informacje </w:t>
      </w:r>
      <w:r w:rsidR="002508A6">
        <w:t xml:space="preserve">w zakresie </w:t>
      </w:r>
      <w:r w:rsidR="001929DF">
        <w:t>ustalon</w:t>
      </w:r>
      <w:r w:rsidR="002508A6">
        <w:t>ym</w:t>
      </w:r>
      <w:r w:rsidR="001929DF">
        <w:t xml:space="preserve"> w załączniku </w:t>
      </w:r>
      <w:r w:rsidR="0067039D">
        <w:t>nr 1 do ustawy.</w:t>
      </w:r>
      <w:r w:rsidR="003D2CE7">
        <w:t>”</w:t>
      </w:r>
      <w:r w:rsidR="0067039D">
        <w:t xml:space="preserve">; </w:t>
      </w:r>
    </w:p>
    <w:p w14:paraId="08A7B7F3" w14:textId="626F2975" w:rsidR="0067039D" w:rsidRDefault="0062432E" w:rsidP="00603315">
      <w:pPr>
        <w:pStyle w:val="PKTpunkt"/>
        <w:keepNext/>
      </w:pPr>
      <w:r>
        <w:lastRenderedPageBreak/>
        <w:t>6</w:t>
      </w:r>
      <w:r w:rsidR="00926308">
        <w:t>)</w:t>
      </w:r>
      <w:r w:rsidR="00926308">
        <w:tab/>
      </w:r>
      <w:r w:rsidR="00926308" w:rsidRPr="00926308">
        <w:t>w art. 4</w:t>
      </w:r>
      <w:r w:rsidR="00926308">
        <w:t>7</w:t>
      </w:r>
      <w:r w:rsidR="0067039D">
        <w:t>:</w:t>
      </w:r>
    </w:p>
    <w:p w14:paraId="4FE0E64A" w14:textId="1159F970" w:rsidR="00926308" w:rsidRPr="00926308" w:rsidRDefault="0067039D" w:rsidP="00603315">
      <w:pPr>
        <w:pStyle w:val="LITlitera"/>
        <w:keepNext/>
      </w:pPr>
      <w:r>
        <w:t>a)</w:t>
      </w:r>
      <w:r>
        <w:tab/>
      </w:r>
      <w:r w:rsidR="00926308" w:rsidRPr="00926308">
        <w:t xml:space="preserve">w ust. </w:t>
      </w:r>
      <w:r w:rsidR="00926308">
        <w:t>4</w:t>
      </w:r>
      <w:r w:rsidR="00926308" w:rsidRPr="00926308">
        <w:t xml:space="preserve"> </w:t>
      </w:r>
      <w:r w:rsidR="00CC61AB" w:rsidRPr="00CC61AB">
        <w:t>w pkt 5 kropkę zastępuje się</w:t>
      </w:r>
      <w:r w:rsidR="003D2CE7">
        <w:t xml:space="preserve"> </w:t>
      </w:r>
      <w:r w:rsidR="00916920">
        <w:t xml:space="preserve">średnikiem </w:t>
      </w:r>
      <w:r w:rsidR="00CC61AB" w:rsidRPr="00CC61AB">
        <w:t xml:space="preserve">i </w:t>
      </w:r>
      <w:r w:rsidR="00926308" w:rsidRPr="00926308">
        <w:t>dodaje się p</w:t>
      </w:r>
      <w:r w:rsidR="00CC61AB">
        <w:t>kt</w:t>
      </w:r>
      <w:r w:rsidR="00926308" w:rsidRPr="00926308">
        <w:t xml:space="preserve"> 6 w brzmieniu:</w:t>
      </w:r>
    </w:p>
    <w:p w14:paraId="01EF8758" w14:textId="4B7821BC" w:rsidR="00926308" w:rsidRDefault="00603315" w:rsidP="00603315">
      <w:pPr>
        <w:pStyle w:val="ZLITPKTzmpktliter"/>
      </w:pPr>
      <w:r>
        <w:t>,,6)</w:t>
      </w:r>
      <w:r w:rsidR="001559D4">
        <w:tab/>
      </w:r>
      <w:r w:rsidR="00926308" w:rsidRPr="00926308">
        <w:t>dla jednostek, o których mowa w art. 3 ust. 2</w:t>
      </w:r>
      <w:r>
        <w:t xml:space="preserve"> ustawy z dnia 24 kwietnia 2003 </w:t>
      </w:r>
      <w:r w:rsidR="0025293D" w:rsidRPr="0025293D">
        <w:t>r. o działalności pożytku publicznego i o wolontariacie</w:t>
      </w:r>
      <w:r w:rsidR="002508A6">
        <w:t xml:space="preserve"> </w:t>
      </w:r>
      <w:r w:rsidR="003D2CE7">
        <w:t>–</w:t>
      </w:r>
      <w:r w:rsidR="00926308" w:rsidRPr="00926308">
        <w:t xml:space="preserve"> z </w:t>
      </w:r>
      <w:r w:rsidR="001929DF">
        <w:t>wyjątkiem</w:t>
      </w:r>
      <w:r w:rsidR="001929DF" w:rsidRPr="00926308">
        <w:t xml:space="preserve"> </w:t>
      </w:r>
      <w:r w:rsidR="00926308" w:rsidRPr="00926308">
        <w:t>spółek kapitałowych</w:t>
      </w:r>
      <w:r w:rsidR="002508A6">
        <w:t xml:space="preserve"> </w:t>
      </w:r>
      <w:r w:rsidR="003D2CE7">
        <w:t>–</w:t>
      </w:r>
      <w:r w:rsidR="006631D7">
        <w:t xml:space="preserve"> </w:t>
      </w:r>
      <w:r w:rsidR="00926308" w:rsidRPr="00926308">
        <w:t xml:space="preserve">oraz </w:t>
      </w:r>
      <w:r w:rsidR="001559D4">
        <w:t xml:space="preserve">jednostek, o których mowa </w:t>
      </w:r>
      <w:r w:rsidR="00926308" w:rsidRPr="00926308">
        <w:t>w</w:t>
      </w:r>
      <w:r w:rsidR="0025293D">
        <w:t xml:space="preserve"> art. 3</w:t>
      </w:r>
      <w:r w:rsidR="00926308" w:rsidRPr="00926308">
        <w:t xml:space="preserve"> ust. 3 pkt 1 i 2</w:t>
      </w:r>
      <w:r w:rsidR="0025293D">
        <w:t xml:space="preserve"> tej ustawy</w:t>
      </w:r>
      <w:r w:rsidR="00926308" w:rsidRPr="00926308">
        <w:t xml:space="preserve"> </w:t>
      </w:r>
      <w:r w:rsidR="003D2CE7">
        <w:t>–</w:t>
      </w:r>
      <w:r w:rsidR="0067039D">
        <w:t xml:space="preserve"> w załączniku nr 6 do ustawy.</w:t>
      </w:r>
      <w:r w:rsidR="003D2CE7">
        <w:t>”</w:t>
      </w:r>
      <w:r w:rsidR="0067039D">
        <w:t>,</w:t>
      </w:r>
    </w:p>
    <w:p w14:paraId="65DC8FAD" w14:textId="0A173F39" w:rsidR="0067039D" w:rsidRDefault="0067039D" w:rsidP="00603315">
      <w:pPr>
        <w:pStyle w:val="LITlitera"/>
      </w:pPr>
      <w:r>
        <w:t>b)</w:t>
      </w:r>
      <w:r>
        <w:tab/>
        <w:t>dodaje się ust. 5 w brzmieniu:</w:t>
      </w:r>
    </w:p>
    <w:p w14:paraId="2B2D7611" w14:textId="1E307770" w:rsidR="0067039D" w:rsidRDefault="0067039D" w:rsidP="00603315">
      <w:pPr>
        <w:pStyle w:val="ZLITUSTzmustliter"/>
      </w:pPr>
      <w:r>
        <w:t>,,5. Jednostki, o których mowa w</w:t>
      </w:r>
      <w:r w:rsidR="002508A6">
        <w:t xml:space="preserve"> </w:t>
      </w:r>
      <w:r w:rsidR="002508A6" w:rsidRPr="00926308">
        <w:t>art. 3 ust. 2</w:t>
      </w:r>
      <w:r w:rsidR="00603315">
        <w:t xml:space="preserve"> ustawy z dnia 24 kwietnia 2003 </w:t>
      </w:r>
      <w:r w:rsidR="002508A6" w:rsidRPr="0025293D">
        <w:t>r. o działalności pożytku publicznego i o wolontariacie</w:t>
      </w:r>
      <w:r w:rsidR="002508A6">
        <w:t xml:space="preserve"> </w:t>
      </w:r>
      <w:r w:rsidR="003D2CE7">
        <w:t>–</w:t>
      </w:r>
      <w:r w:rsidR="002508A6" w:rsidRPr="00926308">
        <w:t xml:space="preserve"> z </w:t>
      </w:r>
      <w:r w:rsidR="002508A6">
        <w:t>wyjątkiem</w:t>
      </w:r>
      <w:r w:rsidR="002508A6" w:rsidRPr="00926308">
        <w:t xml:space="preserve"> spółek kapitałowych</w:t>
      </w:r>
      <w:r w:rsidR="002508A6">
        <w:t xml:space="preserve"> </w:t>
      </w:r>
      <w:r w:rsidR="003D2CE7">
        <w:t>–</w:t>
      </w:r>
      <w:r w:rsidR="002508A6">
        <w:t xml:space="preserve"> </w:t>
      </w:r>
      <w:r w:rsidR="002508A6" w:rsidRPr="00926308">
        <w:t xml:space="preserve">oraz </w:t>
      </w:r>
      <w:r w:rsidR="002508A6">
        <w:t>jednostk</w:t>
      </w:r>
      <w:r w:rsidR="00D059FC">
        <w:t>i</w:t>
      </w:r>
      <w:r w:rsidR="002508A6">
        <w:t xml:space="preserve">, o których mowa </w:t>
      </w:r>
      <w:r w:rsidR="002508A6" w:rsidRPr="00926308">
        <w:t>w</w:t>
      </w:r>
      <w:r w:rsidR="002508A6">
        <w:t xml:space="preserve"> art. 3</w:t>
      </w:r>
      <w:r w:rsidR="002508A6" w:rsidRPr="00926308">
        <w:t xml:space="preserve"> ust. 3 pkt 1 i 2</w:t>
      </w:r>
      <w:r w:rsidR="002508A6">
        <w:t xml:space="preserve"> tej ustawy</w:t>
      </w:r>
      <w:r w:rsidR="00DA2CD4">
        <w:t>,</w:t>
      </w:r>
      <w:r>
        <w:t xml:space="preserve"> mogą sporządzać rachunek zysków i strat </w:t>
      </w:r>
      <w:r w:rsidR="001929DF">
        <w:t xml:space="preserve">zawierający informacje w zakresie </w:t>
      </w:r>
      <w:r w:rsidR="00D059FC">
        <w:t>ustalonym</w:t>
      </w:r>
      <w:r w:rsidR="002508A6">
        <w:t xml:space="preserve"> </w:t>
      </w:r>
      <w:r w:rsidR="001929DF">
        <w:t xml:space="preserve">w załączniku </w:t>
      </w:r>
      <w:r>
        <w:t>nr 1 do ustawy.</w:t>
      </w:r>
      <w:r w:rsidR="003D2CE7">
        <w:t>”</w:t>
      </w:r>
      <w:r>
        <w:t>;</w:t>
      </w:r>
    </w:p>
    <w:p w14:paraId="6E399B1C" w14:textId="2BF7C3E9" w:rsidR="00926308" w:rsidRPr="00926308" w:rsidRDefault="0062432E" w:rsidP="00926308">
      <w:pPr>
        <w:pStyle w:val="PKTpunkt"/>
      </w:pPr>
      <w:r>
        <w:t>7</w:t>
      </w:r>
      <w:r w:rsidR="00926308" w:rsidRPr="00926308">
        <w:t>)</w:t>
      </w:r>
      <w:r w:rsidR="00926308" w:rsidRPr="00926308">
        <w:tab/>
        <w:t>w art. 4</w:t>
      </w:r>
      <w:r w:rsidR="00926308">
        <w:t>8</w:t>
      </w:r>
      <w:r w:rsidR="00926308" w:rsidRPr="00926308">
        <w:t xml:space="preserve"> dodaje się </w:t>
      </w:r>
      <w:r w:rsidR="00926308">
        <w:t>ust. 5</w:t>
      </w:r>
      <w:r w:rsidR="0067039D">
        <w:t xml:space="preserve"> i</w:t>
      </w:r>
      <w:r w:rsidR="003D2CE7">
        <w:t xml:space="preserve"> </w:t>
      </w:r>
      <w:r w:rsidR="0067039D">
        <w:t>6</w:t>
      </w:r>
      <w:r w:rsidR="00926308" w:rsidRPr="00926308">
        <w:t xml:space="preserve"> w brzmieniu:</w:t>
      </w:r>
    </w:p>
    <w:p w14:paraId="330071DD" w14:textId="0A275333" w:rsidR="00926308" w:rsidRDefault="00926308" w:rsidP="000944E9">
      <w:pPr>
        <w:pStyle w:val="ZUSTzmustartykuempunktem"/>
      </w:pPr>
      <w:r w:rsidRPr="00926308">
        <w:t>,,</w:t>
      </w:r>
      <w:r>
        <w:t xml:space="preserve">5. Zakres informacji dodatkowej </w:t>
      </w:r>
      <w:r w:rsidRPr="00926308">
        <w:t>dla jednostek, o których mowa w art. 3 ust. 2</w:t>
      </w:r>
      <w:r w:rsidR="0025293D">
        <w:t xml:space="preserve"> </w:t>
      </w:r>
      <w:r w:rsidR="0025293D" w:rsidRPr="0025293D">
        <w:t>ustawy z dnia 24 kwietnia 2003 r. o działalności pożytku publicznego i o wolontariacie</w:t>
      </w:r>
      <w:r w:rsidR="002508A6">
        <w:t xml:space="preserve"> </w:t>
      </w:r>
      <w:r w:rsidR="003D2CE7">
        <w:t>–</w:t>
      </w:r>
      <w:r w:rsidRPr="00926308">
        <w:t xml:space="preserve"> z </w:t>
      </w:r>
      <w:r w:rsidR="001929DF">
        <w:t>wyjątkiem</w:t>
      </w:r>
      <w:r w:rsidR="001929DF" w:rsidRPr="00926308">
        <w:t xml:space="preserve"> </w:t>
      </w:r>
      <w:r w:rsidRPr="00926308">
        <w:t>spółek kapitałowych</w:t>
      </w:r>
      <w:r w:rsidR="002508A6">
        <w:t xml:space="preserve"> </w:t>
      </w:r>
      <w:r w:rsidR="003D2CE7">
        <w:t>–</w:t>
      </w:r>
      <w:r w:rsidRPr="00926308">
        <w:t xml:space="preserve"> oraz </w:t>
      </w:r>
      <w:r w:rsidR="001A0B19" w:rsidRPr="001A0B19">
        <w:t xml:space="preserve">jednostek, o których mowa </w:t>
      </w:r>
      <w:r w:rsidRPr="00926308">
        <w:t xml:space="preserve">w </w:t>
      </w:r>
      <w:r w:rsidR="0025293D">
        <w:t xml:space="preserve">art. 3 </w:t>
      </w:r>
      <w:r w:rsidR="00603315">
        <w:t>ust. 3 pkt </w:t>
      </w:r>
      <w:r w:rsidRPr="00926308">
        <w:t xml:space="preserve">1 i 2 </w:t>
      </w:r>
      <w:r w:rsidR="0025293D">
        <w:t>tej ustawy</w:t>
      </w:r>
      <w:r w:rsidR="00D059FC">
        <w:t>,</w:t>
      </w:r>
      <w:r w:rsidR="0025293D">
        <w:t xml:space="preserve"> </w:t>
      </w:r>
      <w:r>
        <w:t>określa załącznik</w:t>
      </w:r>
      <w:r w:rsidRPr="00926308">
        <w:t xml:space="preserve"> nr 6 do ustawy</w:t>
      </w:r>
      <w:r w:rsidR="0067039D">
        <w:t>.</w:t>
      </w:r>
    </w:p>
    <w:p w14:paraId="2E931969" w14:textId="1FC4AA57" w:rsidR="00926308" w:rsidRPr="008A1EAA" w:rsidRDefault="0067039D" w:rsidP="004A7C8F">
      <w:pPr>
        <w:pStyle w:val="ZUSTzmustartykuempunktem"/>
      </w:pPr>
      <w:r>
        <w:t xml:space="preserve">6. </w:t>
      </w:r>
      <w:r w:rsidR="007A3FEA" w:rsidRPr="0067039D">
        <w:t xml:space="preserve">Jednostki, o których mowa w </w:t>
      </w:r>
      <w:r w:rsidR="00B604B6" w:rsidRPr="00926308">
        <w:t>art. 3 ust. 2</w:t>
      </w:r>
      <w:r w:rsidR="00B604B6">
        <w:t xml:space="preserve"> </w:t>
      </w:r>
      <w:r w:rsidR="00B604B6" w:rsidRPr="0025293D">
        <w:t>usta</w:t>
      </w:r>
      <w:r w:rsidR="00603315">
        <w:t>wy z dnia 24 kwietnia 2003 r. o </w:t>
      </w:r>
      <w:r w:rsidR="00B604B6" w:rsidRPr="0025293D">
        <w:t>działalności pożytku publicznego i o wolontariacie</w:t>
      </w:r>
      <w:r w:rsidR="00B604B6">
        <w:t xml:space="preserve"> </w:t>
      </w:r>
      <w:r w:rsidR="003D2CE7">
        <w:t>–</w:t>
      </w:r>
      <w:r w:rsidR="00B604B6" w:rsidRPr="00926308">
        <w:t xml:space="preserve"> z </w:t>
      </w:r>
      <w:r w:rsidR="00B604B6">
        <w:t>wyjątkiem</w:t>
      </w:r>
      <w:r w:rsidR="00B604B6" w:rsidRPr="00926308">
        <w:t xml:space="preserve"> spółek kapitałowych</w:t>
      </w:r>
      <w:r w:rsidR="00B604B6">
        <w:t xml:space="preserve"> </w:t>
      </w:r>
      <w:r w:rsidR="003D2CE7">
        <w:t>–</w:t>
      </w:r>
      <w:r w:rsidR="00B604B6" w:rsidRPr="00926308">
        <w:t xml:space="preserve"> oraz </w:t>
      </w:r>
      <w:r w:rsidR="00B604B6" w:rsidRPr="001A0B19">
        <w:t>jednostk</w:t>
      </w:r>
      <w:r w:rsidR="00A87C46">
        <w:t>i</w:t>
      </w:r>
      <w:r w:rsidR="00B604B6" w:rsidRPr="001A0B19">
        <w:t xml:space="preserve">, o których mowa </w:t>
      </w:r>
      <w:r w:rsidR="00B604B6" w:rsidRPr="00926308">
        <w:t xml:space="preserve">w </w:t>
      </w:r>
      <w:r w:rsidR="00B604B6">
        <w:t xml:space="preserve">art. 3 </w:t>
      </w:r>
      <w:r w:rsidR="00B604B6" w:rsidRPr="00926308">
        <w:t xml:space="preserve">ust. 3 pkt 1 i 2 </w:t>
      </w:r>
      <w:r w:rsidR="00B604B6">
        <w:t xml:space="preserve">tej ustawy, </w:t>
      </w:r>
      <w:r w:rsidR="007A3FEA" w:rsidRPr="0067039D">
        <w:t xml:space="preserve">mogą sporządzać </w:t>
      </w:r>
      <w:r>
        <w:t>informację dodatkową</w:t>
      </w:r>
      <w:r w:rsidR="007A3FEA" w:rsidRPr="0067039D">
        <w:t xml:space="preserve"> </w:t>
      </w:r>
      <w:r w:rsidR="001929DF">
        <w:t xml:space="preserve">w zakresie </w:t>
      </w:r>
      <w:r w:rsidR="00A87C46">
        <w:t>ustalonym</w:t>
      </w:r>
      <w:r w:rsidR="001929DF">
        <w:t xml:space="preserve"> w załączniku </w:t>
      </w:r>
      <w:r w:rsidRPr="0067039D">
        <w:t>nr 1 do ustawy.</w:t>
      </w:r>
      <w:r w:rsidR="003D2CE7">
        <w:t>”</w:t>
      </w:r>
      <w:r w:rsidRPr="0067039D">
        <w:t>;</w:t>
      </w:r>
    </w:p>
    <w:p w14:paraId="5F5BF1DE" w14:textId="50D8E33E" w:rsidR="00660C6D" w:rsidRDefault="0062432E" w:rsidP="000279DA">
      <w:pPr>
        <w:pStyle w:val="PKTpunkt"/>
      </w:pPr>
      <w:r>
        <w:t>8</w:t>
      </w:r>
      <w:r w:rsidR="0029415C">
        <w:t>)</w:t>
      </w:r>
      <w:r w:rsidR="0029415C">
        <w:tab/>
      </w:r>
      <w:r w:rsidR="007656D7">
        <w:t>w art. 49</w:t>
      </w:r>
      <w:r w:rsidR="00660C6D">
        <w:t>:</w:t>
      </w:r>
    </w:p>
    <w:p w14:paraId="45AAC16B" w14:textId="79E526E0" w:rsidR="0079628F" w:rsidRDefault="00660C6D" w:rsidP="00C3008D">
      <w:pPr>
        <w:pStyle w:val="LITlitera"/>
      </w:pPr>
      <w:r>
        <w:t>a)</w:t>
      </w:r>
      <w:r>
        <w:tab/>
      </w:r>
      <w:r w:rsidR="007656D7">
        <w:t>ust. 3 otrzymu</w:t>
      </w:r>
      <w:r w:rsidR="00087EFD">
        <w:t>je brzmienie:</w:t>
      </w:r>
      <w:r w:rsidR="00ED4134">
        <w:t xml:space="preserve"> </w:t>
      </w:r>
    </w:p>
    <w:p w14:paraId="3ABA4EDE" w14:textId="063C7B5F" w:rsidR="002A5055" w:rsidRDefault="002A5055" w:rsidP="00603315">
      <w:pPr>
        <w:pStyle w:val="ZLITUSTzmustliter"/>
      </w:pPr>
      <w:r w:rsidRPr="002A5055">
        <w:t>„</w:t>
      </w:r>
      <w:r w:rsidR="00087EFD" w:rsidRPr="00087EFD">
        <w:t>3. Sprawozdanie z działalności jednostki obej</w:t>
      </w:r>
      <w:r>
        <w:t>muje</w:t>
      </w:r>
      <w:r w:rsidR="00087EFD" w:rsidRPr="00087EFD">
        <w:t xml:space="preserve"> </w:t>
      </w:r>
      <w:r w:rsidRPr="00087EFD">
        <w:t>również</w:t>
      </w:r>
      <w:r w:rsidRPr="002A5055">
        <w:t xml:space="preserve"> </w:t>
      </w:r>
      <w:r w:rsidR="003D2CE7">
        <w:t>–</w:t>
      </w:r>
      <w:r w:rsidR="00087EFD" w:rsidRPr="00087EFD">
        <w:t xml:space="preserve"> o ile</w:t>
      </w:r>
      <w:r w:rsidR="00087EFD">
        <w:t xml:space="preserve"> </w:t>
      </w:r>
      <w:r w:rsidR="00087EFD" w:rsidRPr="00087EFD">
        <w:t>jest to istotne</w:t>
      </w:r>
      <w:r w:rsidR="00C55B1F">
        <w:t xml:space="preserve"> </w:t>
      </w:r>
      <w:r w:rsidR="00087EFD" w:rsidRPr="00087EFD">
        <w:t xml:space="preserve">dla </w:t>
      </w:r>
      <w:r w:rsidR="001E620C" w:rsidRPr="00087EFD">
        <w:t xml:space="preserve">oceny </w:t>
      </w:r>
      <w:r w:rsidR="001E620C" w:rsidRPr="001E620C">
        <w:t>rozwoju, wyników i</w:t>
      </w:r>
      <w:r w:rsidR="003D2CE7">
        <w:t xml:space="preserve"> </w:t>
      </w:r>
      <w:r w:rsidR="001E620C" w:rsidRPr="001E620C">
        <w:t>sytuacji jednostki</w:t>
      </w:r>
      <w:r w:rsidR="006E3E5B">
        <w:t xml:space="preserve"> </w:t>
      </w:r>
      <w:r w:rsidR="003D2CE7">
        <w:t>–</w:t>
      </w:r>
      <w:r>
        <w:t xml:space="preserve"> co najmniej:</w:t>
      </w:r>
      <w:r w:rsidR="001E620C">
        <w:t xml:space="preserve"> </w:t>
      </w:r>
    </w:p>
    <w:p w14:paraId="6859BE2C" w14:textId="51EBA8A5" w:rsidR="009D2999" w:rsidRDefault="002A5055" w:rsidP="00603315">
      <w:pPr>
        <w:pStyle w:val="ZLITPKTzmpktliter"/>
      </w:pPr>
      <w:r>
        <w:t>1)</w:t>
      </w:r>
      <w:r>
        <w:tab/>
      </w:r>
      <w:r w:rsidR="009D2999">
        <w:t xml:space="preserve">kluczowe </w:t>
      </w:r>
      <w:r w:rsidR="009D2999" w:rsidRPr="00087EFD">
        <w:t>finansowe</w:t>
      </w:r>
      <w:r w:rsidR="009D2999" w:rsidRPr="009D2999">
        <w:t xml:space="preserve"> </w:t>
      </w:r>
      <w:r w:rsidR="00087EFD" w:rsidRPr="00087EFD">
        <w:t>wskaźniki</w:t>
      </w:r>
      <w:r w:rsidR="009D2999">
        <w:t xml:space="preserve"> efektywności</w:t>
      </w:r>
      <w:r w:rsidR="001F204A">
        <w:t xml:space="preserve"> związane z działalnością jednostki</w:t>
      </w:r>
      <w:r w:rsidR="009D2286">
        <w:t>;</w:t>
      </w:r>
      <w:r w:rsidR="001E620C" w:rsidRPr="001E620C">
        <w:t xml:space="preserve"> </w:t>
      </w:r>
    </w:p>
    <w:p w14:paraId="298D6F89" w14:textId="728B308D" w:rsidR="00F10E41" w:rsidRDefault="009D2999" w:rsidP="00603315">
      <w:pPr>
        <w:pStyle w:val="ZLITPKTzmpktliter"/>
      </w:pPr>
      <w:r>
        <w:t>2)</w:t>
      </w:r>
      <w:r>
        <w:tab/>
      </w:r>
      <w:r w:rsidRPr="009D2999">
        <w:t>kluczowe niefinansowe wskaźniki efektywności</w:t>
      </w:r>
      <w:r w:rsidR="00DE490C">
        <w:t xml:space="preserve"> </w:t>
      </w:r>
      <w:r w:rsidR="00C00942">
        <w:t>związane</w:t>
      </w:r>
      <w:r w:rsidR="00C00942" w:rsidRPr="00C00942">
        <w:t xml:space="preserve"> z działalnością jednostki</w:t>
      </w:r>
      <w:r w:rsidR="006E3E5B">
        <w:t xml:space="preserve"> oraz</w:t>
      </w:r>
      <w:r w:rsidR="00C00942">
        <w:t xml:space="preserve"> </w:t>
      </w:r>
      <w:r w:rsidR="000564EC">
        <w:t xml:space="preserve">informacje </w:t>
      </w:r>
      <w:r w:rsidR="000564EC" w:rsidRPr="000564EC">
        <w:t>dotycząc</w:t>
      </w:r>
      <w:r w:rsidR="000564EC">
        <w:t>e</w:t>
      </w:r>
      <w:r w:rsidR="000564EC" w:rsidRPr="000564EC">
        <w:t xml:space="preserve"> zagadnień </w:t>
      </w:r>
      <w:r w:rsidR="00E57EEC">
        <w:t>pracowniczych i</w:t>
      </w:r>
      <w:r w:rsidR="00E57EEC" w:rsidRPr="00E57EEC">
        <w:t xml:space="preserve"> </w:t>
      </w:r>
      <w:r w:rsidR="000564EC" w:rsidRPr="000564EC">
        <w:t>środowiska naturalnego</w:t>
      </w:r>
      <w:r w:rsidR="009D2286">
        <w:t>.</w:t>
      </w:r>
      <w:r w:rsidR="003D2CE7">
        <w:t>”</w:t>
      </w:r>
      <w:r w:rsidR="009D2286">
        <w:t>,</w:t>
      </w:r>
    </w:p>
    <w:p w14:paraId="1680FCA0" w14:textId="0A5DBA5D" w:rsidR="001F204A" w:rsidRDefault="001F204A" w:rsidP="00424148">
      <w:pPr>
        <w:pStyle w:val="LITlitera"/>
      </w:pPr>
      <w:r>
        <w:t>b)</w:t>
      </w:r>
      <w:r w:rsidR="00F10E41">
        <w:tab/>
      </w:r>
      <w:r>
        <w:t>po ust. 3 dodaje się ust. 3a w brzmieniu:</w:t>
      </w:r>
    </w:p>
    <w:p w14:paraId="077F9B62" w14:textId="41D87278" w:rsidR="001F204A" w:rsidRDefault="001F204A" w:rsidP="00603315">
      <w:pPr>
        <w:pStyle w:val="ZLITUSTzmustliter"/>
      </w:pPr>
      <w:r w:rsidRPr="001F204A">
        <w:t>„</w:t>
      </w:r>
      <w:r>
        <w:t xml:space="preserve">3a. </w:t>
      </w:r>
      <w:r w:rsidR="0029415C">
        <w:t xml:space="preserve">W przypadku gdy istnieje powiązanie </w:t>
      </w:r>
      <w:r w:rsidR="0029415C" w:rsidRPr="00F7295D">
        <w:t xml:space="preserve">pomiędzy wartościami wykazanymi </w:t>
      </w:r>
      <w:r w:rsidR="0029415C">
        <w:t xml:space="preserve">w rocznym </w:t>
      </w:r>
      <w:r w:rsidR="0029415C" w:rsidRPr="00F7295D">
        <w:t xml:space="preserve">sprawozdaniu finansowym a informacjami </w:t>
      </w:r>
      <w:r w:rsidR="001929DF">
        <w:t xml:space="preserve">zawartymi </w:t>
      </w:r>
      <w:r w:rsidR="0029415C" w:rsidRPr="00F7295D">
        <w:lastRenderedPageBreak/>
        <w:t>w</w:t>
      </w:r>
      <w:r w:rsidR="00603315">
        <w:t> </w:t>
      </w:r>
      <w:r w:rsidR="00FB6B09">
        <w:t>sprawozdaniu z działalności jednostki</w:t>
      </w:r>
      <w:r w:rsidR="0029415C">
        <w:t xml:space="preserve">, sprawozdanie z działalności jednostki powinno zawierać </w:t>
      </w:r>
      <w:r w:rsidR="0029415C" w:rsidRPr="001F204A">
        <w:t>o</w:t>
      </w:r>
      <w:r w:rsidR="0029415C">
        <w:t>dniesienia do kwot wykazanych w sprawozdaniu finansowym</w:t>
      </w:r>
      <w:r w:rsidR="008213F1">
        <w:t>, a także dodatkowe wyjaśnienia do tych kwot</w:t>
      </w:r>
      <w:r w:rsidRPr="001F204A">
        <w:t>.</w:t>
      </w:r>
      <w:r w:rsidR="003D2CE7">
        <w:t>”</w:t>
      </w:r>
      <w:r w:rsidR="00A21DB8">
        <w:t>,</w:t>
      </w:r>
    </w:p>
    <w:p w14:paraId="1D322DF6" w14:textId="726865E6" w:rsidR="00DA01F8" w:rsidRDefault="001F204A" w:rsidP="00DA01F8">
      <w:pPr>
        <w:pStyle w:val="LITlitera"/>
      </w:pPr>
      <w:r>
        <w:t>c</w:t>
      </w:r>
      <w:r w:rsidR="00660C6D">
        <w:t>)</w:t>
      </w:r>
      <w:r w:rsidR="00660C6D">
        <w:tab/>
      </w:r>
      <w:r w:rsidR="00DA01F8">
        <w:t>ust. 6 otrzymuje brzmienie:</w:t>
      </w:r>
    </w:p>
    <w:p w14:paraId="2919F17D" w14:textId="5DCCE25C" w:rsidR="00DA01F8" w:rsidRDefault="00DA01F8" w:rsidP="00603315">
      <w:pPr>
        <w:pStyle w:val="ZLITUSTzmustliter"/>
      </w:pPr>
      <w:r w:rsidRPr="001F204A">
        <w:t>„</w:t>
      </w:r>
      <w:r>
        <w:t xml:space="preserve">6. </w:t>
      </w:r>
      <w:r w:rsidRPr="00410613">
        <w:t>Jednostka mała</w:t>
      </w:r>
      <w:r w:rsidR="0055765A">
        <w:t xml:space="preserve"> i jednostka mikro</w:t>
      </w:r>
      <w:r w:rsidRPr="00410613">
        <w:t xml:space="preserve"> </w:t>
      </w:r>
      <w:r w:rsidR="008F5C85">
        <w:t>mogą</w:t>
      </w:r>
      <w:r w:rsidR="00603315">
        <w:t xml:space="preserve"> nie wykazywać w sprawozdaniu z </w:t>
      </w:r>
      <w:r w:rsidRPr="00410613">
        <w:t>działalności</w:t>
      </w:r>
      <w:r>
        <w:t xml:space="preserve"> wskaźników oraz </w:t>
      </w:r>
      <w:r w:rsidRPr="00410613">
        <w:t>informacji, o których mowa w ust. 3</w:t>
      </w:r>
      <w:r>
        <w:t xml:space="preserve"> pkt 2</w:t>
      </w:r>
      <w:r w:rsidRPr="00410613">
        <w:t>.</w:t>
      </w:r>
      <w:r w:rsidR="003D2CE7">
        <w:t>”</w:t>
      </w:r>
      <w:r>
        <w:t>;</w:t>
      </w:r>
    </w:p>
    <w:p w14:paraId="52FE6285" w14:textId="47C06A35" w:rsidR="00CA3B18" w:rsidRPr="00CA3B18" w:rsidRDefault="0062432E" w:rsidP="00CA3B18">
      <w:pPr>
        <w:pStyle w:val="PKTpunkt"/>
      </w:pPr>
      <w:r>
        <w:t>9</w:t>
      </w:r>
      <w:r w:rsidR="00CA3B18" w:rsidRPr="00CA3B18">
        <w:t>)</w:t>
      </w:r>
      <w:r w:rsidR="00CA3B18" w:rsidRPr="00CA3B18">
        <w:tab/>
        <w:t>po art.</w:t>
      </w:r>
      <w:r w:rsidR="003D2CE7">
        <w:t xml:space="preserve"> </w:t>
      </w:r>
      <w:r w:rsidR="00CA3B18">
        <w:t>49</w:t>
      </w:r>
      <w:r w:rsidR="00CA3B18" w:rsidRPr="00CA3B18">
        <w:t>a dodaje się art.</w:t>
      </w:r>
      <w:r w:rsidR="003D2CE7">
        <w:t xml:space="preserve"> </w:t>
      </w:r>
      <w:r w:rsidR="00CA3B18">
        <w:t>49</w:t>
      </w:r>
      <w:r w:rsidR="00CA3B18" w:rsidRPr="00CA3B18">
        <w:t>b w</w:t>
      </w:r>
      <w:r w:rsidR="003D2CE7">
        <w:t xml:space="preserve"> </w:t>
      </w:r>
      <w:r w:rsidR="00CA3B18" w:rsidRPr="00CA3B18">
        <w:t>brzmieniu:</w:t>
      </w:r>
    </w:p>
    <w:p w14:paraId="1714D590" w14:textId="7A4A5B50" w:rsidR="00CA3B18" w:rsidRPr="00B119B3" w:rsidRDefault="00CA3B18" w:rsidP="0055765A">
      <w:pPr>
        <w:pStyle w:val="ZARTzmartartykuempunktem"/>
      </w:pPr>
      <w:r w:rsidRPr="00B119B3">
        <w:t>„A</w:t>
      </w:r>
      <w:r>
        <w:t>rt. 49</w:t>
      </w:r>
      <w:r w:rsidRPr="00B119B3">
        <w:t xml:space="preserve">b. </w:t>
      </w:r>
      <w:r>
        <w:t xml:space="preserve">1. </w:t>
      </w:r>
      <w:r w:rsidRPr="00B119B3">
        <w:t>Jednostka</w:t>
      </w:r>
      <w:r w:rsidR="008F5C85">
        <w:t>,</w:t>
      </w:r>
      <w:r w:rsidRPr="00B119B3">
        <w:t xml:space="preserve"> </w:t>
      </w:r>
      <w:r w:rsidRPr="009E665E">
        <w:t xml:space="preserve">o której mowa w art. 3 ust. </w:t>
      </w:r>
      <w:r w:rsidRPr="00E71338">
        <w:t>1e pkt 1</w:t>
      </w:r>
      <w:r w:rsidR="00A873EB">
        <w:t>–</w:t>
      </w:r>
      <w:r>
        <w:t>6,</w:t>
      </w:r>
      <w:r w:rsidRPr="00E71338">
        <w:t xml:space="preserve"> </w:t>
      </w:r>
      <w:r>
        <w:t>będąc</w:t>
      </w:r>
      <w:r w:rsidR="00D945EA">
        <w:t>a</w:t>
      </w:r>
      <w:r>
        <w:t xml:space="preserve"> </w:t>
      </w:r>
      <w:r w:rsidRPr="00B119B3">
        <w:t>spółką</w:t>
      </w:r>
      <w:r w:rsidR="00A873EB">
        <w:t xml:space="preserve"> kapitałową, spółką komandytowo-</w:t>
      </w:r>
      <w:r w:rsidRPr="00B119B3">
        <w:t xml:space="preserve">akcyjną lub taką spółką jawną lub komandytową, której wszystkimi </w:t>
      </w:r>
      <w:r>
        <w:t>wspólnikami</w:t>
      </w:r>
      <w:r w:rsidRPr="00B119B3">
        <w:t xml:space="preserve"> ponoszącymi </w:t>
      </w:r>
      <w:r>
        <w:t>nie</w:t>
      </w:r>
      <w:r w:rsidRPr="00B119B3">
        <w:t>ograniczoną odpowiedzialność są spółki kapitałowe</w:t>
      </w:r>
      <w:r w:rsidR="00D945EA">
        <w:t>,</w:t>
      </w:r>
      <w:r w:rsidRPr="00B119B3">
        <w:t xml:space="preserve"> spółki komandytowo</w:t>
      </w:r>
      <w:r w:rsidR="00044334">
        <w:t>-</w:t>
      </w:r>
      <w:r w:rsidRPr="00B119B3">
        <w:t xml:space="preserve">akcyjne </w:t>
      </w:r>
      <w:r w:rsidR="00D945EA">
        <w:t>lub</w:t>
      </w:r>
      <w:r w:rsidR="00D945EA" w:rsidRPr="00B119B3">
        <w:t xml:space="preserve"> </w:t>
      </w:r>
      <w:r w:rsidRPr="00B119B3">
        <w:t>spółki z innych państw o podobnej do tych spółek formie prawnej</w:t>
      </w:r>
      <w:r>
        <w:t xml:space="preserve">, </w:t>
      </w:r>
      <w:r w:rsidR="000D33C0" w:rsidRPr="00B119B3">
        <w:t>pod warunkiem że w roku obrotowym, za który sporządza sprawozdanie finansowe</w:t>
      </w:r>
      <w:r w:rsidR="00044334">
        <w:t>,</w:t>
      </w:r>
      <w:r w:rsidR="000D33C0" w:rsidRPr="00B119B3">
        <w:t xml:space="preserve"> oraz w roku poprzedzającym </w:t>
      </w:r>
      <w:r w:rsidR="000D33C0">
        <w:t>ten rok przekracza</w:t>
      </w:r>
      <w:r w:rsidR="000D33C0" w:rsidRPr="00B119B3">
        <w:t xml:space="preserve"> następując</w:t>
      </w:r>
      <w:r w:rsidR="000D33C0">
        <w:t>e</w:t>
      </w:r>
      <w:r w:rsidR="000D33C0" w:rsidRPr="00B119B3">
        <w:t xml:space="preserve"> wielkości: </w:t>
      </w:r>
    </w:p>
    <w:p w14:paraId="4BD34BDB" w14:textId="119DFC75" w:rsidR="000D33C0" w:rsidRPr="00B119B3" w:rsidRDefault="00C93259" w:rsidP="00603315">
      <w:pPr>
        <w:pStyle w:val="ZPKTzmpktartykuempunktem"/>
      </w:pPr>
      <w:r>
        <w:t>1</w:t>
      </w:r>
      <w:r w:rsidR="00CA3B18" w:rsidRPr="00B119B3">
        <w:t>)</w:t>
      </w:r>
      <w:r w:rsidR="00CA3B18" w:rsidRPr="00B119B3">
        <w:tab/>
      </w:r>
      <w:r w:rsidR="000D33C0">
        <w:t>500</w:t>
      </w:r>
      <w:r w:rsidR="000D33C0" w:rsidRPr="000D33C0">
        <w:t xml:space="preserve"> osób – w</w:t>
      </w:r>
      <w:r w:rsidR="003D2CE7">
        <w:t xml:space="preserve"> </w:t>
      </w:r>
      <w:r w:rsidR="000D33C0" w:rsidRPr="000D33C0">
        <w:t>przypadku średniorocznego zatrudnienia w przeliczeniu na</w:t>
      </w:r>
      <w:r w:rsidR="003D2CE7">
        <w:t xml:space="preserve"> </w:t>
      </w:r>
      <w:r w:rsidR="000D33C0" w:rsidRPr="000D33C0">
        <w:t>pełne etaty</w:t>
      </w:r>
      <w:r w:rsidR="000D33C0">
        <w:t xml:space="preserve"> oraz</w:t>
      </w:r>
      <w:r w:rsidR="000D33C0" w:rsidRPr="000D33C0">
        <w:t xml:space="preserve"> </w:t>
      </w:r>
    </w:p>
    <w:p w14:paraId="6C21BA13" w14:textId="74EAD9A9" w:rsidR="00CA3B18" w:rsidRPr="00B119B3" w:rsidRDefault="00C93259" w:rsidP="00603315">
      <w:pPr>
        <w:pStyle w:val="ZPKTzmpktartykuempunktem"/>
      </w:pPr>
      <w:r>
        <w:t>2</w:t>
      </w:r>
      <w:r w:rsidR="00CA3B18" w:rsidRPr="00B119B3">
        <w:t>)</w:t>
      </w:r>
      <w:r w:rsidR="00CA3B18" w:rsidRPr="00B119B3">
        <w:tab/>
      </w:r>
      <w:r w:rsidR="000D33C0" w:rsidRPr="00B119B3">
        <w:t>85 000 000 zł – w</w:t>
      </w:r>
      <w:r w:rsidR="003D2CE7">
        <w:t xml:space="preserve"> </w:t>
      </w:r>
      <w:r w:rsidR="000D33C0" w:rsidRPr="00B119B3">
        <w:t>przypadku sumy aktywów bilansu na koniec roku obrotowego</w:t>
      </w:r>
      <w:r w:rsidR="000D33C0">
        <w:t xml:space="preserve"> lub </w:t>
      </w:r>
      <w:r w:rsidR="005969F2">
        <w:t xml:space="preserve">170 000 </w:t>
      </w:r>
      <w:r w:rsidR="00CA3B18" w:rsidRPr="00B119B3">
        <w:t>000 zł – w</w:t>
      </w:r>
      <w:r w:rsidR="003D2CE7">
        <w:t xml:space="preserve"> </w:t>
      </w:r>
      <w:r w:rsidR="00CA3B18" w:rsidRPr="00B119B3">
        <w:t>przypadku przychodów netto ze sprzedaży towarów i</w:t>
      </w:r>
      <w:r w:rsidR="00603315">
        <w:t> </w:t>
      </w:r>
      <w:r w:rsidR="00CA3B18" w:rsidRPr="00B119B3">
        <w:t>produktów za rok obrotowy</w:t>
      </w:r>
    </w:p>
    <w:p w14:paraId="4EA64CD3" w14:textId="73566F57" w:rsidR="00746352" w:rsidRDefault="00CA3B18" w:rsidP="00603315">
      <w:pPr>
        <w:pStyle w:val="ZCZWSPPKTzmczciwsppktartykuempunktem"/>
      </w:pPr>
      <w:r>
        <w:t>–</w:t>
      </w:r>
      <w:r w:rsidR="00603315">
        <w:t xml:space="preserve"> </w:t>
      </w:r>
      <w:r w:rsidR="00C47968">
        <w:t xml:space="preserve">zawiera dodatkowo w sprawozdaniu z działalności </w:t>
      </w:r>
      <w:r w:rsidR="003D2CE7">
        <w:t>–</w:t>
      </w:r>
      <w:r w:rsidR="00C47968">
        <w:t xml:space="preserve"> jako wyodrębnioną część </w:t>
      </w:r>
      <w:r w:rsidR="003D2CE7">
        <w:t>–</w:t>
      </w:r>
      <w:r w:rsidR="00C47968">
        <w:t xml:space="preserve"> oświadczenie na temat informacji niefinansowych</w:t>
      </w:r>
      <w:r w:rsidR="00D945EA">
        <w:t>.</w:t>
      </w:r>
      <w:r w:rsidR="003A6BCC">
        <w:t xml:space="preserve"> </w:t>
      </w:r>
    </w:p>
    <w:p w14:paraId="299C9439" w14:textId="085A56A2" w:rsidR="00061145" w:rsidRDefault="00746352" w:rsidP="00B0680F">
      <w:pPr>
        <w:pStyle w:val="ZUSTzmustartykuempunktem"/>
      </w:pPr>
      <w:r>
        <w:t xml:space="preserve">2. Oświadczenie na temat </w:t>
      </w:r>
      <w:r w:rsidRPr="00746352">
        <w:t>informacji niefinansowych</w:t>
      </w:r>
      <w:r w:rsidR="00C84975">
        <w:t xml:space="preserve"> obejmuje</w:t>
      </w:r>
      <w:r w:rsidR="00C773CA">
        <w:t xml:space="preserve"> </w:t>
      </w:r>
      <w:r w:rsidR="00730EC1">
        <w:t>co najmniej</w:t>
      </w:r>
      <w:r w:rsidR="00061145">
        <w:t>:</w:t>
      </w:r>
    </w:p>
    <w:p w14:paraId="46037274" w14:textId="1903A778" w:rsidR="00C84975" w:rsidRDefault="00061145" w:rsidP="00603315">
      <w:pPr>
        <w:pStyle w:val="ZPKTzmpktartykuempunktem"/>
      </w:pPr>
      <w:r>
        <w:t>1)</w:t>
      </w:r>
      <w:r>
        <w:tab/>
      </w:r>
      <w:r w:rsidR="00C84975">
        <w:t xml:space="preserve">zwięzły </w:t>
      </w:r>
      <w:r w:rsidR="00C84975" w:rsidRPr="00C84975">
        <w:t xml:space="preserve">opis </w:t>
      </w:r>
      <w:r w:rsidR="00AB1C1F">
        <w:t xml:space="preserve">modelu </w:t>
      </w:r>
      <w:r w:rsidR="00C84975" w:rsidRPr="00C84975">
        <w:t>biznesowego</w:t>
      </w:r>
      <w:r w:rsidR="00876D39">
        <w:t xml:space="preserve"> </w:t>
      </w:r>
      <w:r w:rsidR="00C84975" w:rsidRPr="00C84975">
        <w:t>jednostki</w:t>
      </w:r>
      <w:r w:rsidR="00C84975">
        <w:t>;</w:t>
      </w:r>
    </w:p>
    <w:p w14:paraId="78BA7B57" w14:textId="0D089412" w:rsidR="00C84975" w:rsidRDefault="00D42B36" w:rsidP="00603315">
      <w:pPr>
        <w:pStyle w:val="ZPKTzmpktartykuempunktem"/>
      </w:pPr>
      <w:r>
        <w:t>2)</w:t>
      </w:r>
      <w:r w:rsidR="00C84975">
        <w:tab/>
      </w:r>
      <w:r>
        <w:t>kluczowe niefinansowe wskaźniki efektywności</w:t>
      </w:r>
      <w:r w:rsidRPr="00D42B36">
        <w:t xml:space="preserve"> związane z działalnością</w:t>
      </w:r>
      <w:r>
        <w:t xml:space="preserve"> jednostki;</w:t>
      </w:r>
    </w:p>
    <w:p w14:paraId="5D655040" w14:textId="4C521BD6" w:rsidR="006B5156" w:rsidRDefault="00C773CA" w:rsidP="00603315">
      <w:pPr>
        <w:pStyle w:val="ZPKTzmpktartykuempunktem"/>
      </w:pPr>
      <w:r>
        <w:t>3)</w:t>
      </w:r>
      <w:r>
        <w:tab/>
      </w:r>
      <w:r w:rsidR="00906EF7">
        <w:t>opis polityk stosowanych przez jednostkę w odniesieniu do zagadnie</w:t>
      </w:r>
      <w:r w:rsidR="00906EF7" w:rsidRPr="00906EF7">
        <w:t>ń społecznych, pracowniczych, środowiska naturalnego, poszanowania praw człowieka oraz przeciwdziałania korupcji i łapownictwu</w:t>
      </w:r>
      <w:r w:rsidR="00AB1C1F">
        <w:t>, a także opis</w:t>
      </w:r>
      <w:r w:rsidR="00906EF7">
        <w:t xml:space="preserve"> rezultat</w:t>
      </w:r>
      <w:r w:rsidR="00AB1C1F">
        <w:t>ów</w:t>
      </w:r>
      <w:r w:rsidR="00431F02">
        <w:t xml:space="preserve"> stosowania</w:t>
      </w:r>
      <w:r w:rsidR="006B5156">
        <w:t xml:space="preserve"> tych polityk;</w:t>
      </w:r>
    </w:p>
    <w:p w14:paraId="1F3AB1C3" w14:textId="754D8B35" w:rsidR="00906EF7" w:rsidRDefault="006B5156" w:rsidP="00603315">
      <w:pPr>
        <w:pStyle w:val="ZPKTzmpktartykuempunktem"/>
      </w:pPr>
      <w:r>
        <w:t>4)</w:t>
      </w:r>
      <w:r>
        <w:tab/>
      </w:r>
      <w:r w:rsidR="006E3E5B">
        <w:t>opis procedur</w:t>
      </w:r>
      <w:r w:rsidR="006E3E5B" w:rsidRPr="00906EF7">
        <w:t xml:space="preserve"> należytej staranności</w:t>
      </w:r>
      <w:r w:rsidR="003452EF">
        <w:t xml:space="preserve"> </w:t>
      </w:r>
      <w:r w:rsidR="003D2CE7">
        <w:t>–</w:t>
      </w:r>
      <w:r w:rsidR="00415255">
        <w:t xml:space="preserve"> jeżeli jednostka je stosuje</w:t>
      </w:r>
      <w:r w:rsidR="006E3E5B">
        <w:t xml:space="preserve"> </w:t>
      </w:r>
      <w:r>
        <w:t>w ramach polityk</w:t>
      </w:r>
      <w:r w:rsidR="0071129C">
        <w:t>, o których mowa w pkt 3</w:t>
      </w:r>
      <w:r>
        <w:t>;</w:t>
      </w:r>
      <w:r w:rsidR="001464EE">
        <w:t xml:space="preserve"> </w:t>
      </w:r>
    </w:p>
    <w:p w14:paraId="61356134" w14:textId="1E1273F7" w:rsidR="003452EF" w:rsidRDefault="006B5156" w:rsidP="00603315">
      <w:pPr>
        <w:pStyle w:val="ZPKTzmpktartykuempunktem"/>
      </w:pPr>
      <w:r>
        <w:t>5)</w:t>
      </w:r>
      <w:r>
        <w:tab/>
      </w:r>
      <w:r w:rsidR="006159FD">
        <w:t>opis</w:t>
      </w:r>
      <w:r w:rsidR="003452EF">
        <w:t xml:space="preserve"> </w:t>
      </w:r>
      <w:r w:rsidR="00E54FB1">
        <w:t xml:space="preserve">istotnych ryzyk związanych z działalnością jednostki </w:t>
      </w:r>
      <w:r w:rsidR="003452EF">
        <w:t xml:space="preserve">mogących wywierać niekorzystny wpływ </w:t>
      </w:r>
      <w:r w:rsidR="00E54FB1">
        <w:t>na</w:t>
      </w:r>
      <w:r w:rsidR="003452EF">
        <w:t xml:space="preserve"> zagadni</w:t>
      </w:r>
      <w:r w:rsidR="00E54FB1">
        <w:t>enia</w:t>
      </w:r>
      <w:r w:rsidR="003452EF">
        <w:t xml:space="preserve">, o których mowa w pkt 3, w tym ryzyk </w:t>
      </w:r>
      <w:r w:rsidR="003452EF">
        <w:lastRenderedPageBreak/>
        <w:t>związanych z produktami</w:t>
      </w:r>
      <w:r w:rsidR="00876D39">
        <w:t xml:space="preserve"> jednostki</w:t>
      </w:r>
      <w:r w:rsidR="003452EF">
        <w:t xml:space="preserve"> lub</w:t>
      </w:r>
      <w:r w:rsidR="00876D39">
        <w:t xml:space="preserve"> jej</w:t>
      </w:r>
      <w:r w:rsidR="003452EF">
        <w:t xml:space="preserve"> relacjami </w:t>
      </w:r>
      <w:r w:rsidR="00876D39">
        <w:t xml:space="preserve">z </w:t>
      </w:r>
      <w:r w:rsidR="00603315">
        <w:t>otoczeniem zewnętrznym, w </w:t>
      </w:r>
      <w:r w:rsidR="00235516">
        <w:t xml:space="preserve">tym z </w:t>
      </w:r>
      <w:r w:rsidR="003452EF">
        <w:t xml:space="preserve">kontrahentami, a także opis </w:t>
      </w:r>
      <w:r w:rsidR="003452EF" w:rsidRPr="003452EF">
        <w:t>zarządzania tymi ryzykami.</w:t>
      </w:r>
    </w:p>
    <w:p w14:paraId="04FE4BAD" w14:textId="5ADC5138" w:rsidR="002B256A" w:rsidRPr="00603315" w:rsidRDefault="00024CEA" w:rsidP="00603315">
      <w:pPr>
        <w:pStyle w:val="ZUSTzmustartykuempunktem"/>
      </w:pPr>
      <w:r>
        <w:t xml:space="preserve">3. </w:t>
      </w:r>
      <w:r w:rsidR="00047912" w:rsidRPr="00603315">
        <w:t>Sporządzając oświadczenie na temat informacji niefinansowych, jednostka przedstawia informacje</w:t>
      </w:r>
      <w:r w:rsidR="00DF5F42" w:rsidRPr="00603315">
        <w:t xml:space="preserve"> </w:t>
      </w:r>
      <w:r w:rsidR="00FB0EEA" w:rsidRPr="00603315">
        <w:t>niefinansowe</w:t>
      </w:r>
      <w:r w:rsidR="00047912" w:rsidRPr="00603315">
        <w:t xml:space="preserve"> w stopniu</w:t>
      </w:r>
      <w:r w:rsidR="00C154B3" w:rsidRPr="00603315">
        <w:t>,</w:t>
      </w:r>
      <w:r w:rsidR="00047912" w:rsidRPr="00603315">
        <w:t xml:space="preserve"> w jakim są one niezbędne dla oceny rozwoju, wyników i</w:t>
      </w:r>
      <w:r w:rsidR="003D2CE7" w:rsidRPr="00603315">
        <w:t xml:space="preserve"> </w:t>
      </w:r>
      <w:r w:rsidR="00047912" w:rsidRPr="00603315">
        <w:t>sytuacji jednostki</w:t>
      </w:r>
      <w:r w:rsidR="0045561F" w:rsidRPr="00603315">
        <w:t xml:space="preserve"> oraz</w:t>
      </w:r>
      <w:r w:rsidR="00047912" w:rsidRPr="00603315">
        <w:t xml:space="preserve"> wpływu jej działalności</w:t>
      </w:r>
      <w:r w:rsidR="00DF5F42" w:rsidRPr="00603315">
        <w:t xml:space="preserve"> w odniesieniu do zagadnień, o których mowa w </w:t>
      </w:r>
      <w:r w:rsidR="0045561F" w:rsidRPr="00603315">
        <w:t xml:space="preserve">ust. 2 </w:t>
      </w:r>
      <w:r w:rsidR="00DF5F42" w:rsidRPr="00603315">
        <w:t>pkt 3.</w:t>
      </w:r>
    </w:p>
    <w:p w14:paraId="62BFD6FF" w14:textId="645C4FE3" w:rsidR="0055765A" w:rsidRPr="00603315" w:rsidRDefault="009A0691" w:rsidP="00603315">
      <w:pPr>
        <w:pStyle w:val="ZUSTzmustartykuempunktem"/>
      </w:pPr>
      <w:r w:rsidRPr="00603315">
        <w:t>4</w:t>
      </w:r>
      <w:r w:rsidR="00FB6B09" w:rsidRPr="00603315">
        <w:t xml:space="preserve">. </w:t>
      </w:r>
      <w:r w:rsidR="0055765A" w:rsidRPr="00603315">
        <w:t>W przypadku gdy istnieje powiązanie po</w:t>
      </w:r>
      <w:r w:rsidR="00603315">
        <w:t>między wartościami wykazanymi w </w:t>
      </w:r>
      <w:r w:rsidR="0055765A" w:rsidRPr="00603315">
        <w:t xml:space="preserve">rocznym sprawozdaniu finansowym a informacjami </w:t>
      </w:r>
      <w:r w:rsidR="00C154B3" w:rsidRPr="00603315">
        <w:t xml:space="preserve">zawartymi </w:t>
      </w:r>
      <w:r w:rsidR="0055765A" w:rsidRPr="00603315">
        <w:t xml:space="preserve">w oświadczeniu na temat informacji niefinansowych, </w:t>
      </w:r>
      <w:r w:rsidR="00FB6B09" w:rsidRPr="00603315">
        <w:t xml:space="preserve">oświadczenie </w:t>
      </w:r>
      <w:r w:rsidR="00C154B3" w:rsidRPr="00603315">
        <w:t xml:space="preserve">to </w:t>
      </w:r>
      <w:r w:rsidR="0055765A" w:rsidRPr="00603315">
        <w:t>powinno zawierać odniesienia do kwot wykazanych w sprawozdaniu finansowym, a także dodatkowe wyjaśnienia do tych kwot.</w:t>
      </w:r>
    </w:p>
    <w:p w14:paraId="212749E4" w14:textId="6AB72D6E" w:rsidR="00B0680F" w:rsidRPr="00603315" w:rsidRDefault="009A0691" w:rsidP="00603315">
      <w:pPr>
        <w:pStyle w:val="ZUSTzmustartykuempunktem"/>
      </w:pPr>
      <w:r w:rsidRPr="00603315">
        <w:t>5</w:t>
      </w:r>
      <w:r w:rsidR="00B0680F" w:rsidRPr="00603315">
        <w:t xml:space="preserve">. Jeżeli jednostka nie stosuje polityki w odniesieniu do </w:t>
      </w:r>
      <w:r w:rsidRPr="00603315">
        <w:t xml:space="preserve">jednego </w:t>
      </w:r>
      <w:r w:rsidR="00B0680F" w:rsidRPr="00603315">
        <w:t xml:space="preserve">lub kilku </w:t>
      </w:r>
      <w:r w:rsidRPr="00603315">
        <w:t>zagadnień</w:t>
      </w:r>
      <w:r w:rsidR="00B0680F" w:rsidRPr="00603315">
        <w:t xml:space="preserve">, o </w:t>
      </w:r>
      <w:r w:rsidRPr="00603315">
        <w:t xml:space="preserve">których </w:t>
      </w:r>
      <w:r w:rsidR="00B0680F" w:rsidRPr="00603315">
        <w:t>mowa w ust. 2</w:t>
      </w:r>
      <w:r w:rsidRPr="00603315">
        <w:t xml:space="preserve"> pkt 3</w:t>
      </w:r>
      <w:r w:rsidR="00B0680F" w:rsidRPr="00603315">
        <w:t xml:space="preserve">, w oświadczeniu na temat informacji niefinansowych jednostka podaje </w:t>
      </w:r>
      <w:r w:rsidRPr="00603315">
        <w:t xml:space="preserve">powody </w:t>
      </w:r>
      <w:r w:rsidR="00466ACF" w:rsidRPr="00603315">
        <w:t xml:space="preserve">jej </w:t>
      </w:r>
      <w:r w:rsidR="00C154B3" w:rsidRPr="00603315">
        <w:t>niestosowania</w:t>
      </w:r>
      <w:r w:rsidRPr="00603315">
        <w:t>.</w:t>
      </w:r>
    </w:p>
    <w:p w14:paraId="2F98EE84" w14:textId="7254993F" w:rsidR="00195737" w:rsidRPr="00603315" w:rsidRDefault="009A0691" w:rsidP="00603315">
      <w:pPr>
        <w:pStyle w:val="ZUSTzmustartykuempunktem"/>
      </w:pPr>
      <w:r w:rsidRPr="00603315">
        <w:t>6</w:t>
      </w:r>
      <w:r w:rsidR="00195737" w:rsidRPr="00603315">
        <w:t xml:space="preserve">. </w:t>
      </w:r>
      <w:r w:rsidR="004F5C72" w:rsidRPr="00603315">
        <w:t>J</w:t>
      </w:r>
      <w:r w:rsidR="00E82F39" w:rsidRPr="00603315">
        <w:t xml:space="preserve">ednostka </w:t>
      </w:r>
      <w:r w:rsidR="004F5C72" w:rsidRPr="00603315">
        <w:t xml:space="preserve">w wyjątkowych przypadkach </w:t>
      </w:r>
      <w:r w:rsidRPr="00603315">
        <w:t>mo</w:t>
      </w:r>
      <w:r w:rsidR="00521977" w:rsidRPr="00603315">
        <w:t>że pominąć</w:t>
      </w:r>
      <w:r w:rsidR="0002700B" w:rsidRPr="00603315">
        <w:t xml:space="preserve"> </w:t>
      </w:r>
      <w:r w:rsidR="00E82F39" w:rsidRPr="00603315">
        <w:t>w oświadczeniu na temat informacji niefinansowych</w:t>
      </w:r>
      <w:r w:rsidR="007D7D33" w:rsidRPr="00603315">
        <w:t xml:space="preserve"> </w:t>
      </w:r>
      <w:r w:rsidR="00E82F39" w:rsidRPr="00603315">
        <w:t>informacje</w:t>
      </w:r>
      <w:r w:rsidR="00195737" w:rsidRPr="00603315">
        <w:t xml:space="preserve"> dotycząc</w:t>
      </w:r>
      <w:r w:rsidR="00E82F39" w:rsidRPr="00603315">
        <w:t>e</w:t>
      </w:r>
      <w:r w:rsidR="00195737" w:rsidRPr="00603315">
        <w:t xml:space="preserve"> oczekiwanych </w:t>
      </w:r>
      <w:r w:rsidR="000B763D" w:rsidRPr="00603315">
        <w:t xml:space="preserve">zdarzeń </w:t>
      </w:r>
      <w:r w:rsidR="00195737" w:rsidRPr="00603315">
        <w:t>lub spraw będących przedmiotem toczących się</w:t>
      </w:r>
      <w:r w:rsidR="008A432B" w:rsidRPr="00603315">
        <w:t xml:space="preserve"> negocjacji, jeżeli </w:t>
      </w:r>
      <w:r w:rsidR="00044334">
        <w:t>–</w:t>
      </w:r>
      <w:r w:rsidR="008A432B" w:rsidRPr="00603315">
        <w:t xml:space="preserve"> zgodnie z </w:t>
      </w:r>
      <w:r w:rsidR="00195737" w:rsidRPr="00603315">
        <w:t>uzasadnioną opinią</w:t>
      </w:r>
      <w:r w:rsidRPr="00603315">
        <w:t xml:space="preserve"> kierownika jednostki oraz </w:t>
      </w:r>
      <w:r w:rsidR="00195737" w:rsidRPr="00603315">
        <w:t xml:space="preserve">członków </w:t>
      </w:r>
      <w:r w:rsidRPr="00603315">
        <w:t>rady nadzorczej lub inneg</w:t>
      </w:r>
      <w:r w:rsidR="00FB350B" w:rsidRPr="00603315">
        <w:t xml:space="preserve">o organu nadzorującego jednostkę </w:t>
      </w:r>
      <w:r w:rsidR="00044334">
        <w:t>–</w:t>
      </w:r>
      <w:r w:rsidR="00195737" w:rsidRPr="00603315">
        <w:t xml:space="preserve"> ujawnienie takich informacji miałoby </w:t>
      </w:r>
      <w:r w:rsidR="00B358FB" w:rsidRPr="00603315">
        <w:t xml:space="preserve">istotnie </w:t>
      </w:r>
      <w:r w:rsidR="00195737" w:rsidRPr="00603315">
        <w:t xml:space="preserve">szkodliwy wpływ na sytuację </w:t>
      </w:r>
      <w:r w:rsidR="00204732" w:rsidRPr="00603315">
        <w:t xml:space="preserve">rynkową </w:t>
      </w:r>
      <w:r w:rsidR="00195737" w:rsidRPr="00603315">
        <w:t>jednostki</w:t>
      </w:r>
      <w:r w:rsidR="00204732" w:rsidRPr="00603315">
        <w:t>. Jednostka nie może</w:t>
      </w:r>
      <w:r w:rsidR="00834817" w:rsidRPr="00603315">
        <w:t xml:space="preserve"> </w:t>
      </w:r>
      <w:r w:rsidR="00195737" w:rsidRPr="00603315">
        <w:t>pomin</w:t>
      </w:r>
      <w:r w:rsidR="00204732" w:rsidRPr="00603315">
        <w:t xml:space="preserve">ąć tych informacji, jeżeli </w:t>
      </w:r>
      <w:r w:rsidR="00195737" w:rsidRPr="00603315">
        <w:t>uniem</w:t>
      </w:r>
      <w:r w:rsidR="008A432B" w:rsidRPr="00603315">
        <w:t>ożliwi</w:t>
      </w:r>
      <w:r w:rsidR="00204732" w:rsidRPr="00603315">
        <w:t xml:space="preserve"> to</w:t>
      </w:r>
      <w:r w:rsidR="008A432B" w:rsidRPr="00603315">
        <w:t xml:space="preserve"> prawidłow</w:t>
      </w:r>
      <w:r w:rsidR="00660C6D" w:rsidRPr="00603315">
        <w:t>ą</w:t>
      </w:r>
      <w:r w:rsidR="008A432B" w:rsidRPr="00603315">
        <w:t xml:space="preserve"> i </w:t>
      </w:r>
      <w:r w:rsidR="00D434AB" w:rsidRPr="00603315">
        <w:t xml:space="preserve">obiektywną </w:t>
      </w:r>
      <w:r w:rsidR="00C7753D" w:rsidRPr="00603315">
        <w:t xml:space="preserve">ocenę </w:t>
      </w:r>
      <w:r w:rsidR="00195737" w:rsidRPr="00603315">
        <w:t>rozwoju, wyników i</w:t>
      </w:r>
      <w:r w:rsidR="003D2CE7" w:rsidRPr="00603315">
        <w:t xml:space="preserve"> </w:t>
      </w:r>
      <w:r w:rsidR="00195737" w:rsidRPr="00603315">
        <w:t>sytuacji jednostki oraz wpływu jej działalności</w:t>
      </w:r>
      <w:r w:rsidR="005241B0" w:rsidRPr="00603315">
        <w:t xml:space="preserve"> w odniesieniu do zagadnień, o których mowa w ust. 2 pkt</w:t>
      </w:r>
      <w:r w:rsidR="00044334">
        <w:t xml:space="preserve"> </w:t>
      </w:r>
      <w:r w:rsidR="005241B0" w:rsidRPr="00603315">
        <w:t>3.</w:t>
      </w:r>
    </w:p>
    <w:p w14:paraId="22BE4070" w14:textId="1056CDC0" w:rsidR="00946138" w:rsidRPr="00603315" w:rsidRDefault="00403046" w:rsidP="00603315">
      <w:pPr>
        <w:pStyle w:val="ZUSTzmustartykuempunktem"/>
      </w:pPr>
      <w:r w:rsidRPr="00603315">
        <w:t>7</w:t>
      </w:r>
      <w:r w:rsidR="00946138" w:rsidRPr="00603315">
        <w:t xml:space="preserve">. Jeżeli jednostka </w:t>
      </w:r>
      <w:r w:rsidRPr="00603315">
        <w:t>pominie</w:t>
      </w:r>
      <w:r w:rsidR="00D3125D" w:rsidRPr="00603315">
        <w:t xml:space="preserve"> w oświadczeniu na temat informacji niefinansowych</w:t>
      </w:r>
      <w:r w:rsidRPr="00603315">
        <w:t xml:space="preserve"> informacje</w:t>
      </w:r>
      <w:r w:rsidR="00D3125D" w:rsidRPr="00603315">
        <w:t>, o których mowa w</w:t>
      </w:r>
      <w:r w:rsidR="00946138" w:rsidRPr="00603315">
        <w:t xml:space="preserve"> ust. </w:t>
      </w:r>
      <w:r w:rsidRPr="00603315">
        <w:t>6</w:t>
      </w:r>
      <w:r w:rsidR="009B02A4" w:rsidRPr="00603315">
        <w:t>,</w:t>
      </w:r>
      <w:r w:rsidR="00946138" w:rsidRPr="00603315">
        <w:t xml:space="preserve"> informuje o tym w </w:t>
      </w:r>
      <w:r w:rsidR="00C154B3" w:rsidRPr="00603315">
        <w:t xml:space="preserve">tym </w:t>
      </w:r>
      <w:r w:rsidR="00946138" w:rsidRPr="00603315">
        <w:t>oświadczeniu.</w:t>
      </w:r>
    </w:p>
    <w:p w14:paraId="0E7CB3C1" w14:textId="0108F289" w:rsidR="008D0653" w:rsidRPr="00603315" w:rsidRDefault="00232C67" w:rsidP="00603315">
      <w:pPr>
        <w:pStyle w:val="ZUSTzmustartykuempunktem"/>
      </w:pPr>
      <w:r w:rsidRPr="00603315">
        <w:t xml:space="preserve">8. Jednostka </w:t>
      </w:r>
      <w:r w:rsidR="00C154B3" w:rsidRPr="00603315">
        <w:t xml:space="preserve">przy sporządzaniu </w:t>
      </w:r>
      <w:r w:rsidRPr="00603315">
        <w:t>oświadczeni</w:t>
      </w:r>
      <w:r w:rsidR="00C154B3" w:rsidRPr="00603315">
        <w:t>a</w:t>
      </w:r>
      <w:r w:rsidRPr="00603315">
        <w:t xml:space="preserve"> na temat informacji niefinansowych może stosować dowolne zasady, w tym własne zasady, krajowe, unijne lub międzynarodowe standardy, normy lub wytyczne. W oświadczeniu jednostka zawiera informację o tym, jakie zasady, </w:t>
      </w:r>
      <w:r w:rsidR="001559D4" w:rsidRPr="00603315">
        <w:t xml:space="preserve">standardy, </w:t>
      </w:r>
      <w:r w:rsidRPr="00603315">
        <w:t>normy lub wytyczne zastosowała.</w:t>
      </w:r>
    </w:p>
    <w:p w14:paraId="60B4A26E" w14:textId="3287ED70" w:rsidR="00013034" w:rsidRPr="00603315" w:rsidRDefault="00281422" w:rsidP="00603315">
      <w:pPr>
        <w:pStyle w:val="ZUSTzmustartykuempunktem"/>
      </w:pPr>
      <w:r w:rsidRPr="00603315">
        <w:t>9</w:t>
      </w:r>
      <w:r w:rsidR="008165FB" w:rsidRPr="00603315">
        <w:t xml:space="preserve">. </w:t>
      </w:r>
      <w:r w:rsidR="006C0926" w:rsidRPr="00603315">
        <w:t>Jednostka może nie sporządzać oświadczenia na temat informacji niefinansowych</w:t>
      </w:r>
      <w:r w:rsidR="00044334">
        <w:t>,</w:t>
      </w:r>
      <w:r w:rsidR="006C0926" w:rsidRPr="00603315">
        <w:t xml:space="preserve"> </w:t>
      </w:r>
      <w:r w:rsidR="00AD14C6" w:rsidRPr="00603315">
        <w:t>jeżeli</w:t>
      </w:r>
      <w:r w:rsidR="006C0926" w:rsidRPr="00603315">
        <w:t xml:space="preserve"> wraz ze sprawozdaniem z działalności sporządzi odrębnie sprawozdanie na temat informacji niefinansowych</w:t>
      </w:r>
      <w:r w:rsidR="00C3713B" w:rsidRPr="00603315">
        <w:t xml:space="preserve"> oraz </w:t>
      </w:r>
      <w:r w:rsidR="008A064F" w:rsidRPr="00603315">
        <w:t>zamieści</w:t>
      </w:r>
      <w:r w:rsidR="00C3713B" w:rsidRPr="00603315">
        <w:t xml:space="preserve"> je na </w:t>
      </w:r>
      <w:r w:rsidR="00CD405C" w:rsidRPr="00603315">
        <w:t xml:space="preserve">swojej </w:t>
      </w:r>
      <w:r w:rsidR="00C3713B" w:rsidRPr="00603315">
        <w:t xml:space="preserve">stronie </w:t>
      </w:r>
      <w:r w:rsidR="001759A0" w:rsidRPr="00603315">
        <w:t xml:space="preserve">internetowej </w:t>
      </w:r>
      <w:r w:rsidR="00C3713B" w:rsidRPr="00603315">
        <w:t xml:space="preserve">w terminie </w:t>
      </w:r>
      <w:r w:rsidR="001759A0" w:rsidRPr="00603315">
        <w:t>sześciu miesięcy od dnia bilansowego</w:t>
      </w:r>
      <w:r w:rsidR="00AD14C6" w:rsidRPr="00603315">
        <w:t>.</w:t>
      </w:r>
      <w:r w:rsidR="006C0926" w:rsidRPr="00603315">
        <w:t xml:space="preserve"> </w:t>
      </w:r>
      <w:r w:rsidR="00AD14C6" w:rsidRPr="00603315">
        <w:t>Jednostka zamieszcza w</w:t>
      </w:r>
      <w:r w:rsidR="00603315">
        <w:t> </w:t>
      </w:r>
      <w:r w:rsidR="00AD14C6" w:rsidRPr="00603315">
        <w:t xml:space="preserve">sprawozdaniu z działalności informację o sporządzeniu odrębnego sprawozdania na </w:t>
      </w:r>
      <w:r w:rsidR="00AD14C6" w:rsidRPr="00603315">
        <w:lastRenderedPageBreak/>
        <w:t>temat informacji niefinansowych zgodnie z wymogami określonymi w ust. 2</w:t>
      </w:r>
      <w:r w:rsidR="003D2CE7" w:rsidRPr="00603315">
        <w:t>–</w:t>
      </w:r>
      <w:r w:rsidR="00AD14C6" w:rsidRPr="00603315">
        <w:t xml:space="preserve">8. </w:t>
      </w:r>
      <w:r w:rsidR="00603315">
        <w:t>Do </w:t>
      </w:r>
      <w:r w:rsidR="006C0926" w:rsidRPr="00603315">
        <w:t xml:space="preserve">sprawozdania na temat informacji niefinansowych przepisy </w:t>
      </w:r>
      <w:r w:rsidR="00C154B3" w:rsidRPr="00603315">
        <w:t>ust. 2</w:t>
      </w:r>
      <w:r w:rsidR="003D2CE7" w:rsidRPr="00603315">
        <w:t>–</w:t>
      </w:r>
      <w:r w:rsidR="00C154B3" w:rsidRPr="00603315">
        <w:t xml:space="preserve">8, </w:t>
      </w:r>
      <w:r w:rsidR="006C0926" w:rsidRPr="00603315">
        <w:t>art. 4a ust.</w:t>
      </w:r>
      <w:r w:rsidR="003D2CE7" w:rsidRPr="00603315">
        <w:t xml:space="preserve"> </w:t>
      </w:r>
      <w:r w:rsidR="006C0926" w:rsidRPr="00603315">
        <w:t>1, art. 45 ust. 4 i 5,</w:t>
      </w:r>
      <w:r w:rsidR="005D6B54" w:rsidRPr="00603315">
        <w:t xml:space="preserve"> </w:t>
      </w:r>
      <w:r w:rsidR="006C0926" w:rsidRPr="00603315">
        <w:t>art.</w:t>
      </w:r>
      <w:r w:rsidR="003D2CE7" w:rsidRPr="00603315">
        <w:t xml:space="preserve"> </w:t>
      </w:r>
      <w:r w:rsidR="006C0926" w:rsidRPr="00603315">
        <w:t>52 ust. 3 pkt</w:t>
      </w:r>
      <w:r w:rsidR="003D2CE7" w:rsidRPr="00603315">
        <w:t xml:space="preserve"> </w:t>
      </w:r>
      <w:r w:rsidR="006C0926" w:rsidRPr="00603315">
        <w:t>2, art. 68 oraz art. 73 ust. 3 stosuje się odpowiednio.</w:t>
      </w:r>
    </w:p>
    <w:p w14:paraId="0304FD33" w14:textId="23ACBC94" w:rsidR="00B25D24" w:rsidRPr="00603315" w:rsidRDefault="0079628F" w:rsidP="00603315">
      <w:pPr>
        <w:pStyle w:val="ZUSTzmustartykuempunktem"/>
      </w:pPr>
      <w:r w:rsidRPr="00603315">
        <w:t>1</w:t>
      </w:r>
      <w:r w:rsidR="005E0486" w:rsidRPr="00603315">
        <w:t>0</w:t>
      </w:r>
      <w:r w:rsidR="00B25D24" w:rsidRPr="00603315">
        <w:t>.</w:t>
      </w:r>
      <w:r w:rsidRPr="00603315">
        <w:t xml:space="preserve"> </w:t>
      </w:r>
      <w:r w:rsidR="00DD5A08" w:rsidRPr="00603315">
        <w:t>Przyjmuje się, że jednostka</w:t>
      </w:r>
      <w:r w:rsidR="00FB5AE5" w:rsidRPr="00603315">
        <w:t xml:space="preserve"> </w:t>
      </w:r>
      <w:r w:rsidR="00DD5A08" w:rsidRPr="00603315">
        <w:t>sporządzająca</w:t>
      </w:r>
      <w:r w:rsidR="0077526D" w:rsidRPr="00603315">
        <w:t xml:space="preserve"> oświadczeni</w:t>
      </w:r>
      <w:r w:rsidR="009C1DEE" w:rsidRPr="00603315">
        <w:t>e</w:t>
      </w:r>
      <w:r w:rsidR="0077526D" w:rsidRPr="00603315">
        <w:t xml:space="preserve"> na temat informacji niefinansowych </w:t>
      </w:r>
      <w:r w:rsidR="00C154B3" w:rsidRPr="00603315">
        <w:t xml:space="preserve">albo </w:t>
      </w:r>
      <w:r w:rsidR="0077526D" w:rsidRPr="00603315">
        <w:t>sprawozdani</w:t>
      </w:r>
      <w:r w:rsidR="009C1DEE" w:rsidRPr="00603315">
        <w:t>e</w:t>
      </w:r>
      <w:r w:rsidR="0077526D" w:rsidRPr="00603315">
        <w:t xml:space="preserve"> na temat informacji niefinansowych </w:t>
      </w:r>
      <w:r w:rsidR="00603315">
        <w:t>zgodnie z </w:t>
      </w:r>
      <w:r w:rsidR="00810CBE" w:rsidRPr="00603315">
        <w:t>wymogami ustawy</w:t>
      </w:r>
      <w:r w:rsidR="00275356" w:rsidRPr="00603315">
        <w:t>,</w:t>
      </w:r>
      <w:r w:rsidR="00810CBE" w:rsidRPr="00603315">
        <w:t xml:space="preserve"> </w:t>
      </w:r>
      <w:r w:rsidR="00DD5A08" w:rsidRPr="00603315">
        <w:t>spełnia</w:t>
      </w:r>
      <w:r w:rsidR="00FB5AE5" w:rsidRPr="00603315">
        <w:t xml:space="preserve"> obowiązek</w:t>
      </w:r>
      <w:r w:rsidR="00810CBE" w:rsidRPr="00603315">
        <w:t xml:space="preserve"> </w:t>
      </w:r>
      <w:r w:rsidR="007B7B66" w:rsidRPr="00603315">
        <w:t>ujawnienia</w:t>
      </w:r>
      <w:r w:rsidR="00FB5AE5" w:rsidRPr="00603315">
        <w:t xml:space="preserve"> </w:t>
      </w:r>
      <w:r w:rsidR="00810CBE" w:rsidRPr="00603315">
        <w:t>wskaźników oraz informacji</w:t>
      </w:r>
      <w:r w:rsidR="00275356" w:rsidRPr="00603315">
        <w:t>,</w:t>
      </w:r>
      <w:r w:rsidR="00810CBE" w:rsidRPr="00603315">
        <w:t xml:space="preserve"> </w:t>
      </w:r>
      <w:r w:rsidR="00603315">
        <w:t>o </w:t>
      </w:r>
      <w:r w:rsidR="007B7B66" w:rsidRPr="00603315">
        <w:t xml:space="preserve">których mowa </w:t>
      </w:r>
      <w:r w:rsidR="00FB5AE5" w:rsidRPr="00603315">
        <w:t xml:space="preserve">w </w:t>
      </w:r>
      <w:r w:rsidR="00E660F2" w:rsidRPr="00603315">
        <w:t>art. 49 ust. 3</w:t>
      </w:r>
      <w:r w:rsidR="00FB5AE5" w:rsidRPr="00603315">
        <w:t xml:space="preserve"> pkt 2.</w:t>
      </w:r>
    </w:p>
    <w:p w14:paraId="40024DA3" w14:textId="4B240F54" w:rsidR="00290951" w:rsidRDefault="008C00EF" w:rsidP="00603315">
      <w:pPr>
        <w:pStyle w:val="ZUSTzmustartykuempunktem"/>
      </w:pPr>
      <w:r w:rsidRPr="00603315">
        <w:t>1</w:t>
      </w:r>
      <w:r w:rsidR="005E0486" w:rsidRPr="00603315">
        <w:t>1</w:t>
      </w:r>
      <w:r w:rsidR="00FD058F" w:rsidRPr="00603315">
        <w:t>.</w:t>
      </w:r>
      <w:r w:rsidR="00290951" w:rsidRPr="00603315">
        <w:t xml:space="preserve"> Jednostka będąca jednostką zależną, w tym jednostką dominującą niższego szczebla, może nie sporządzać oświadczenia na temat informacji niefinansowych </w:t>
      </w:r>
      <w:r w:rsidR="00C154B3" w:rsidRPr="00603315">
        <w:t xml:space="preserve">albo </w:t>
      </w:r>
      <w:r w:rsidR="00290951" w:rsidRPr="00603315">
        <w:t xml:space="preserve">sprawozdania na temat informacji niefinansowych, jeżeli </w:t>
      </w:r>
      <w:r w:rsidR="00C154B3" w:rsidRPr="00603315">
        <w:t xml:space="preserve">jej </w:t>
      </w:r>
      <w:r w:rsidR="00290951" w:rsidRPr="00603315">
        <w:t xml:space="preserve">jednostka dominująca wyższego szczebla mająca siedzibę lub miejsce sprawowania zarządu na terytorium Europejskiego Obszaru Gospodarczego sporządza oświadczenie grupy kapitałowej na temat informacji niefinansowych </w:t>
      </w:r>
      <w:r w:rsidR="00C154B3" w:rsidRPr="00603315">
        <w:t xml:space="preserve">albo </w:t>
      </w:r>
      <w:r w:rsidR="00290951" w:rsidRPr="00603315">
        <w:t>sprawozdanie grupy kapitałowej na temat informacji niefinansowych zgodnie z</w:t>
      </w:r>
      <w:r w:rsidR="003D2CE7" w:rsidRPr="00603315">
        <w:t xml:space="preserve"> </w:t>
      </w:r>
      <w:r w:rsidR="00290951" w:rsidRPr="00603315">
        <w:t xml:space="preserve">przepisami prawa państwa </w:t>
      </w:r>
      <w:r w:rsidR="00C154B3" w:rsidRPr="00603315">
        <w:t>Europejskiego Obszaru Gospodarczego</w:t>
      </w:r>
      <w:r w:rsidR="00290951" w:rsidRPr="00603315">
        <w:t xml:space="preserve">, któremu podlega, i którym to oświadczeniem </w:t>
      </w:r>
      <w:r w:rsidR="00C154B3" w:rsidRPr="00603315">
        <w:t xml:space="preserve">albo </w:t>
      </w:r>
      <w:r w:rsidR="00290951" w:rsidRPr="00603315">
        <w:t>sprawozdaniem obejmie tę jednostkę i jej jednostki zależne każdego szczebla.</w:t>
      </w:r>
      <w:r w:rsidR="00E94617" w:rsidRPr="00603315">
        <w:t xml:space="preserve"> W takim przypadku jednostka ujawnia</w:t>
      </w:r>
      <w:r w:rsidR="00E94617" w:rsidRPr="00E94617">
        <w:t xml:space="preserve"> w sprawozdaniu z działalności nazwę i siedzibę </w:t>
      </w:r>
      <w:r w:rsidR="00C154B3">
        <w:t xml:space="preserve">jej </w:t>
      </w:r>
      <w:r w:rsidR="00E94617" w:rsidRPr="00E94617">
        <w:t xml:space="preserve">jednostki dominującej wyższego szczebla, sporządzającej oświadczenie </w:t>
      </w:r>
      <w:r w:rsidR="00C154B3">
        <w:t xml:space="preserve">albo </w:t>
      </w:r>
      <w:r w:rsidR="00E94617" w:rsidRPr="00E94617">
        <w:t xml:space="preserve">sprawozdanie grupy kapitałowej na temat informacji </w:t>
      </w:r>
      <w:r w:rsidR="008229C8">
        <w:t>niefinansowych, które obejmie tę</w:t>
      </w:r>
      <w:r w:rsidR="00E94617" w:rsidRPr="00E94617">
        <w:t xml:space="preserve"> jednostkę i jej jednostki zależne każdego szczebla.</w:t>
      </w:r>
      <w:r w:rsidR="003D2CE7">
        <w:t>”</w:t>
      </w:r>
      <w:r w:rsidR="00E94617" w:rsidRPr="00E94617">
        <w:t>;</w:t>
      </w:r>
    </w:p>
    <w:p w14:paraId="74F87EC5" w14:textId="36019F3D" w:rsidR="006611F1" w:rsidRDefault="0062432E" w:rsidP="00B71F66">
      <w:pPr>
        <w:pStyle w:val="PKTpunkt"/>
      </w:pPr>
      <w:r>
        <w:t>10</w:t>
      </w:r>
      <w:r w:rsidR="00B71F66" w:rsidRPr="00B71F66">
        <w:t>)</w:t>
      </w:r>
      <w:r w:rsidR="00B71F66" w:rsidRPr="00B71F66">
        <w:tab/>
        <w:t>w</w:t>
      </w:r>
      <w:r w:rsidR="003D2CE7">
        <w:t xml:space="preserve"> </w:t>
      </w:r>
      <w:r w:rsidR="00B71F66" w:rsidRPr="00B71F66">
        <w:t>art.</w:t>
      </w:r>
      <w:r w:rsidR="003D2CE7">
        <w:t xml:space="preserve"> </w:t>
      </w:r>
      <w:r w:rsidR="00B71F66">
        <w:t>55</w:t>
      </w:r>
      <w:r w:rsidR="006611F1">
        <w:t>:</w:t>
      </w:r>
    </w:p>
    <w:p w14:paraId="054E2431" w14:textId="6F48976C" w:rsidR="006611F1" w:rsidRDefault="006611F1" w:rsidP="006611F1">
      <w:pPr>
        <w:pStyle w:val="LITlitera"/>
      </w:pPr>
      <w:r>
        <w:t>a)</w:t>
      </w:r>
      <w:r>
        <w:tab/>
      </w:r>
      <w:r w:rsidR="003B4A14">
        <w:t xml:space="preserve">w </w:t>
      </w:r>
      <w:r>
        <w:t>ust. 2a</w:t>
      </w:r>
      <w:r w:rsidR="00687AE8">
        <w:t xml:space="preserve"> zdanie pierwsze otrzymuje brzmienie</w:t>
      </w:r>
      <w:r>
        <w:t>:</w:t>
      </w:r>
    </w:p>
    <w:p w14:paraId="7A4763A8" w14:textId="4151842D" w:rsidR="006611F1" w:rsidRDefault="00687AE8" w:rsidP="00603315">
      <w:pPr>
        <w:pStyle w:val="ZLITFRAGzmlitfragmentunpzdanialiter"/>
      </w:pPr>
      <w:r w:rsidRPr="00687AE8">
        <w:t>„Do rocznego skonsolidowanego sprawozdania finansowego dołącza się</w:t>
      </w:r>
      <w:r>
        <w:t xml:space="preserve"> </w:t>
      </w:r>
      <w:r w:rsidR="00603315">
        <w:t xml:space="preserve">sprawozdanie z </w:t>
      </w:r>
      <w:r w:rsidRPr="00687AE8">
        <w:t>działalności grupy kapitałowej, sporządzone odpowiednio według</w:t>
      </w:r>
      <w:r>
        <w:t xml:space="preserve"> </w:t>
      </w:r>
      <w:r w:rsidRPr="00687AE8">
        <w:t>wymogów, o których mowa w art. 49 ust. 2</w:t>
      </w:r>
      <w:r w:rsidR="003D2CE7">
        <w:t>–</w:t>
      </w:r>
      <w:r w:rsidRPr="00687AE8">
        <w:t>3</w:t>
      </w:r>
      <w:r>
        <w:t>a</w:t>
      </w:r>
      <w:r w:rsidRPr="00687AE8">
        <w:t>, z tym że w przypadku informacji</w:t>
      </w:r>
      <w:r>
        <w:t xml:space="preserve"> </w:t>
      </w:r>
      <w:r w:rsidRPr="00687AE8">
        <w:t>określonych w art. 49 ust. 2 pkt 5</w:t>
      </w:r>
      <w:r w:rsidR="00234C6E">
        <w:t>,</w:t>
      </w:r>
      <w:r w:rsidRPr="00687AE8">
        <w:t xml:space="preserve"> należy podać informacje o udziałach własnych</w:t>
      </w:r>
      <w:r>
        <w:t xml:space="preserve"> </w:t>
      </w:r>
      <w:r w:rsidRPr="00687AE8">
        <w:t>posiadanych przez jednostkę dominującą, jednostki wchodzące w skład grupy</w:t>
      </w:r>
      <w:r>
        <w:t xml:space="preserve"> </w:t>
      </w:r>
      <w:r w:rsidRPr="00687AE8">
        <w:t>kapitałowej oraz osoby działające w ich imieniu.</w:t>
      </w:r>
      <w:r w:rsidR="003D2CE7">
        <w:t>”</w:t>
      </w:r>
      <w:r w:rsidR="003B4A14">
        <w:t>,</w:t>
      </w:r>
    </w:p>
    <w:p w14:paraId="5331AA62" w14:textId="3F7BF349" w:rsidR="00B71F66" w:rsidRPr="00B71F66" w:rsidRDefault="006611F1" w:rsidP="006611F1">
      <w:pPr>
        <w:pStyle w:val="LITlitera"/>
      </w:pPr>
      <w:r>
        <w:t>b)</w:t>
      </w:r>
      <w:r>
        <w:tab/>
      </w:r>
      <w:r w:rsidR="003B4A14">
        <w:t xml:space="preserve">po ust. 2a </w:t>
      </w:r>
      <w:r w:rsidR="00B71F66" w:rsidRPr="00B71F66">
        <w:t>dodaje się ust.</w:t>
      </w:r>
      <w:r w:rsidR="003D2CE7">
        <w:t xml:space="preserve"> </w:t>
      </w:r>
      <w:r w:rsidR="00B71F66">
        <w:t>2b</w:t>
      </w:r>
      <w:r w:rsidR="00044334">
        <w:t>–</w:t>
      </w:r>
      <w:r w:rsidR="002A07AE">
        <w:t>2</w:t>
      </w:r>
      <w:r w:rsidR="00E94617">
        <w:t>e</w:t>
      </w:r>
      <w:r w:rsidR="002A07AE" w:rsidRPr="00B71F66">
        <w:t xml:space="preserve"> </w:t>
      </w:r>
      <w:r w:rsidR="00B71F66" w:rsidRPr="00B71F66">
        <w:t>w</w:t>
      </w:r>
      <w:r w:rsidR="003D2CE7">
        <w:t xml:space="preserve"> </w:t>
      </w:r>
      <w:r w:rsidR="00B71F66" w:rsidRPr="00B71F66">
        <w:t>brzmieniu:</w:t>
      </w:r>
    </w:p>
    <w:p w14:paraId="5E75EB80" w14:textId="16043A78" w:rsidR="00017FA9" w:rsidRDefault="00B71F66" w:rsidP="00603315">
      <w:pPr>
        <w:pStyle w:val="ZLITUSTzmustliter"/>
      </w:pPr>
      <w:r w:rsidRPr="00B119B3">
        <w:t>„</w:t>
      </w:r>
      <w:r>
        <w:t>2b</w:t>
      </w:r>
      <w:r w:rsidRPr="00B119B3">
        <w:t>.</w:t>
      </w:r>
      <w:r w:rsidR="00976CFB">
        <w:t xml:space="preserve"> Jednostka</w:t>
      </w:r>
      <w:r w:rsidR="00017FA9">
        <w:t xml:space="preserve"> dominująca</w:t>
      </w:r>
      <w:r w:rsidR="005C045F">
        <w:t>,</w:t>
      </w:r>
      <w:r w:rsidR="00017FA9" w:rsidRPr="00017FA9">
        <w:t xml:space="preserve"> </w:t>
      </w:r>
      <w:r w:rsidR="00017FA9">
        <w:t>będąca:</w:t>
      </w:r>
    </w:p>
    <w:p w14:paraId="4D9595CF" w14:textId="03CE7F7F" w:rsidR="00017FA9" w:rsidRPr="00B119B3" w:rsidRDefault="00017FA9" w:rsidP="00603315">
      <w:pPr>
        <w:pStyle w:val="ZLITPKTzmpktliter"/>
      </w:pPr>
      <w:r>
        <w:t>1</w:t>
      </w:r>
      <w:r w:rsidRPr="00B119B3">
        <w:t>)</w:t>
      </w:r>
      <w:r w:rsidRPr="00B119B3">
        <w:tab/>
      </w:r>
      <w:r>
        <w:t>jednostką, o</w:t>
      </w:r>
      <w:r w:rsidRPr="009E665E">
        <w:t xml:space="preserve"> której mowa w art. 3 ust. </w:t>
      </w:r>
      <w:r w:rsidRPr="00E71338">
        <w:t>1e pkt 1</w:t>
      </w:r>
      <w:r>
        <w:t>–6, oraz</w:t>
      </w:r>
      <w:r w:rsidRPr="000D33C0">
        <w:t xml:space="preserve"> </w:t>
      </w:r>
    </w:p>
    <w:p w14:paraId="7EA10B20" w14:textId="73793F56" w:rsidR="00017FA9" w:rsidRDefault="00017FA9" w:rsidP="00603315">
      <w:pPr>
        <w:pStyle w:val="ZLITPKTzmpktliter"/>
      </w:pPr>
      <w:r>
        <w:t>2</w:t>
      </w:r>
      <w:r w:rsidRPr="00B119B3">
        <w:t>)</w:t>
      </w:r>
      <w:r w:rsidRPr="00B119B3">
        <w:tab/>
        <w:t>spółką kapitałową, spółką komandytowo</w:t>
      </w:r>
      <w:r w:rsidR="003D2CE7">
        <w:t>-</w:t>
      </w:r>
      <w:r w:rsidRPr="00B119B3">
        <w:t xml:space="preserve">akcyjną lub taką spółką jawną lub komandytową, której wszystkimi </w:t>
      </w:r>
      <w:r>
        <w:t>wspólnikami</w:t>
      </w:r>
      <w:r w:rsidRPr="00B119B3">
        <w:t xml:space="preserve"> ponoszącymi </w:t>
      </w:r>
      <w:r>
        <w:t>nie</w:t>
      </w:r>
      <w:r w:rsidRPr="00B119B3">
        <w:t xml:space="preserve">ograniczoną </w:t>
      </w:r>
      <w:r w:rsidRPr="00B119B3">
        <w:lastRenderedPageBreak/>
        <w:t>odpowiedzialność są spółki kapitałowe</w:t>
      </w:r>
      <w:r w:rsidR="006A1F14">
        <w:t>,</w:t>
      </w:r>
      <w:r w:rsidRPr="00B119B3">
        <w:t xml:space="preserve"> spółki komandytowo</w:t>
      </w:r>
      <w:r w:rsidR="00044334">
        <w:t>-</w:t>
      </w:r>
      <w:r w:rsidRPr="00B119B3">
        <w:t xml:space="preserve">akcyjne </w:t>
      </w:r>
      <w:r w:rsidR="006A1F14">
        <w:t>lub</w:t>
      </w:r>
      <w:r w:rsidR="006A1F14" w:rsidRPr="00B119B3">
        <w:t xml:space="preserve"> </w:t>
      </w:r>
      <w:r w:rsidRPr="00B119B3">
        <w:t>spółki z innych państw o podobnej do tych spółek formie prawnej</w:t>
      </w:r>
      <w:r>
        <w:t>,</w:t>
      </w:r>
      <w:r w:rsidR="00B00F0F">
        <w:t xml:space="preserve"> oraz</w:t>
      </w:r>
    </w:p>
    <w:p w14:paraId="33403397" w14:textId="36BC9D32" w:rsidR="00CF7235" w:rsidRDefault="00B00F0F" w:rsidP="00603315">
      <w:pPr>
        <w:pStyle w:val="ZLITPKTzmpktliter"/>
      </w:pPr>
      <w:r>
        <w:t>3</w:t>
      </w:r>
      <w:r w:rsidR="003E7340" w:rsidRPr="003E7340">
        <w:t>)</w:t>
      </w:r>
      <w:r w:rsidR="003E7340" w:rsidRPr="003E7340">
        <w:tab/>
      </w:r>
      <w:r w:rsidR="003E7340">
        <w:t xml:space="preserve">jednostką dominującą grupy kapitałowej, </w:t>
      </w:r>
      <w:r w:rsidR="00A253AC">
        <w:t>jeżeli</w:t>
      </w:r>
      <w:r w:rsidR="003E7340" w:rsidRPr="003E7340">
        <w:t xml:space="preserve"> łączne</w:t>
      </w:r>
      <w:r w:rsidR="003E7340">
        <w:t xml:space="preserve"> dane</w:t>
      </w:r>
      <w:r w:rsidR="00A253AC">
        <w:t xml:space="preserve"> </w:t>
      </w:r>
      <w:r w:rsidR="003E7340">
        <w:t xml:space="preserve">jednostki dominującej oraz wszystkich jednostek </w:t>
      </w:r>
      <w:r w:rsidR="003E7340" w:rsidRPr="003E7340">
        <w:t>zależnych każdego szczebl</w:t>
      </w:r>
      <w:r w:rsidR="003E7340">
        <w:t xml:space="preserve">a, </w:t>
      </w:r>
      <w:r w:rsidR="003E7340" w:rsidRPr="003E7340">
        <w:t>na dzień bilansowy roku obrotowego oraz na</w:t>
      </w:r>
      <w:r w:rsidR="003E7340">
        <w:t xml:space="preserve"> </w:t>
      </w:r>
      <w:r w:rsidR="003E7340" w:rsidRPr="003E7340">
        <w:t>dzień bilansowy roku poprzedzającego rok obrotowy</w:t>
      </w:r>
      <w:r w:rsidR="00CF7235">
        <w:t>:</w:t>
      </w:r>
      <w:r>
        <w:t xml:space="preserve"> </w:t>
      </w:r>
    </w:p>
    <w:p w14:paraId="46005EFA" w14:textId="6A6476F3" w:rsidR="00B00F0F" w:rsidRDefault="00CF7235" w:rsidP="00603315">
      <w:pPr>
        <w:pStyle w:val="ZLITLITwPKTzmlitwpktliter"/>
      </w:pPr>
      <w:r>
        <w:t>a</w:t>
      </w:r>
      <w:r w:rsidRPr="00B119B3">
        <w:t>)</w:t>
      </w:r>
      <w:r>
        <w:tab/>
        <w:t>po dokonaniu wyłączeń konsolidacyjnych</w:t>
      </w:r>
      <w:r w:rsidR="00603315">
        <w:t>, o których mowa w art. 60 ust. </w:t>
      </w:r>
      <w:r w:rsidR="006A1F14">
        <w:t>2 i 6,</w:t>
      </w:r>
      <w:r>
        <w:t xml:space="preserve"> przekraczają</w:t>
      </w:r>
      <w:r w:rsidRPr="00B119B3">
        <w:t xml:space="preserve"> </w:t>
      </w:r>
      <w:r w:rsidR="00B00F0F" w:rsidRPr="00B00F0F">
        <w:t>wielkości</w:t>
      </w:r>
      <w:r w:rsidR="00B00F0F">
        <w:t>, o których mowa w art. 49b ust. 1</w:t>
      </w:r>
      <w:r>
        <w:t>, lub</w:t>
      </w:r>
    </w:p>
    <w:p w14:paraId="2CF5EF70" w14:textId="74A1176C" w:rsidR="00CF7235" w:rsidRPr="00B00F0F" w:rsidRDefault="00CF7235" w:rsidP="00603315">
      <w:pPr>
        <w:pStyle w:val="ZLITLITwPKTzmlitwpktliter"/>
      </w:pPr>
      <w:r>
        <w:t>b)</w:t>
      </w:r>
      <w:r>
        <w:tab/>
        <w:t xml:space="preserve">przed dokonaniem wyłączeń </w:t>
      </w:r>
      <w:r w:rsidRPr="00CF7235">
        <w:t>konsolidacyjnych</w:t>
      </w:r>
      <w:r w:rsidR="00603315">
        <w:t>, o których mowa w art. </w:t>
      </w:r>
      <w:r w:rsidR="006A1F14" w:rsidRPr="006A1F14">
        <w:t>60 ust. 2 i 6,</w:t>
      </w:r>
      <w:r w:rsidRPr="00CF7235">
        <w:t xml:space="preserve"> przekraczają </w:t>
      </w:r>
      <w:r>
        <w:t xml:space="preserve">następujące </w:t>
      </w:r>
      <w:r w:rsidRPr="00CF7235">
        <w:t>wielkości</w:t>
      </w:r>
      <w:r>
        <w:t>:</w:t>
      </w:r>
    </w:p>
    <w:p w14:paraId="3C4B12CE" w14:textId="70AD1B55" w:rsidR="00CF7235" w:rsidRPr="000355AB" w:rsidRDefault="003D2CE7" w:rsidP="00603315">
      <w:pPr>
        <w:pStyle w:val="ZLITTIRwPKTzmtirwpktliter"/>
      </w:pPr>
      <w:r>
        <w:t>–</w:t>
      </w:r>
      <w:r w:rsidR="00AD14C6">
        <w:tab/>
      </w:r>
      <w:r w:rsidR="00CF7235" w:rsidRPr="000355AB">
        <w:t>500 osób – w</w:t>
      </w:r>
      <w:r>
        <w:t xml:space="preserve"> </w:t>
      </w:r>
      <w:r w:rsidR="00CF7235" w:rsidRPr="000355AB">
        <w:t>przypadku</w:t>
      </w:r>
      <w:r w:rsidR="00603315">
        <w:t xml:space="preserve"> średniorocznego zatrudnienia w </w:t>
      </w:r>
      <w:r w:rsidR="00CF7235" w:rsidRPr="000355AB">
        <w:t>przeliczeniu na</w:t>
      </w:r>
      <w:r>
        <w:t xml:space="preserve"> </w:t>
      </w:r>
      <w:r w:rsidR="00CF7235" w:rsidRPr="000355AB">
        <w:t xml:space="preserve">pełne etaty oraz </w:t>
      </w:r>
    </w:p>
    <w:p w14:paraId="271D3291" w14:textId="3BFE7E25" w:rsidR="00CF7235" w:rsidRPr="000355AB" w:rsidRDefault="003D2CE7" w:rsidP="00603315">
      <w:pPr>
        <w:pStyle w:val="ZLITTIRwPKTzmtirwpktliter"/>
      </w:pPr>
      <w:r>
        <w:t>–</w:t>
      </w:r>
      <w:r w:rsidR="00AD14C6">
        <w:tab/>
      </w:r>
      <w:r w:rsidR="0057597B">
        <w:t>102</w:t>
      </w:r>
      <w:r w:rsidR="00CF7235" w:rsidRPr="000355AB">
        <w:t xml:space="preserve"> 000 000 zł – w</w:t>
      </w:r>
      <w:r>
        <w:t xml:space="preserve"> </w:t>
      </w:r>
      <w:r w:rsidR="00CF7235" w:rsidRPr="000355AB">
        <w:t xml:space="preserve">przypadku sumy aktywów bilansu na koniec roku obrotowego lub </w:t>
      </w:r>
      <w:r w:rsidR="0057597B">
        <w:t>204</w:t>
      </w:r>
      <w:r>
        <w:t xml:space="preserve"> </w:t>
      </w:r>
      <w:r w:rsidR="00CF7235" w:rsidRPr="000355AB">
        <w:t>000</w:t>
      </w:r>
      <w:r>
        <w:t xml:space="preserve"> </w:t>
      </w:r>
      <w:r w:rsidR="00CF7235" w:rsidRPr="000355AB">
        <w:t>000 zł – w</w:t>
      </w:r>
      <w:r>
        <w:t xml:space="preserve"> </w:t>
      </w:r>
      <w:r w:rsidR="00CF7235" w:rsidRPr="000355AB">
        <w:t>przypadku przychodów netto ze sprzedaży towarów i</w:t>
      </w:r>
      <w:r>
        <w:t xml:space="preserve"> </w:t>
      </w:r>
      <w:r w:rsidR="00CF7235" w:rsidRPr="000355AB">
        <w:t>produktów za rok obrotowy</w:t>
      </w:r>
    </w:p>
    <w:p w14:paraId="46CA6C66" w14:textId="7BED0D5D" w:rsidR="005C045F" w:rsidRDefault="003D2CE7" w:rsidP="00603315">
      <w:pPr>
        <w:pStyle w:val="ZLITCZWSPPKTzmczciwsppktliter"/>
      </w:pPr>
      <w:r>
        <w:t>–</w:t>
      </w:r>
      <w:r w:rsidR="005C045F">
        <w:t xml:space="preserve"> zawiera dodatkowo w sprawozdaniu z działalności </w:t>
      </w:r>
      <w:r w:rsidR="0057597B">
        <w:t xml:space="preserve">grupy kapitałowej </w:t>
      </w:r>
      <w:r>
        <w:t>–</w:t>
      </w:r>
      <w:r w:rsidR="005C045F">
        <w:t xml:space="preserve"> jako wyodrębnioną część </w:t>
      </w:r>
      <w:r>
        <w:t>–</w:t>
      </w:r>
      <w:r w:rsidR="005C045F">
        <w:t xml:space="preserve"> oświadczenie</w:t>
      </w:r>
      <w:r w:rsidR="0057597B">
        <w:t xml:space="preserve"> grupy kapitałowej</w:t>
      </w:r>
      <w:r w:rsidR="005C045F">
        <w:t xml:space="preserve"> na temat informacji niefinansowych </w:t>
      </w:r>
      <w:r w:rsidR="00697029">
        <w:t xml:space="preserve">sporządzone </w:t>
      </w:r>
      <w:r w:rsidR="00E41110">
        <w:t>odpowiednio według wymogów</w:t>
      </w:r>
      <w:r w:rsidR="00697029">
        <w:t xml:space="preserve"> określonych w</w:t>
      </w:r>
      <w:r w:rsidR="000F03F5">
        <w:t> </w:t>
      </w:r>
      <w:r w:rsidR="00E41110">
        <w:t>art.</w:t>
      </w:r>
      <w:r w:rsidR="000F03F5">
        <w:t> </w:t>
      </w:r>
      <w:r w:rsidR="00E41110">
        <w:t>49b ust. 2</w:t>
      </w:r>
      <w:r w:rsidR="00044334">
        <w:t>–</w:t>
      </w:r>
      <w:r w:rsidR="00E41110">
        <w:t>8.</w:t>
      </w:r>
    </w:p>
    <w:p w14:paraId="4D185FC9" w14:textId="1CAAF7CD" w:rsidR="00C95BF8" w:rsidRPr="00C95BF8" w:rsidRDefault="004425CF" w:rsidP="00603315">
      <w:pPr>
        <w:pStyle w:val="ZLITUSTzmustliter"/>
      </w:pPr>
      <w:r>
        <w:t>2c</w:t>
      </w:r>
      <w:r w:rsidRPr="00B119B3">
        <w:t>.</w:t>
      </w:r>
      <w:r w:rsidR="00C95BF8" w:rsidRPr="00C95BF8">
        <w:t xml:space="preserve"> Jednostka dominująca może nie sporządzać oświadczenia grupy kapitałowej na temat informacji niefinansowych pod warunkiem, że wraz ze sprawozdaniem z działalności grupy kapitałowej sporządzi odrębnie sprawozdanie grupy kapitałowej na temat informacji niefinansowych</w:t>
      </w:r>
      <w:r w:rsidR="000C16E4" w:rsidRPr="000C16E4">
        <w:t xml:space="preserve"> oraz zamieści je na </w:t>
      </w:r>
      <w:r w:rsidR="00CD405C">
        <w:t>swojej</w:t>
      </w:r>
      <w:r w:rsidR="00CD405C" w:rsidRPr="000C16E4">
        <w:t xml:space="preserve"> </w:t>
      </w:r>
      <w:r w:rsidR="000C16E4" w:rsidRPr="000C16E4">
        <w:t>stronie</w:t>
      </w:r>
      <w:r w:rsidR="00CD405C">
        <w:t xml:space="preserve"> </w:t>
      </w:r>
      <w:r w:rsidR="000C16E4" w:rsidRPr="000C16E4">
        <w:t>internetowej w terminie sześciu miesięcy od dnia bilansowego</w:t>
      </w:r>
      <w:r w:rsidR="00AD14C6">
        <w:t xml:space="preserve">. Jednostka zamieszcza w sprawozdaniu z działalności </w:t>
      </w:r>
      <w:r w:rsidR="00AD14C6" w:rsidRPr="00C95BF8">
        <w:t xml:space="preserve">grupy kapitałowej </w:t>
      </w:r>
      <w:r w:rsidR="000F03F5">
        <w:t>informację o </w:t>
      </w:r>
      <w:r w:rsidR="00AD14C6">
        <w:t xml:space="preserve">sporządzeniu odrębnego sprawozdania </w:t>
      </w:r>
      <w:r w:rsidR="00AD14C6" w:rsidRPr="00C95BF8">
        <w:t xml:space="preserve">grupy kapitałowej </w:t>
      </w:r>
      <w:r w:rsidR="00AD14C6">
        <w:t>zgodnie z wymogami określonymi w art. 49b ust. 2</w:t>
      </w:r>
      <w:r w:rsidR="003D2CE7">
        <w:t>–</w:t>
      </w:r>
      <w:r w:rsidR="00AD14C6">
        <w:t xml:space="preserve">8. </w:t>
      </w:r>
      <w:r w:rsidR="00AD14C6" w:rsidRPr="00AD14C6">
        <w:t xml:space="preserve">Do sprawozdania </w:t>
      </w:r>
      <w:r w:rsidR="00AD14C6" w:rsidRPr="00C95BF8">
        <w:t xml:space="preserve">grupy kapitałowej </w:t>
      </w:r>
      <w:r w:rsidR="00AD14C6" w:rsidRPr="00AD14C6">
        <w:t>na temat informacji niefinansowych przepisy</w:t>
      </w:r>
      <w:r w:rsidR="00AD14C6">
        <w:t xml:space="preserve"> </w:t>
      </w:r>
      <w:r w:rsidR="002309E7" w:rsidRPr="002309E7">
        <w:t>art. 4a ust.</w:t>
      </w:r>
      <w:r w:rsidR="003D2CE7">
        <w:t xml:space="preserve"> </w:t>
      </w:r>
      <w:r w:rsidR="002309E7" w:rsidRPr="002309E7">
        <w:t>1, art. 45 ust. 4 i</w:t>
      </w:r>
      <w:r w:rsidR="003D2CE7">
        <w:t xml:space="preserve"> </w:t>
      </w:r>
      <w:r w:rsidR="002309E7" w:rsidRPr="002309E7">
        <w:t>5,</w:t>
      </w:r>
      <w:r w:rsidR="00BF129B">
        <w:t xml:space="preserve"> art. 49b ust. 2</w:t>
      </w:r>
      <w:r w:rsidR="003D2CE7">
        <w:t>–</w:t>
      </w:r>
      <w:r w:rsidR="00BF129B">
        <w:t>8,</w:t>
      </w:r>
      <w:r w:rsidR="002309E7" w:rsidRPr="002309E7">
        <w:t xml:space="preserve"> art.</w:t>
      </w:r>
      <w:r w:rsidR="003D2CE7">
        <w:t xml:space="preserve"> </w:t>
      </w:r>
      <w:r w:rsidR="002309E7" w:rsidRPr="002309E7">
        <w:t>52 ust. 3 pkt 2, art. 68</w:t>
      </w:r>
      <w:r w:rsidR="000C16E4">
        <w:t xml:space="preserve"> </w:t>
      </w:r>
      <w:r w:rsidR="002309E7" w:rsidRPr="002309E7">
        <w:t xml:space="preserve">oraz art. 73 ust. 3 </w:t>
      </w:r>
      <w:r w:rsidR="00AD14C6">
        <w:t>stosuje się odpowiednio.</w:t>
      </w:r>
    </w:p>
    <w:p w14:paraId="2223AD6F" w14:textId="6D39A555" w:rsidR="00203382" w:rsidRDefault="001A58D6" w:rsidP="00603315">
      <w:pPr>
        <w:pStyle w:val="ZLITUSTzmustliter"/>
      </w:pPr>
      <w:r>
        <w:t>2</w:t>
      </w:r>
      <w:r w:rsidR="00DB7635">
        <w:t>d</w:t>
      </w:r>
      <w:r w:rsidR="00E66AB0">
        <w:t>.</w:t>
      </w:r>
      <w:r w:rsidR="00603315">
        <w:t xml:space="preserve"> </w:t>
      </w:r>
      <w:r>
        <w:t>Przyjmuje się, że</w:t>
      </w:r>
      <w:r w:rsidRPr="001A58D6">
        <w:t xml:space="preserve"> </w:t>
      </w:r>
      <w:r>
        <w:t>jednostka dominująca, która</w:t>
      </w:r>
      <w:r w:rsidRPr="001A58D6">
        <w:t xml:space="preserve"> </w:t>
      </w:r>
      <w:r>
        <w:t>sporządz</w:t>
      </w:r>
      <w:r w:rsidR="00602E2C">
        <w:t>a</w:t>
      </w:r>
      <w:r w:rsidRPr="001A58D6">
        <w:t xml:space="preserve"> oświadczenie</w:t>
      </w:r>
      <w:r>
        <w:t xml:space="preserve"> grupy kapitałowej</w:t>
      </w:r>
      <w:r w:rsidRPr="001A58D6">
        <w:t xml:space="preserve"> na temat informacji niefinansowych </w:t>
      </w:r>
      <w:r w:rsidR="00BF129B">
        <w:t>albo</w:t>
      </w:r>
      <w:r w:rsidR="00BF129B" w:rsidRPr="001A58D6">
        <w:t xml:space="preserve"> </w:t>
      </w:r>
      <w:r w:rsidRPr="001A58D6">
        <w:t>sprawozdanie</w:t>
      </w:r>
      <w:r>
        <w:t xml:space="preserve"> grupy kapitałowej</w:t>
      </w:r>
      <w:r w:rsidRPr="001A58D6">
        <w:t xml:space="preserve"> na temat informacji niefinansowych</w:t>
      </w:r>
      <w:r w:rsidR="00A253AC">
        <w:t xml:space="preserve"> zgodnie z wymogami ustawy</w:t>
      </w:r>
      <w:r>
        <w:t>,</w:t>
      </w:r>
      <w:r w:rsidRPr="001A58D6">
        <w:t xml:space="preserve"> </w:t>
      </w:r>
      <w:r>
        <w:lastRenderedPageBreak/>
        <w:t>spełni</w:t>
      </w:r>
      <w:r w:rsidR="00602E2C">
        <w:t>a</w:t>
      </w:r>
      <w:r w:rsidRPr="001A58D6">
        <w:t xml:space="preserve"> obowiązek</w:t>
      </w:r>
      <w:r w:rsidR="00A253AC" w:rsidRPr="00A253AC">
        <w:t xml:space="preserve"> ujawnienia wskaźników oraz informacji, o których mowa w</w:t>
      </w:r>
      <w:r w:rsidR="000F03F5">
        <w:t> </w:t>
      </w:r>
      <w:r w:rsidRPr="001A58D6">
        <w:t>art.</w:t>
      </w:r>
      <w:r w:rsidR="000F03F5">
        <w:t> </w:t>
      </w:r>
      <w:r w:rsidRPr="001A58D6">
        <w:t>49 ust. 3</w:t>
      </w:r>
      <w:r>
        <w:t xml:space="preserve"> pkt 2</w:t>
      </w:r>
      <w:r w:rsidR="00203382">
        <w:t>.</w:t>
      </w:r>
    </w:p>
    <w:p w14:paraId="15BB2E11" w14:textId="2D3A2B6F" w:rsidR="0099017D" w:rsidRDefault="004425CF" w:rsidP="000F03F5">
      <w:pPr>
        <w:pStyle w:val="ZLITUSTzmustliter"/>
      </w:pPr>
      <w:r>
        <w:t>2</w:t>
      </w:r>
      <w:r w:rsidR="00F46A5A">
        <w:t>e</w:t>
      </w:r>
      <w:r w:rsidR="002D1968">
        <w:t>. Jednostka będąca jednostką dominującą niższego szczebla może nie sporządzać oświadczenia</w:t>
      </w:r>
      <w:r w:rsidR="003C73DE">
        <w:t xml:space="preserve"> grupy kapitałowej</w:t>
      </w:r>
      <w:r w:rsidR="002D1968" w:rsidRPr="00FD058F">
        <w:t xml:space="preserve"> na temat informacji niefinansowych </w:t>
      </w:r>
      <w:r w:rsidR="00BF129B">
        <w:t>albo</w:t>
      </w:r>
      <w:r w:rsidR="00BF129B" w:rsidRPr="00FD058F">
        <w:t xml:space="preserve"> </w:t>
      </w:r>
      <w:r w:rsidR="002D1968">
        <w:t>sprawozdania</w:t>
      </w:r>
      <w:r w:rsidR="003C73DE">
        <w:t xml:space="preserve"> grupy kapitałowej</w:t>
      </w:r>
      <w:r w:rsidR="002D1968" w:rsidRPr="00FD058F">
        <w:t xml:space="preserve"> na temat informacji niefinansowych</w:t>
      </w:r>
      <w:r w:rsidR="002D1968">
        <w:t xml:space="preserve">, </w:t>
      </w:r>
      <w:r w:rsidR="0099017D" w:rsidRPr="00D6560F">
        <w:t xml:space="preserve">jeżeli </w:t>
      </w:r>
      <w:r w:rsidR="00BF129B">
        <w:t xml:space="preserve">jej </w:t>
      </w:r>
      <w:r w:rsidR="0099017D" w:rsidRPr="00D6560F">
        <w:t>jednostka dominująca</w:t>
      </w:r>
      <w:r w:rsidR="002A16DD">
        <w:t xml:space="preserve"> wyższego szczebla</w:t>
      </w:r>
      <w:r w:rsidR="0099017D" w:rsidRPr="00D6560F">
        <w:t xml:space="preserve"> mająca siedzibę lub miejsce sprawowania zarządu na terytorium Europejskiego Obszaru Gospodarczego sporządza </w:t>
      </w:r>
      <w:r w:rsidR="0099017D">
        <w:t>oświadczenie grupy kapitałowej</w:t>
      </w:r>
      <w:r w:rsidR="0099017D" w:rsidRPr="00FD058F">
        <w:t xml:space="preserve"> na temat informacji niefinansowych </w:t>
      </w:r>
      <w:r w:rsidR="00BF129B">
        <w:t>albo</w:t>
      </w:r>
      <w:r w:rsidR="00BF129B" w:rsidRPr="00FD058F">
        <w:t xml:space="preserve"> </w:t>
      </w:r>
      <w:r w:rsidR="0099017D">
        <w:t>sprawozdanie grupy kapitałowej</w:t>
      </w:r>
      <w:r w:rsidR="0099017D" w:rsidRPr="00FD058F">
        <w:t xml:space="preserve"> na temat informacji niefinansowych</w:t>
      </w:r>
      <w:r w:rsidR="0099017D" w:rsidRPr="00D6560F">
        <w:t xml:space="preserve"> </w:t>
      </w:r>
      <w:r w:rsidR="0099017D" w:rsidRPr="00AC5FD4">
        <w:t>zgodnie z</w:t>
      </w:r>
      <w:r w:rsidR="000F03F5">
        <w:t> </w:t>
      </w:r>
      <w:r w:rsidR="0099017D" w:rsidRPr="00AC5FD4">
        <w:t xml:space="preserve">przepisami prawa państwa </w:t>
      </w:r>
      <w:r w:rsidR="00BF129B" w:rsidRPr="00D6560F">
        <w:t>Europejskiego Obszaru Gospodarczego</w:t>
      </w:r>
      <w:r w:rsidR="0099017D" w:rsidRPr="00AC5FD4">
        <w:t>, któremu podlega</w:t>
      </w:r>
      <w:r w:rsidR="0099017D">
        <w:t xml:space="preserve">, i którym to oświadczeniem </w:t>
      </w:r>
      <w:r w:rsidR="00BF129B">
        <w:t xml:space="preserve">albo </w:t>
      </w:r>
      <w:r w:rsidR="0099017D">
        <w:t>sprawozdaniem obejmie tę jednostkę i jej jednostki zależne każdego szczebla.</w:t>
      </w:r>
      <w:r w:rsidR="00E94617" w:rsidRPr="00E94617">
        <w:t xml:space="preserve"> W taki</w:t>
      </w:r>
      <w:r w:rsidR="000F03F5">
        <w:t>m przypadku jednostka ujawnia w </w:t>
      </w:r>
      <w:r w:rsidR="00E94617" w:rsidRPr="00E94617">
        <w:t xml:space="preserve">sprawozdaniu z działalności nazwę i siedzibę </w:t>
      </w:r>
      <w:r w:rsidR="00BF129B">
        <w:t xml:space="preserve">jej </w:t>
      </w:r>
      <w:r w:rsidR="00E94617" w:rsidRPr="00E94617">
        <w:t xml:space="preserve">jednostki dominującej wyższego szczebla, sporządzającej oświadczenie </w:t>
      </w:r>
      <w:r w:rsidR="00BF129B">
        <w:t>albo</w:t>
      </w:r>
      <w:r w:rsidR="00BF129B" w:rsidRPr="00E94617">
        <w:t xml:space="preserve"> </w:t>
      </w:r>
      <w:r w:rsidR="00E94617" w:rsidRPr="00E94617">
        <w:t xml:space="preserve">sprawozdanie grupy kapitałowej na temat informacji </w:t>
      </w:r>
      <w:r w:rsidR="00037C9F">
        <w:t>niefinansowych, które obejmie tę</w:t>
      </w:r>
      <w:r w:rsidR="00E94617" w:rsidRPr="00E94617">
        <w:t xml:space="preserve"> jednostkę i jej jednostki zależne każdego szczebla.</w:t>
      </w:r>
      <w:r w:rsidR="003D2CE7">
        <w:t>”</w:t>
      </w:r>
      <w:r w:rsidR="0099017D">
        <w:t>;</w:t>
      </w:r>
    </w:p>
    <w:p w14:paraId="09D73506" w14:textId="6DA23994" w:rsidR="003C04B7" w:rsidRDefault="0062432E" w:rsidP="005A205E">
      <w:pPr>
        <w:pStyle w:val="PKTpunkt"/>
      </w:pPr>
      <w:r>
        <w:t>11</w:t>
      </w:r>
      <w:r w:rsidR="005A205E" w:rsidRPr="00B71F66">
        <w:t>)</w:t>
      </w:r>
      <w:r w:rsidR="005A205E" w:rsidRPr="00B71F66">
        <w:tab/>
      </w:r>
      <w:r w:rsidR="003C04B7">
        <w:t>w art. 56 w ust. 2a pkt 3 otrzymuje brzmienie:</w:t>
      </w:r>
    </w:p>
    <w:p w14:paraId="09310D89" w14:textId="49150A35" w:rsidR="003C04B7" w:rsidRDefault="003C04B7" w:rsidP="000F03F5">
      <w:pPr>
        <w:pStyle w:val="ZPKTzmpktartykuempunktem"/>
      </w:pPr>
      <w:r w:rsidRPr="003C04B7">
        <w:t>„3)</w:t>
      </w:r>
      <w:r w:rsidR="003D2CE7">
        <w:tab/>
      </w:r>
      <w:r w:rsidRPr="003C04B7">
        <w:t>jednostka dominująca niesporządzająca skonsolidowanego sprawozdania finansowego ujawni w informacji dodatkowej</w:t>
      </w:r>
      <w:r w:rsidR="00402807">
        <w:t xml:space="preserve"> informacje wymienione</w:t>
      </w:r>
      <w:r w:rsidRPr="003C04B7">
        <w:t xml:space="preserve"> </w:t>
      </w:r>
      <w:r w:rsidR="000F03F5">
        <w:t>w </w:t>
      </w:r>
      <w:r w:rsidR="00402807" w:rsidRPr="003C04B7">
        <w:t xml:space="preserve">załączniku nr 1 </w:t>
      </w:r>
      <w:r w:rsidRPr="003C04B7">
        <w:t xml:space="preserve">do ustawy w części </w:t>
      </w:r>
      <w:r w:rsidR="003D2CE7" w:rsidRPr="003C04B7">
        <w:t>„</w:t>
      </w:r>
      <w:r w:rsidRPr="003C04B7">
        <w:t>Dod</w:t>
      </w:r>
      <w:r w:rsidR="00402807">
        <w:t>atkowe informacje i objaśnienia</w:t>
      </w:r>
      <w:r w:rsidR="003D2CE7">
        <w:t>”</w:t>
      </w:r>
      <w:r w:rsidR="00402807">
        <w:t xml:space="preserve"> w</w:t>
      </w:r>
      <w:r w:rsidR="000F03F5">
        <w:t> </w:t>
      </w:r>
      <w:r w:rsidR="00402807">
        <w:t>ust.</w:t>
      </w:r>
      <w:r w:rsidR="000F03F5">
        <w:t> </w:t>
      </w:r>
      <w:r w:rsidR="00402807">
        <w:t>7 pkt 4</w:t>
      </w:r>
      <w:r w:rsidR="00524B3E">
        <w:t>.</w:t>
      </w:r>
      <w:r w:rsidR="003D2CE7">
        <w:t>”</w:t>
      </w:r>
      <w:r>
        <w:t>;</w:t>
      </w:r>
    </w:p>
    <w:p w14:paraId="70A7357E" w14:textId="46F27316" w:rsidR="00712C48" w:rsidRDefault="0062432E" w:rsidP="005A205E">
      <w:pPr>
        <w:pStyle w:val="PKTpunkt"/>
      </w:pPr>
      <w:r>
        <w:t>12</w:t>
      </w:r>
      <w:r w:rsidR="003C04B7" w:rsidRPr="003C04B7">
        <w:t>)</w:t>
      </w:r>
      <w:r w:rsidR="003C04B7" w:rsidRPr="003C04B7">
        <w:tab/>
      </w:r>
      <w:r w:rsidR="005A205E" w:rsidRPr="00B71F66">
        <w:t>w</w:t>
      </w:r>
      <w:r w:rsidR="003D2CE7">
        <w:t xml:space="preserve"> </w:t>
      </w:r>
      <w:r w:rsidR="005A205E" w:rsidRPr="00B71F66">
        <w:t>art.</w:t>
      </w:r>
      <w:r w:rsidR="003D2CE7">
        <w:t xml:space="preserve"> </w:t>
      </w:r>
      <w:r w:rsidR="008D4315">
        <w:t>6</w:t>
      </w:r>
      <w:r w:rsidR="005A205E">
        <w:t>5</w:t>
      </w:r>
      <w:r w:rsidR="00712C48">
        <w:t>:</w:t>
      </w:r>
    </w:p>
    <w:p w14:paraId="386F9451" w14:textId="73631409" w:rsidR="00543FBA" w:rsidRPr="00B71F66" w:rsidRDefault="00712C48" w:rsidP="008171DB">
      <w:pPr>
        <w:pStyle w:val="LITlitera"/>
      </w:pPr>
      <w:r>
        <w:t>a)</w:t>
      </w:r>
      <w:r>
        <w:tab/>
      </w:r>
      <w:r w:rsidR="00E95C41">
        <w:t>w ust. 3</w:t>
      </w:r>
      <w:r w:rsidR="008171DB">
        <w:t xml:space="preserve"> </w:t>
      </w:r>
      <w:r w:rsidR="00543FBA">
        <w:t xml:space="preserve">po pkt 4 </w:t>
      </w:r>
      <w:r w:rsidR="00543FBA" w:rsidRPr="00B71F66">
        <w:t xml:space="preserve">dodaje się </w:t>
      </w:r>
      <w:r w:rsidR="008171DB">
        <w:t>pkt 4a</w:t>
      </w:r>
      <w:r w:rsidR="00543FBA">
        <w:t xml:space="preserve"> </w:t>
      </w:r>
      <w:r w:rsidR="00543FBA" w:rsidRPr="00B71F66">
        <w:t>w</w:t>
      </w:r>
      <w:r w:rsidR="003D2CE7">
        <w:t xml:space="preserve"> </w:t>
      </w:r>
      <w:r w:rsidR="00543FBA" w:rsidRPr="00B71F66">
        <w:t>brzmieniu:</w:t>
      </w:r>
    </w:p>
    <w:p w14:paraId="365E5B91" w14:textId="67288914" w:rsidR="00543FBA" w:rsidRPr="00543FBA" w:rsidRDefault="00543FBA" w:rsidP="000F03F5">
      <w:pPr>
        <w:pStyle w:val="ZLITPKTzmpktliter"/>
      </w:pPr>
      <w:r w:rsidRPr="00B119B3">
        <w:t>„</w:t>
      </w:r>
      <w:r>
        <w:t>4a)</w:t>
      </w:r>
      <w:r w:rsidR="000F03F5">
        <w:tab/>
      </w:r>
      <w:r>
        <w:t>poinformować, czy jednostka, o której mowa w art. 49b ust. 1</w:t>
      </w:r>
      <w:r w:rsidR="00777778">
        <w:t>,</w:t>
      </w:r>
      <w:r>
        <w:t xml:space="preserve"> sporządziła oświadczenie na temat </w:t>
      </w:r>
      <w:r w:rsidRPr="00746352">
        <w:t>informacji niefinansowych</w:t>
      </w:r>
      <w:r>
        <w:t xml:space="preserve"> </w:t>
      </w:r>
      <w:r w:rsidR="00466ACF">
        <w:t xml:space="preserve">albo </w:t>
      </w:r>
      <w:r>
        <w:t xml:space="preserve">sprawozdanie na temat </w:t>
      </w:r>
      <w:r w:rsidRPr="00746352">
        <w:t>informacji niefinansowych</w:t>
      </w:r>
      <w:r w:rsidR="008171DB">
        <w:t>;</w:t>
      </w:r>
      <w:r w:rsidR="003D2CE7">
        <w:t>”</w:t>
      </w:r>
      <w:r w:rsidR="008171DB">
        <w:t>,</w:t>
      </w:r>
    </w:p>
    <w:p w14:paraId="71E8B14F" w14:textId="51AFC14F" w:rsidR="00814DC0" w:rsidRPr="00B71F66" w:rsidRDefault="00712C48" w:rsidP="00712C48">
      <w:pPr>
        <w:pStyle w:val="LITlitera"/>
      </w:pPr>
      <w:r>
        <w:t>b)</w:t>
      </w:r>
      <w:r w:rsidR="00814DC0" w:rsidRPr="00814DC0">
        <w:tab/>
      </w:r>
      <w:r>
        <w:t xml:space="preserve">po ust. 3 </w:t>
      </w:r>
      <w:r w:rsidR="00814DC0">
        <w:t>dodaje się</w:t>
      </w:r>
      <w:r w:rsidR="00814DC0" w:rsidRPr="00814DC0">
        <w:t xml:space="preserve"> ust. 3</w:t>
      </w:r>
      <w:r w:rsidR="00814DC0">
        <w:t>a</w:t>
      </w:r>
      <w:r w:rsidR="00814DC0" w:rsidRPr="00814DC0">
        <w:t xml:space="preserve"> </w:t>
      </w:r>
      <w:r w:rsidR="00814DC0" w:rsidRPr="00B71F66">
        <w:t>w</w:t>
      </w:r>
      <w:r w:rsidR="003D2CE7">
        <w:t xml:space="preserve"> </w:t>
      </w:r>
      <w:r w:rsidR="00814DC0" w:rsidRPr="00B71F66">
        <w:t>brzmieniu:</w:t>
      </w:r>
    </w:p>
    <w:p w14:paraId="3E220ADC" w14:textId="3F6A5FE2" w:rsidR="003B7F8D" w:rsidRDefault="00814DC0" w:rsidP="000F03F5">
      <w:pPr>
        <w:pStyle w:val="ZLITUSTzmustliter"/>
      </w:pPr>
      <w:r w:rsidRPr="00B119B3">
        <w:t>„</w:t>
      </w:r>
      <w:r w:rsidR="0018432A" w:rsidRPr="0018432A">
        <w:t>3a. Przepisów ust. 3 pkt 3 i 4 nie stosuje się do oświadczenia na temat informacji niefinansowych i sprawozdania na temat informacji niefinansowych.</w:t>
      </w:r>
      <w:r w:rsidR="003D2CE7">
        <w:t>”</w:t>
      </w:r>
      <w:r w:rsidR="001A3EE5">
        <w:t>;</w:t>
      </w:r>
    </w:p>
    <w:p w14:paraId="2B19888C" w14:textId="494D0F97" w:rsidR="003710EB" w:rsidRDefault="0062432E" w:rsidP="000061BB">
      <w:pPr>
        <w:pStyle w:val="PKTpunkt"/>
      </w:pPr>
      <w:r>
        <w:t>13</w:t>
      </w:r>
      <w:r w:rsidR="003710EB">
        <w:t>)</w:t>
      </w:r>
      <w:r w:rsidR="000061BB">
        <w:tab/>
      </w:r>
      <w:r w:rsidR="00FF4564">
        <w:t>w</w:t>
      </w:r>
      <w:r w:rsidR="003710EB">
        <w:t xml:space="preserve"> art. 69 dodaje się ust. 5</w:t>
      </w:r>
      <w:r w:rsidR="00FB3642">
        <w:t xml:space="preserve"> </w:t>
      </w:r>
      <w:r w:rsidR="003710EB">
        <w:t>w brzmieniu:</w:t>
      </w:r>
    </w:p>
    <w:p w14:paraId="3A1E3D10" w14:textId="1F2313E8" w:rsidR="00FB3642" w:rsidRDefault="003710EB" w:rsidP="00472EB9">
      <w:pPr>
        <w:pStyle w:val="ZUSTzmustartykuempunktem"/>
      </w:pPr>
      <w:r w:rsidRPr="00B119B3">
        <w:t>„</w:t>
      </w:r>
      <w:r>
        <w:t xml:space="preserve">5. </w:t>
      </w:r>
      <w:r w:rsidR="003E5D3B">
        <w:t>W przypadk</w:t>
      </w:r>
      <w:r w:rsidR="00BF129B">
        <w:t>ach</w:t>
      </w:r>
      <w:r w:rsidR="003E5D3B">
        <w:t>, o który</w:t>
      </w:r>
      <w:r w:rsidR="00BF129B">
        <w:t>ch</w:t>
      </w:r>
      <w:r w:rsidR="003E5D3B">
        <w:t xml:space="preserve"> mowa w art. 49b ust. </w:t>
      </w:r>
      <w:r w:rsidR="00EE554B">
        <w:t>11</w:t>
      </w:r>
      <w:r w:rsidR="00BF129B">
        <w:t xml:space="preserve"> i art. 55 ust. 2e</w:t>
      </w:r>
      <w:r w:rsidR="00ED28A2">
        <w:t>,</w:t>
      </w:r>
      <w:r w:rsidR="00EE554B">
        <w:t xml:space="preserve"> </w:t>
      </w:r>
      <w:r w:rsidR="003E5D3B">
        <w:t>k</w:t>
      </w:r>
      <w:r>
        <w:t>ierownik jednostki</w:t>
      </w:r>
      <w:r w:rsidR="003D2CE7">
        <w:t xml:space="preserve"> </w:t>
      </w:r>
      <w:r w:rsidR="00EC7A04">
        <w:t>zamieszcza na</w:t>
      </w:r>
      <w:r w:rsidR="00DE65E2">
        <w:t xml:space="preserve"> stronie internetowej</w:t>
      </w:r>
      <w:r w:rsidR="00CD405C">
        <w:t xml:space="preserve"> tej</w:t>
      </w:r>
      <w:r w:rsidR="00DE65E2">
        <w:t xml:space="preserve"> jednostki</w:t>
      </w:r>
      <w:r w:rsidR="004D4843">
        <w:t xml:space="preserve"> </w:t>
      </w:r>
      <w:r w:rsidR="003D2CE7">
        <w:t>–</w:t>
      </w:r>
      <w:r w:rsidR="00472EB9">
        <w:t xml:space="preserve"> </w:t>
      </w:r>
      <w:r w:rsidR="00472EB9" w:rsidRPr="00472EB9">
        <w:t>przetłumaczone na język polski przez tłumacza przysięgłego</w:t>
      </w:r>
      <w:r w:rsidR="004D4843">
        <w:t xml:space="preserve"> </w:t>
      </w:r>
      <w:r w:rsidR="003D2CE7">
        <w:t>–</w:t>
      </w:r>
      <w:r w:rsidR="00472EB9" w:rsidRPr="00472EB9">
        <w:t xml:space="preserve"> oświadczenie grupy kapitałowej na temat </w:t>
      </w:r>
      <w:r w:rsidR="00472EB9" w:rsidRPr="00472EB9">
        <w:lastRenderedPageBreak/>
        <w:t xml:space="preserve">informacji niefinansowych </w:t>
      </w:r>
      <w:r w:rsidR="00BF129B">
        <w:t>albo</w:t>
      </w:r>
      <w:r w:rsidR="00BF129B" w:rsidRPr="00472EB9">
        <w:t xml:space="preserve"> </w:t>
      </w:r>
      <w:r w:rsidR="00472EB9" w:rsidRPr="00472EB9">
        <w:t>sprawozdanie grupy kapitałowej na temat informacji niefinansowych</w:t>
      </w:r>
      <w:r w:rsidR="004D4843">
        <w:t xml:space="preserve"> </w:t>
      </w:r>
      <w:r w:rsidR="008030D4">
        <w:t>sporządzone</w:t>
      </w:r>
      <w:r w:rsidR="004D4843">
        <w:t xml:space="preserve"> przez</w:t>
      </w:r>
      <w:r w:rsidR="00F94F8F">
        <w:t xml:space="preserve"> </w:t>
      </w:r>
      <w:r w:rsidR="00472EB9">
        <w:t>jednostk</w:t>
      </w:r>
      <w:r w:rsidR="004D4843">
        <w:t>ę</w:t>
      </w:r>
      <w:r w:rsidR="00472EB9">
        <w:t xml:space="preserve"> dominując</w:t>
      </w:r>
      <w:r w:rsidR="004D4843">
        <w:t>ą</w:t>
      </w:r>
      <w:r w:rsidR="00466ACF">
        <w:t xml:space="preserve"> wyższego szczebla</w:t>
      </w:r>
      <w:r w:rsidR="00E36A47">
        <w:t xml:space="preserve">, w ciągu 30 dni </w:t>
      </w:r>
      <w:r w:rsidR="00F94F8F" w:rsidRPr="00F94F8F">
        <w:t>od dnia</w:t>
      </w:r>
      <w:r w:rsidR="00F94F8F">
        <w:t xml:space="preserve"> jego</w:t>
      </w:r>
      <w:r w:rsidR="00F94F8F" w:rsidRPr="00F94F8F">
        <w:t xml:space="preserve"> zatwierdzenia, nie później niż w ciągu 12 miesięcy od dnia bilansowego</w:t>
      </w:r>
      <w:r w:rsidR="00F94F8F">
        <w:t xml:space="preserve"> tej</w:t>
      </w:r>
      <w:r w:rsidR="00F94F8F" w:rsidRPr="00F94F8F">
        <w:t xml:space="preserve"> jednostki dominującej</w:t>
      </w:r>
      <w:r w:rsidR="00F94F8F">
        <w:t>.</w:t>
      </w:r>
      <w:r w:rsidR="003D2CE7">
        <w:t>”</w:t>
      </w:r>
      <w:r w:rsidR="00BF7458">
        <w:t>;</w:t>
      </w:r>
      <w:r w:rsidR="00F848FF">
        <w:t xml:space="preserve"> </w:t>
      </w:r>
    </w:p>
    <w:p w14:paraId="3A8D3AD5" w14:textId="6157B73A" w:rsidR="00FB3642" w:rsidRDefault="0062432E" w:rsidP="00FF4564">
      <w:pPr>
        <w:pStyle w:val="PKTpunkt"/>
      </w:pPr>
      <w:r>
        <w:t>14</w:t>
      </w:r>
      <w:r w:rsidR="00FF4564">
        <w:t>)</w:t>
      </w:r>
      <w:r w:rsidR="00FF4564">
        <w:tab/>
        <w:t>w art. 73</w:t>
      </w:r>
      <w:r w:rsidR="0004037B">
        <w:t xml:space="preserve"> ust. 2 </w:t>
      </w:r>
      <w:r w:rsidR="002A07AE">
        <w:t xml:space="preserve">otrzymuje </w:t>
      </w:r>
      <w:r w:rsidR="00512AD5">
        <w:t>brzmienie:</w:t>
      </w:r>
    </w:p>
    <w:p w14:paraId="0C97B9F3" w14:textId="0D32030F" w:rsidR="00730EC1" w:rsidRDefault="0004037B" w:rsidP="00F156CE">
      <w:pPr>
        <w:pStyle w:val="ZUSTzmustartykuempunktem"/>
      </w:pPr>
      <w:r w:rsidRPr="00B119B3">
        <w:t>„</w:t>
      </w:r>
      <w:r w:rsidR="00195DF5">
        <w:t>2.</w:t>
      </w:r>
      <w:r w:rsidR="00195DF5" w:rsidRPr="00195DF5">
        <w:t xml:space="preserve"> Z wyłączeniem dokumentów dotyczących przeniesienia praw majątkowych</w:t>
      </w:r>
      <w:r w:rsidR="00195DF5">
        <w:t xml:space="preserve"> </w:t>
      </w:r>
      <w:r w:rsidR="00195DF5" w:rsidRPr="00195DF5">
        <w:t>do nieruchomości, powierzenia odpowiedzialności za składniki aktywów, znaczących umów i innych ważnych dokumentów określonych przez kierownika</w:t>
      </w:r>
      <w:r w:rsidR="00195DF5">
        <w:t xml:space="preserve"> </w:t>
      </w:r>
      <w:r w:rsidR="00195DF5" w:rsidRPr="00195DF5">
        <w:t>jednostki, treść dowodów księgowych</w:t>
      </w:r>
      <w:r w:rsidR="00195DF5">
        <w:t xml:space="preserve"> </w:t>
      </w:r>
      <w:r w:rsidR="00195DF5" w:rsidRPr="00195DF5">
        <w:t>może być przeniesiona na informatyczne nośniki danych, pozwalające zachować w</w:t>
      </w:r>
      <w:r w:rsidR="00195DF5">
        <w:t xml:space="preserve"> </w:t>
      </w:r>
      <w:r w:rsidR="00195DF5" w:rsidRPr="00195DF5">
        <w:t>trwałej</w:t>
      </w:r>
      <w:r w:rsidR="005C17CA">
        <w:t xml:space="preserve"> i niezmienionej</w:t>
      </w:r>
      <w:r w:rsidR="00195DF5" w:rsidRPr="00195DF5">
        <w:t xml:space="preserve"> postaci zawartość dowodów. Warunkiem stosowania tej metody</w:t>
      </w:r>
      <w:r w:rsidR="00195DF5">
        <w:t xml:space="preserve"> </w:t>
      </w:r>
      <w:r w:rsidR="00195DF5" w:rsidRPr="00195DF5">
        <w:t>przechowywania danych jest posiadanie urządzeń pozwalających na odtworzenie</w:t>
      </w:r>
      <w:r w:rsidR="00195DF5">
        <w:t xml:space="preserve"> </w:t>
      </w:r>
      <w:r w:rsidR="00195DF5" w:rsidRPr="00195DF5">
        <w:t>dowodów w postaci wydruku, o ile inne przepisy nie stanowią inaczej</w:t>
      </w:r>
      <w:r w:rsidR="00BF7458" w:rsidRPr="00195DF5">
        <w:t>.</w:t>
      </w:r>
      <w:r w:rsidR="00EE554B" w:rsidRPr="00EE554B">
        <w:t xml:space="preserve"> </w:t>
      </w:r>
      <w:r w:rsidR="00EE554B" w:rsidRPr="00EE554B">
        <w:rPr>
          <w:lang w:eastAsia="en-US"/>
        </w:rPr>
        <w:t>Wydruk jest dowodem rów</w:t>
      </w:r>
      <w:r w:rsidR="000F03F5">
        <w:rPr>
          <w:lang w:eastAsia="en-US"/>
        </w:rPr>
        <w:t>noważnym dowodowi księgowemu, z </w:t>
      </w:r>
      <w:r w:rsidR="00EE554B" w:rsidRPr="00EE554B">
        <w:rPr>
          <w:lang w:eastAsia="en-US"/>
        </w:rPr>
        <w:t>którego treść została przeniesiona na informatyczny nośnik danych.</w:t>
      </w:r>
      <w:r w:rsidR="00CD5620" w:rsidRPr="0069126E">
        <w:t>”</w:t>
      </w:r>
      <w:r w:rsidR="00730EC1">
        <w:t>;</w:t>
      </w:r>
    </w:p>
    <w:p w14:paraId="365BC13D" w14:textId="38D39E89" w:rsidR="00730EC1" w:rsidRPr="00730EC1" w:rsidRDefault="0062432E" w:rsidP="00730EC1">
      <w:pPr>
        <w:pStyle w:val="PKTpunkt"/>
      </w:pPr>
      <w:r>
        <w:t>1</w:t>
      </w:r>
      <w:r w:rsidR="00533A42">
        <w:t>5</w:t>
      </w:r>
      <w:r w:rsidR="00730EC1">
        <w:t>)</w:t>
      </w:r>
      <w:r w:rsidR="00730EC1">
        <w:tab/>
      </w:r>
      <w:r w:rsidR="00730EC1" w:rsidRPr="00730EC1">
        <w:t>w art. 7</w:t>
      </w:r>
      <w:r w:rsidR="000C1324">
        <w:t xml:space="preserve">9 </w:t>
      </w:r>
      <w:r w:rsidR="009267A5">
        <w:t xml:space="preserve">po pkt 4 dodaje się </w:t>
      </w:r>
      <w:r w:rsidR="000C1324">
        <w:t>pkt</w:t>
      </w:r>
      <w:r w:rsidR="00730EC1" w:rsidRPr="00730EC1">
        <w:t xml:space="preserve"> </w:t>
      </w:r>
      <w:r w:rsidR="001F55BC">
        <w:t>4</w:t>
      </w:r>
      <w:r w:rsidR="009267A5">
        <w:t>a</w:t>
      </w:r>
      <w:r w:rsidR="005372C5">
        <w:t xml:space="preserve"> </w:t>
      </w:r>
      <w:r w:rsidR="009267A5">
        <w:t>w brzmieniu</w:t>
      </w:r>
      <w:r w:rsidR="00730EC1" w:rsidRPr="00730EC1">
        <w:t>:</w:t>
      </w:r>
    </w:p>
    <w:p w14:paraId="7387EE56" w14:textId="2E9808AA" w:rsidR="00E0484A" w:rsidRDefault="000C1324" w:rsidP="000F03F5">
      <w:pPr>
        <w:pStyle w:val="ZPKTzmpktartykuempunktem"/>
      </w:pPr>
      <w:r w:rsidRPr="000C1324">
        <w:t>„4</w:t>
      </w:r>
      <w:r w:rsidR="009267A5">
        <w:t>a</w:t>
      </w:r>
      <w:r w:rsidRPr="000C1324">
        <w:t>)</w:t>
      </w:r>
      <w:r w:rsidR="005763EF">
        <w:tab/>
      </w:r>
      <w:r w:rsidR="009267A5">
        <w:t xml:space="preserve">nie zamieszcza na </w:t>
      </w:r>
      <w:r w:rsidR="009267A5" w:rsidRPr="000F03F5">
        <w:t>stronie</w:t>
      </w:r>
      <w:r w:rsidR="009267A5">
        <w:t xml:space="preserve"> internetowej </w:t>
      </w:r>
      <w:r w:rsidR="00CD405C">
        <w:t xml:space="preserve">jednostki </w:t>
      </w:r>
      <w:r w:rsidR="00326E55">
        <w:t>dokumentów</w:t>
      </w:r>
      <w:r w:rsidR="009267A5">
        <w:t>,</w:t>
      </w:r>
      <w:r w:rsidR="009267A5" w:rsidRPr="009267A5">
        <w:t xml:space="preserve"> </w:t>
      </w:r>
      <w:r w:rsidR="00326E55">
        <w:t>o których mowa w</w:t>
      </w:r>
      <w:r w:rsidR="000F03F5">
        <w:t> </w:t>
      </w:r>
      <w:r w:rsidR="000A6038">
        <w:t>art. 49b ust. 9, art. 55 ust. 2c oraz</w:t>
      </w:r>
      <w:r w:rsidR="00326E55">
        <w:t xml:space="preserve"> art. 69 ust. 5</w:t>
      </w:r>
      <w:r w:rsidR="00844BB8">
        <w:t>;</w:t>
      </w:r>
      <w:r w:rsidRPr="000C1324">
        <w:t>”</w:t>
      </w:r>
      <w:r w:rsidR="00191FFF">
        <w:t>;</w:t>
      </w:r>
    </w:p>
    <w:p w14:paraId="05FAA933" w14:textId="1F761BFA" w:rsidR="0069126E" w:rsidRPr="0069126E" w:rsidRDefault="0062432E" w:rsidP="00E0484A">
      <w:pPr>
        <w:pStyle w:val="PKTpunkt"/>
      </w:pPr>
      <w:r>
        <w:t>1</w:t>
      </w:r>
      <w:r w:rsidR="00533A42">
        <w:t>6</w:t>
      </w:r>
      <w:r w:rsidR="000F03F5">
        <w:t>)</w:t>
      </w:r>
      <w:r w:rsidR="000F03F5">
        <w:tab/>
      </w:r>
      <w:r w:rsidR="0069126E" w:rsidRPr="0069126E">
        <w:t>w załączniku nr 2 do ustawy:</w:t>
      </w:r>
    </w:p>
    <w:p w14:paraId="4E95FB37" w14:textId="62DC8BD8" w:rsidR="0069126E" w:rsidRPr="0069126E" w:rsidRDefault="000F03F5" w:rsidP="001A64CA">
      <w:pPr>
        <w:pStyle w:val="LITlitera"/>
      </w:pPr>
      <w:r>
        <w:t>a)</w:t>
      </w:r>
      <w:r>
        <w:tab/>
      </w:r>
      <w:r w:rsidR="001A64CA">
        <w:t xml:space="preserve">w części „Bilans” </w:t>
      </w:r>
      <w:r w:rsidR="0069126E" w:rsidRPr="0069126E">
        <w:t xml:space="preserve">w „Pasywa” </w:t>
      </w:r>
      <w:r w:rsidR="00CD5620" w:rsidRPr="0069126E">
        <w:t>„</w:t>
      </w:r>
      <w:r w:rsidR="0069126E" w:rsidRPr="0069126E">
        <w:t>IX</w:t>
      </w:r>
      <w:r w:rsidR="00777778">
        <w:t>.</w:t>
      </w:r>
      <w:r w:rsidR="0069126E" w:rsidRPr="0069126E">
        <w:t xml:space="preserve"> </w:t>
      </w:r>
      <w:r w:rsidR="00777778">
        <w:t>Koszty i przychody rozliczane w czasie</w:t>
      </w:r>
      <w:r w:rsidR="00CD5620" w:rsidRPr="0069126E">
        <w:t>”</w:t>
      </w:r>
      <w:r w:rsidR="00CD5620">
        <w:t xml:space="preserve"> </w:t>
      </w:r>
      <w:r w:rsidR="0069126E" w:rsidRPr="0069126E">
        <w:t>otrzymuje brzmienie:</w:t>
      </w:r>
    </w:p>
    <w:p w14:paraId="6AD34CD0" w14:textId="278CCDAA" w:rsidR="0069126E" w:rsidRPr="0069126E" w:rsidRDefault="0069126E" w:rsidP="000F03F5">
      <w:pPr>
        <w:pStyle w:val="ZLITFRAGzmlitfragmentunpzdanialiter"/>
      </w:pPr>
      <w:r>
        <w:t>,,</w:t>
      </w:r>
      <w:r w:rsidRPr="0069126E">
        <w:t>IX. Koszty i przychody rozliczane w czasie</w:t>
      </w:r>
    </w:p>
    <w:p w14:paraId="4736AD9D" w14:textId="77777777" w:rsidR="0069126E" w:rsidRPr="0069126E" w:rsidRDefault="0069126E" w:rsidP="000F03F5">
      <w:pPr>
        <w:pStyle w:val="ZLITFRAGzmlitfragmentunpzdanialiter"/>
      </w:pPr>
      <w:r w:rsidRPr="0069126E">
        <w:t>1. Rozliczenia międzyokresowe kosztów</w:t>
      </w:r>
    </w:p>
    <w:p w14:paraId="17AF4903" w14:textId="77777777" w:rsidR="0069126E" w:rsidRPr="0069126E" w:rsidRDefault="0069126E" w:rsidP="000F03F5">
      <w:pPr>
        <w:pStyle w:val="ZLITFRAGzmlitfragmentunpzdanialiter"/>
      </w:pPr>
      <w:r w:rsidRPr="0069126E">
        <w:t>2. Ujemna wartość firmy</w:t>
      </w:r>
    </w:p>
    <w:p w14:paraId="3A90BDEC" w14:textId="3F6362BC" w:rsidR="0069126E" w:rsidRPr="0069126E" w:rsidRDefault="0069126E" w:rsidP="000F03F5">
      <w:pPr>
        <w:pStyle w:val="ZLITFRAGzmlitfragmentunpzdanialiter"/>
      </w:pPr>
      <w:r w:rsidRPr="0069126E">
        <w:t>3. Pozostałe rozlic</w:t>
      </w:r>
      <w:r>
        <w:t>zenia międzyokresowe przychodów</w:t>
      </w:r>
      <w:r w:rsidR="00CD5620" w:rsidRPr="0069126E">
        <w:t>”</w:t>
      </w:r>
      <w:r>
        <w:t>,</w:t>
      </w:r>
    </w:p>
    <w:p w14:paraId="7FA7A5EE" w14:textId="45C6BCA4" w:rsidR="0069126E" w:rsidRPr="0069126E" w:rsidRDefault="000F03F5" w:rsidP="000F03F5">
      <w:pPr>
        <w:pStyle w:val="LITlitera"/>
      </w:pPr>
      <w:r>
        <w:t>b)</w:t>
      </w:r>
      <w:r>
        <w:tab/>
      </w:r>
      <w:r w:rsidR="0069126E" w:rsidRPr="0069126E">
        <w:t xml:space="preserve">w części „Rachunek przepływów </w:t>
      </w:r>
      <w:r w:rsidR="001A64CA">
        <w:t xml:space="preserve">pieniężnych (metoda pośrednia)” </w:t>
      </w:r>
      <w:r w:rsidR="0069126E" w:rsidRPr="0069126E">
        <w:t>w</w:t>
      </w:r>
      <w:r>
        <w:t> „A. </w:t>
      </w:r>
      <w:r w:rsidR="0069126E" w:rsidRPr="0069126E">
        <w:t xml:space="preserve">Przepływy środków </w:t>
      </w:r>
      <w:r w:rsidR="0069126E" w:rsidRPr="00E0484A">
        <w:t>pieniężnych</w:t>
      </w:r>
      <w:r w:rsidR="0069126E" w:rsidRPr="0069126E">
        <w:t xml:space="preserve"> z działalności operacyjnej” </w:t>
      </w:r>
      <w:r w:rsidR="00A87C46">
        <w:t xml:space="preserve">w </w:t>
      </w:r>
      <w:r w:rsidR="00CD5620" w:rsidRPr="0069126E">
        <w:t>„</w:t>
      </w:r>
      <w:r w:rsidR="0069126E" w:rsidRPr="0069126E">
        <w:t>II.</w:t>
      </w:r>
      <w:r w:rsidR="001A64CA">
        <w:t xml:space="preserve"> Korekty razem</w:t>
      </w:r>
      <w:r w:rsidR="003D2CE7">
        <w:t>”</w:t>
      </w:r>
      <w:r w:rsidR="001A64CA">
        <w:t xml:space="preserve"> poz. </w:t>
      </w:r>
      <w:r w:rsidR="0069126E" w:rsidRPr="0069126E">
        <w:t>17 otrzymuje brzmienie:</w:t>
      </w:r>
    </w:p>
    <w:p w14:paraId="56CAC868" w14:textId="1B98B039" w:rsidR="00191FFF" w:rsidRDefault="0069126E" w:rsidP="000F03F5">
      <w:pPr>
        <w:pStyle w:val="ZLITFRAGzmlitfragmentunpzdanialiter"/>
      </w:pPr>
      <w:r>
        <w:t>,,</w:t>
      </w:r>
      <w:r w:rsidRPr="0069126E">
        <w:t>17. Zmiana stanu rozliczeń</w:t>
      </w:r>
      <w:r>
        <w:t xml:space="preserve"> międzyokresowych przychodów</w:t>
      </w:r>
      <w:r w:rsidR="00CD5620" w:rsidRPr="0069126E">
        <w:t>”</w:t>
      </w:r>
      <w:r>
        <w:t>;</w:t>
      </w:r>
    </w:p>
    <w:p w14:paraId="039E7541" w14:textId="4994083E" w:rsidR="009F42D4" w:rsidRPr="009F42D4" w:rsidRDefault="0062432E" w:rsidP="009F42D4">
      <w:pPr>
        <w:pStyle w:val="PKTpunkt"/>
      </w:pPr>
      <w:r>
        <w:t>1</w:t>
      </w:r>
      <w:r w:rsidR="00533A42">
        <w:t>7</w:t>
      </w:r>
      <w:r w:rsidR="009F42D4">
        <w:t>)</w:t>
      </w:r>
      <w:r w:rsidR="000F03F5">
        <w:tab/>
      </w:r>
      <w:r w:rsidR="009F42D4">
        <w:t>dodaje się załącznik nr 6 do ustawy w brzmieniu określonym w załączniku do niniejszej ustawy.</w:t>
      </w:r>
    </w:p>
    <w:p w14:paraId="24D6E091" w14:textId="2D96A6DA" w:rsidR="0018432A" w:rsidRDefault="00CC6278" w:rsidP="0018432A">
      <w:pPr>
        <w:pStyle w:val="ARTartustawynprozporzdzenia"/>
      </w:pPr>
      <w:r w:rsidRPr="00CC6278">
        <w:rPr>
          <w:rStyle w:val="Ppogrubienie"/>
        </w:rPr>
        <w:t>Art.</w:t>
      </w:r>
      <w:r w:rsidR="000F03F5">
        <w:rPr>
          <w:rStyle w:val="Ppogrubienie"/>
        </w:rPr>
        <w:t> </w:t>
      </w:r>
      <w:r w:rsidRPr="00CC6278">
        <w:rPr>
          <w:rStyle w:val="Ppogrubienie"/>
        </w:rPr>
        <w:t>2.</w:t>
      </w:r>
      <w:r w:rsidR="000F03F5">
        <w:rPr>
          <w:rStyle w:val="Ppogrubienie"/>
        </w:rPr>
        <w:t> </w:t>
      </w:r>
      <w:r w:rsidR="0018432A" w:rsidRPr="0018432A">
        <w:t>1.</w:t>
      </w:r>
      <w:r w:rsidR="000F03F5">
        <w:t> </w:t>
      </w:r>
      <w:r w:rsidR="0018432A" w:rsidRPr="0018432A">
        <w:t xml:space="preserve">W </w:t>
      </w:r>
      <w:r w:rsidR="002667F3">
        <w:t>latach</w:t>
      </w:r>
      <w:r w:rsidR="0018432A" w:rsidRPr="0018432A">
        <w:t xml:space="preserve"> 201</w:t>
      </w:r>
      <w:r w:rsidR="002667F3">
        <w:t>6</w:t>
      </w:r>
      <w:r w:rsidR="003D2CE7">
        <w:t>–</w:t>
      </w:r>
      <w:r w:rsidR="002667F3">
        <w:t xml:space="preserve">2025 </w:t>
      </w:r>
      <w:r w:rsidR="0018432A" w:rsidRPr="0018432A">
        <w:t>maksymalny limit wydatków budżetu państwa będący skutkiem finansowym ustawy wynosi 0,</w:t>
      </w:r>
      <w:r w:rsidR="0018432A">
        <w:t>1</w:t>
      </w:r>
      <w:r w:rsidR="0018432A" w:rsidRPr="0018432A">
        <w:t xml:space="preserve"> mln zł</w:t>
      </w:r>
      <w:r w:rsidR="002667F3">
        <w:t>, z tym że w:</w:t>
      </w:r>
    </w:p>
    <w:p w14:paraId="7424C39B" w14:textId="78A8B68C" w:rsidR="002667F3" w:rsidRDefault="000F03F5" w:rsidP="000F03F5">
      <w:pPr>
        <w:pStyle w:val="PKTpunkt"/>
      </w:pPr>
      <w:r>
        <w:t>1)</w:t>
      </w:r>
      <w:r>
        <w:tab/>
      </w:r>
      <w:r w:rsidR="002667F3">
        <w:t xml:space="preserve">2016 r. </w:t>
      </w:r>
      <w:r w:rsidR="003D2CE7">
        <w:t>–</w:t>
      </w:r>
      <w:r w:rsidR="002667F3">
        <w:t xml:space="preserve"> 0 zł;</w:t>
      </w:r>
    </w:p>
    <w:p w14:paraId="41710825" w14:textId="064BEA63" w:rsidR="002667F3" w:rsidRDefault="000F03F5" w:rsidP="000F03F5">
      <w:pPr>
        <w:pStyle w:val="PKTpunkt"/>
      </w:pPr>
      <w:r>
        <w:lastRenderedPageBreak/>
        <w:t>2)</w:t>
      </w:r>
      <w:r>
        <w:tab/>
      </w:r>
      <w:r w:rsidR="002667F3">
        <w:t xml:space="preserve">2017 r. </w:t>
      </w:r>
      <w:r w:rsidR="003D2CE7">
        <w:t>–</w:t>
      </w:r>
      <w:r w:rsidR="002667F3">
        <w:t xml:space="preserve"> 0,1 mln zł;</w:t>
      </w:r>
    </w:p>
    <w:p w14:paraId="69C6C1D0" w14:textId="19581064" w:rsidR="002667F3" w:rsidRDefault="000F03F5" w:rsidP="000F03F5">
      <w:pPr>
        <w:pStyle w:val="PKTpunkt"/>
      </w:pPr>
      <w:r>
        <w:t>3)</w:t>
      </w:r>
      <w:r>
        <w:tab/>
      </w:r>
      <w:r w:rsidR="002667F3">
        <w:t xml:space="preserve">2018 r. </w:t>
      </w:r>
      <w:r w:rsidR="003D2CE7">
        <w:t>–</w:t>
      </w:r>
      <w:r w:rsidR="002667F3">
        <w:t xml:space="preserve"> 0 zł;</w:t>
      </w:r>
    </w:p>
    <w:p w14:paraId="404BC49F" w14:textId="11647491" w:rsidR="002667F3" w:rsidRDefault="000F03F5" w:rsidP="000F03F5">
      <w:pPr>
        <w:pStyle w:val="PKTpunkt"/>
      </w:pPr>
      <w:r>
        <w:t>4)</w:t>
      </w:r>
      <w:r>
        <w:tab/>
      </w:r>
      <w:r w:rsidR="002667F3">
        <w:t xml:space="preserve">2019 r. </w:t>
      </w:r>
      <w:r w:rsidR="003D2CE7">
        <w:t>–</w:t>
      </w:r>
      <w:r w:rsidR="002667F3">
        <w:t xml:space="preserve"> 0 zł;</w:t>
      </w:r>
    </w:p>
    <w:p w14:paraId="18AE1520" w14:textId="2D6F3209" w:rsidR="002667F3" w:rsidRDefault="000F03F5" w:rsidP="000F03F5">
      <w:pPr>
        <w:pStyle w:val="PKTpunkt"/>
      </w:pPr>
      <w:r>
        <w:t>5)</w:t>
      </w:r>
      <w:r>
        <w:tab/>
      </w:r>
      <w:r w:rsidR="002667F3">
        <w:t xml:space="preserve">2020 r. </w:t>
      </w:r>
      <w:r w:rsidR="003D2CE7">
        <w:t>–</w:t>
      </w:r>
      <w:r w:rsidR="002667F3">
        <w:t xml:space="preserve"> 0 zł;</w:t>
      </w:r>
    </w:p>
    <w:p w14:paraId="0B0E93E2" w14:textId="7EA3905B" w:rsidR="002667F3" w:rsidRDefault="000F03F5" w:rsidP="000F03F5">
      <w:pPr>
        <w:pStyle w:val="PKTpunkt"/>
      </w:pPr>
      <w:r>
        <w:t>6)</w:t>
      </w:r>
      <w:r>
        <w:tab/>
      </w:r>
      <w:r w:rsidR="002667F3">
        <w:t xml:space="preserve">2021 r. </w:t>
      </w:r>
      <w:r w:rsidR="003D2CE7">
        <w:t>–</w:t>
      </w:r>
      <w:r w:rsidR="002667F3">
        <w:t xml:space="preserve"> 0 zł;</w:t>
      </w:r>
    </w:p>
    <w:p w14:paraId="25DACB02" w14:textId="7F5614EE" w:rsidR="002667F3" w:rsidRDefault="000F03F5" w:rsidP="000F03F5">
      <w:pPr>
        <w:pStyle w:val="PKTpunkt"/>
      </w:pPr>
      <w:r>
        <w:t>7)</w:t>
      </w:r>
      <w:r>
        <w:tab/>
      </w:r>
      <w:r w:rsidR="002667F3">
        <w:t xml:space="preserve">2022 r. </w:t>
      </w:r>
      <w:r w:rsidR="003D2CE7">
        <w:t xml:space="preserve">– </w:t>
      </w:r>
      <w:r w:rsidR="002667F3">
        <w:t>0 zł;</w:t>
      </w:r>
    </w:p>
    <w:p w14:paraId="1E8E3145" w14:textId="7C6F8C6E" w:rsidR="002667F3" w:rsidRDefault="000F03F5" w:rsidP="000F03F5">
      <w:pPr>
        <w:pStyle w:val="PKTpunkt"/>
      </w:pPr>
      <w:r>
        <w:t>8)</w:t>
      </w:r>
      <w:r>
        <w:tab/>
      </w:r>
      <w:r w:rsidR="002667F3">
        <w:t xml:space="preserve">2023 r. </w:t>
      </w:r>
      <w:r w:rsidR="003D2CE7">
        <w:t>–</w:t>
      </w:r>
      <w:r w:rsidR="002667F3">
        <w:t xml:space="preserve"> 0 zł;</w:t>
      </w:r>
    </w:p>
    <w:p w14:paraId="755AEDC8" w14:textId="76A87DC9" w:rsidR="002667F3" w:rsidRDefault="000F03F5" w:rsidP="000F03F5">
      <w:pPr>
        <w:pStyle w:val="PKTpunkt"/>
      </w:pPr>
      <w:r>
        <w:t>9)</w:t>
      </w:r>
      <w:r>
        <w:tab/>
      </w:r>
      <w:r w:rsidR="002667F3">
        <w:t xml:space="preserve">2024 r. </w:t>
      </w:r>
      <w:r w:rsidR="003D2CE7">
        <w:t>–</w:t>
      </w:r>
      <w:r w:rsidR="002667F3">
        <w:t xml:space="preserve"> 0 zł;</w:t>
      </w:r>
    </w:p>
    <w:p w14:paraId="1D84CE41" w14:textId="330677C8" w:rsidR="002667F3" w:rsidRPr="0018432A" w:rsidRDefault="002667F3" w:rsidP="000F03F5">
      <w:pPr>
        <w:pStyle w:val="PKTpunkt"/>
      </w:pPr>
      <w:r>
        <w:t>10)</w:t>
      </w:r>
      <w:r w:rsidR="000F03F5">
        <w:tab/>
      </w:r>
      <w:r>
        <w:t xml:space="preserve">2025 r. </w:t>
      </w:r>
      <w:r w:rsidR="003D2CE7">
        <w:t>–</w:t>
      </w:r>
      <w:r>
        <w:t xml:space="preserve"> 0 zł</w:t>
      </w:r>
      <w:r w:rsidR="000C724D">
        <w:t>.</w:t>
      </w:r>
    </w:p>
    <w:p w14:paraId="3724785D" w14:textId="47D44C90" w:rsidR="0018432A" w:rsidRPr="0018432A" w:rsidRDefault="000F03F5" w:rsidP="00A13798">
      <w:pPr>
        <w:pStyle w:val="USTustnpkodeksu"/>
      </w:pPr>
      <w:r>
        <w:t>2. </w:t>
      </w:r>
      <w:r w:rsidR="0018432A" w:rsidRPr="0018432A">
        <w:t xml:space="preserve">W przypadku zagrożenia przekroczenia przyjętego </w:t>
      </w:r>
      <w:r w:rsidR="005B1867">
        <w:t xml:space="preserve">w 2017 roku </w:t>
      </w:r>
      <w:r w:rsidR="0018432A" w:rsidRPr="0018432A">
        <w:t>maksymalnego limitu wydatków, o którym mowa w ust. 1, zostan</w:t>
      </w:r>
      <w:r w:rsidR="00A87C46">
        <w:t>ie</w:t>
      </w:r>
      <w:r w:rsidR="0018432A" w:rsidRPr="0018432A">
        <w:t xml:space="preserve"> zastosowan</w:t>
      </w:r>
      <w:r w:rsidR="00A87C46">
        <w:t>y</w:t>
      </w:r>
      <w:r w:rsidR="0018432A" w:rsidRPr="0018432A">
        <w:t xml:space="preserve"> mechanizm korygując</w:t>
      </w:r>
      <w:r w:rsidR="00A87C46">
        <w:t>y</w:t>
      </w:r>
      <w:r w:rsidR="0018432A" w:rsidRPr="0018432A">
        <w:t xml:space="preserve"> polegając</w:t>
      </w:r>
      <w:r w:rsidR="00A87C46">
        <w:t>y</w:t>
      </w:r>
      <w:r w:rsidR="0018432A" w:rsidRPr="0018432A">
        <w:t xml:space="preserve"> na</w:t>
      </w:r>
      <w:r w:rsidR="00A13798">
        <w:t xml:space="preserve"> </w:t>
      </w:r>
      <w:r w:rsidR="0018432A">
        <w:t>obniżeniu kosztów funkcjonowania systemu</w:t>
      </w:r>
      <w:r w:rsidR="005154B6">
        <w:t xml:space="preserve"> sprawozdań merytorycznych i finansowych organizacji pożytku publicznego</w:t>
      </w:r>
      <w:r w:rsidR="0018432A">
        <w:t>,</w:t>
      </w:r>
      <w:r w:rsidR="005154B6">
        <w:t xml:space="preserve"> </w:t>
      </w:r>
      <w:r w:rsidR="0018432A">
        <w:t xml:space="preserve">przy jednoczesnym </w:t>
      </w:r>
      <w:r>
        <w:t>zapewnieniu jego prawidłowego i </w:t>
      </w:r>
      <w:r w:rsidR="0018432A">
        <w:t>nieprzerwanego działania.</w:t>
      </w:r>
    </w:p>
    <w:p w14:paraId="56D0FC46" w14:textId="161FE3B4" w:rsidR="0018432A" w:rsidRPr="0018432A" w:rsidRDefault="0018432A" w:rsidP="007A59A9">
      <w:pPr>
        <w:pStyle w:val="USTustnpkodeksu"/>
      </w:pPr>
      <w:r w:rsidRPr="0018432A">
        <w:t>3.</w:t>
      </w:r>
      <w:r w:rsidR="000F03F5">
        <w:t> </w:t>
      </w:r>
      <w:r w:rsidRPr="0018432A">
        <w:t>Organem właściwym do monitorowania wykorzystania limitu wydatkó</w:t>
      </w:r>
      <w:r>
        <w:t>w, o których mowa w ust. 1</w:t>
      </w:r>
      <w:r w:rsidR="000C724D">
        <w:t>,</w:t>
      </w:r>
      <w:r w:rsidR="002667F3">
        <w:t xml:space="preserve"> </w:t>
      </w:r>
      <w:r w:rsidRPr="0018432A">
        <w:t xml:space="preserve">oraz </w:t>
      </w:r>
      <w:r w:rsidR="002667F3">
        <w:t>wdrażania</w:t>
      </w:r>
      <w:r w:rsidRPr="0018432A">
        <w:t xml:space="preserve"> mechanizm</w:t>
      </w:r>
      <w:r w:rsidR="000812D0">
        <w:t>u</w:t>
      </w:r>
      <w:r w:rsidRPr="0018432A">
        <w:t xml:space="preserve"> korygując</w:t>
      </w:r>
      <w:r w:rsidR="000812D0">
        <w:t>ego</w:t>
      </w:r>
      <w:r w:rsidRPr="0018432A">
        <w:t>, o który</w:t>
      </w:r>
      <w:r w:rsidR="000812D0">
        <w:t>m</w:t>
      </w:r>
      <w:r w:rsidRPr="0018432A">
        <w:t xml:space="preserve"> mowa w ust. 2, jest minister właściwy do spraw </w:t>
      </w:r>
      <w:r>
        <w:t>zabezpieczenia społecznego</w:t>
      </w:r>
      <w:r w:rsidRPr="0018432A">
        <w:t>.</w:t>
      </w:r>
    </w:p>
    <w:p w14:paraId="3101DD6E" w14:textId="0BBE61FA" w:rsidR="0089797F" w:rsidRPr="002B256A" w:rsidRDefault="0089797F" w:rsidP="0003504B">
      <w:pPr>
        <w:pStyle w:val="ARTartustawynprozporzdzenia"/>
      </w:pPr>
      <w:r w:rsidRPr="002B256A">
        <w:rPr>
          <w:rStyle w:val="Ppogrubienie"/>
        </w:rPr>
        <w:t>Art.</w:t>
      </w:r>
      <w:r w:rsidR="000F03F5">
        <w:rPr>
          <w:rStyle w:val="Ppogrubienie"/>
        </w:rPr>
        <w:t> </w:t>
      </w:r>
      <w:r w:rsidR="00CC6278">
        <w:rPr>
          <w:rStyle w:val="Ppogrubienie"/>
        </w:rPr>
        <w:t>3</w:t>
      </w:r>
      <w:r w:rsidRPr="002B256A">
        <w:rPr>
          <w:rStyle w:val="Ppogrubienie"/>
        </w:rPr>
        <w:t>.</w:t>
      </w:r>
      <w:r w:rsidR="000F03F5">
        <w:rPr>
          <w:rStyle w:val="Ppogrubienie"/>
        </w:rPr>
        <w:t> </w:t>
      </w:r>
      <w:r w:rsidRPr="002B256A">
        <w:t>Przepisy ustawy zmienianej w art. 1, w brzm</w:t>
      </w:r>
      <w:r w:rsidR="00834817" w:rsidRPr="002B256A">
        <w:t>ieniu nadanym niniejszą ustawą,</w:t>
      </w:r>
      <w:r w:rsidR="00834817" w:rsidRPr="002B256A" w:rsidDel="00834817">
        <w:t xml:space="preserve"> </w:t>
      </w:r>
      <w:r w:rsidR="008F2FF6" w:rsidRPr="002B256A">
        <w:t>mają</w:t>
      </w:r>
      <w:r w:rsidR="00AD34B2" w:rsidRPr="002B256A">
        <w:t xml:space="preserve"> </w:t>
      </w:r>
      <w:r w:rsidR="006B7898" w:rsidRPr="002B256A">
        <w:t xml:space="preserve">zastosowanie </w:t>
      </w:r>
      <w:r w:rsidR="00AD34B2" w:rsidRPr="002B256A">
        <w:t>po raz pierwszy</w:t>
      </w:r>
      <w:r w:rsidRPr="002B256A">
        <w:t xml:space="preserve"> do sprawozda</w:t>
      </w:r>
      <w:r w:rsidR="008F2FF6" w:rsidRPr="002B256A">
        <w:t>ń</w:t>
      </w:r>
      <w:r w:rsidRPr="002B256A">
        <w:t xml:space="preserve"> sporządzon</w:t>
      </w:r>
      <w:r w:rsidR="008F2FF6" w:rsidRPr="002B256A">
        <w:t>ych</w:t>
      </w:r>
      <w:r w:rsidRPr="002B256A">
        <w:t xml:space="preserve"> za rok obrotowy rozpoczynający się </w:t>
      </w:r>
      <w:r w:rsidR="008F2FF6" w:rsidRPr="002B256A">
        <w:t xml:space="preserve">od </w:t>
      </w:r>
      <w:r w:rsidR="00B15576">
        <w:t xml:space="preserve">dnia </w:t>
      </w:r>
      <w:r w:rsidR="008F2FF6" w:rsidRPr="002B256A">
        <w:t>1 stycznia 2017 r</w:t>
      </w:r>
      <w:r w:rsidRPr="002B256A">
        <w:t xml:space="preserve">. </w:t>
      </w:r>
    </w:p>
    <w:p w14:paraId="052D2DD5" w14:textId="48E669DA" w:rsidR="00CF43D3" w:rsidRDefault="00112E44" w:rsidP="000F03F5">
      <w:pPr>
        <w:pStyle w:val="ARTartustawynprozporzdzenia"/>
      </w:pPr>
      <w:r w:rsidRPr="00F0304B">
        <w:rPr>
          <w:rStyle w:val="Ppogrubienie"/>
        </w:rPr>
        <w:t>Art.</w:t>
      </w:r>
      <w:r w:rsidR="000F03F5">
        <w:rPr>
          <w:rStyle w:val="Ppogrubienie"/>
        </w:rPr>
        <w:t> </w:t>
      </w:r>
      <w:r w:rsidR="00D61904">
        <w:rPr>
          <w:rStyle w:val="Ppogrubienie"/>
        </w:rPr>
        <w:t>4</w:t>
      </w:r>
      <w:r w:rsidRPr="00112E44">
        <w:rPr>
          <w:rStyle w:val="Ppogrubienie"/>
        </w:rPr>
        <w:t>.</w:t>
      </w:r>
      <w:r w:rsidR="000F03F5">
        <w:rPr>
          <w:rStyle w:val="Ppogrubienie"/>
        </w:rPr>
        <w:t> </w:t>
      </w:r>
      <w:r w:rsidRPr="00112E44">
        <w:t>Ustawa wchodzi w życie po upływie 14 dni od dnia ogłoszenia</w:t>
      </w:r>
      <w:r>
        <w:t>.</w:t>
      </w:r>
    </w:p>
    <w:sectPr w:rsidR="00CF43D3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C1912" w14:textId="77777777" w:rsidR="005647C2" w:rsidRDefault="005647C2">
      <w:r>
        <w:separator/>
      </w:r>
    </w:p>
  </w:endnote>
  <w:endnote w:type="continuationSeparator" w:id="0">
    <w:p w14:paraId="27695325" w14:textId="77777777" w:rsidR="005647C2" w:rsidRDefault="005647C2">
      <w:r>
        <w:continuationSeparator/>
      </w:r>
    </w:p>
  </w:endnote>
  <w:endnote w:type="continuationNotice" w:id="1">
    <w:p w14:paraId="4811ADA1" w14:textId="77777777" w:rsidR="005647C2" w:rsidRDefault="00564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7265A" w14:textId="77777777" w:rsidR="005647C2" w:rsidRDefault="005647C2">
      <w:r>
        <w:separator/>
      </w:r>
    </w:p>
  </w:footnote>
  <w:footnote w:type="continuationSeparator" w:id="0">
    <w:p w14:paraId="408C97CE" w14:textId="77777777" w:rsidR="005647C2" w:rsidRDefault="005647C2">
      <w:r>
        <w:continuationSeparator/>
      </w:r>
    </w:p>
  </w:footnote>
  <w:footnote w:type="continuationNotice" w:id="1">
    <w:p w14:paraId="18CEECB1" w14:textId="77777777" w:rsidR="005647C2" w:rsidRDefault="005647C2"/>
  </w:footnote>
  <w:footnote w:id="2">
    <w:p w14:paraId="1D9DC97A" w14:textId="71A069EE" w:rsidR="004A7C8F" w:rsidRDefault="004A7C8F" w:rsidP="003D2CE7">
      <w:pPr>
        <w:pStyle w:val="ODNONIKtreodnonika"/>
      </w:pPr>
      <w:r>
        <w:rPr>
          <w:rStyle w:val="Odwoanieprzypisudolnego"/>
        </w:rPr>
        <w:footnoteRef/>
      </w:r>
      <w:r w:rsidRPr="004A7C8F">
        <w:rPr>
          <w:rStyle w:val="IGindeksgrny"/>
        </w:rPr>
        <w:t xml:space="preserve">) </w:t>
      </w:r>
      <w:r w:rsidRPr="004A7C8F">
        <w:rPr>
          <w:rStyle w:val="IGindeksgrny"/>
        </w:rPr>
        <w:tab/>
      </w:r>
      <w:r w:rsidRPr="004A7C8F">
        <w:t>Niniejsza ustawa w</w:t>
      </w:r>
      <w:r w:rsidR="003D2CE7">
        <w:t xml:space="preserve"> </w:t>
      </w:r>
      <w:r w:rsidRPr="004A7C8F">
        <w:t>zakresie swojej regulacji wdraża dyrektywę Parlamentu Europejskiego i Rady 2014/95/UE z dnia 22 października 2014 r. zmieniającą dyrektywę 2013/34/UE w odniesieniu do ujawniania informacji niefinansowych i informacji dotyczących różnorodności przez niektóre duże jednostki oraz grupy (Dz.</w:t>
      </w:r>
      <w:r w:rsidR="003D2CE7">
        <w:t xml:space="preserve"> </w:t>
      </w:r>
      <w:r w:rsidRPr="004A7C8F">
        <w:t>Urz. UE L 330 z 15.11.2014</w:t>
      </w:r>
      <w:r w:rsidR="00151ED7">
        <w:t>,</w:t>
      </w:r>
      <w:r w:rsidRPr="004A7C8F">
        <w:t xml:space="preserve"> s</w:t>
      </w:r>
      <w:r w:rsidR="00151ED7">
        <w:t>tr</w:t>
      </w:r>
      <w:r w:rsidRPr="004A7C8F">
        <w:t>. 1</w:t>
      </w:r>
      <w:r w:rsidR="00151ED7">
        <w:t xml:space="preserve"> oraz Dz. Urz. UE L 207 z 04.08.2015, str. 1</w:t>
      </w:r>
      <w:r w:rsidRPr="004A7C8F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71A5F" w14:textId="77777777" w:rsidR="004D4843" w:rsidRPr="00B371CC" w:rsidRDefault="004D484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B6F84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icka Justyna">
    <w15:presenceInfo w15:providerId="AD" w15:userId="S-1-5-21-1525952054-1005573771-2909822258-9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/>
  <w:doNotTrackFormatting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97"/>
    <w:rsid w:val="000012DA"/>
    <w:rsid w:val="00002012"/>
    <w:rsid w:val="0000246E"/>
    <w:rsid w:val="00003862"/>
    <w:rsid w:val="000061BB"/>
    <w:rsid w:val="000118B7"/>
    <w:rsid w:val="00012286"/>
    <w:rsid w:val="00012A35"/>
    <w:rsid w:val="00013034"/>
    <w:rsid w:val="00014C6D"/>
    <w:rsid w:val="000151C9"/>
    <w:rsid w:val="00016099"/>
    <w:rsid w:val="0001634F"/>
    <w:rsid w:val="000163C7"/>
    <w:rsid w:val="00017DC2"/>
    <w:rsid w:val="00017FA9"/>
    <w:rsid w:val="000201C0"/>
    <w:rsid w:val="00020DA7"/>
    <w:rsid w:val="00020E9E"/>
    <w:rsid w:val="000211F9"/>
    <w:rsid w:val="000212D7"/>
    <w:rsid w:val="00021522"/>
    <w:rsid w:val="00023471"/>
    <w:rsid w:val="00023F13"/>
    <w:rsid w:val="00024CEA"/>
    <w:rsid w:val="00025003"/>
    <w:rsid w:val="0002700B"/>
    <w:rsid w:val="000279DA"/>
    <w:rsid w:val="00030634"/>
    <w:rsid w:val="000319C1"/>
    <w:rsid w:val="00031A8B"/>
    <w:rsid w:val="00031BCA"/>
    <w:rsid w:val="000330FA"/>
    <w:rsid w:val="0003362F"/>
    <w:rsid w:val="00034F5C"/>
    <w:rsid w:val="0003504B"/>
    <w:rsid w:val="000352B9"/>
    <w:rsid w:val="000355AB"/>
    <w:rsid w:val="00035FFD"/>
    <w:rsid w:val="00036B63"/>
    <w:rsid w:val="00037271"/>
    <w:rsid w:val="000379D8"/>
    <w:rsid w:val="00037C9F"/>
    <w:rsid w:val="00037E1A"/>
    <w:rsid w:val="0004037B"/>
    <w:rsid w:val="00043495"/>
    <w:rsid w:val="000439E6"/>
    <w:rsid w:val="000441A4"/>
    <w:rsid w:val="00044334"/>
    <w:rsid w:val="00044421"/>
    <w:rsid w:val="000461A7"/>
    <w:rsid w:val="000467D3"/>
    <w:rsid w:val="00046A75"/>
    <w:rsid w:val="00046ABA"/>
    <w:rsid w:val="0004725F"/>
    <w:rsid w:val="00047312"/>
    <w:rsid w:val="00047912"/>
    <w:rsid w:val="00050673"/>
    <w:rsid w:val="000508BD"/>
    <w:rsid w:val="000517AB"/>
    <w:rsid w:val="0005284D"/>
    <w:rsid w:val="0005339C"/>
    <w:rsid w:val="000537BD"/>
    <w:rsid w:val="00054A72"/>
    <w:rsid w:val="0005571B"/>
    <w:rsid w:val="000564EC"/>
    <w:rsid w:val="000567BC"/>
    <w:rsid w:val="00057AB3"/>
    <w:rsid w:val="00060076"/>
    <w:rsid w:val="00060432"/>
    <w:rsid w:val="00060D87"/>
    <w:rsid w:val="00061145"/>
    <w:rsid w:val="000613AE"/>
    <w:rsid w:val="000615A5"/>
    <w:rsid w:val="00064E4C"/>
    <w:rsid w:val="00065B55"/>
    <w:rsid w:val="00066901"/>
    <w:rsid w:val="00066B51"/>
    <w:rsid w:val="00067453"/>
    <w:rsid w:val="0007029E"/>
    <w:rsid w:val="00070EED"/>
    <w:rsid w:val="00071BEE"/>
    <w:rsid w:val="00072EA9"/>
    <w:rsid w:val="000736CD"/>
    <w:rsid w:val="00073D34"/>
    <w:rsid w:val="0007533B"/>
    <w:rsid w:val="0007545D"/>
    <w:rsid w:val="000760BF"/>
    <w:rsid w:val="0007613E"/>
    <w:rsid w:val="00076BFC"/>
    <w:rsid w:val="000801CA"/>
    <w:rsid w:val="000812D0"/>
    <w:rsid w:val="000814A7"/>
    <w:rsid w:val="000818C6"/>
    <w:rsid w:val="0008249A"/>
    <w:rsid w:val="000837C8"/>
    <w:rsid w:val="00083BC7"/>
    <w:rsid w:val="00085001"/>
    <w:rsid w:val="00085032"/>
    <w:rsid w:val="0008557B"/>
    <w:rsid w:val="00085B70"/>
    <w:rsid w:val="00085CE7"/>
    <w:rsid w:val="00085E52"/>
    <w:rsid w:val="00086376"/>
    <w:rsid w:val="000866DC"/>
    <w:rsid w:val="00087EFD"/>
    <w:rsid w:val="00090604"/>
    <w:rsid w:val="000906EE"/>
    <w:rsid w:val="00090F8E"/>
    <w:rsid w:val="00091662"/>
    <w:rsid w:val="00091BA2"/>
    <w:rsid w:val="000944E9"/>
    <w:rsid w:val="000944EF"/>
    <w:rsid w:val="0009681C"/>
    <w:rsid w:val="00096AB4"/>
    <w:rsid w:val="000970C4"/>
    <w:rsid w:val="0009732D"/>
    <w:rsid w:val="000973F0"/>
    <w:rsid w:val="000A1296"/>
    <w:rsid w:val="000A1C27"/>
    <w:rsid w:val="000A1C9F"/>
    <w:rsid w:val="000A1DAD"/>
    <w:rsid w:val="000A2649"/>
    <w:rsid w:val="000A3160"/>
    <w:rsid w:val="000A323B"/>
    <w:rsid w:val="000A3ED2"/>
    <w:rsid w:val="000A4C15"/>
    <w:rsid w:val="000A5828"/>
    <w:rsid w:val="000A6038"/>
    <w:rsid w:val="000B19AF"/>
    <w:rsid w:val="000B298D"/>
    <w:rsid w:val="000B5B2D"/>
    <w:rsid w:val="000B5DCE"/>
    <w:rsid w:val="000B5FD1"/>
    <w:rsid w:val="000B627B"/>
    <w:rsid w:val="000B69B3"/>
    <w:rsid w:val="000B763D"/>
    <w:rsid w:val="000B7E50"/>
    <w:rsid w:val="000C05BA"/>
    <w:rsid w:val="000C0E8F"/>
    <w:rsid w:val="000C0EDC"/>
    <w:rsid w:val="000C1324"/>
    <w:rsid w:val="000C16E4"/>
    <w:rsid w:val="000C3313"/>
    <w:rsid w:val="000C39E1"/>
    <w:rsid w:val="000C4BC4"/>
    <w:rsid w:val="000C724D"/>
    <w:rsid w:val="000C7F3C"/>
    <w:rsid w:val="000D0110"/>
    <w:rsid w:val="000D0A6E"/>
    <w:rsid w:val="000D0FFA"/>
    <w:rsid w:val="000D2468"/>
    <w:rsid w:val="000D2E67"/>
    <w:rsid w:val="000D318A"/>
    <w:rsid w:val="000D33C0"/>
    <w:rsid w:val="000D3DA9"/>
    <w:rsid w:val="000D4DB7"/>
    <w:rsid w:val="000D5C7C"/>
    <w:rsid w:val="000D6173"/>
    <w:rsid w:val="000D6312"/>
    <w:rsid w:val="000D6F83"/>
    <w:rsid w:val="000D6FD5"/>
    <w:rsid w:val="000E25CC"/>
    <w:rsid w:val="000E273E"/>
    <w:rsid w:val="000E3694"/>
    <w:rsid w:val="000E4735"/>
    <w:rsid w:val="000E490F"/>
    <w:rsid w:val="000E4B6E"/>
    <w:rsid w:val="000E521E"/>
    <w:rsid w:val="000E5D25"/>
    <w:rsid w:val="000E6241"/>
    <w:rsid w:val="000E666E"/>
    <w:rsid w:val="000E69E9"/>
    <w:rsid w:val="000F01D6"/>
    <w:rsid w:val="000F03F5"/>
    <w:rsid w:val="000F2BE3"/>
    <w:rsid w:val="000F3345"/>
    <w:rsid w:val="000F3D0D"/>
    <w:rsid w:val="000F5AE1"/>
    <w:rsid w:val="000F6ED4"/>
    <w:rsid w:val="000F7324"/>
    <w:rsid w:val="000F7A6E"/>
    <w:rsid w:val="001042BA"/>
    <w:rsid w:val="001043B5"/>
    <w:rsid w:val="00106D03"/>
    <w:rsid w:val="00107AEA"/>
    <w:rsid w:val="00110465"/>
    <w:rsid w:val="00110628"/>
    <w:rsid w:val="00110899"/>
    <w:rsid w:val="00110C6D"/>
    <w:rsid w:val="0011245A"/>
    <w:rsid w:val="00112E44"/>
    <w:rsid w:val="00113234"/>
    <w:rsid w:val="00113BA9"/>
    <w:rsid w:val="0011493E"/>
    <w:rsid w:val="001156EC"/>
    <w:rsid w:val="00115B72"/>
    <w:rsid w:val="00116EE9"/>
    <w:rsid w:val="00117966"/>
    <w:rsid w:val="001209EC"/>
    <w:rsid w:val="00120A9E"/>
    <w:rsid w:val="001210AE"/>
    <w:rsid w:val="00123650"/>
    <w:rsid w:val="00124871"/>
    <w:rsid w:val="00125A9C"/>
    <w:rsid w:val="00125D94"/>
    <w:rsid w:val="001270A2"/>
    <w:rsid w:val="00130F9A"/>
    <w:rsid w:val="00131237"/>
    <w:rsid w:val="001325AA"/>
    <w:rsid w:val="001329AC"/>
    <w:rsid w:val="00134CA0"/>
    <w:rsid w:val="001361FB"/>
    <w:rsid w:val="0013715C"/>
    <w:rsid w:val="0014026F"/>
    <w:rsid w:val="00141137"/>
    <w:rsid w:val="001419E0"/>
    <w:rsid w:val="00141CB8"/>
    <w:rsid w:val="00143639"/>
    <w:rsid w:val="00143BC2"/>
    <w:rsid w:val="00144AD7"/>
    <w:rsid w:val="001464EE"/>
    <w:rsid w:val="0014667A"/>
    <w:rsid w:val="001466CB"/>
    <w:rsid w:val="00146D20"/>
    <w:rsid w:val="00147A47"/>
    <w:rsid w:val="00147AA1"/>
    <w:rsid w:val="001501CC"/>
    <w:rsid w:val="00150674"/>
    <w:rsid w:val="001517E6"/>
    <w:rsid w:val="00151ED7"/>
    <w:rsid w:val="001520CF"/>
    <w:rsid w:val="001525A2"/>
    <w:rsid w:val="001535EA"/>
    <w:rsid w:val="001559D4"/>
    <w:rsid w:val="0015649D"/>
    <w:rsid w:val="0015667C"/>
    <w:rsid w:val="00157110"/>
    <w:rsid w:val="0015742A"/>
    <w:rsid w:val="001577FC"/>
    <w:rsid w:val="00157DA1"/>
    <w:rsid w:val="00161322"/>
    <w:rsid w:val="00163147"/>
    <w:rsid w:val="00164A5E"/>
    <w:rsid w:val="00164C57"/>
    <w:rsid w:val="00164C9D"/>
    <w:rsid w:val="00171FAB"/>
    <w:rsid w:val="00172F7A"/>
    <w:rsid w:val="00173150"/>
    <w:rsid w:val="00173390"/>
    <w:rsid w:val="001736F0"/>
    <w:rsid w:val="00173BB3"/>
    <w:rsid w:val="00173C3E"/>
    <w:rsid w:val="001740D0"/>
    <w:rsid w:val="00174710"/>
    <w:rsid w:val="00174F2C"/>
    <w:rsid w:val="001759A0"/>
    <w:rsid w:val="0017645B"/>
    <w:rsid w:val="00177B56"/>
    <w:rsid w:val="00180345"/>
    <w:rsid w:val="00180F04"/>
    <w:rsid w:val="00180F2A"/>
    <w:rsid w:val="00180FAE"/>
    <w:rsid w:val="00182843"/>
    <w:rsid w:val="001831E5"/>
    <w:rsid w:val="001836A3"/>
    <w:rsid w:val="001836F9"/>
    <w:rsid w:val="0018373C"/>
    <w:rsid w:val="0018386A"/>
    <w:rsid w:val="00184171"/>
    <w:rsid w:val="0018432A"/>
    <w:rsid w:val="00184B91"/>
    <w:rsid w:val="00184D4A"/>
    <w:rsid w:val="0018518F"/>
    <w:rsid w:val="00186EC1"/>
    <w:rsid w:val="00191E1F"/>
    <w:rsid w:val="00191FFF"/>
    <w:rsid w:val="00192806"/>
    <w:rsid w:val="001929DF"/>
    <w:rsid w:val="0019473B"/>
    <w:rsid w:val="00194BBA"/>
    <w:rsid w:val="001952B1"/>
    <w:rsid w:val="00195737"/>
    <w:rsid w:val="00195DF5"/>
    <w:rsid w:val="00196E39"/>
    <w:rsid w:val="00197649"/>
    <w:rsid w:val="001A01FB"/>
    <w:rsid w:val="001A0B19"/>
    <w:rsid w:val="001A10E9"/>
    <w:rsid w:val="001A183D"/>
    <w:rsid w:val="001A2843"/>
    <w:rsid w:val="001A2B65"/>
    <w:rsid w:val="001A2F7B"/>
    <w:rsid w:val="001A3CD3"/>
    <w:rsid w:val="001A3EE5"/>
    <w:rsid w:val="001A511C"/>
    <w:rsid w:val="001A58D6"/>
    <w:rsid w:val="001A5BEF"/>
    <w:rsid w:val="001A64CA"/>
    <w:rsid w:val="001A722E"/>
    <w:rsid w:val="001A733D"/>
    <w:rsid w:val="001A7DCC"/>
    <w:rsid w:val="001A7F15"/>
    <w:rsid w:val="001B00FC"/>
    <w:rsid w:val="001B0D28"/>
    <w:rsid w:val="001B289D"/>
    <w:rsid w:val="001B342E"/>
    <w:rsid w:val="001B5802"/>
    <w:rsid w:val="001C1832"/>
    <w:rsid w:val="001C188C"/>
    <w:rsid w:val="001C1FFF"/>
    <w:rsid w:val="001C2A5A"/>
    <w:rsid w:val="001C3FCC"/>
    <w:rsid w:val="001C4657"/>
    <w:rsid w:val="001C47FA"/>
    <w:rsid w:val="001C6ACE"/>
    <w:rsid w:val="001D1783"/>
    <w:rsid w:val="001D4168"/>
    <w:rsid w:val="001D53CD"/>
    <w:rsid w:val="001D55A3"/>
    <w:rsid w:val="001D5A9E"/>
    <w:rsid w:val="001D5AF5"/>
    <w:rsid w:val="001D64A4"/>
    <w:rsid w:val="001E008E"/>
    <w:rsid w:val="001E0881"/>
    <w:rsid w:val="001E0ED3"/>
    <w:rsid w:val="001E1A5D"/>
    <w:rsid w:val="001E1E73"/>
    <w:rsid w:val="001E3759"/>
    <w:rsid w:val="001E3C63"/>
    <w:rsid w:val="001E4E0C"/>
    <w:rsid w:val="001E526D"/>
    <w:rsid w:val="001E5655"/>
    <w:rsid w:val="001E620C"/>
    <w:rsid w:val="001E73F4"/>
    <w:rsid w:val="001E791B"/>
    <w:rsid w:val="001F1832"/>
    <w:rsid w:val="001F204A"/>
    <w:rsid w:val="001F21D4"/>
    <w:rsid w:val="001F220F"/>
    <w:rsid w:val="001F25B3"/>
    <w:rsid w:val="001F2AB1"/>
    <w:rsid w:val="001F481F"/>
    <w:rsid w:val="001F55BC"/>
    <w:rsid w:val="001F5DA2"/>
    <w:rsid w:val="001F6542"/>
    <w:rsid w:val="001F6616"/>
    <w:rsid w:val="002012C6"/>
    <w:rsid w:val="00202BD4"/>
    <w:rsid w:val="00203382"/>
    <w:rsid w:val="00204638"/>
    <w:rsid w:val="00204732"/>
    <w:rsid w:val="00204A97"/>
    <w:rsid w:val="00204BF2"/>
    <w:rsid w:val="00204E19"/>
    <w:rsid w:val="00207B58"/>
    <w:rsid w:val="002114EF"/>
    <w:rsid w:val="00211744"/>
    <w:rsid w:val="0021461D"/>
    <w:rsid w:val="002166AD"/>
    <w:rsid w:val="0021783C"/>
    <w:rsid w:val="00217871"/>
    <w:rsid w:val="00221477"/>
    <w:rsid w:val="00221ED8"/>
    <w:rsid w:val="00223093"/>
    <w:rsid w:val="002231EA"/>
    <w:rsid w:val="00223FDF"/>
    <w:rsid w:val="00226C6E"/>
    <w:rsid w:val="0022719A"/>
    <w:rsid w:val="002279C0"/>
    <w:rsid w:val="002301EF"/>
    <w:rsid w:val="002309E7"/>
    <w:rsid w:val="002325C8"/>
    <w:rsid w:val="00232C67"/>
    <w:rsid w:val="0023331B"/>
    <w:rsid w:val="00234C6E"/>
    <w:rsid w:val="00235516"/>
    <w:rsid w:val="0023727E"/>
    <w:rsid w:val="00240B5A"/>
    <w:rsid w:val="00242081"/>
    <w:rsid w:val="00242EEA"/>
    <w:rsid w:val="0024314A"/>
    <w:rsid w:val="00243777"/>
    <w:rsid w:val="002441CD"/>
    <w:rsid w:val="002456B7"/>
    <w:rsid w:val="00246EE4"/>
    <w:rsid w:val="002501A3"/>
    <w:rsid w:val="002504D7"/>
    <w:rsid w:val="002508A6"/>
    <w:rsid w:val="0025166C"/>
    <w:rsid w:val="00251B56"/>
    <w:rsid w:val="00252638"/>
    <w:rsid w:val="0025293D"/>
    <w:rsid w:val="002555D4"/>
    <w:rsid w:val="002558C3"/>
    <w:rsid w:val="00256AAF"/>
    <w:rsid w:val="00261A16"/>
    <w:rsid w:val="00261D9B"/>
    <w:rsid w:val="002634FD"/>
    <w:rsid w:val="00263522"/>
    <w:rsid w:val="00264084"/>
    <w:rsid w:val="00264EC6"/>
    <w:rsid w:val="00265B94"/>
    <w:rsid w:val="002667F3"/>
    <w:rsid w:val="00271013"/>
    <w:rsid w:val="0027283F"/>
    <w:rsid w:val="00273F6B"/>
    <w:rsid w:val="00273FE4"/>
    <w:rsid w:val="00274D37"/>
    <w:rsid w:val="00275356"/>
    <w:rsid w:val="00275813"/>
    <w:rsid w:val="002765B4"/>
    <w:rsid w:val="002766F4"/>
    <w:rsid w:val="00276A94"/>
    <w:rsid w:val="00281422"/>
    <w:rsid w:val="0028226B"/>
    <w:rsid w:val="00286BCC"/>
    <w:rsid w:val="00290951"/>
    <w:rsid w:val="00293671"/>
    <w:rsid w:val="0029405D"/>
    <w:rsid w:val="002940C9"/>
    <w:rsid w:val="0029415C"/>
    <w:rsid w:val="00294FA6"/>
    <w:rsid w:val="00295A6F"/>
    <w:rsid w:val="00297475"/>
    <w:rsid w:val="002A07AE"/>
    <w:rsid w:val="002A0CF1"/>
    <w:rsid w:val="002A16DD"/>
    <w:rsid w:val="002A1FA9"/>
    <w:rsid w:val="002A20C4"/>
    <w:rsid w:val="002A42DD"/>
    <w:rsid w:val="002A4934"/>
    <w:rsid w:val="002A5055"/>
    <w:rsid w:val="002A50D3"/>
    <w:rsid w:val="002A570F"/>
    <w:rsid w:val="002A60BA"/>
    <w:rsid w:val="002A7292"/>
    <w:rsid w:val="002A7358"/>
    <w:rsid w:val="002A7902"/>
    <w:rsid w:val="002B0F6B"/>
    <w:rsid w:val="002B119D"/>
    <w:rsid w:val="002B23B8"/>
    <w:rsid w:val="002B256A"/>
    <w:rsid w:val="002B41ED"/>
    <w:rsid w:val="002B4429"/>
    <w:rsid w:val="002B4CF1"/>
    <w:rsid w:val="002B68A6"/>
    <w:rsid w:val="002B7FAF"/>
    <w:rsid w:val="002C07F3"/>
    <w:rsid w:val="002C1511"/>
    <w:rsid w:val="002C2E39"/>
    <w:rsid w:val="002C3E3E"/>
    <w:rsid w:val="002C44AF"/>
    <w:rsid w:val="002C45D8"/>
    <w:rsid w:val="002C6F59"/>
    <w:rsid w:val="002D0BC7"/>
    <w:rsid w:val="002D0C4F"/>
    <w:rsid w:val="002D106E"/>
    <w:rsid w:val="002D1364"/>
    <w:rsid w:val="002D1968"/>
    <w:rsid w:val="002D4AD0"/>
    <w:rsid w:val="002D4D30"/>
    <w:rsid w:val="002D5000"/>
    <w:rsid w:val="002D5718"/>
    <w:rsid w:val="002D5818"/>
    <w:rsid w:val="002D598D"/>
    <w:rsid w:val="002D7188"/>
    <w:rsid w:val="002D75C3"/>
    <w:rsid w:val="002D78CD"/>
    <w:rsid w:val="002E101D"/>
    <w:rsid w:val="002E1DE3"/>
    <w:rsid w:val="002E1F12"/>
    <w:rsid w:val="002E2AB6"/>
    <w:rsid w:val="002E3082"/>
    <w:rsid w:val="002E35CE"/>
    <w:rsid w:val="002E3EA7"/>
    <w:rsid w:val="002E3F34"/>
    <w:rsid w:val="002E4B75"/>
    <w:rsid w:val="002E4C9C"/>
    <w:rsid w:val="002E5B83"/>
    <w:rsid w:val="002E5F79"/>
    <w:rsid w:val="002E5F92"/>
    <w:rsid w:val="002E63BB"/>
    <w:rsid w:val="002E64FA"/>
    <w:rsid w:val="002E7898"/>
    <w:rsid w:val="002F0A00"/>
    <w:rsid w:val="002F0CFA"/>
    <w:rsid w:val="002F1F22"/>
    <w:rsid w:val="002F4A69"/>
    <w:rsid w:val="002F5D1A"/>
    <w:rsid w:val="002F669F"/>
    <w:rsid w:val="00300132"/>
    <w:rsid w:val="00300203"/>
    <w:rsid w:val="00301C97"/>
    <w:rsid w:val="00306CEB"/>
    <w:rsid w:val="00307316"/>
    <w:rsid w:val="003077F0"/>
    <w:rsid w:val="00307DC2"/>
    <w:rsid w:val="0031004C"/>
    <w:rsid w:val="003105F6"/>
    <w:rsid w:val="00311297"/>
    <w:rsid w:val="003113BE"/>
    <w:rsid w:val="00311449"/>
    <w:rsid w:val="0031205C"/>
    <w:rsid w:val="003122CA"/>
    <w:rsid w:val="003124B1"/>
    <w:rsid w:val="00313204"/>
    <w:rsid w:val="0031446C"/>
    <w:rsid w:val="003148FD"/>
    <w:rsid w:val="003177E5"/>
    <w:rsid w:val="00320199"/>
    <w:rsid w:val="00321080"/>
    <w:rsid w:val="00322D45"/>
    <w:rsid w:val="003245FF"/>
    <w:rsid w:val="0032569A"/>
    <w:rsid w:val="00325931"/>
    <w:rsid w:val="00325A1F"/>
    <w:rsid w:val="003268F9"/>
    <w:rsid w:val="00326E55"/>
    <w:rsid w:val="00330BAF"/>
    <w:rsid w:val="003328BB"/>
    <w:rsid w:val="00334E3A"/>
    <w:rsid w:val="003361DD"/>
    <w:rsid w:val="00336F64"/>
    <w:rsid w:val="00341939"/>
    <w:rsid w:val="00341A6A"/>
    <w:rsid w:val="003425FC"/>
    <w:rsid w:val="003452EF"/>
    <w:rsid w:val="00345B9C"/>
    <w:rsid w:val="003464E8"/>
    <w:rsid w:val="00346794"/>
    <w:rsid w:val="0034763D"/>
    <w:rsid w:val="00350DEC"/>
    <w:rsid w:val="0035298B"/>
    <w:rsid w:val="00352DAE"/>
    <w:rsid w:val="00354EB9"/>
    <w:rsid w:val="003602AE"/>
    <w:rsid w:val="00360335"/>
    <w:rsid w:val="00360929"/>
    <w:rsid w:val="00362AC6"/>
    <w:rsid w:val="003638B7"/>
    <w:rsid w:val="003647D5"/>
    <w:rsid w:val="00364A37"/>
    <w:rsid w:val="003650C1"/>
    <w:rsid w:val="003655E5"/>
    <w:rsid w:val="0036573D"/>
    <w:rsid w:val="00366568"/>
    <w:rsid w:val="003674B0"/>
    <w:rsid w:val="003710C0"/>
    <w:rsid w:val="003710EB"/>
    <w:rsid w:val="00371E09"/>
    <w:rsid w:val="0037288E"/>
    <w:rsid w:val="003749DE"/>
    <w:rsid w:val="00375738"/>
    <w:rsid w:val="0037577F"/>
    <w:rsid w:val="00376178"/>
    <w:rsid w:val="0037727C"/>
    <w:rsid w:val="00377E70"/>
    <w:rsid w:val="00380904"/>
    <w:rsid w:val="003811F0"/>
    <w:rsid w:val="00381DA5"/>
    <w:rsid w:val="003823EE"/>
    <w:rsid w:val="00382960"/>
    <w:rsid w:val="003839F9"/>
    <w:rsid w:val="0038452A"/>
    <w:rsid w:val="00384585"/>
    <w:rsid w:val="003846F7"/>
    <w:rsid w:val="003851ED"/>
    <w:rsid w:val="00385B39"/>
    <w:rsid w:val="00386785"/>
    <w:rsid w:val="00390E89"/>
    <w:rsid w:val="00391B1A"/>
    <w:rsid w:val="00392F4C"/>
    <w:rsid w:val="00393ABB"/>
    <w:rsid w:val="00393E41"/>
    <w:rsid w:val="00394423"/>
    <w:rsid w:val="003965F2"/>
    <w:rsid w:val="003967DC"/>
    <w:rsid w:val="00396942"/>
    <w:rsid w:val="00396B49"/>
    <w:rsid w:val="00396E3E"/>
    <w:rsid w:val="003A0356"/>
    <w:rsid w:val="003A09EA"/>
    <w:rsid w:val="003A306E"/>
    <w:rsid w:val="003A3AA8"/>
    <w:rsid w:val="003A401A"/>
    <w:rsid w:val="003A5EAF"/>
    <w:rsid w:val="003A60DC"/>
    <w:rsid w:val="003A694D"/>
    <w:rsid w:val="003A6A46"/>
    <w:rsid w:val="003A6BCC"/>
    <w:rsid w:val="003A7A63"/>
    <w:rsid w:val="003B000C"/>
    <w:rsid w:val="003B0F1D"/>
    <w:rsid w:val="003B1F76"/>
    <w:rsid w:val="003B263E"/>
    <w:rsid w:val="003B3256"/>
    <w:rsid w:val="003B411E"/>
    <w:rsid w:val="003B46AB"/>
    <w:rsid w:val="003B4A14"/>
    <w:rsid w:val="003B4A57"/>
    <w:rsid w:val="003B4E90"/>
    <w:rsid w:val="003B58EF"/>
    <w:rsid w:val="003B5FD8"/>
    <w:rsid w:val="003B7F8D"/>
    <w:rsid w:val="003B7FF3"/>
    <w:rsid w:val="003C02CE"/>
    <w:rsid w:val="003C04B7"/>
    <w:rsid w:val="003C057C"/>
    <w:rsid w:val="003C0584"/>
    <w:rsid w:val="003C0AD9"/>
    <w:rsid w:val="003C0ED0"/>
    <w:rsid w:val="003C1803"/>
    <w:rsid w:val="003C1D49"/>
    <w:rsid w:val="003C35C4"/>
    <w:rsid w:val="003C421D"/>
    <w:rsid w:val="003C517F"/>
    <w:rsid w:val="003C51E8"/>
    <w:rsid w:val="003C73DE"/>
    <w:rsid w:val="003D0E85"/>
    <w:rsid w:val="003D12C2"/>
    <w:rsid w:val="003D135B"/>
    <w:rsid w:val="003D2CE7"/>
    <w:rsid w:val="003D2F10"/>
    <w:rsid w:val="003D31B9"/>
    <w:rsid w:val="003D3867"/>
    <w:rsid w:val="003D4014"/>
    <w:rsid w:val="003D4244"/>
    <w:rsid w:val="003D53A5"/>
    <w:rsid w:val="003E0D1A"/>
    <w:rsid w:val="003E1AB7"/>
    <w:rsid w:val="003E2345"/>
    <w:rsid w:val="003E2DA3"/>
    <w:rsid w:val="003E38CF"/>
    <w:rsid w:val="003E43E9"/>
    <w:rsid w:val="003E5D3B"/>
    <w:rsid w:val="003E6AFA"/>
    <w:rsid w:val="003E7340"/>
    <w:rsid w:val="003E748D"/>
    <w:rsid w:val="003F020D"/>
    <w:rsid w:val="003F03D9"/>
    <w:rsid w:val="003F2FBE"/>
    <w:rsid w:val="003F318D"/>
    <w:rsid w:val="003F5BAE"/>
    <w:rsid w:val="003F6ED7"/>
    <w:rsid w:val="00400CDF"/>
    <w:rsid w:val="00401C84"/>
    <w:rsid w:val="0040254F"/>
    <w:rsid w:val="00402807"/>
    <w:rsid w:val="0040284E"/>
    <w:rsid w:val="00402BDE"/>
    <w:rsid w:val="00403046"/>
    <w:rsid w:val="00403084"/>
    <w:rsid w:val="00403210"/>
    <w:rsid w:val="004035BB"/>
    <w:rsid w:val="004035EB"/>
    <w:rsid w:val="00404CBB"/>
    <w:rsid w:val="00407332"/>
    <w:rsid w:val="004077F0"/>
    <w:rsid w:val="00407828"/>
    <w:rsid w:val="00410613"/>
    <w:rsid w:val="00413D8E"/>
    <w:rsid w:val="004140F2"/>
    <w:rsid w:val="0041419F"/>
    <w:rsid w:val="00414C2D"/>
    <w:rsid w:val="00415255"/>
    <w:rsid w:val="00415329"/>
    <w:rsid w:val="00415864"/>
    <w:rsid w:val="00416228"/>
    <w:rsid w:val="00417426"/>
    <w:rsid w:val="00417B22"/>
    <w:rsid w:val="00421085"/>
    <w:rsid w:val="00421DC0"/>
    <w:rsid w:val="00421E31"/>
    <w:rsid w:val="004235BF"/>
    <w:rsid w:val="00424148"/>
    <w:rsid w:val="0042438B"/>
    <w:rsid w:val="0042465E"/>
    <w:rsid w:val="00424DF7"/>
    <w:rsid w:val="0042572E"/>
    <w:rsid w:val="00431F02"/>
    <w:rsid w:val="00432B76"/>
    <w:rsid w:val="004332AB"/>
    <w:rsid w:val="004333F3"/>
    <w:rsid w:val="00434D01"/>
    <w:rsid w:val="0043538B"/>
    <w:rsid w:val="00435D26"/>
    <w:rsid w:val="00436008"/>
    <w:rsid w:val="00436F0D"/>
    <w:rsid w:val="004375D9"/>
    <w:rsid w:val="00440C99"/>
    <w:rsid w:val="00440F55"/>
    <w:rsid w:val="00440FB7"/>
    <w:rsid w:val="0044175C"/>
    <w:rsid w:val="00441A1F"/>
    <w:rsid w:val="004425CF"/>
    <w:rsid w:val="00442B42"/>
    <w:rsid w:val="00443AA0"/>
    <w:rsid w:val="00444636"/>
    <w:rsid w:val="00444D98"/>
    <w:rsid w:val="004452DC"/>
    <w:rsid w:val="00445F4D"/>
    <w:rsid w:val="0044614F"/>
    <w:rsid w:val="00446470"/>
    <w:rsid w:val="004504C0"/>
    <w:rsid w:val="004517E9"/>
    <w:rsid w:val="00454F98"/>
    <w:rsid w:val="004550FB"/>
    <w:rsid w:val="0045561F"/>
    <w:rsid w:val="0045729C"/>
    <w:rsid w:val="0046111A"/>
    <w:rsid w:val="00462946"/>
    <w:rsid w:val="00462E6F"/>
    <w:rsid w:val="004631E3"/>
    <w:rsid w:val="00463F43"/>
    <w:rsid w:val="00464B94"/>
    <w:rsid w:val="004653A8"/>
    <w:rsid w:val="00465A0B"/>
    <w:rsid w:val="00466ACF"/>
    <w:rsid w:val="00466EC8"/>
    <w:rsid w:val="0047077C"/>
    <w:rsid w:val="00470B05"/>
    <w:rsid w:val="00470F7B"/>
    <w:rsid w:val="0047207C"/>
    <w:rsid w:val="00472CD6"/>
    <w:rsid w:val="00472EB9"/>
    <w:rsid w:val="00474B02"/>
    <w:rsid w:val="00474E3C"/>
    <w:rsid w:val="00475CFF"/>
    <w:rsid w:val="00476ADE"/>
    <w:rsid w:val="00476FAF"/>
    <w:rsid w:val="00480A58"/>
    <w:rsid w:val="00481164"/>
    <w:rsid w:val="00482151"/>
    <w:rsid w:val="004825DE"/>
    <w:rsid w:val="00482835"/>
    <w:rsid w:val="00482FD6"/>
    <w:rsid w:val="0048322C"/>
    <w:rsid w:val="00483AC6"/>
    <w:rsid w:val="00484519"/>
    <w:rsid w:val="004845D8"/>
    <w:rsid w:val="00484961"/>
    <w:rsid w:val="00485FAD"/>
    <w:rsid w:val="00486FA9"/>
    <w:rsid w:val="00487AED"/>
    <w:rsid w:val="00491EDF"/>
    <w:rsid w:val="00492A3F"/>
    <w:rsid w:val="00492DAF"/>
    <w:rsid w:val="0049305D"/>
    <w:rsid w:val="004949DF"/>
    <w:rsid w:val="00494F62"/>
    <w:rsid w:val="00495530"/>
    <w:rsid w:val="004A0014"/>
    <w:rsid w:val="004A076A"/>
    <w:rsid w:val="004A152B"/>
    <w:rsid w:val="004A2001"/>
    <w:rsid w:val="004A3590"/>
    <w:rsid w:val="004A476A"/>
    <w:rsid w:val="004A7C8F"/>
    <w:rsid w:val="004B00A7"/>
    <w:rsid w:val="004B09A0"/>
    <w:rsid w:val="004B11F9"/>
    <w:rsid w:val="004B1318"/>
    <w:rsid w:val="004B25E2"/>
    <w:rsid w:val="004B2D6C"/>
    <w:rsid w:val="004B3044"/>
    <w:rsid w:val="004B34D7"/>
    <w:rsid w:val="004B3710"/>
    <w:rsid w:val="004B3F68"/>
    <w:rsid w:val="004B4071"/>
    <w:rsid w:val="004B5037"/>
    <w:rsid w:val="004B5B2F"/>
    <w:rsid w:val="004B620D"/>
    <w:rsid w:val="004B626A"/>
    <w:rsid w:val="004B660E"/>
    <w:rsid w:val="004B6E7D"/>
    <w:rsid w:val="004B786A"/>
    <w:rsid w:val="004C05BD"/>
    <w:rsid w:val="004C19A4"/>
    <w:rsid w:val="004C2BF3"/>
    <w:rsid w:val="004C3B06"/>
    <w:rsid w:val="004C3F97"/>
    <w:rsid w:val="004C7EE7"/>
    <w:rsid w:val="004D28BC"/>
    <w:rsid w:val="004D2DEE"/>
    <w:rsid w:val="004D2E1F"/>
    <w:rsid w:val="004D4843"/>
    <w:rsid w:val="004D4CC6"/>
    <w:rsid w:val="004D69ED"/>
    <w:rsid w:val="004D6D49"/>
    <w:rsid w:val="004D6EBD"/>
    <w:rsid w:val="004D7FD9"/>
    <w:rsid w:val="004E1200"/>
    <w:rsid w:val="004E1324"/>
    <w:rsid w:val="004E15FC"/>
    <w:rsid w:val="004E19A5"/>
    <w:rsid w:val="004E1F39"/>
    <w:rsid w:val="004E3306"/>
    <w:rsid w:val="004E37E5"/>
    <w:rsid w:val="004E3FDB"/>
    <w:rsid w:val="004E79E6"/>
    <w:rsid w:val="004F199F"/>
    <w:rsid w:val="004F1F4A"/>
    <w:rsid w:val="004F296D"/>
    <w:rsid w:val="004F2ABD"/>
    <w:rsid w:val="004F2EAA"/>
    <w:rsid w:val="004F3339"/>
    <w:rsid w:val="004F4394"/>
    <w:rsid w:val="004F508B"/>
    <w:rsid w:val="004F54D3"/>
    <w:rsid w:val="004F5A9D"/>
    <w:rsid w:val="004F5B29"/>
    <w:rsid w:val="004F5C72"/>
    <w:rsid w:val="004F657C"/>
    <w:rsid w:val="004F695F"/>
    <w:rsid w:val="004F6CA4"/>
    <w:rsid w:val="004F7B26"/>
    <w:rsid w:val="005001AB"/>
    <w:rsid w:val="00500752"/>
    <w:rsid w:val="00500BE0"/>
    <w:rsid w:val="0050108F"/>
    <w:rsid w:val="00501A50"/>
    <w:rsid w:val="0050222D"/>
    <w:rsid w:val="00503AF3"/>
    <w:rsid w:val="00504F84"/>
    <w:rsid w:val="0050696D"/>
    <w:rsid w:val="00506DBD"/>
    <w:rsid w:val="0051094B"/>
    <w:rsid w:val="005110D7"/>
    <w:rsid w:val="00511B5A"/>
    <w:rsid w:val="00511BC4"/>
    <w:rsid w:val="00511D99"/>
    <w:rsid w:val="005127F5"/>
    <w:rsid w:val="005128D3"/>
    <w:rsid w:val="00512AD5"/>
    <w:rsid w:val="005147E8"/>
    <w:rsid w:val="00514D3C"/>
    <w:rsid w:val="005154B6"/>
    <w:rsid w:val="005158F2"/>
    <w:rsid w:val="005209AC"/>
    <w:rsid w:val="00520E36"/>
    <w:rsid w:val="00521977"/>
    <w:rsid w:val="005220A9"/>
    <w:rsid w:val="005241B0"/>
    <w:rsid w:val="00524B3E"/>
    <w:rsid w:val="0052650D"/>
    <w:rsid w:val="00526DFC"/>
    <w:rsid w:val="00526F43"/>
    <w:rsid w:val="00527651"/>
    <w:rsid w:val="00530BB1"/>
    <w:rsid w:val="0053115A"/>
    <w:rsid w:val="0053161E"/>
    <w:rsid w:val="0053176B"/>
    <w:rsid w:val="00532B24"/>
    <w:rsid w:val="00533A42"/>
    <w:rsid w:val="0053470C"/>
    <w:rsid w:val="00536043"/>
    <w:rsid w:val="005363AB"/>
    <w:rsid w:val="005371C3"/>
    <w:rsid w:val="005372C5"/>
    <w:rsid w:val="00537F7F"/>
    <w:rsid w:val="00540D98"/>
    <w:rsid w:val="005416EE"/>
    <w:rsid w:val="005418E0"/>
    <w:rsid w:val="00543005"/>
    <w:rsid w:val="00543FBA"/>
    <w:rsid w:val="00544EF4"/>
    <w:rsid w:val="00545E53"/>
    <w:rsid w:val="005465BB"/>
    <w:rsid w:val="005479D9"/>
    <w:rsid w:val="00553B08"/>
    <w:rsid w:val="0055522D"/>
    <w:rsid w:val="00555C7F"/>
    <w:rsid w:val="005566B6"/>
    <w:rsid w:val="005570C3"/>
    <w:rsid w:val="005572BD"/>
    <w:rsid w:val="0055765A"/>
    <w:rsid w:val="00557A12"/>
    <w:rsid w:val="00557C31"/>
    <w:rsid w:val="00557E2F"/>
    <w:rsid w:val="00560683"/>
    <w:rsid w:val="00560AC7"/>
    <w:rsid w:val="0056197C"/>
    <w:rsid w:val="00561AFB"/>
    <w:rsid w:val="00561FA8"/>
    <w:rsid w:val="005620E4"/>
    <w:rsid w:val="0056264D"/>
    <w:rsid w:val="005635ED"/>
    <w:rsid w:val="005647C2"/>
    <w:rsid w:val="00565253"/>
    <w:rsid w:val="00565ECA"/>
    <w:rsid w:val="0056643C"/>
    <w:rsid w:val="00570191"/>
    <w:rsid w:val="00570570"/>
    <w:rsid w:val="00570695"/>
    <w:rsid w:val="005715B6"/>
    <w:rsid w:val="00572512"/>
    <w:rsid w:val="0057269E"/>
    <w:rsid w:val="00573063"/>
    <w:rsid w:val="00573EE6"/>
    <w:rsid w:val="0057547F"/>
    <w:rsid w:val="005754EE"/>
    <w:rsid w:val="0057597B"/>
    <w:rsid w:val="0057617E"/>
    <w:rsid w:val="005763EF"/>
    <w:rsid w:val="00576497"/>
    <w:rsid w:val="0057793F"/>
    <w:rsid w:val="00581B31"/>
    <w:rsid w:val="00582090"/>
    <w:rsid w:val="00582EAA"/>
    <w:rsid w:val="005835E7"/>
    <w:rsid w:val="0058397F"/>
    <w:rsid w:val="00583BF8"/>
    <w:rsid w:val="00584A2A"/>
    <w:rsid w:val="00585F33"/>
    <w:rsid w:val="005863D7"/>
    <w:rsid w:val="00590663"/>
    <w:rsid w:val="00590B65"/>
    <w:rsid w:val="00591124"/>
    <w:rsid w:val="00592A27"/>
    <w:rsid w:val="00592AEA"/>
    <w:rsid w:val="00592B5E"/>
    <w:rsid w:val="00594532"/>
    <w:rsid w:val="00594C8F"/>
    <w:rsid w:val="005969F2"/>
    <w:rsid w:val="00596EB3"/>
    <w:rsid w:val="00597024"/>
    <w:rsid w:val="00597BD3"/>
    <w:rsid w:val="005A01FF"/>
    <w:rsid w:val="005A0274"/>
    <w:rsid w:val="005A095C"/>
    <w:rsid w:val="005A205E"/>
    <w:rsid w:val="005A669D"/>
    <w:rsid w:val="005A7325"/>
    <w:rsid w:val="005A75D8"/>
    <w:rsid w:val="005B01AF"/>
    <w:rsid w:val="005B031D"/>
    <w:rsid w:val="005B1867"/>
    <w:rsid w:val="005B1A0B"/>
    <w:rsid w:val="005B25A0"/>
    <w:rsid w:val="005B4137"/>
    <w:rsid w:val="005B53A4"/>
    <w:rsid w:val="005B5794"/>
    <w:rsid w:val="005B713E"/>
    <w:rsid w:val="005B7583"/>
    <w:rsid w:val="005C03B6"/>
    <w:rsid w:val="005C045F"/>
    <w:rsid w:val="005C059C"/>
    <w:rsid w:val="005C17CA"/>
    <w:rsid w:val="005C17E7"/>
    <w:rsid w:val="005C348E"/>
    <w:rsid w:val="005C35C5"/>
    <w:rsid w:val="005C3EDE"/>
    <w:rsid w:val="005C4D72"/>
    <w:rsid w:val="005C68E1"/>
    <w:rsid w:val="005C77DB"/>
    <w:rsid w:val="005D0145"/>
    <w:rsid w:val="005D0275"/>
    <w:rsid w:val="005D02DD"/>
    <w:rsid w:val="005D3763"/>
    <w:rsid w:val="005D46F4"/>
    <w:rsid w:val="005D55E1"/>
    <w:rsid w:val="005D6B54"/>
    <w:rsid w:val="005E02E5"/>
    <w:rsid w:val="005E0486"/>
    <w:rsid w:val="005E19F7"/>
    <w:rsid w:val="005E1C7D"/>
    <w:rsid w:val="005E251A"/>
    <w:rsid w:val="005E2D54"/>
    <w:rsid w:val="005E41B9"/>
    <w:rsid w:val="005E4F04"/>
    <w:rsid w:val="005E5440"/>
    <w:rsid w:val="005E62C2"/>
    <w:rsid w:val="005E6C71"/>
    <w:rsid w:val="005F0963"/>
    <w:rsid w:val="005F2824"/>
    <w:rsid w:val="005F2EBA"/>
    <w:rsid w:val="005F35ED"/>
    <w:rsid w:val="005F496F"/>
    <w:rsid w:val="005F4BF9"/>
    <w:rsid w:val="005F7812"/>
    <w:rsid w:val="005F7A88"/>
    <w:rsid w:val="00601D19"/>
    <w:rsid w:val="006025B9"/>
    <w:rsid w:val="00602E2C"/>
    <w:rsid w:val="00603315"/>
    <w:rsid w:val="00603A1A"/>
    <w:rsid w:val="006046D5"/>
    <w:rsid w:val="006050DD"/>
    <w:rsid w:val="00607A93"/>
    <w:rsid w:val="00610C08"/>
    <w:rsid w:val="006119AE"/>
    <w:rsid w:val="00611F74"/>
    <w:rsid w:val="00614457"/>
    <w:rsid w:val="00614CC5"/>
    <w:rsid w:val="00615772"/>
    <w:rsid w:val="006159FD"/>
    <w:rsid w:val="0061605E"/>
    <w:rsid w:val="00616BEF"/>
    <w:rsid w:val="0061717F"/>
    <w:rsid w:val="00620A46"/>
    <w:rsid w:val="00621256"/>
    <w:rsid w:val="00621955"/>
    <w:rsid w:val="00621FCC"/>
    <w:rsid w:val="00622404"/>
    <w:rsid w:val="006226E4"/>
    <w:rsid w:val="00622DFE"/>
    <w:rsid w:val="00622E4B"/>
    <w:rsid w:val="0062432E"/>
    <w:rsid w:val="00624C6E"/>
    <w:rsid w:val="006259B4"/>
    <w:rsid w:val="00627B41"/>
    <w:rsid w:val="00632CDC"/>
    <w:rsid w:val="006333DA"/>
    <w:rsid w:val="00635134"/>
    <w:rsid w:val="006356E2"/>
    <w:rsid w:val="00640E65"/>
    <w:rsid w:val="00642A65"/>
    <w:rsid w:val="006446B1"/>
    <w:rsid w:val="00645DCE"/>
    <w:rsid w:val="00646226"/>
    <w:rsid w:val="006465AC"/>
    <w:rsid w:val="006465BF"/>
    <w:rsid w:val="00653B22"/>
    <w:rsid w:val="0065498A"/>
    <w:rsid w:val="006555AA"/>
    <w:rsid w:val="00657A54"/>
    <w:rsid w:val="00657BF4"/>
    <w:rsid w:val="006603F7"/>
    <w:rsid w:val="006603FB"/>
    <w:rsid w:val="006608DF"/>
    <w:rsid w:val="00660C6D"/>
    <w:rsid w:val="00661086"/>
    <w:rsid w:val="006611F1"/>
    <w:rsid w:val="006612A3"/>
    <w:rsid w:val="006623AC"/>
    <w:rsid w:val="0066257A"/>
    <w:rsid w:val="00662F5B"/>
    <w:rsid w:val="00662F6B"/>
    <w:rsid w:val="006631D7"/>
    <w:rsid w:val="0066533B"/>
    <w:rsid w:val="0066536F"/>
    <w:rsid w:val="006671C8"/>
    <w:rsid w:val="006673F5"/>
    <w:rsid w:val="006678AF"/>
    <w:rsid w:val="00667F07"/>
    <w:rsid w:val="006701EF"/>
    <w:rsid w:val="0067039D"/>
    <w:rsid w:val="0067097D"/>
    <w:rsid w:val="00673BA5"/>
    <w:rsid w:val="006749B6"/>
    <w:rsid w:val="00674FFD"/>
    <w:rsid w:val="00677A67"/>
    <w:rsid w:val="00680058"/>
    <w:rsid w:val="00681F9F"/>
    <w:rsid w:val="00682217"/>
    <w:rsid w:val="00683966"/>
    <w:rsid w:val="006840EA"/>
    <w:rsid w:val="006844E2"/>
    <w:rsid w:val="00684814"/>
    <w:rsid w:val="00685267"/>
    <w:rsid w:val="006855AE"/>
    <w:rsid w:val="006872AE"/>
    <w:rsid w:val="00687AE8"/>
    <w:rsid w:val="00687D2D"/>
    <w:rsid w:val="00690082"/>
    <w:rsid w:val="00690252"/>
    <w:rsid w:val="0069126E"/>
    <w:rsid w:val="006915A0"/>
    <w:rsid w:val="00692A44"/>
    <w:rsid w:val="00693773"/>
    <w:rsid w:val="00694341"/>
    <w:rsid w:val="006946BB"/>
    <w:rsid w:val="006955A9"/>
    <w:rsid w:val="006969FA"/>
    <w:rsid w:val="00697029"/>
    <w:rsid w:val="006970E2"/>
    <w:rsid w:val="006972A4"/>
    <w:rsid w:val="00697F25"/>
    <w:rsid w:val="006A1F14"/>
    <w:rsid w:val="006A336A"/>
    <w:rsid w:val="006A35D5"/>
    <w:rsid w:val="006A441D"/>
    <w:rsid w:val="006A5D3C"/>
    <w:rsid w:val="006A748A"/>
    <w:rsid w:val="006A760F"/>
    <w:rsid w:val="006B0AE5"/>
    <w:rsid w:val="006B2938"/>
    <w:rsid w:val="006B5156"/>
    <w:rsid w:val="006B5A32"/>
    <w:rsid w:val="006B76C2"/>
    <w:rsid w:val="006B7898"/>
    <w:rsid w:val="006B7F25"/>
    <w:rsid w:val="006C0926"/>
    <w:rsid w:val="006C0C58"/>
    <w:rsid w:val="006C1173"/>
    <w:rsid w:val="006C136F"/>
    <w:rsid w:val="006C419E"/>
    <w:rsid w:val="006C4A31"/>
    <w:rsid w:val="006C5AC2"/>
    <w:rsid w:val="006C6AFB"/>
    <w:rsid w:val="006D19E8"/>
    <w:rsid w:val="006D1A35"/>
    <w:rsid w:val="006D1DA8"/>
    <w:rsid w:val="006D2735"/>
    <w:rsid w:val="006D45B2"/>
    <w:rsid w:val="006D50F1"/>
    <w:rsid w:val="006D68B6"/>
    <w:rsid w:val="006D76B4"/>
    <w:rsid w:val="006E0581"/>
    <w:rsid w:val="006E0FCC"/>
    <w:rsid w:val="006E1E96"/>
    <w:rsid w:val="006E1F74"/>
    <w:rsid w:val="006E2EB7"/>
    <w:rsid w:val="006E3E5B"/>
    <w:rsid w:val="006E5285"/>
    <w:rsid w:val="006E56AF"/>
    <w:rsid w:val="006E5E21"/>
    <w:rsid w:val="006E6842"/>
    <w:rsid w:val="006F11A1"/>
    <w:rsid w:val="006F1766"/>
    <w:rsid w:val="006F1782"/>
    <w:rsid w:val="006F25A6"/>
    <w:rsid w:val="006F2648"/>
    <w:rsid w:val="006F2F10"/>
    <w:rsid w:val="006F3642"/>
    <w:rsid w:val="006F482B"/>
    <w:rsid w:val="006F6311"/>
    <w:rsid w:val="00701952"/>
    <w:rsid w:val="00702556"/>
    <w:rsid w:val="0070277E"/>
    <w:rsid w:val="00702F9B"/>
    <w:rsid w:val="00703C2B"/>
    <w:rsid w:val="00704156"/>
    <w:rsid w:val="007046FF"/>
    <w:rsid w:val="0070530C"/>
    <w:rsid w:val="007069FC"/>
    <w:rsid w:val="00711221"/>
    <w:rsid w:val="0071129C"/>
    <w:rsid w:val="00712013"/>
    <w:rsid w:val="00712675"/>
    <w:rsid w:val="00712C48"/>
    <w:rsid w:val="00713808"/>
    <w:rsid w:val="007151B6"/>
    <w:rsid w:val="0071520D"/>
    <w:rsid w:val="00715EDB"/>
    <w:rsid w:val="007160D5"/>
    <w:rsid w:val="007163FB"/>
    <w:rsid w:val="00717C2E"/>
    <w:rsid w:val="007204FA"/>
    <w:rsid w:val="00720EA4"/>
    <w:rsid w:val="007213B3"/>
    <w:rsid w:val="00722E55"/>
    <w:rsid w:val="00723253"/>
    <w:rsid w:val="0072457F"/>
    <w:rsid w:val="00725406"/>
    <w:rsid w:val="00725C5B"/>
    <w:rsid w:val="00725E07"/>
    <w:rsid w:val="0072621B"/>
    <w:rsid w:val="007300EC"/>
    <w:rsid w:val="00730555"/>
    <w:rsid w:val="00730EC1"/>
    <w:rsid w:val="007312CC"/>
    <w:rsid w:val="007322FD"/>
    <w:rsid w:val="00732C9B"/>
    <w:rsid w:val="007354DB"/>
    <w:rsid w:val="00736A64"/>
    <w:rsid w:val="0073718D"/>
    <w:rsid w:val="00737F6A"/>
    <w:rsid w:val="007410B6"/>
    <w:rsid w:val="00742DFC"/>
    <w:rsid w:val="00744C6F"/>
    <w:rsid w:val="00745142"/>
    <w:rsid w:val="007457F6"/>
    <w:rsid w:val="00745ABB"/>
    <w:rsid w:val="00745BAF"/>
    <w:rsid w:val="007462CF"/>
    <w:rsid w:val="00746352"/>
    <w:rsid w:val="00746E38"/>
    <w:rsid w:val="00747CD5"/>
    <w:rsid w:val="00753B51"/>
    <w:rsid w:val="0075415E"/>
    <w:rsid w:val="00756629"/>
    <w:rsid w:val="007575D2"/>
    <w:rsid w:val="00757B4F"/>
    <w:rsid w:val="00757B6A"/>
    <w:rsid w:val="007610E0"/>
    <w:rsid w:val="0076151F"/>
    <w:rsid w:val="00761C5F"/>
    <w:rsid w:val="007621AA"/>
    <w:rsid w:val="0076260A"/>
    <w:rsid w:val="00762E20"/>
    <w:rsid w:val="00764A67"/>
    <w:rsid w:val="007656D7"/>
    <w:rsid w:val="0077077B"/>
    <w:rsid w:val="00770F6B"/>
    <w:rsid w:val="007716FD"/>
    <w:rsid w:val="00771883"/>
    <w:rsid w:val="0077526D"/>
    <w:rsid w:val="0077613B"/>
    <w:rsid w:val="0077639E"/>
    <w:rsid w:val="00776DC2"/>
    <w:rsid w:val="00777778"/>
    <w:rsid w:val="00780122"/>
    <w:rsid w:val="0078145D"/>
    <w:rsid w:val="0078214B"/>
    <w:rsid w:val="00783753"/>
    <w:rsid w:val="0078498A"/>
    <w:rsid w:val="007855AF"/>
    <w:rsid w:val="007868D4"/>
    <w:rsid w:val="00786E9D"/>
    <w:rsid w:val="007901F9"/>
    <w:rsid w:val="00790392"/>
    <w:rsid w:val="00790C14"/>
    <w:rsid w:val="00792207"/>
    <w:rsid w:val="00792B64"/>
    <w:rsid w:val="00792E29"/>
    <w:rsid w:val="0079379A"/>
    <w:rsid w:val="00793C40"/>
    <w:rsid w:val="00794953"/>
    <w:rsid w:val="007950A5"/>
    <w:rsid w:val="0079628F"/>
    <w:rsid w:val="00797F1D"/>
    <w:rsid w:val="007A1A0F"/>
    <w:rsid w:val="007A1B51"/>
    <w:rsid w:val="007A1F2F"/>
    <w:rsid w:val="007A2A5C"/>
    <w:rsid w:val="007A2CBF"/>
    <w:rsid w:val="007A3FEA"/>
    <w:rsid w:val="007A5062"/>
    <w:rsid w:val="007A5150"/>
    <w:rsid w:val="007A5373"/>
    <w:rsid w:val="007A59A9"/>
    <w:rsid w:val="007A789F"/>
    <w:rsid w:val="007B262D"/>
    <w:rsid w:val="007B44A9"/>
    <w:rsid w:val="007B4549"/>
    <w:rsid w:val="007B5047"/>
    <w:rsid w:val="007B75BC"/>
    <w:rsid w:val="007B7B66"/>
    <w:rsid w:val="007C0BD6"/>
    <w:rsid w:val="007C2200"/>
    <w:rsid w:val="007C3806"/>
    <w:rsid w:val="007C4F45"/>
    <w:rsid w:val="007C53AD"/>
    <w:rsid w:val="007C5BB7"/>
    <w:rsid w:val="007C5C76"/>
    <w:rsid w:val="007C5FCC"/>
    <w:rsid w:val="007C6437"/>
    <w:rsid w:val="007C7063"/>
    <w:rsid w:val="007C7F8B"/>
    <w:rsid w:val="007D07D5"/>
    <w:rsid w:val="007D15A3"/>
    <w:rsid w:val="007D1C64"/>
    <w:rsid w:val="007D32DD"/>
    <w:rsid w:val="007D52F0"/>
    <w:rsid w:val="007D6539"/>
    <w:rsid w:val="007D6DCE"/>
    <w:rsid w:val="007D712E"/>
    <w:rsid w:val="007D72C4"/>
    <w:rsid w:val="007D7304"/>
    <w:rsid w:val="007D7D33"/>
    <w:rsid w:val="007E13BF"/>
    <w:rsid w:val="007E2CFE"/>
    <w:rsid w:val="007E59C9"/>
    <w:rsid w:val="007E5CC8"/>
    <w:rsid w:val="007E6A5F"/>
    <w:rsid w:val="007E7F81"/>
    <w:rsid w:val="007F0072"/>
    <w:rsid w:val="007F2779"/>
    <w:rsid w:val="007F2EB6"/>
    <w:rsid w:val="007F54C3"/>
    <w:rsid w:val="007F5AFC"/>
    <w:rsid w:val="00800638"/>
    <w:rsid w:val="00802949"/>
    <w:rsid w:val="00802952"/>
    <w:rsid w:val="0080301E"/>
    <w:rsid w:val="008030D4"/>
    <w:rsid w:val="00803104"/>
    <w:rsid w:val="008031B7"/>
    <w:rsid w:val="0080365F"/>
    <w:rsid w:val="00804158"/>
    <w:rsid w:val="00804F80"/>
    <w:rsid w:val="0080589F"/>
    <w:rsid w:val="00806D13"/>
    <w:rsid w:val="00807971"/>
    <w:rsid w:val="00810CBE"/>
    <w:rsid w:val="008117DA"/>
    <w:rsid w:val="00811BFE"/>
    <w:rsid w:val="00812BE5"/>
    <w:rsid w:val="00813C7E"/>
    <w:rsid w:val="00813F04"/>
    <w:rsid w:val="00814DC0"/>
    <w:rsid w:val="008165FB"/>
    <w:rsid w:val="008166DF"/>
    <w:rsid w:val="00816A5D"/>
    <w:rsid w:val="008171DB"/>
    <w:rsid w:val="00817429"/>
    <w:rsid w:val="00817F06"/>
    <w:rsid w:val="008213F1"/>
    <w:rsid w:val="00821514"/>
    <w:rsid w:val="00821689"/>
    <w:rsid w:val="008217A5"/>
    <w:rsid w:val="00821E35"/>
    <w:rsid w:val="008229C8"/>
    <w:rsid w:val="00822AA0"/>
    <w:rsid w:val="00824591"/>
    <w:rsid w:val="00824AED"/>
    <w:rsid w:val="00827820"/>
    <w:rsid w:val="00831B8B"/>
    <w:rsid w:val="0083405D"/>
    <w:rsid w:val="00834817"/>
    <w:rsid w:val="008352D4"/>
    <w:rsid w:val="00836DB9"/>
    <w:rsid w:val="008375D8"/>
    <w:rsid w:val="00837C67"/>
    <w:rsid w:val="008415B0"/>
    <w:rsid w:val="00841909"/>
    <w:rsid w:val="00842028"/>
    <w:rsid w:val="008436B8"/>
    <w:rsid w:val="00844BB8"/>
    <w:rsid w:val="00845C5F"/>
    <w:rsid w:val="008460B6"/>
    <w:rsid w:val="008478CA"/>
    <w:rsid w:val="00847959"/>
    <w:rsid w:val="00850C9D"/>
    <w:rsid w:val="00850E56"/>
    <w:rsid w:val="0085204E"/>
    <w:rsid w:val="00852B59"/>
    <w:rsid w:val="00853B36"/>
    <w:rsid w:val="00854137"/>
    <w:rsid w:val="00856272"/>
    <w:rsid w:val="008563FF"/>
    <w:rsid w:val="00857304"/>
    <w:rsid w:val="008574B0"/>
    <w:rsid w:val="0086018B"/>
    <w:rsid w:val="00860746"/>
    <w:rsid w:val="008611DD"/>
    <w:rsid w:val="008620DE"/>
    <w:rsid w:val="00863966"/>
    <w:rsid w:val="00864544"/>
    <w:rsid w:val="00865133"/>
    <w:rsid w:val="00866218"/>
    <w:rsid w:val="008666CF"/>
    <w:rsid w:val="00866867"/>
    <w:rsid w:val="008705B4"/>
    <w:rsid w:val="0087084F"/>
    <w:rsid w:val="0087175B"/>
    <w:rsid w:val="00872249"/>
    <w:rsid w:val="00872257"/>
    <w:rsid w:val="00872266"/>
    <w:rsid w:val="0087281D"/>
    <w:rsid w:val="00872FCB"/>
    <w:rsid w:val="008753E6"/>
    <w:rsid w:val="00876D39"/>
    <w:rsid w:val="0087738C"/>
    <w:rsid w:val="008802AF"/>
    <w:rsid w:val="00880662"/>
    <w:rsid w:val="00880C06"/>
    <w:rsid w:val="00881632"/>
    <w:rsid w:val="00881926"/>
    <w:rsid w:val="00881D5A"/>
    <w:rsid w:val="0088318F"/>
    <w:rsid w:val="0088331D"/>
    <w:rsid w:val="008852B0"/>
    <w:rsid w:val="00885628"/>
    <w:rsid w:val="00885AE7"/>
    <w:rsid w:val="008866C0"/>
    <w:rsid w:val="00886B60"/>
    <w:rsid w:val="00887889"/>
    <w:rsid w:val="00892065"/>
    <w:rsid w:val="008920FF"/>
    <w:rsid w:val="00892151"/>
    <w:rsid w:val="008926E8"/>
    <w:rsid w:val="00893078"/>
    <w:rsid w:val="00893266"/>
    <w:rsid w:val="00893EE4"/>
    <w:rsid w:val="00894F19"/>
    <w:rsid w:val="00896A10"/>
    <w:rsid w:val="0089710E"/>
    <w:rsid w:val="008971B5"/>
    <w:rsid w:val="0089797F"/>
    <w:rsid w:val="008A0074"/>
    <w:rsid w:val="008A064F"/>
    <w:rsid w:val="008A0CB7"/>
    <w:rsid w:val="008A1469"/>
    <w:rsid w:val="008A1EAA"/>
    <w:rsid w:val="008A2243"/>
    <w:rsid w:val="008A2A5C"/>
    <w:rsid w:val="008A2BE2"/>
    <w:rsid w:val="008A42E3"/>
    <w:rsid w:val="008A432B"/>
    <w:rsid w:val="008A47D0"/>
    <w:rsid w:val="008A5D26"/>
    <w:rsid w:val="008A6B13"/>
    <w:rsid w:val="008A6ECB"/>
    <w:rsid w:val="008B0BF9"/>
    <w:rsid w:val="008B2866"/>
    <w:rsid w:val="008B299A"/>
    <w:rsid w:val="008B3859"/>
    <w:rsid w:val="008B41AF"/>
    <w:rsid w:val="008B436D"/>
    <w:rsid w:val="008B4E49"/>
    <w:rsid w:val="008B536D"/>
    <w:rsid w:val="008B6FFF"/>
    <w:rsid w:val="008B7712"/>
    <w:rsid w:val="008B7B26"/>
    <w:rsid w:val="008B7E79"/>
    <w:rsid w:val="008C00EF"/>
    <w:rsid w:val="008C0621"/>
    <w:rsid w:val="008C214A"/>
    <w:rsid w:val="008C3524"/>
    <w:rsid w:val="008C4061"/>
    <w:rsid w:val="008C4229"/>
    <w:rsid w:val="008C4DD1"/>
    <w:rsid w:val="008C4E9F"/>
    <w:rsid w:val="008C5BE0"/>
    <w:rsid w:val="008C7233"/>
    <w:rsid w:val="008D0653"/>
    <w:rsid w:val="008D0CD6"/>
    <w:rsid w:val="008D2434"/>
    <w:rsid w:val="008D318E"/>
    <w:rsid w:val="008D3779"/>
    <w:rsid w:val="008D4315"/>
    <w:rsid w:val="008D4A84"/>
    <w:rsid w:val="008D504B"/>
    <w:rsid w:val="008D5C5F"/>
    <w:rsid w:val="008D5D06"/>
    <w:rsid w:val="008D776C"/>
    <w:rsid w:val="008D798A"/>
    <w:rsid w:val="008E171B"/>
    <w:rsid w:val="008E171D"/>
    <w:rsid w:val="008E2017"/>
    <w:rsid w:val="008E2785"/>
    <w:rsid w:val="008E2BED"/>
    <w:rsid w:val="008E37C9"/>
    <w:rsid w:val="008E4690"/>
    <w:rsid w:val="008E4AED"/>
    <w:rsid w:val="008E5617"/>
    <w:rsid w:val="008E6786"/>
    <w:rsid w:val="008E78A3"/>
    <w:rsid w:val="008E79C7"/>
    <w:rsid w:val="008E7F69"/>
    <w:rsid w:val="008E7FBE"/>
    <w:rsid w:val="008F01F1"/>
    <w:rsid w:val="008F0654"/>
    <w:rsid w:val="008F06CB"/>
    <w:rsid w:val="008F2950"/>
    <w:rsid w:val="008F2C97"/>
    <w:rsid w:val="008F2E83"/>
    <w:rsid w:val="008F2FF6"/>
    <w:rsid w:val="008F47C5"/>
    <w:rsid w:val="008F5C85"/>
    <w:rsid w:val="008F5D3D"/>
    <w:rsid w:val="008F612A"/>
    <w:rsid w:val="0090293D"/>
    <w:rsid w:val="00903125"/>
    <w:rsid w:val="009034DE"/>
    <w:rsid w:val="00905220"/>
    <w:rsid w:val="00905396"/>
    <w:rsid w:val="0090605D"/>
    <w:rsid w:val="00906119"/>
    <w:rsid w:val="00906419"/>
    <w:rsid w:val="00906EF7"/>
    <w:rsid w:val="00910320"/>
    <w:rsid w:val="00912889"/>
    <w:rsid w:val="00913A42"/>
    <w:rsid w:val="00914167"/>
    <w:rsid w:val="009143DB"/>
    <w:rsid w:val="00915065"/>
    <w:rsid w:val="00916920"/>
    <w:rsid w:val="00916BB9"/>
    <w:rsid w:val="00916E34"/>
    <w:rsid w:val="009171BE"/>
    <w:rsid w:val="00917CE5"/>
    <w:rsid w:val="009217C0"/>
    <w:rsid w:val="009225E9"/>
    <w:rsid w:val="00923A10"/>
    <w:rsid w:val="009241D6"/>
    <w:rsid w:val="00925241"/>
    <w:rsid w:val="00925CEC"/>
    <w:rsid w:val="00926308"/>
    <w:rsid w:val="009267A5"/>
    <w:rsid w:val="00926A3F"/>
    <w:rsid w:val="0092794E"/>
    <w:rsid w:val="00927A94"/>
    <w:rsid w:val="00930D30"/>
    <w:rsid w:val="00931E3C"/>
    <w:rsid w:val="00932FD5"/>
    <w:rsid w:val="009332A2"/>
    <w:rsid w:val="00935276"/>
    <w:rsid w:val="00937532"/>
    <w:rsid w:val="00937598"/>
    <w:rsid w:val="0093790B"/>
    <w:rsid w:val="00937D39"/>
    <w:rsid w:val="0094000D"/>
    <w:rsid w:val="00940B0F"/>
    <w:rsid w:val="00941EF9"/>
    <w:rsid w:val="009420D3"/>
    <w:rsid w:val="00943077"/>
    <w:rsid w:val="00943751"/>
    <w:rsid w:val="00943971"/>
    <w:rsid w:val="00944C8B"/>
    <w:rsid w:val="00946138"/>
    <w:rsid w:val="00946187"/>
    <w:rsid w:val="00946DD0"/>
    <w:rsid w:val="009509E6"/>
    <w:rsid w:val="0095145B"/>
    <w:rsid w:val="00952018"/>
    <w:rsid w:val="009523DF"/>
    <w:rsid w:val="00952800"/>
    <w:rsid w:val="0095300D"/>
    <w:rsid w:val="00953705"/>
    <w:rsid w:val="00953E3A"/>
    <w:rsid w:val="00954EE0"/>
    <w:rsid w:val="00956812"/>
    <w:rsid w:val="0095719A"/>
    <w:rsid w:val="009572A1"/>
    <w:rsid w:val="009607EE"/>
    <w:rsid w:val="009623E9"/>
    <w:rsid w:val="00962959"/>
    <w:rsid w:val="00962B75"/>
    <w:rsid w:val="00963226"/>
    <w:rsid w:val="00963EEB"/>
    <w:rsid w:val="009648BC"/>
    <w:rsid w:val="00964C2F"/>
    <w:rsid w:val="00965F88"/>
    <w:rsid w:val="0097188D"/>
    <w:rsid w:val="00973A7F"/>
    <w:rsid w:val="00973E77"/>
    <w:rsid w:val="0097605B"/>
    <w:rsid w:val="009764B4"/>
    <w:rsid w:val="00976559"/>
    <w:rsid w:val="00976CFB"/>
    <w:rsid w:val="00981527"/>
    <w:rsid w:val="009816C0"/>
    <w:rsid w:val="00981E0D"/>
    <w:rsid w:val="009838A7"/>
    <w:rsid w:val="00984E03"/>
    <w:rsid w:val="00986A01"/>
    <w:rsid w:val="00987E85"/>
    <w:rsid w:val="0099017D"/>
    <w:rsid w:val="00991F3B"/>
    <w:rsid w:val="00992B27"/>
    <w:rsid w:val="009953E1"/>
    <w:rsid w:val="00997642"/>
    <w:rsid w:val="00997A7B"/>
    <w:rsid w:val="009A0691"/>
    <w:rsid w:val="009A0D12"/>
    <w:rsid w:val="009A1987"/>
    <w:rsid w:val="009A1B86"/>
    <w:rsid w:val="009A2BEE"/>
    <w:rsid w:val="009A3E44"/>
    <w:rsid w:val="009A45F8"/>
    <w:rsid w:val="009A4CDE"/>
    <w:rsid w:val="009A5289"/>
    <w:rsid w:val="009A7A53"/>
    <w:rsid w:val="009B02A4"/>
    <w:rsid w:val="009B0402"/>
    <w:rsid w:val="009B0B75"/>
    <w:rsid w:val="009B16DF"/>
    <w:rsid w:val="009B3B97"/>
    <w:rsid w:val="009B4CB2"/>
    <w:rsid w:val="009B6701"/>
    <w:rsid w:val="009B6EF7"/>
    <w:rsid w:val="009B6F84"/>
    <w:rsid w:val="009B7000"/>
    <w:rsid w:val="009B7299"/>
    <w:rsid w:val="009B739C"/>
    <w:rsid w:val="009C04EC"/>
    <w:rsid w:val="009C1A53"/>
    <w:rsid w:val="009C1DEE"/>
    <w:rsid w:val="009C328C"/>
    <w:rsid w:val="009C4444"/>
    <w:rsid w:val="009C49AD"/>
    <w:rsid w:val="009C4BD9"/>
    <w:rsid w:val="009C5BDC"/>
    <w:rsid w:val="009C79AD"/>
    <w:rsid w:val="009C7CA6"/>
    <w:rsid w:val="009D0991"/>
    <w:rsid w:val="009D118F"/>
    <w:rsid w:val="009D133D"/>
    <w:rsid w:val="009D14DD"/>
    <w:rsid w:val="009D1516"/>
    <w:rsid w:val="009D2286"/>
    <w:rsid w:val="009D23C3"/>
    <w:rsid w:val="009D2790"/>
    <w:rsid w:val="009D2999"/>
    <w:rsid w:val="009D29C1"/>
    <w:rsid w:val="009D3316"/>
    <w:rsid w:val="009D41BC"/>
    <w:rsid w:val="009D55AA"/>
    <w:rsid w:val="009D64AD"/>
    <w:rsid w:val="009E24E9"/>
    <w:rsid w:val="009E3043"/>
    <w:rsid w:val="009E3126"/>
    <w:rsid w:val="009E3E77"/>
    <w:rsid w:val="009E3FAB"/>
    <w:rsid w:val="009E5B3F"/>
    <w:rsid w:val="009E665E"/>
    <w:rsid w:val="009E6A18"/>
    <w:rsid w:val="009E7D90"/>
    <w:rsid w:val="009F1AB0"/>
    <w:rsid w:val="009F200D"/>
    <w:rsid w:val="009F228F"/>
    <w:rsid w:val="009F2A6C"/>
    <w:rsid w:val="009F42D4"/>
    <w:rsid w:val="009F4BBB"/>
    <w:rsid w:val="009F501D"/>
    <w:rsid w:val="009F5204"/>
    <w:rsid w:val="009F6C13"/>
    <w:rsid w:val="009F7650"/>
    <w:rsid w:val="00A03643"/>
    <w:rsid w:val="00A039D5"/>
    <w:rsid w:val="00A03B97"/>
    <w:rsid w:val="00A046AD"/>
    <w:rsid w:val="00A0513E"/>
    <w:rsid w:val="00A05936"/>
    <w:rsid w:val="00A079C1"/>
    <w:rsid w:val="00A07AE7"/>
    <w:rsid w:val="00A11C05"/>
    <w:rsid w:val="00A12411"/>
    <w:rsid w:val="00A12520"/>
    <w:rsid w:val="00A130FD"/>
    <w:rsid w:val="00A13286"/>
    <w:rsid w:val="00A13798"/>
    <w:rsid w:val="00A13D6D"/>
    <w:rsid w:val="00A14769"/>
    <w:rsid w:val="00A16151"/>
    <w:rsid w:val="00A16EC6"/>
    <w:rsid w:val="00A17C06"/>
    <w:rsid w:val="00A210A5"/>
    <w:rsid w:val="00A2126E"/>
    <w:rsid w:val="00A213CA"/>
    <w:rsid w:val="00A21504"/>
    <w:rsid w:val="00A21706"/>
    <w:rsid w:val="00A21DB8"/>
    <w:rsid w:val="00A22B57"/>
    <w:rsid w:val="00A24FCC"/>
    <w:rsid w:val="00A253AC"/>
    <w:rsid w:val="00A260FC"/>
    <w:rsid w:val="00A266D3"/>
    <w:rsid w:val="00A26A90"/>
    <w:rsid w:val="00A26B27"/>
    <w:rsid w:val="00A305A5"/>
    <w:rsid w:val="00A30E4F"/>
    <w:rsid w:val="00A32253"/>
    <w:rsid w:val="00A3310E"/>
    <w:rsid w:val="00A333A0"/>
    <w:rsid w:val="00A3363C"/>
    <w:rsid w:val="00A34C28"/>
    <w:rsid w:val="00A36012"/>
    <w:rsid w:val="00A37E70"/>
    <w:rsid w:val="00A37FB9"/>
    <w:rsid w:val="00A4090B"/>
    <w:rsid w:val="00A41522"/>
    <w:rsid w:val="00A42E2E"/>
    <w:rsid w:val="00A437E1"/>
    <w:rsid w:val="00A441DA"/>
    <w:rsid w:val="00A4487B"/>
    <w:rsid w:val="00A4685E"/>
    <w:rsid w:val="00A50CD4"/>
    <w:rsid w:val="00A50D0E"/>
    <w:rsid w:val="00A5107D"/>
    <w:rsid w:val="00A51191"/>
    <w:rsid w:val="00A5282C"/>
    <w:rsid w:val="00A53AAB"/>
    <w:rsid w:val="00A541E2"/>
    <w:rsid w:val="00A549EF"/>
    <w:rsid w:val="00A54B6E"/>
    <w:rsid w:val="00A54F13"/>
    <w:rsid w:val="00A56D62"/>
    <w:rsid w:val="00A56F07"/>
    <w:rsid w:val="00A5762C"/>
    <w:rsid w:val="00A600FC"/>
    <w:rsid w:val="00A60AA1"/>
    <w:rsid w:val="00A60BCA"/>
    <w:rsid w:val="00A61D59"/>
    <w:rsid w:val="00A61E3A"/>
    <w:rsid w:val="00A629C2"/>
    <w:rsid w:val="00A62A61"/>
    <w:rsid w:val="00A638DA"/>
    <w:rsid w:val="00A65B41"/>
    <w:rsid w:val="00A65E00"/>
    <w:rsid w:val="00A66A78"/>
    <w:rsid w:val="00A67D06"/>
    <w:rsid w:val="00A7028B"/>
    <w:rsid w:val="00A7055E"/>
    <w:rsid w:val="00A70DE4"/>
    <w:rsid w:val="00A71906"/>
    <w:rsid w:val="00A7254D"/>
    <w:rsid w:val="00A7436E"/>
    <w:rsid w:val="00A746FD"/>
    <w:rsid w:val="00A74D4F"/>
    <w:rsid w:val="00A74E96"/>
    <w:rsid w:val="00A758CB"/>
    <w:rsid w:val="00A75A8E"/>
    <w:rsid w:val="00A769FA"/>
    <w:rsid w:val="00A80849"/>
    <w:rsid w:val="00A80E63"/>
    <w:rsid w:val="00A824DD"/>
    <w:rsid w:val="00A83676"/>
    <w:rsid w:val="00A83B7B"/>
    <w:rsid w:val="00A84254"/>
    <w:rsid w:val="00A84274"/>
    <w:rsid w:val="00A847E3"/>
    <w:rsid w:val="00A84ECC"/>
    <w:rsid w:val="00A850F3"/>
    <w:rsid w:val="00A8592F"/>
    <w:rsid w:val="00A864E3"/>
    <w:rsid w:val="00A865DB"/>
    <w:rsid w:val="00A873EB"/>
    <w:rsid w:val="00A87C46"/>
    <w:rsid w:val="00A87EE5"/>
    <w:rsid w:val="00A911B3"/>
    <w:rsid w:val="00A91E6D"/>
    <w:rsid w:val="00A93B26"/>
    <w:rsid w:val="00A94574"/>
    <w:rsid w:val="00A95936"/>
    <w:rsid w:val="00A95ACF"/>
    <w:rsid w:val="00A96265"/>
    <w:rsid w:val="00A9705B"/>
    <w:rsid w:val="00A97084"/>
    <w:rsid w:val="00A97AA7"/>
    <w:rsid w:val="00AA1C2C"/>
    <w:rsid w:val="00AA2121"/>
    <w:rsid w:val="00AA2F36"/>
    <w:rsid w:val="00AA35F6"/>
    <w:rsid w:val="00AA45E7"/>
    <w:rsid w:val="00AA667C"/>
    <w:rsid w:val="00AA6E91"/>
    <w:rsid w:val="00AA7439"/>
    <w:rsid w:val="00AB047E"/>
    <w:rsid w:val="00AB0B0A"/>
    <w:rsid w:val="00AB0BB7"/>
    <w:rsid w:val="00AB1C1F"/>
    <w:rsid w:val="00AB22C6"/>
    <w:rsid w:val="00AB2AD0"/>
    <w:rsid w:val="00AB2BB8"/>
    <w:rsid w:val="00AB333C"/>
    <w:rsid w:val="00AB3A30"/>
    <w:rsid w:val="00AB3A60"/>
    <w:rsid w:val="00AB67FC"/>
    <w:rsid w:val="00AC00F2"/>
    <w:rsid w:val="00AC1722"/>
    <w:rsid w:val="00AC2454"/>
    <w:rsid w:val="00AC31B5"/>
    <w:rsid w:val="00AC3C97"/>
    <w:rsid w:val="00AC4EA1"/>
    <w:rsid w:val="00AC5381"/>
    <w:rsid w:val="00AC5920"/>
    <w:rsid w:val="00AC5FD4"/>
    <w:rsid w:val="00AC6DD6"/>
    <w:rsid w:val="00AC72E9"/>
    <w:rsid w:val="00AC74A5"/>
    <w:rsid w:val="00AC7B78"/>
    <w:rsid w:val="00AD0E65"/>
    <w:rsid w:val="00AD14C6"/>
    <w:rsid w:val="00AD2BF2"/>
    <w:rsid w:val="00AD34B2"/>
    <w:rsid w:val="00AD4216"/>
    <w:rsid w:val="00AD4BED"/>
    <w:rsid w:val="00AD4E90"/>
    <w:rsid w:val="00AD5422"/>
    <w:rsid w:val="00AD74AA"/>
    <w:rsid w:val="00AD7FA5"/>
    <w:rsid w:val="00AE01D1"/>
    <w:rsid w:val="00AE0321"/>
    <w:rsid w:val="00AE14D7"/>
    <w:rsid w:val="00AE3B1B"/>
    <w:rsid w:val="00AE4179"/>
    <w:rsid w:val="00AE4425"/>
    <w:rsid w:val="00AE4AEB"/>
    <w:rsid w:val="00AE4FBE"/>
    <w:rsid w:val="00AE53A3"/>
    <w:rsid w:val="00AE5E55"/>
    <w:rsid w:val="00AE60E9"/>
    <w:rsid w:val="00AE650F"/>
    <w:rsid w:val="00AE6555"/>
    <w:rsid w:val="00AE6A4D"/>
    <w:rsid w:val="00AE7D16"/>
    <w:rsid w:val="00AF1211"/>
    <w:rsid w:val="00AF30AC"/>
    <w:rsid w:val="00AF3538"/>
    <w:rsid w:val="00AF3543"/>
    <w:rsid w:val="00AF3E0B"/>
    <w:rsid w:val="00AF4CAA"/>
    <w:rsid w:val="00AF571A"/>
    <w:rsid w:val="00AF60A0"/>
    <w:rsid w:val="00AF67FC"/>
    <w:rsid w:val="00AF7DF5"/>
    <w:rsid w:val="00AF7EE2"/>
    <w:rsid w:val="00B006E5"/>
    <w:rsid w:val="00B00D5F"/>
    <w:rsid w:val="00B00F0F"/>
    <w:rsid w:val="00B01993"/>
    <w:rsid w:val="00B024C2"/>
    <w:rsid w:val="00B02769"/>
    <w:rsid w:val="00B0276F"/>
    <w:rsid w:val="00B031CA"/>
    <w:rsid w:val="00B0415D"/>
    <w:rsid w:val="00B0680F"/>
    <w:rsid w:val="00B07700"/>
    <w:rsid w:val="00B1174A"/>
    <w:rsid w:val="00B117FA"/>
    <w:rsid w:val="00B119B3"/>
    <w:rsid w:val="00B11DCB"/>
    <w:rsid w:val="00B12D36"/>
    <w:rsid w:val="00B134E8"/>
    <w:rsid w:val="00B13921"/>
    <w:rsid w:val="00B142F5"/>
    <w:rsid w:val="00B1528C"/>
    <w:rsid w:val="00B152AA"/>
    <w:rsid w:val="00B15576"/>
    <w:rsid w:val="00B16ACD"/>
    <w:rsid w:val="00B200C5"/>
    <w:rsid w:val="00B21487"/>
    <w:rsid w:val="00B232D1"/>
    <w:rsid w:val="00B24DB5"/>
    <w:rsid w:val="00B25D24"/>
    <w:rsid w:val="00B25DB7"/>
    <w:rsid w:val="00B27465"/>
    <w:rsid w:val="00B30946"/>
    <w:rsid w:val="00B30B22"/>
    <w:rsid w:val="00B311EA"/>
    <w:rsid w:val="00B31C32"/>
    <w:rsid w:val="00B31F9E"/>
    <w:rsid w:val="00B3268F"/>
    <w:rsid w:val="00B32C2C"/>
    <w:rsid w:val="00B3311E"/>
    <w:rsid w:val="00B338A9"/>
    <w:rsid w:val="00B33A1A"/>
    <w:rsid w:val="00B33E6C"/>
    <w:rsid w:val="00B358FB"/>
    <w:rsid w:val="00B371CC"/>
    <w:rsid w:val="00B37E72"/>
    <w:rsid w:val="00B40E69"/>
    <w:rsid w:val="00B41CD9"/>
    <w:rsid w:val="00B42601"/>
    <w:rsid w:val="00B427E6"/>
    <w:rsid w:val="00B428A6"/>
    <w:rsid w:val="00B42A1F"/>
    <w:rsid w:val="00B42E32"/>
    <w:rsid w:val="00B43E1F"/>
    <w:rsid w:val="00B4470D"/>
    <w:rsid w:val="00B45FBC"/>
    <w:rsid w:val="00B46DB9"/>
    <w:rsid w:val="00B51A7D"/>
    <w:rsid w:val="00B51CD3"/>
    <w:rsid w:val="00B5301D"/>
    <w:rsid w:val="00B535C2"/>
    <w:rsid w:val="00B55544"/>
    <w:rsid w:val="00B561F4"/>
    <w:rsid w:val="00B604B6"/>
    <w:rsid w:val="00B625B3"/>
    <w:rsid w:val="00B62749"/>
    <w:rsid w:val="00B642FC"/>
    <w:rsid w:val="00B64D26"/>
    <w:rsid w:val="00B64FBB"/>
    <w:rsid w:val="00B7070B"/>
    <w:rsid w:val="00B70E22"/>
    <w:rsid w:val="00B71431"/>
    <w:rsid w:val="00B719F3"/>
    <w:rsid w:val="00B71F66"/>
    <w:rsid w:val="00B731B7"/>
    <w:rsid w:val="00B73AF9"/>
    <w:rsid w:val="00B746E3"/>
    <w:rsid w:val="00B774CB"/>
    <w:rsid w:val="00B80402"/>
    <w:rsid w:val="00B807BD"/>
    <w:rsid w:val="00B80B9A"/>
    <w:rsid w:val="00B81F3D"/>
    <w:rsid w:val="00B830B7"/>
    <w:rsid w:val="00B83237"/>
    <w:rsid w:val="00B844FB"/>
    <w:rsid w:val="00B84752"/>
    <w:rsid w:val="00B848EA"/>
    <w:rsid w:val="00B84B2B"/>
    <w:rsid w:val="00B87B0E"/>
    <w:rsid w:val="00B90500"/>
    <w:rsid w:val="00B914F9"/>
    <w:rsid w:val="00B9176C"/>
    <w:rsid w:val="00B91BE6"/>
    <w:rsid w:val="00B935A4"/>
    <w:rsid w:val="00B943FF"/>
    <w:rsid w:val="00B94B09"/>
    <w:rsid w:val="00B96799"/>
    <w:rsid w:val="00BA0AFB"/>
    <w:rsid w:val="00BA17A7"/>
    <w:rsid w:val="00BA17E1"/>
    <w:rsid w:val="00BA2A71"/>
    <w:rsid w:val="00BA561A"/>
    <w:rsid w:val="00BA63E8"/>
    <w:rsid w:val="00BA70DC"/>
    <w:rsid w:val="00BA79B1"/>
    <w:rsid w:val="00BA7AD9"/>
    <w:rsid w:val="00BB0D99"/>
    <w:rsid w:val="00BB0DC6"/>
    <w:rsid w:val="00BB0F44"/>
    <w:rsid w:val="00BB13D3"/>
    <w:rsid w:val="00BB15E4"/>
    <w:rsid w:val="00BB1E19"/>
    <w:rsid w:val="00BB21D1"/>
    <w:rsid w:val="00BB32F2"/>
    <w:rsid w:val="00BB3718"/>
    <w:rsid w:val="00BB4338"/>
    <w:rsid w:val="00BB466F"/>
    <w:rsid w:val="00BB6978"/>
    <w:rsid w:val="00BB6C0E"/>
    <w:rsid w:val="00BB794A"/>
    <w:rsid w:val="00BB79CE"/>
    <w:rsid w:val="00BB7B38"/>
    <w:rsid w:val="00BC11E5"/>
    <w:rsid w:val="00BC4BC6"/>
    <w:rsid w:val="00BC52FD"/>
    <w:rsid w:val="00BC6E62"/>
    <w:rsid w:val="00BC7443"/>
    <w:rsid w:val="00BC7504"/>
    <w:rsid w:val="00BC789F"/>
    <w:rsid w:val="00BC7AA9"/>
    <w:rsid w:val="00BD046B"/>
    <w:rsid w:val="00BD0593"/>
    <w:rsid w:val="00BD0648"/>
    <w:rsid w:val="00BD1040"/>
    <w:rsid w:val="00BD34AA"/>
    <w:rsid w:val="00BD4A1B"/>
    <w:rsid w:val="00BD7F2A"/>
    <w:rsid w:val="00BE049C"/>
    <w:rsid w:val="00BE0C44"/>
    <w:rsid w:val="00BE1B8B"/>
    <w:rsid w:val="00BE2A18"/>
    <w:rsid w:val="00BE2B16"/>
    <w:rsid w:val="00BE2C01"/>
    <w:rsid w:val="00BE2E09"/>
    <w:rsid w:val="00BE41EC"/>
    <w:rsid w:val="00BE56FB"/>
    <w:rsid w:val="00BF03F3"/>
    <w:rsid w:val="00BF129B"/>
    <w:rsid w:val="00BF3DDE"/>
    <w:rsid w:val="00BF6589"/>
    <w:rsid w:val="00BF6F7F"/>
    <w:rsid w:val="00BF7458"/>
    <w:rsid w:val="00C00127"/>
    <w:rsid w:val="00C00647"/>
    <w:rsid w:val="00C00942"/>
    <w:rsid w:val="00C0169C"/>
    <w:rsid w:val="00C02764"/>
    <w:rsid w:val="00C04CEF"/>
    <w:rsid w:val="00C05347"/>
    <w:rsid w:val="00C0662F"/>
    <w:rsid w:val="00C07A54"/>
    <w:rsid w:val="00C11943"/>
    <w:rsid w:val="00C12E96"/>
    <w:rsid w:val="00C14763"/>
    <w:rsid w:val="00C154B3"/>
    <w:rsid w:val="00C16141"/>
    <w:rsid w:val="00C17187"/>
    <w:rsid w:val="00C17318"/>
    <w:rsid w:val="00C223C2"/>
    <w:rsid w:val="00C2270B"/>
    <w:rsid w:val="00C2363F"/>
    <w:rsid w:val="00C236C8"/>
    <w:rsid w:val="00C24C4E"/>
    <w:rsid w:val="00C2555D"/>
    <w:rsid w:val="00C2575F"/>
    <w:rsid w:val="00C2580C"/>
    <w:rsid w:val="00C260B1"/>
    <w:rsid w:val="00C26319"/>
    <w:rsid w:val="00C26E56"/>
    <w:rsid w:val="00C2725B"/>
    <w:rsid w:val="00C3008D"/>
    <w:rsid w:val="00C306CA"/>
    <w:rsid w:val="00C30ED1"/>
    <w:rsid w:val="00C31406"/>
    <w:rsid w:val="00C31495"/>
    <w:rsid w:val="00C32D48"/>
    <w:rsid w:val="00C33863"/>
    <w:rsid w:val="00C34CF0"/>
    <w:rsid w:val="00C34DDC"/>
    <w:rsid w:val="00C35580"/>
    <w:rsid w:val="00C35664"/>
    <w:rsid w:val="00C36BF9"/>
    <w:rsid w:val="00C3713B"/>
    <w:rsid w:val="00C37194"/>
    <w:rsid w:val="00C40637"/>
    <w:rsid w:val="00C40F6C"/>
    <w:rsid w:val="00C41A51"/>
    <w:rsid w:val="00C41BE9"/>
    <w:rsid w:val="00C42551"/>
    <w:rsid w:val="00C44426"/>
    <w:rsid w:val="00C445F3"/>
    <w:rsid w:val="00C451F4"/>
    <w:rsid w:val="00C45EB1"/>
    <w:rsid w:val="00C46FBC"/>
    <w:rsid w:val="00C47968"/>
    <w:rsid w:val="00C507C3"/>
    <w:rsid w:val="00C51D53"/>
    <w:rsid w:val="00C51F98"/>
    <w:rsid w:val="00C520DC"/>
    <w:rsid w:val="00C523F9"/>
    <w:rsid w:val="00C52795"/>
    <w:rsid w:val="00C538EA"/>
    <w:rsid w:val="00C54A3A"/>
    <w:rsid w:val="00C55069"/>
    <w:rsid w:val="00C55566"/>
    <w:rsid w:val="00C55B1F"/>
    <w:rsid w:val="00C56448"/>
    <w:rsid w:val="00C57B0D"/>
    <w:rsid w:val="00C6060E"/>
    <w:rsid w:val="00C62F85"/>
    <w:rsid w:val="00C6313D"/>
    <w:rsid w:val="00C631F1"/>
    <w:rsid w:val="00C667BE"/>
    <w:rsid w:val="00C6766B"/>
    <w:rsid w:val="00C705F1"/>
    <w:rsid w:val="00C72223"/>
    <w:rsid w:val="00C74178"/>
    <w:rsid w:val="00C75EF3"/>
    <w:rsid w:val="00C76417"/>
    <w:rsid w:val="00C7726F"/>
    <w:rsid w:val="00C773CA"/>
    <w:rsid w:val="00C7753D"/>
    <w:rsid w:val="00C776B3"/>
    <w:rsid w:val="00C807BA"/>
    <w:rsid w:val="00C811EF"/>
    <w:rsid w:val="00C81DDF"/>
    <w:rsid w:val="00C823DA"/>
    <w:rsid w:val="00C8259F"/>
    <w:rsid w:val="00C82746"/>
    <w:rsid w:val="00C828B1"/>
    <w:rsid w:val="00C82BFC"/>
    <w:rsid w:val="00C8312F"/>
    <w:rsid w:val="00C84975"/>
    <w:rsid w:val="00C84C47"/>
    <w:rsid w:val="00C858A4"/>
    <w:rsid w:val="00C86AFA"/>
    <w:rsid w:val="00C877D2"/>
    <w:rsid w:val="00C91E7C"/>
    <w:rsid w:val="00C93259"/>
    <w:rsid w:val="00C94DE0"/>
    <w:rsid w:val="00C94ED3"/>
    <w:rsid w:val="00C95BF8"/>
    <w:rsid w:val="00C96D03"/>
    <w:rsid w:val="00C96F1A"/>
    <w:rsid w:val="00C9708E"/>
    <w:rsid w:val="00CA0D9B"/>
    <w:rsid w:val="00CA1759"/>
    <w:rsid w:val="00CA1F13"/>
    <w:rsid w:val="00CA2BA5"/>
    <w:rsid w:val="00CA3B18"/>
    <w:rsid w:val="00CA52F5"/>
    <w:rsid w:val="00CB18D0"/>
    <w:rsid w:val="00CB1C8A"/>
    <w:rsid w:val="00CB1FA6"/>
    <w:rsid w:val="00CB24F5"/>
    <w:rsid w:val="00CB2663"/>
    <w:rsid w:val="00CB3BBE"/>
    <w:rsid w:val="00CB4648"/>
    <w:rsid w:val="00CB52F1"/>
    <w:rsid w:val="00CB59E9"/>
    <w:rsid w:val="00CB6F7A"/>
    <w:rsid w:val="00CB72C7"/>
    <w:rsid w:val="00CC0069"/>
    <w:rsid w:val="00CC0D6A"/>
    <w:rsid w:val="00CC131F"/>
    <w:rsid w:val="00CC1D1B"/>
    <w:rsid w:val="00CC3831"/>
    <w:rsid w:val="00CC3E3D"/>
    <w:rsid w:val="00CC4BF7"/>
    <w:rsid w:val="00CC519B"/>
    <w:rsid w:val="00CC575D"/>
    <w:rsid w:val="00CC60C2"/>
    <w:rsid w:val="00CC61AB"/>
    <w:rsid w:val="00CC6278"/>
    <w:rsid w:val="00CC6544"/>
    <w:rsid w:val="00CC717E"/>
    <w:rsid w:val="00CC7ECA"/>
    <w:rsid w:val="00CD0721"/>
    <w:rsid w:val="00CD117E"/>
    <w:rsid w:val="00CD12C1"/>
    <w:rsid w:val="00CD1561"/>
    <w:rsid w:val="00CD214E"/>
    <w:rsid w:val="00CD3C0C"/>
    <w:rsid w:val="00CD405C"/>
    <w:rsid w:val="00CD43DB"/>
    <w:rsid w:val="00CD46FA"/>
    <w:rsid w:val="00CD4A5C"/>
    <w:rsid w:val="00CD530B"/>
    <w:rsid w:val="00CD5620"/>
    <w:rsid w:val="00CD5973"/>
    <w:rsid w:val="00CD727B"/>
    <w:rsid w:val="00CE1669"/>
    <w:rsid w:val="00CE258D"/>
    <w:rsid w:val="00CE3081"/>
    <w:rsid w:val="00CE31A6"/>
    <w:rsid w:val="00CE3F00"/>
    <w:rsid w:val="00CF09AA"/>
    <w:rsid w:val="00CF0F39"/>
    <w:rsid w:val="00CF1308"/>
    <w:rsid w:val="00CF21C9"/>
    <w:rsid w:val="00CF2842"/>
    <w:rsid w:val="00CF2E34"/>
    <w:rsid w:val="00CF43D3"/>
    <w:rsid w:val="00CF4813"/>
    <w:rsid w:val="00CF4FBB"/>
    <w:rsid w:val="00CF5233"/>
    <w:rsid w:val="00CF668C"/>
    <w:rsid w:val="00CF7235"/>
    <w:rsid w:val="00D01599"/>
    <w:rsid w:val="00D023F8"/>
    <w:rsid w:val="00D029B8"/>
    <w:rsid w:val="00D02F60"/>
    <w:rsid w:val="00D035C9"/>
    <w:rsid w:val="00D0464E"/>
    <w:rsid w:val="00D04A96"/>
    <w:rsid w:val="00D059FC"/>
    <w:rsid w:val="00D07A7B"/>
    <w:rsid w:val="00D10E06"/>
    <w:rsid w:val="00D1316E"/>
    <w:rsid w:val="00D1438D"/>
    <w:rsid w:val="00D15197"/>
    <w:rsid w:val="00D16820"/>
    <w:rsid w:val="00D169C8"/>
    <w:rsid w:val="00D1793F"/>
    <w:rsid w:val="00D17BF1"/>
    <w:rsid w:val="00D2007C"/>
    <w:rsid w:val="00D2014E"/>
    <w:rsid w:val="00D2217D"/>
    <w:rsid w:val="00D224F0"/>
    <w:rsid w:val="00D22AF5"/>
    <w:rsid w:val="00D235EA"/>
    <w:rsid w:val="00D247A9"/>
    <w:rsid w:val="00D27E71"/>
    <w:rsid w:val="00D30B12"/>
    <w:rsid w:val="00D3125D"/>
    <w:rsid w:val="00D3156F"/>
    <w:rsid w:val="00D32626"/>
    <w:rsid w:val="00D32721"/>
    <w:rsid w:val="00D328DC"/>
    <w:rsid w:val="00D33387"/>
    <w:rsid w:val="00D34C89"/>
    <w:rsid w:val="00D35C36"/>
    <w:rsid w:val="00D3686B"/>
    <w:rsid w:val="00D402FB"/>
    <w:rsid w:val="00D41505"/>
    <w:rsid w:val="00D42B36"/>
    <w:rsid w:val="00D434AB"/>
    <w:rsid w:val="00D46408"/>
    <w:rsid w:val="00D4691F"/>
    <w:rsid w:val="00D47D7A"/>
    <w:rsid w:val="00D50ABD"/>
    <w:rsid w:val="00D52057"/>
    <w:rsid w:val="00D52608"/>
    <w:rsid w:val="00D538C8"/>
    <w:rsid w:val="00D54599"/>
    <w:rsid w:val="00D55290"/>
    <w:rsid w:val="00D56280"/>
    <w:rsid w:val="00D57791"/>
    <w:rsid w:val="00D57E2F"/>
    <w:rsid w:val="00D6046A"/>
    <w:rsid w:val="00D61904"/>
    <w:rsid w:val="00D62870"/>
    <w:rsid w:val="00D63C51"/>
    <w:rsid w:val="00D63E1F"/>
    <w:rsid w:val="00D63F42"/>
    <w:rsid w:val="00D649B8"/>
    <w:rsid w:val="00D64A67"/>
    <w:rsid w:val="00D655D9"/>
    <w:rsid w:val="00D6560F"/>
    <w:rsid w:val="00D65872"/>
    <w:rsid w:val="00D6698C"/>
    <w:rsid w:val="00D676F3"/>
    <w:rsid w:val="00D70EF5"/>
    <w:rsid w:val="00D70F4D"/>
    <w:rsid w:val="00D71024"/>
    <w:rsid w:val="00D71145"/>
    <w:rsid w:val="00D71A25"/>
    <w:rsid w:val="00D71A8C"/>
    <w:rsid w:val="00D71FCF"/>
    <w:rsid w:val="00D72264"/>
    <w:rsid w:val="00D72A54"/>
    <w:rsid w:val="00D72CC1"/>
    <w:rsid w:val="00D76EC9"/>
    <w:rsid w:val="00D774BC"/>
    <w:rsid w:val="00D80E7D"/>
    <w:rsid w:val="00D81397"/>
    <w:rsid w:val="00D82996"/>
    <w:rsid w:val="00D848B9"/>
    <w:rsid w:val="00D85D00"/>
    <w:rsid w:val="00D90D2B"/>
    <w:rsid w:val="00D90E69"/>
    <w:rsid w:val="00D91368"/>
    <w:rsid w:val="00D93106"/>
    <w:rsid w:val="00D93167"/>
    <w:rsid w:val="00D933E9"/>
    <w:rsid w:val="00D93E15"/>
    <w:rsid w:val="00D945EA"/>
    <w:rsid w:val="00D9505D"/>
    <w:rsid w:val="00D953D0"/>
    <w:rsid w:val="00D959F5"/>
    <w:rsid w:val="00D962C5"/>
    <w:rsid w:val="00D96884"/>
    <w:rsid w:val="00DA01F8"/>
    <w:rsid w:val="00DA0B37"/>
    <w:rsid w:val="00DA2CD4"/>
    <w:rsid w:val="00DA2F7D"/>
    <w:rsid w:val="00DA3083"/>
    <w:rsid w:val="00DA3FDD"/>
    <w:rsid w:val="00DA7017"/>
    <w:rsid w:val="00DA7028"/>
    <w:rsid w:val="00DA7FA4"/>
    <w:rsid w:val="00DB0515"/>
    <w:rsid w:val="00DB0718"/>
    <w:rsid w:val="00DB1220"/>
    <w:rsid w:val="00DB14FA"/>
    <w:rsid w:val="00DB1AD2"/>
    <w:rsid w:val="00DB2B58"/>
    <w:rsid w:val="00DB418D"/>
    <w:rsid w:val="00DB4A6F"/>
    <w:rsid w:val="00DB4BE6"/>
    <w:rsid w:val="00DB5206"/>
    <w:rsid w:val="00DB5794"/>
    <w:rsid w:val="00DB6276"/>
    <w:rsid w:val="00DB63F5"/>
    <w:rsid w:val="00DB7635"/>
    <w:rsid w:val="00DC00E8"/>
    <w:rsid w:val="00DC1C6B"/>
    <w:rsid w:val="00DC2133"/>
    <w:rsid w:val="00DC2C2E"/>
    <w:rsid w:val="00DC4AF0"/>
    <w:rsid w:val="00DC4D52"/>
    <w:rsid w:val="00DC502B"/>
    <w:rsid w:val="00DC7886"/>
    <w:rsid w:val="00DD0CF2"/>
    <w:rsid w:val="00DD1049"/>
    <w:rsid w:val="00DD5A08"/>
    <w:rsid w:val="00DE1554"/>
    <w:rsid w:val="00DE178B"/>
    <w:rsid w:val="00DE2901"/>
    <w:rsid w:val="00DE33AC"/>
    <w:rsid w:val="00DE490C"/>
    <w:rsid w:val="00DE50A1"/>
    <w:rsid w:val="00DE590F"/>
    <w:rsid w:val="00DE5A30"/>
    <w:rsid w:val="00DE65E2"/>
    <w:rsid w:val="00DE6BA7"/>
    <w:rsid w:val="00DE7DC1"/>
    <w:rsid w:val="00DF1C70"/>
    <w:rsid w:val="00DF29C2"/>
    <w:rsid w:val="00DF3D61"/>
    <w:rsid w:val="00DF3F7E"/>
    <w:rsid w:val="00DF54A5"/>
    <w:rsid w:val="00DF5F42"/>
    <w:rsid w:val="00DF6C93"/>
    <w:rsid w:val="00DF6CA9"/>
    <w:rsid w:val="00DF6E80"/>
    <w:rsid w:val="00DF732A"/>
    <w:rsid w:val="00DF7648"/>
    <w:rsid w:val="00E00E29"/>
    <w:rsid w:val="00E01E11"/>
    <w:rsid w:val="00E0212D"/>
    <w:rsid w:val="00E02BAB"/>
    <w:rsid w:val="00E037D8"/>
    <w:rsid w:val="00E042ED"/>
    <w:rsid w:val="00E0484A"/>
    <w:rsid w:val="00E04CEB"/>
    <w:rsid w:val="00E060BC"/>
    <w:rsid w:val="00E06A3C"/>
    <w:rsid w:val="00E11420"/>
    <w:rsid w:val="00E11734"/>
    <w:rsid w:val="00E1292D"/>
    <w:rsid w:val="00E132FB"/>
    <w:rsid w:val="00E1420A"/>
    <w:rsid w:val="00E14B51"/>
    <w:rsid w:val="00E170B7"/>
    <w:rsid w:val="00E177DD"/>
    <w:rsid w:val="00E20900"/>
    <w:rsid w:val="00E20C7F"/>
    <w:rsid w:val="00E2113C"/>
    <w:rsid w:val="00E2121F"/>
    <w:rsid w:val="00E21546"/>
    <w:rsid w:val="00E238AC"/>
    <w:rsid w:val="00E2396E"/>
    <w:rsid w:val="00E2469D"/>
    <w:rsid w:val="00E24728"/>
    <w:rsid w:val="00E257EF"/>
    <w:rsid w:val="00E276AC"/>
    <w:rsid w:val="00E31AA7"/>
    <w:rsid w:val="00E339A0"/>
    <w:rsid w:val="00E34A35"/>
    <w:rsid w:val="00E35CFF"/>
    <w:rsid w:val="00E36837"/>
    <w:rsid w:val="00E36A47"/>
    <w:rsid w:val="00E37149"/>
    <w:rsid w:val="00E37C2F"/>
    <w:rsid w:val="00E41110"/>
    <w:rsid w:val="00E41398"/>
    <w:rsid w:val="00E41C28"/>
    <w:rsid w:val="00E42898"/>
    <w:rsid w:val="00E43ED2"/>
    <w:rsid w:val="00E447E8"/>
    <w:rsid w:val="00E46308"/>
    <w:rsid w:val="00E47B59"/>
    <w:rsid w:val="00E50995"/>
    <w:rsid w:val="00E51805"/>
    <w:rsid w:val="00E51E17"/>
    <w:rsid w:val="00E52DAB"/>
    <w:rsid w:val="00E52DBF"/>
    <w:rsid w:val="00E539B0"/>
    <w:rsid w:val="00E5467B"/>
    <w:rsid w:val="00E546CE"/>
    <w:rsid w:val="00E54FB1"/>
    <w:rsid w:val="00E55994"/>
    <w:rsid w:val="00E57470"/>
    <w:rsid w:val="00E57EEC"/>
    <w:rsid w:val="00E60606"/>
    <w:rsid w:val="00E60C66"/>
    <w:rsid w:val="00E610D7"/>
    <w:rsid w:val="00E6164D"/>
    <w:rsid w:val="00E618C9"/>
    <w:rsid w:val="00E61F5E"/>
    <w:rsid w:val="00E62774"/>
    <w:rsid w:val="00E6305E"/>
    <w:rsid w:val="00E6307C"/>
    <w:rsid w:val="00E636FA"/>
    <w:rsid w:val="00E63C56"/>
    <w:rsid w:val="00E63F99"/>
    <w:rsid w:val="00E64823"/>
    <w:rsid w:val="00E652EC"/>
    <w:rsid w:val="00E660F2"/>
    <w:rsid w:val="00E66AB0"/>
    <w:rsid w:val="00E66C50"/>
    <w:rsid w:val="00E67559"/>
    <w:rsid w:val="00E67681"/>
    <w:rsid w:val="00E679D3"/>
    <w:rsid w:val="00E70080"/>
    <w:rsid w:val="00E7098B"/>
    <w:rsid w:val="00E70F16"/>
    <w:rsid w:val="00E71208"/>
    <w:rsid w:val="00E71338"/>
    <w:rsid w:val="00E71444"/>
    <w:rsid w:val="00E71C91"/>
    <w:rsid w:val="00E720A1"/>
    <w:rsid w:val="00E73444"/>
    <w:rsid w:val="00E74826"/>
    <w:rsid w:val="00E75DDA"/>
    <w:rsid w:val="00E763C3"/>
    <w:rsid w:val="00E773E8"/>
    <w:rsid w:val="00E77FAD"/>
    <w:rsid w:val="00E82DE5"/>
    <w:rsid w:val="00E82F39"/>
    <w:rsid w:val="00E83ADD"/>
    <w:rsid w:val="00E84C04"/>
    <w:rsid w:val="00E84F38"/>
    <w:rsid w:val="00E84FED"/>
    <w:rsid w:val="00E85623"/>
    <w:rsid w:val="00E8645B"/>
    <w:rsid w:val="00E87441"/>
    <w:rsid w:val="00E9041F"/>
    <w:rsid w:val="00E917ED"/>
    <w:rsid w:val="00E91FAE"/>
    <w:rsid w:val="00E9343C"/>
    <w:rsid w:val="00E93754"/>
    <w:rsid w:val="00E938D6"/>
    <w:rsid w:val="00E945EB"/>
    <w:rsid w:val="00E94617"/>
    <w:rsid w:val="00E9502C"/>
    <w:rsid w:val="00E95C41"/>
    <w:rsid w:val="00E96E3F"/>
    <w:rsid w:val="00EA25AE"/>
    <w:rsid w:val="00EA270C"/>
    <w:rsid w:val="00EA39F9"/>
    <w:rsid w:val="00EA3C13"/>
    <w:rsid w:val="00EA3CC7"/>
    <w:rsid w:val="00EA4974"/>
    <w:rsid w:val="00EA532E"/>
    <w:rsid w:val="00EA6E05"/>
    <w:rsid w:val="00EB06D9"/>
    <w:rsid w:val="00EB1393"/>
    <w:rsid w:val="00EB192B"/>
    <w:rsid w:val="00EB19ED"/>
    <w:rsid w:val="00EB1C06"/>
    <w:rsid w:val="00EB1CAB"/>
    <w:rsid w:val="00EB1F6A"/>
    <w:rsid w:val="00EB26CB"/>
    <w:rsid w:val="00EC0F5A"/>
    <w:rsid w:val="00EC27E7"/>
    <w:rsid w:val="00EC3F38"/>
    <w:rsid w:val="00EC4265"/>
    <w:rsid w:val="00EC4CEB"/>
    <w:rsid w:val="00EC551C"/>
    <w:rsid w:val="00EC5BC5"/>
    <w:rsid w:val="00EC6462"/>
    <w:rsid w:val="00EC659E"/>
    <w:rsid w:val="00EC7A04"/>
    <w:rsid w:val="00ED2072"/>
    <w:rsid w:val="00ED28A2"/>
    <w:rsid w:val="00ED2AE0"/>
    <w:rsid w:val="00ED3158"/>
    <w:rsid w:val="00ED4134"/>
    <w:rsid w:val="00ED496F"/>
    <w:rsid w:val="00ED5553"/>
    <w:rsid w:val="00ED5E36"/>
    <w:rsid w:val="00ED659A"/>
    <w:rsid w:val="00ED6961"/>
    <w:rsid w:val="00ED7157"/>
    <w:rsid w:val="00ED719A"/>
    <w:rsid w:val="00EE0196"/>
    <w:rsid w:val="00EE1715"/>
    <w:rsid w:val="00EE1B31"/>
    <w:rsid w:val="00EE2AE6"/>
    <w:rsid w:val="00EE35D2"/>
    <w:rsid w:val="00EE4807"/>
    <w:rsid w:val="00EE4D02"/>
    <w:rsid w:val="00EE554B"/>
    <w:rsid w:val="00EE6249"/>
    <w:rsid w:val="00EE6466"/>
    <w:rsid w:val="00EF0B96"/>
    <w:rsid w:val="00EF2CBA"/>
    <w:rsid w:val="00EF2E7C"/>
    <w:rsid w:val="00EF3486"/>
    <w:rsid w:val="00EF44FC"/>
    <w:rsid w:val="00EF47AF"/>
    <w:rsid w:val="00EF4D12"/>
    <w:rsid w:val="00EF53B6"/>
    <w:rsid w:val="00F00B73"/>
    <w:rsid w:val="00F0304B"/>
    <w:rsid w:val="00F05D16"/>
    <w:rsid w:val="00F10E41"/>
    <w:rsid w:val="00F115CA"/>
    <w:rsid w:val="00F11FDF"/>
    <w:rsid w:val="00F121EE"/>
    <w:rsid w:val="00F12527"/>
    <w:rsid w:val="00F14817"/>
    <w:rsid w:val="00F14C35"/>
    <w:rsid w:val="00F14EBA"/>
    <w:rsid w:val="00F1510F"/>
    <w:rsid w:val="00F1533A"/>
    <w:rsid w:val="00F156CE"/>
    <w:rsid w:val="00F15E5A"/>
    <w:rsid w:val="00F16BEB"/>
    <w:rsid w:val="00F17F0A"/>
    <w:rsid w:val="00F2497C"/>
    <w:rsid w:val="00F24A6C"/>
    <w:rsid w:val="00F2668F"/>
    <w:rsid w:val="00F26C98"/>
    <w:rsid w:val="00F2742F"/>
    <w:rsid w:val="00F2753B"/>
    <w:rsid w:val="00F30E47"/>
    <w:rsid w:val="00F32181"/>
    <w:rsid w:val="00F331A2"/>
    <w:rsid w:val="00F33370"/>
    <w:rsid w:val="00F33F8B"/>
    <w:rsid w:val="00F340B2"/>
    <w:rsid w:val="00F35C9F"/>
    <w:rsid w:val="00F36C8D"/>
    <w:rsid w:val="00F3757C"/>
    <w:rsid w:val="00F40A20"/>
    <w:rsid w:val="00F41071"/>
    <w:rsid w:val="00F413FD"/>
    <w:rsid w:val="00F42019"/>
    <w:rsid w:val="00F43390"/>
    <w:rsid w:val="00F43835"/>
    <w:rsid w:val="00F443B2"/>
    <w:rsid w:val="00F458D8"/>
    <w:rsid w:val="00F45E36"/>
    <w:rsid w:val="00F46A5A"/>
    <w:rsid w:val="00F50237"/>
    <w:rsid w:val="00F53596"/>
    <w:rsid w:val="00F53C79"/>
    <w:rsid w:val="00F55BA8"/>
    <w:rsid w:val="00F55D5C"/>
    <w:rsid w:val="00F55DB1"/>
    <w:rsid w:val="00F5623F"/>
    <w:rsid w:val="00F56ACA"/>
    <w:rsid w:val="00F57DC3"/>
    <w:rsid w:val="00F600FE"/>
    <w:rsid w:val="00F61373"/>
    <w:rsid w:val="00F61D59"/>
    <w:rsid w:val="00F62E4D"/>
    <w:rsid w:val="00F63433"/>
    <w:rsid w:val="00F663E8"/>
    <w:rsid w:val="00F66B34"/>
    <w:rsid w:val="00F67055"/>
    <w:rsid w:val="00F675B9"/>
    <w:rsid w:val="00F70D42"/>
    <w:rsid w:val="00F70FDC"/>
    <w:rsid w:val="00F711C9"/>
    <w:rsid w:val="00F7295D"/>
    <w:rsid w:val="00F735AC"/>
    <w:rsid w:val="00F738F8"/>
    <w:rsid w:val="00F73BAD"/>
    <w:rsid w:val="00F74C59"/>
    <w:rsid w:val="00F75BFF"/>
    <w:rsid w:val="00F75C3A"/>
    <w:rsid w:val="00F805EB"/>
    <w:rsid w:val="00F80F9B"/>
    <w:rsid w:val="00F81D6D"/>
    <w:rsid w:val="00F82E30"/>
    <w:rsid w:val="00F831CB"/>
    <w:rsid w:val="00F83F03"/>
    <w:rsid w:val="00F84212"/>
    <w:rsid w:val="00F848A3"/>
    <w:rsid w:val="00F848FF"/>
    <w:rsid w:val="00F84ACF"/>
    <w:rsid w:val="00F85742"/>
    <w:rsid w:val="00F85BF8"/>
    <w:rsid w:val="00F871CE"/>
    <w:rsid w:val="00F87802"/>
    <w:rsid w:val="00F9054A"/>
    <w:rsid w:val="00F9213C"/>
    <w:rsid w:val="00F92C0A"/>
    <w:rsid w:val="00F92E5A"/>
    <w:rsid w:val="00F93792"/>
    <w:rsid w:val="00F9415B"/>
    <w:rsid w:val="00F94F8F"/>
    <w:rsid w:val="00F95AF4"/>
    <w:rsid w:val="00F96DAA"/>
    <w:rsid w:val="00FA0BB9"/>
    <w:rsid w:val="00FA0F33"/>
    <w:rsid w:val="00FA13C2"/>
    <w:rsid w:val="00FA269A"/>
    <w:rsid w:val="00FA483B"/>
    <w:rsid w:val="00FA6444"/>
    <w:rsid w:val="00FA64EC"/>
    <w:rsid w:val="00FA6FCF"/>
    <w:rsid w:val="00FA7F91"/>
    <w:rsid w:val="00FB0EEA"/>
    <w:rsid w:val="00FB121C"/>
    <w:rsid w:val="00FB1CDD"/>
    <w:rsid w:val="00FB27DA"/>
    <w:rsid w:val="00FB2C2F"/>
    <w:rsid w:val="00FB305C"/>
    <w:rsid w:val="00FB350B"/>
    <w:rsid w:val="00FB3642"/>
    <w:rsid w:val="00FB457B"/>
    <w:rsid w:val="00FB48D7"/>
    <w:rsid w:val="00FB5AE5"/>
    <w:rsid w:val="00FB5CB6"/>
    <w:rsid w:val="00FB6B09"/>
    <w:rsid w:val="00FB6CA7"/>
    <w:rsid w:val="00FB7580"/>
    <w:rsid w:val="00FB7C4B"/>
    <w:rsid w:val="00FC0709"/>
    <w:rsid w:val="00FC1BB7"/>
    <w:rsid w:val="00FC265F"/>
    <w:rsid w:val="00FC2E3D"/>
    <w:rsid w:val="00FC3BDE"/>
    <w:rsid w:val="00FC4030"/>
    <w:rsid w:val="00FD03B6"/>
    <w:rsid w:val="00FD058F"/>
    <w:rsid w:val="00FD1222"/>
    <w:rsid w:val="00FD1DBE"/>
    <w:rsid w:val="00FD1FEB"/>
    <w:rsid w:val="00FD20A1"/>
    <w:rsid w:val="00FD25A7"/>
    <w:rsid w:val="00FD27B6"/>
    <w:rsid w:val="00FD3689"/>
    <w:rsid w:val="00FD4251"/>
    <w:rsid w:val="00FD42A3"/>
    <w:rsid w:val="00FD4D2D"/>
    <w:rsid w:val="00FD7468"/>
    <w:rsid w:val="00FD7CE0"/>
    <w:rsid w:val="00FE0B3B"/>
    <w:rsid w:val="00FE1BE2"/>
    <w:rsid w:val="00FE33B3"/>
    <w:rsid w:val="00FE53C0"/>
    <w:rsid w:val="00FE610B"/>
    <w:rsid w:val="00FE65AE"/>
    <w:rsid w:val="00FE730A"/>
    <w:rsid w:val="00FF03C1"/>
    <w:rsid w:val="00FF1DD7"/>
    <w:rsid w:val="00FF32E1"/>
    <w:rsid w:val="00FF39D8"/>
    <w:rsid w:val="00FF3DB3"/>
    <w:rsid w:val="00FF4453"/>
    <w:rsid w:val="00FF4564"/>
    <w:rsid w:val="00FF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BB0D99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4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E212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836F9"/>
    <w:rPr>
      <w:color w:val="404080"/>
      <w:u w:val="single"/>
    </w:rPr>
  </w:style>
  <w:style w:type="paragraph" w:styleId="NormalnyWeb">
    <w:name w:val="Normal (Web)"/>
    <w:basedOn w:val="Normalny"/>
    <w:uiPriority w:val="99"/>
    <w:unhideWhenUsed/>
    <w:rsid w:val="001836F9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274D37"/>
    <w:pPr>
      <w:spacing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BB0D99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4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E212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836F9"/>
    <w:rPr>
      <w:color w:val="404080"/>
      <w:u w:val="single"/>
    </w:rPr>
  </w:style>
  <w:style w:type="paragraph" w:styleId="NormalnyWeb">
    <w:name w:val="Normal (Web)"/>
    <w:basedOn w:val="Normalny"/>
    <w:uiPriority w:val="99"/>
    <w:unhideWhenUsed/>
    <w:rsid w:val="001836F9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274D37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25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82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53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5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95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0953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441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8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2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49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1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8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82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152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31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85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91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78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21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2BE8CA-1498-461A-B034-5595CB08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11</Pages>
  <Words>3095</Words>
  <Characters>18303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Nowicka Beata 4</dc:creator>
  <cp:lastModifiedBy>Ewa A. Genert</cp:lastModifiedBy>
  <cp:revision>2</cp:revision>
  <cp:lastPrinted>2016-09-12T13:20:00Z</cp:lastPrinted>
  <dcterms:created xsi:type="dcterms:W3CDTF">2016-11-18T14:04:00Z</dcterms:created>
  <dcterms:modified xsi:type="dcterms:W3CDTF">2016-11-18T14:04:00Z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