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8C" w:rsidRPr="0053598B" w:rsidRDefault="00461668" w:rsidP="00E10BFF">
      <w:pPr>
        <w:spacing w:after="240" w:line="360" w:lineRule="auto"/>
        <w:jc w:val="center"/>
        <w:rPr>
          <w:caps/>
        </w:rPr>
      </w:pPr>
      <w:bookmarkStart w:id="0" w:name="_GoBack"/>
      <w:bookmarkEnd w:id="0"/>
      <w:r w:rsidRPr="0053598B">
        <w:rPr>
          <w:caps/>
        </w:rPr>
        <w:t>Uzasadnienie</w:t>
      </w:r>
    </w:p>
    <w:p w:rsidR="005E5A55" w:rsidRPr="0053598B" w:rsidRDefault="005E5A55" w:rsidP="00E10BFF">
      <w:pPr>
        <w:numPr>
          <w:ilvl w:val="0"/>
          <w:numId w:val="1"/>
        </w:numPr>
        <w:spacing w:line="360" w:lineRule="auto"/>
        <w:rPr>
          <w:b/>
          <w:lang w:eastAsia="pl-PL"/>
        </w:rPr>
      </w:pPr>
      <w:r w:rsidRPr="0053598B">
        <w:rPr>
          <w:b/>
          <w:lang w:eastAsia="pl-PL"/>
        </w:rPr>
        <w:t>Cel nowelizacji</w:t>
      </w:r>
    </w:p>
    <w:p w:rsidR="0087326E" w:rsidRPr="0053598B" w:rsidRDefault="005E5A55" w:rsidP="00E10BFF">
      <w:pPr>
        <w:spacing w:line="360" w:lineRule="auto"/>
        <w:jc w:val="both"/>
        <w:rPr>
          <w:lang w:eastAsia="pl-PL"/>
        </w:rPr>
      </w:pPr>
      <w:r w:rsidRPr="0053598B">
        <w:rPr>
          <w:lang w:eastAsia="pl-PL"/>
        </w:rPr>
        <w:t>Cel</w:t>
      </w:r>
      <w:r w:rsidR="00A65B03" w:rsidRPr="0053598B">
        <w:rPr>
          <w:lang w:eastAsia="pl-PL"/>
        </w:rPr>
        <w:t>em</w:t>
      </w:r>
      <w:r w:rsidRPr="0053598B">
        <w:rPr>
          <w:lang w:eastAsia="pl-PL"/>
        </w:rPr>
        <w:t xml:space="preserve"> nowelizacji ustawy z dnia 29 września 1994 r. o rachunkowości (Dz. U. z </w:t>
      </w:r>
      <w:r w:rsidR="001255AA" w:rsidRPr="0053598B">
        <w:rPr>
          <w:lang w:eastAsia="pl-PL"/>
        </w:rPr>
        <w:t xml:space="preserve">2016 </w:t>
      </w:r>
      <w:r w:rsidRPr="0053598B">
        <w:rPr>
          <w:lang w:eastAsia="pl-PL"/>
        </w:rPr>
        <w:t>r. poz. </w:t>
      </w:r>
      <w:r w:rsidR="001255AA" w:rsidRPr="0053598B">
        <w:rPr>
          <w:lang w:eastAsia="pl-PL"/>
        </w:rPr>
        <w:t>1047</w:t>
      </w:r>
      <w:r w:rsidRPr="0053598B">
        <w:rPr>
          <w:lang w:eastAsia="pl-PL"/>
        </w:rPr>
        <w:t xml:space="preserve">), zwanej dalej „ustawą o rachunkowości”, </w:t>
      </w:r>
      <w:r w:rsidR="00A65B03" w:rsidRPr="0053598B">
        <w:rPr>
          <w:lang w:eastAsia="pl-PL"/>
        </w:rPr>
        <w:t>jest implementacja</w:t>
      </w:r>
      <w:r w:rsidRPr="0053598B">
        <w:rPr>
          <w:lang w:eastAsia="pl-PL"/>
        </w:rPr>
        <w:t xml:space="preserve"> dyrektywy Parlamentu Europejskiego i Rady 2014/95/UE z dnia 22 października 2014 r. zmieniając</w:t>
      </w:r>
      <w:r w:rsidR="00361820" w:rsidRPr="0053598B">
        <w:rPr>
          <w:lang w:eastAsia="pl-PL"/>
        </w:rPr>
        <w:t>ej</w:t>
      </w:r>
      <w:r w:rsidRPr="0053598B">
        <w:rPr>
          <w:lang w:eastAsia="pl-PL"/>
        </w:rPr>
        <w:t xml:space="preserve"> dyrektywę 2013/34/UE w odniesieniu do ujawniania informacji niefinansowych i informacji dotyczących różnorodności przez niektóre duże jednostki oraz grupy</w:t>
      </w:r>
      <w:r w:rsidR="00B75C71" w:rsidRPr="0053598B">
        <w:rPr>
          <w:lang w:eastAsia="pl-PL"/>
        </w:rPr>
        <w:t xml:space="preserve"> </w:t>
      </w:r>
      <w:r w:rsidR="00B75C71" w:rsidRPr="0053598B">
        <w:t>(Dz. Urz. UE L 330</w:t>
      </w:r>
      <w:r w:rsidR="00E10BFF" w:rsidRPr="0053598B">
        <w:t xml:space="preserve"> z </w:t>
      </w:r>
      <w:r w:rsidR="00B75C71" w:rsidRPr="0053598B">
        <w:t>15.11.2014, s</w:t>
      </w:r>
      <w:r w:rsidR="002B6A8A" w:rsidRPr="0053598B">
        <w:t>tr</w:t>
      </w:r>
      <w:r w:rsidR="00B75C71" w:rsidRPr="0053598B">
        <w:t>. 1</w:t>
      </w:r>
      <w:r w:rsidR="00D06227" w:rsidRPr="0053598B">
        <w:t>, z późn. zm.</w:t>
      </w:r>
      <w:r w:rsidR="00B75C71" w:rsidRPr="0053598B">
        <w:t>)</w:t>
      </w:r>
      <w:r w:rsidR="00D06227" w:rsidRPr="0053598B">
        <w:t>, zwanej „dyrektywą 2014/95/UE”</w:t>
      </w:r>
      <w:r w:rsidRPr="0053598B">
        <w:rPr>
          <w:lang w:eastAsia="pl-PL"/>
        </w:rPr>
        <w:t xml:space="preserve">. </w:t>
      </w:r>
      <w:r w:rsidR="00851E3B" w:rsidRPr="0053598B">
        <w:rPr>
          <w:lang w:eastAsia="pl-PL"/>
        </w:rPr>
        <w:t xml:space="preserve">Termin na </w:t>
      </w:r>
      <w:r w:rsidR="00A65B03" w:rsidRPr="0053598B">
        <w:rPr>
          <w:lang w:eastAsia="pl-PL"/>
        </w:rPr>
        <w:t xml:space="preserve">wdrożenie jej przepisów do polskiego porządku prawnego </w:t>
      </w:r>
      <w:r w:rsidR="00851E3B" w:rsidRPr="0053598B">
        <w:rPr>
          <w:lang w:eastAsia="pl-PL"/>
        </w:rPr>
        <w:t xml:space="preserve">upływa </w:t>
      </w:r>
      <w:r w:rsidR="00361820" w:rsidRPr="0053598B">
        <w:rPr>
          <w:lang w:eastAsia="pl-PL"/>
        </w:rPr>
        <w:t>w dniu 6 grudnia</w:t>
      </w:r>
      <w:r w:rsidR="00851E3B" w:rsidRPr="0053598B">
        <w:rPr>
          <w:lang w:eastAsia="pl-PL"/>
        </w:rPr>
        <w:t xml:space="preserve"> 2016 r.</w:t>
      </w:r>
      <w:r w:rsidR="0087326E" w:rsidRPr="0053598B">
        <w:rPr>
          <w:rFonts w:eastAsia="Cambria"/>
        </w:rPr>
        <w:t xml:space="preserve"> </w:t>
      </w:r>
      <w:r w:rsidR="00D06227" w:rsidRPr="0053598B">
        <w:rPr>
          <w:rFonts w:eastAsia="Cambria"/>
        </w:rPr>
        <w:t xml:space="preserve">Organy </w:t>
      </w:r>
      <w:r w:rsidR="0087326E" w:rsidRPr="0053598B">
        <w:rPr>
          <w:lang w:eastAsia="pl-PL"/>
        </w:rPr>
        <w:t>Uni</w:t>
      </w:r>
      <w:r w:rsidR="00737919" w:rsidRPr="0053598B">
        <w:rPr>
          <w:lang w:eastAsia="pl-PL"/>
        </w:rPr>
        <w:t>i</w:t>
      </w:r>
      <w:r w:rsidR="0087326E" w:rsidRPr="0053598B">
        <w:rPr>
          <w:lang w:eastAsia="pl-PL"/>
        </w:rPr>
        <w:t xml:space="preserve"> Europejsk</w:t>
      </w:r>
      <w:r w:rsidR="00D06227" w:rsidRPr="0053598B">
        <w:rPr>
          <w:lang w:eastAsia="pl-PL"/>
        </w:rPr>
        <w:t>iej</w:t>
      </w:r>
      <w:r w:rsidR="00E10BFF" w:rsidRPr="0053598B">
        <w:rPr>
          <w:lang w:eastAsia="pl-PL"/>
        </w:rPr>
        <w:t>,</w:t>
      </w:r>
      <w:r w:rsidR="0087326E" w:rsidRPr="0053598B">
        <w:rPr>
          <w:lang w:eastAsia="pl-PL"/>
        </w:rPr>
        <w:t xml:space="preserve"> przyjmując dyrektywę 2014/95/UE</w:t>
      </w:r>
      <w:r w:rsidR="00E10BFF" w:rsidRPr="0053598B">
        <w:rPr>
          <w:lang w:eastAsia="pl-PL"/>
        </w:rPr>
        <w:t>,</w:t>
      </w:r>
      <w:r w:rsidR="0087326E" w:rsidRPr="0053598B">
        <w:rPr>
          <w:lang w:eastAsia="pl-PL"/>
        </w:rPr>
        <w:t xml:space="preserve"> kierował</w:t>
      </w:r>
      <w:r w:rsidR="00D06227" w:rsidRPr="0053598B">
        <w:rPr>
          <w:lang w:eastAsia="pl-PL"/>
        </w:rPr>
        <w:t>y</w:t>
      </w:r>
      <w:r w:rsidR="0087326E" w:rsidRPr="0053598B">
        <w:rPr>
          <w:lang w:eastAsia="pl-PL"/>
        </w:rPr>
        <w:t xml:space="preserve"> się przede wszystkim zwiększeniem transparentności informacji społecznych i środowiskowych w obszarze społecznej odpowiedzialności przedsiębiorstw (ang. </w:t>
      </w:r>
      <w:r w:rsidR="0087326E" w:rsidRPr="0053598B">
        <w:rPr>
          <w:i/>
          <w:lang w:eastAsia="pl-PL"/>
        </w:rPr>
        <w:t>corporate social responsibility</w:t>
      </w:r>
      <w:r w:rsidR="0087326E" w:rsidRPr="0053598B">
        <w:rPr>
          <w:lang w:eastAsia="pl-PL"/>
        </w:rPr>
        <w:t>, CSR)</w:t>
      </w:r>
      <w:r w:rsidR="00E10BFF" w:rsidRPr="0053598B">
        <w:rPr>
          <w:lang w:eastAsia="pl-PL"/>
        </w:rPr>
        <w:t xml:space="preserve"> </w:t>
      </w:r>
      <w:r w:rsidR="00A54C0C" w:rsidRPr="0053598B">
        <w:rPr>
          <w:lang w:eastAsia="pl-PL"/>
        </w:rPr>
        <w:t>oraz popraw</w:t>
      </w:r>
      <w:r w:rsidR="00D06227" w:rsidRPr="0053598B">
        <w:rPr>
          <w:lang w:eastAsia="pl-PL"/>
        </w:rPr>
        <w:t>ą</w:t>
      </w:r>
      <w:r w:rsidR="00A54C0C" w:rsidRPr="0053598B">
        <w:rPr>
          <w:lang w:eastAsia="pl-PL"/>
        </w:rPr>
        <w:t xml:space="preserve"> </w:t>
      </w:r>
      <w:r w:rsidR="0087326E" w:rsidRPr="0053598B">
        <w:rPr>
          <w:lang w:eastAsia="pl-PL"/>
        </w:rPr>
        <w:t>ich spójności i</w:t>
      </w:r>
      <w:r w:rsidR="00E10BFF" w:rsidRPr="0053598B">
        <w:rPr>
          <w:lang w:eastAsia="pl-PL"/>
        </w:rPr>
        <w:t xml:space="preserve"> </w:t>
      </w:r>
      <w:r w:rsidR="0087326E" w:rsidRPr="0053598B">
        <w:rPr>
          <w:lang w:eastAsia="pl-PL"/>
        </w:rPr>
        <w:t>porównywalności.</w:t>
      </w:r>
    </w:p>
    <w:p w:rsidR="00505EC6" w:rsidRPr="0053598B" w:rsidRDefault="00505EC6" w:rsidP="00E10BFF">
      <w:pPr>
        <w:spacing w:line="360" w:lineRule="auto"/>
        <w:jc w:val="both"/>
        <w:rPr>
          <w:lang w:eastAsia="pl-PL"/>
        </w:rPr>
      </w:pPr>
    </w:p>
    <w:p w:rsidR="00610D77" w:rsidRPr="0053598B" w:rsidRDefault="0087326E" w:rsidP="00E10BFF">
      <w:pPr>
        <w:spacing w:line="360" w:lineRule="auto"/>
        <w:jc w:val="both"/>
        <w:rPr>
          <w:lang w:eastAsia="pl-PL"/>
        </w:rPr>
      </w:pPr>
      <w:r w:rsidRPr="0053598B">
        <w:rPr>
          <w:lang w:eastAsia="pl-PL"/>
        </w:rPr>
        <w:t>D</w:t>
      </w:r>
      <w:r w:rsidR="00610D77" w:rsidRPr="0053598B">
        <w:rPr>
          <w:lang w:eastAsia="pl-PL"/>
        </w:rPr>
        <w:t>yrektywa</w:t>
      </w:r>
      <w:r w:rsidRPr="0053598B">
        <w:rPr>
          <w:lang w:eastAsia="pl-PL"/>
        </w:rPr>
        <w:t xml:space="preserve"> 2014/95/UE</w:t>
      </w:r>
      <w:r w:rsidR="00610D77" w:rsidRPr="0053598B">
        <w:rPr>
          <w:lang w:eastAsia="pl-PL"/>
        </w:rPr>
        <w:t xml:space="preserve"> wprowadza zmiany powodujące:</w:t>
      </w:r>
    </w:p>
    <w:p w:rsidR="00610D77" w:rsidRPr="0053598B" w:rsidRDefault="00610D77" w:rsidP="00E10BFF">
      <w:pPr>
        <w:numPr>
          <w:ilvl w:val="0"/>
          <w:numId w:val="7"/>
        </w:numPr>
        <w:spacing w:line="360" w:lineRule="auto"/>
        <w:jc w:val="both"/>
        <w:rPr>
          <w:lang w:eastAsia="pl-PL"/>
        </w:rPr>
      </w:pPr>
      <w:r w:rsidRPr="0053598B">
        <w:rPr>
          <w:lang w:eastAsia="pl-PL"/>
        </w:rPr>
        <w:t xml:space="preserve">Rozszerzenie zakresu informacji niefinansowych. </w:t>
      </w:r>
    </w:p>
    <w:p w:rsidR="00610D77" w:rsidRPr="0053598B" w:rsidRDefault="00610D77" w:rsidP="00E10BFF">
      <w:pPr>
        <w:spacing w:line="360" w:lineRule="auto"/>
        <w:jc w:val="both"/>
        <w:rPr>
          <w:lang w:eastAsia="pl-PL"/>
        </w:rPr>
      </w:pPr>
      <w:r w:rsidRPr="0053598B">
        <w:rPr>
          <w:lang w:eastAsia="pl-PL"/>
        </w:rPr>
        <w:t>Polegają one przede wszystkim na wprowadzeniu wymogu ujawniania w sprawozdaniu z</w:t>
      </w:r>
      <w:r w:rsidR="0053598B">
        <w:rPr>
          <w:lang w:eastAsia="pl-PL"/>
        </w:rPr>
        <w:t> </w:t>
      </w:r>
      <w:r w:rsidRPr="0053598B">
        <w:rPr>
          <w:lang w:eastAsia="pl-PL"/>
        </w:rPr>
        <w:t xml:space="preserve">działalności – w formie oświadczenia na temat informacji niefinansowych </w:t>
      </w:r>
      <w:r w:rsidR="00E10BFF" w:rsidRPr="0053598B">
        <w:rPr>
          <w:lang w:eastAsia="pl-PL"/>
        </w:rPr>
        <w:t>–</w:t>
      </w:r>
      <w:r w:rsidRPr="0053598B">
        <w:rPr>
          <w:lang w:eastAsia="pl-PL"/>
        </w:rPr>
        <w:t xml:space="preserve"> minimum istotnych informacji dotyczących co najmniej zagadnień społecznych, pracowniczych, środowiska naturalnego, poszanowania praw człowieka oraz przeciwdziałania korupcji i</w:t>
      </w:r>
      <w:r w:rsidR="0053598B">
        <w:rPr>
          <w:lang w:eastAsia="pl-PL"/>
        </w:rPr>
        <w:t> </w:t>
      </w:r>
      <w:r w:rsidRPr="0053598B">
        <w:rPr>
          <w:lang w:eastAsia="pl-PL"/>
        </w:rPr>
        <w:t xml:space="preserve">łapownictwu (tzw. sprawozdawczość w zakresie społecznej odpowiedzialności biznesu – </w:t>
      </w:r>
      <w:r w:rsidR="00191005" w:rsidRPr="0053598B">
        <w:rPr>
          <w:lang w:eastAsia="pl-PL"/>
        </w:rPr>
        <w:t xml:space="preserve">raporty </w:t>
      </w:r>
      <w:r w:rsidRPr="0053598B">
        <w:rPr>
          <w:lang w:eastAsia="pl-PL"/>
        </w:rPr>
        <w:t xml:space="preserve">CSR). </w:t>
      </w:r>
    </w:p>
    <w:p w:rsidR="00610D77" w:rsidRPr="0053598B" w:rsidRDefault="00610D77" w:rsidP="00E10BFF">
      <w:pPr>
        <w:spacing w:line="360" w:lineRule="auto"/>
        <w:jc w:val="both"/>
        <w:rPr>
          <w:lang w:eastAsia="pl-PL"/>
        </w:rPr>
      </w:pPr>
      <w:r w:rsidRPr="0053598B">
        <w:rPr>
          <w:lang w:eastAsia="pl-PL"/>
        </w:rPr>
        <w:t>Kraje członkowskie</w:t>
      </w:r>
      <w:r w:rsidR="00E10BFF" w:rsidRPr="0053598B">
        <w:rPr>
          <w:lang w:eastAsia="pl-PL"/>
        </w:rPr>
        <w:t>,</w:t>
      </w:r>
      <w:r w:rsidRPr="0053598B">
        <w:rPr>
          <w:lang w:eastAsia="pl-PL"/>
        </w:rPr>
        <w:t xml:space="preserve"> korzystając z opcji w dyrektywie</w:t>
      </w:r>
      <w:r w:rsidR="00E10BFF" w:rsidRPr="0053598B">
        <w:rPr>
          <w:lang w:eastAsia="pl-PL"/>
        </w:rPr>
        <w:t>,</w:t>
      </w:r>
      <w:r w:rsidRPr="0053598B">
        <w:rPr>
          <w:lang w:eastAsia="pl-PL"/>
        </w:rPr>
        <w:t xml:space="preserve"> mogą zezwolić na ujawnianie </w:t>
      </w:r>
      <w:r w:rsidR="00191005" w:rsidRPr="0053598B">
        <w:rPr>
          <w:lang w:eastAsia="pl-PL"/>
        </w:rPr>
        <w:t xml:space="preserve">ww. </w:t>
      </w:r>
      <w:r w:rsidRPr="0053598B">
        <w:rPr>
          <w:lang w:eastAsia="pl-PL"/>
        </w:rPr>
        <w:t xml:space="preserve">informacji przez spółki w formie odrębnego sprawozdania </w:t>
      </w:r>
      <w:r w:rsidR="0053598B">
        <w:rPr>
          <w:lang w:eastAsia="pl-PL"/>
        </w:rPr>
        <w:t>zamiast w ramach sprawozdania z </w:t>
      </w:r>
      <w:r w:rsidRPr="0053598B">
        <w:rPr>
          <w:lang w:eastAsia="pl-PL"/>
        </w:rPr>
        <w:t xml:space="preserve">działalności. Ujawnienia </w:t>
      </w:r>
      <w:r w:rsidR="00191005" w:rsidRPr="0053598B">
        <w:rPr>
          <w:lang w:eastAsia="pl-PL"/>
        </w:rPr>
        <w:t xml:space="preserve">muszą </w:t>
      </w:r>
      <w:r w:rsidRPr="0053598B">
        <w:rPr>
          <w:lang w:eastAsia="pl-PL"/>
        </w:rPr>
        <w:t>mieć formę m.in. opisu polityki prowadzonej w danym zakresie, jej rezultatów oraz</w:t>
      </w:r>
      <w:r w:rsidR="00A54C0C" w:rsidRPr="0053598B">
        <w:rPr>
          <w:lang w:eastAsia="pl-PL"/>
        </w:rPr>
        <w:t xml:space="preserve"> opisu</w:t>
      </w:r>
      <w:r w:rsidR="00E10BFF" w:rsidRPr="0053598B">
        <w:rPr>
          <w:lang w:eastAsia="pl-PL"/>
        </w:rPr>
        <w:t xml:space="preserve"> </w:t>
      </w:r>
      <w:r w:rsidRPr="0053598B">
        <w:rPr>
          <w:lang w:eastAsia="pl-PL"/>
        </w:rPr>
        <w:t>ryzyk i</w:t>
      </w:r>
      <w:r w:rsidR="00A54C0C" w:rsidRPr="0053598B">
        <w:rPr>
          <w:lang w:eastAsia="pl-PL"/>
        </w:rPr>
        <w:t xml:space="preserve"> sposobu</w:t>
      </w:r>
      <w:r w:rsidRPr="0053598B">
        <w:rPr>
          <w:lang w:eastAsia="pl-PL"/>
        </w:rPr>
        <w:t xml:space="preserve"> zarządzania ryzykami w kwestiach niefinansowych.</w:t>
      </w:r>
    </w:p>
    <w:p w:rsidR="00610D77" w:rsidRPr="0053598B" w:rsidRDefault="00610D77" w:rsidP="00E10BFF">
      <w:pPr>
        <w:spacing w:line="360" w:lineRule="auto"/>
        <w:jc w:val="both"/>
        <w:rPr>
          <w:lang w:eastAsia="pl-PL"/>
        </w:rPr>
      </w:pPr>
      <w:r w:rsidRPr="0053598B">
        <w:rPr>
          <w:lang w:eastAsia="pl-PL"/>
        </w:rPr>
        <w:t xml:space="preserve">Spółki mają możliwość raportowania według </w:t>
      </w:r>
      <w:r w:rsidR="00191005" w:rsidRPr="0053598B">
        <w:rPr>
          <w:lang w:eastAsia="pl-PL"/>
        </w:rPr>
        <w:t xml:space="preserve">dowolnie </w:t>
      </w:r>
      <w:r w:rsidRPr="0053598B">
        <w:rPr>
          <w:lang w:eastAsia="pl-PL"/>
        </w:rPr>
        <w:t>wybranych zasad (krajowych, unijnych lub międzynarodowych)</w:t>
      </w:r>
      <w:r w:rsidR="00191005" w:rsidRPr="0053598B">
        <w:rPr>
          <w:lang w:eastAsia="pl-PL"/>
        </w:rPr>
        <w:t>, co oznacza także możliwość raportowania według własnych indywidualnych zasad</w:t>
      </w:r>
      <w:r w:rsidR="00A54C0C" w:rsidRPr="0053598B">
        <w:rPr>
          <w:lang w:eastAsia="pl-PL"/>
        </w:rPr>
        <w:t xml:space="preserve"> przy zachowaniu minimalnych wymogów ustawowych w</w:t>
      </w:r>
      <w:r w:rsidR="0053598B">
        <w:rPr>
          <w:lang w:eastAsia="pl-PL"/>
        </w:rPr>
        <w:t> </w:t>
      </w:r>
      <w:r w:rsidR="00A54C0C" w:rsidRPr="0053598B">
        <w:rPr>
          <w:lang w:eastAsia="pl-PL"/>
        </w:rPr>
        <w:t>zakresie ujawniania tych informacji.</w:t>
      </w:r>
    </w:p>
    <w:p w:rsidR="00610D77" w:rsidRPr="0053598B" w:rsidRDefault="00610D77" w:rsidP="00E10BFF">
      <w:pPr>
        <w:spacing w:line="360" w:lineRule="auto"/>
        <w:jc w:val="both"/>
        <w:rPr>
          <w:lang w:eastAsia="pl-PL"/>
        </w:rPr>
      </w:pPr>
      <w:r w:rsidRPr="0053598B">
        <w:rPr>
          <w:lang w:eastAsia="pl-PL"/>
        </w:rPr>
        <w:t>Podmiotami objętymi regulacją będą duże jednostki zainteresowania publicznego w</w:t>
      </w:r>
      <w:r w:rsidR="0053598B">
        <w:rPr>
          <w:lang w:eastAsia="pl-PL"/>
        </w:rPr>
        <w:t> </w:t>
      </w:r>
      <w:r w:rsidRPr="0053598B">
        <w:rPr>
          <w:lang w:eastAsia="pl-PL"/>
        </w:rPr>
        <w:t xml:space="preserve">rozumieniu art. 2 pkt 1 </w:t>
      </w:r>
      <w:r w:rsidR="002C45DF" w:rsidRPr="0053598B">
        <w:rPr>
          <w:lang w:eastAsia="pl-PL"/>
        </w:rPr>
        <w:t xml:space="preserve">dyrektywy 2013/34/UE, w powiązaniu z art. 1 </w:t>
      </w:r>
      <w:r w:rsidR="00D06227" w:rsidRPr="0053598B">
        <w:t xml:space="preserve">dyrektywy </w:t>
      </w:r>
      <w:r w:rsidR="00D06227" w:rsidRPr="0053598B">
        <w:lastRenderedPageBreak/>
        <w:t>2014/95/UE</w:t>
      </w:r>
      <w:r w:rsidR="002C45DF" w:rsidRPr="0053598B">
        <w:t xml:space="preserve"> wprowadzającym w szczególności art.19a i art. 29a do dyrektywy 2013/34/UE</w:t>
      </w:r>
      <w:r w:rsidR="00D06227" w:rsidRPr="0053598B" w:rsidDel="00D06227">
        <w:rPr>
          <w:lang w:eastAsia="pl-PL"/>
        </w:rPr>
        <w:t xml:space="preserve"> </w:t>
      </w:r>
      <w:r w:rsidRPr="0053598B">
        <w:rPr>
          <w:lang w:eastAsia="pl-PL"/>
        </w:rPr>
        <w:t>(tj. jednostki działające głównie na rynku finansowym, w tym m.in.: banki, zakłady ubezpieczeń, emitenci papierów wartościowych dopuszczonych</w:t>
      </w:r>
      <w:r w:rsidR="00191005" w:rsidRPr="0053598B">
        <w:rPr>
          <w:lang w:eastAsia="pl-PL"/>
        </w:rPr>
        <w:t xml:space="preserve"> lub ubiegających się o</w:t>
      </w:r>
      <w:r w:rsidR="0053598B">
        <w:rPr>
          <w:lang w:eastAsia="pl-PL"/>
        </w:rPr>
        <w:t> </w:t>
      </w:r>
      <w:r w:rsidR="00191005" w:rsidRPr="0053598B">
        <w:rPr>
          <w:lang w:eastAsia="pl-PL"/>
        </w:rPr>
        <w:t>dopuszczenie</w:t>
      </w:r>
      <w:r w:rsidRPr="0053598B">
        <w:rPr>
          <w:lang w:eastAsia="pl-PL"/>
        </w:rPr>
        <w:t xml:space="preserve"> do obrotu na jednym z rynków regulowanych Europejskiego Obszaru Gospodarczego)</w:t>
      </w:r>
      <w:r w:rsidR="00E10BFF" w:rsidRPr="0053598B">
        <w:rPr>
          <w:lang w:eastAsia="pl-PL"/>
        </w:rPr>
        <w:t>,</w:t>
      </w:r>
      <w:r w:rsidRPr="0053598B">
        <w:rPr>
          <w:lang w:eastAsia="pl-PL"/>
        </w:rPr>
        <w:t xml:space="preserve"> oraz grupy kapitałowe</w:t>
      </w:r>
      <w:r w:rsidR="00191005" w:rsidRPr="0053598B">
        <w:rPr>
          <w:lang w:eastAsia="pl-PL"/>
        </w:rPr>
        <w:t>,</w:t>
      </w:r>
      <w:r w:rsidRPr="0053598B">
        <w:rPr>
          <w:lang w:eastAsia="pl-PL"/>
        </w:rPr>
        <w:t xml:space="preserve"> w których jednostka dominująca jest jednostką zainteresowania publicznego, spełniające w roku obrotowym, za który sporządzają sprawozdanie finansowe</w:t>
      </w:r>
      <w:r w:rsidR="00E10BFF" w:rsidRPr="0053598B">
        <w:rPr>
          <w:lang w:eastAsia="pl-PL"/>
        </w:rPr>
        <w:t>,</w:t>
      </w:r>
      <w:r w:rsidRPr="0053598B">
        <w:rPr>
          <w:lang w:eastAsia="pl-PL"/>
        </w:rPr>
        <w:t xml:space="preserve"> oraz w roku poprzedzającym ten rok następujące kryteria (odnoszące się do dużej jednostki zainteresowania publicznego </w:t>
      </w:r>
      <w:r w:rsidR="00191005" w:rsidRPr="0053598B">
        <w:rPr>
          <w:lang w:eastAsia="pl-PL"/>
        </w:rPr>
        <w:t>lub</w:t>
      </w:r>
      <w:r w:rsidRPr="0053598B">
        <w:rPr>
          <w:lang w:eastAsia="pl-PL"/>
        </w:rPr>
        <w:t xml:space="preserve"> ww. grupy kapitałowej): </w:t>
      </w:r>
    </w:p>
    <w:p w:rsidR="00610D77" w:rsidRPr="0053598B" w:rsidRDefault="00610D77" w:rsidP="00E10BFF">
      <w:pPr>
        <w:numPr>
          <w:ilvl w:val="0"/>
          <w:numId w:val="6"/>
        </w:numPr>
        <w:spacing w:line="360" w:lineRule="auto"/>
        <w:jc w:val="both"/>
        <w:rPr>
          <w:lang w:eastAsia="pl-PL"/>
        </w:rPr>
      </w:pPr>
      <w:r w:rsidRPr="0053598B">
        <w:rPr>
          <w:lang w:eastAsia="pl-PL"/>
        </w:rPr>
        <w:t xml:space="preserve">średnioroczne zatrudnienie powyżej 500 osób oraz </w:t>
      </w:r>
    </w:p>
    <w:p w:rsidR="00610D77" w:rsidRPr="0053598B" w:rsidRDefault="00610D77" w:rsidP="00E10BFF">
      <w:pPr>
        <w:numPr>
          <w:ilvl w:val="0"/>
          <w:numId w:val="6"/>
        </w:numPr>
        <w:spacing w:line="360" w:lineRule="auto"/>
        <w:jc w:val="both"/>
        <w:rPr>
          <w:lang w:eastAsia="pl-PL"/>
        </w:rPr>
      </w:pPr>
      <w:r w:rsidRPr="0053598B">
        <w:rPr>
          <w:lang w:eastAsia="pl-PL"/>
        </w:rPr>
        <w:t xml:space="preserve">suma aktywów bilansu powyżej 20 mln </w:t>
      </w:r>
      <w:r w:rsidR="00E10BFF" w:rsidRPr="0053598B">
        <w:rPr>
          <w:lang w:eastAsia="pl-PL"/>
        </w:rPr>
        <w:t>euro</w:t>
      </w:r>
      <w:r w:rsidRPr="0053598B">
        <w:rPr>
          <w:lang w:eastAsia="pl-PL"/>
        </w:rPr>
        <w:t xml:space="preserve"> lub przychody netto ze sprzedaży towarów i produktów powyżej 40 mln </w:t>
      </w:r>
      <w:r w:rsidR="00E10BFF" w:rsidRPr="0053598B">
        <w:rPr>
          <w:lang w:eastAsia="pl-PL"/>
        </w:rPr>
        <w:t>euro</w:t>
      </w:r>
      <w:r w:rsidRPr="0053598B">
        <w:rPr>
          <w:lang w:eastAsia="pl-PL"/>
        </w:rPr>
        <w:t>.</w:t>
      </w:r>
    </w:p>
    <w:p w:rsidR="00610D77" w:rsidRPr="0053598B" w:rsidRDefault="00610D77" w:rsidP="00E10BFF">
      <w:pPr>
        <w:numPr>
          <w:ilvl w:val="0"/>
          <w:numId w:val="7"/>
        </w:numPr>
        <w:spacing w:line="360" w:lineRule="auto"/>
        <w:jc w:val="both"/>
        <w:rPr>
          <w:lang w:eastAsia="pl-PL"/>
        </w:rPr>
      </w:pPr>
      <w:r w:rsidRPr="0053598B">
        <w:rPr>
          <w:lang w:eastAsia="pl-PL"/>
        </w:rPr>
        <w:t>Wprowadzenie nowych ujawnień w zakresie polityki różnorodności.</w:t>
      </w:r>
    </w:p>
    <w:p w:rsidR="00610D77" w:rsidRPr="0053598B" w:rsidRDefault="00610D77" w:rsidP="00E10BFF">
      <w:pPr>
        <w:spacing w:line="360" w:lineRule="auto"/>
        <w:jc w:val="both"/>
        <w:rPr>
          <w:lang w:eastAsia="pl-PL"/>
        </w:rPr>
      </w:pPr>
      <w:r w:rsidRPr="0053598B">
        <w:rPr>
          <w:lang w:eastAsia="pl-PL"/>
        </w:rPr>
        <w:t>Spółki objęte ww. regulacjami</w:t>
      </w:r>
      <w:r w:rsidR="00191005" w:rsidRPr="0053598B">
        <w:rPr>
          <w:lang w:eastAsia="pl-PL"/>
        </w:rPr>
        <w:t xml:space="preserve"> w zakresie informacji niefinansowych oraz informacji o</w:t>
      </w:r>
      <w:r w:rsidR="0053598B">
        <w:rPr>
          <w:lang w:eastAsia="pl-PL"/>
        </w:rPr>
        <w:t> </w:t>
      </w:r>
      <w:r w:rsidR="00191005" w:rsidRPr="0053598B">
        <w:rPr>
          <w:lang w:eastAsia="pl-PL"/>
        </w:rPr>
        <w:t xml:space="preserve">polityce </w:t>
      </w:r>
      <w:r w:rsidR="00251135" w:rsidRPr="0053598B">
        <w:rPr>
          <w:lang w:eastAsia="pl-PL"/>
        </w:rPr>
        <w:t>różnorodności</w:t>
      </w:r>
      <w:r w:rsidRPr="0053598B">
        <w:rPr>
          <w:lang w:eastAsia="pl-PL"/>
        </w:rPr>
        <w:t xml:space="preserve"> będą miały obowiązek zastosowa</w:t>
      </w:r>
      <w:r w:rsidR="0053598B">
        <w:rPr>
          <w:lang w:eastAsia="pl-PL"/>
        </w:rPr>
        <w:t>nia zasady „stosuj lub wyjaśnij”</w:t>
      </w:r>
      <w:r w:rsidRPr="0053598B">
        <w:rPr>
          <w:lang w:eastAsia="pl-PL"/>
        </w:rPr>
        <w:t xml:space="preserve"> (</w:t>
      </w:r>
      <w:r w:rsidRPr="0053598B">
        <w:rPr>
          <w:i/>
          <w:lang w:eastAsia="pl-PL"/>
        </w:rPr>
        <w:t>comply or explain</w:t>
      </w:r>
      <w:r w:rsidRPr="0053598B">
        <w:rPr>
          <w:lang w:eastAsia="pl-PL"/>
        </w:rPr>
        <w:t>) – tj. w przypadku, gdy dana jednostka nie pro</w:t>
      </w:r>
      <w:r w:rsidR="00612078" w:rsidRPr="0053598B">
        <w:rPr>
          <w:lang w:eastAsia="pl-PL"/>
        </w:rPr>
        <w:t>wadzi polityki w zakresie jednego</w:t>
      </w:r>
      <w:r w:rsidRPr="0053598B">
        <w:rPr>
          <w:lang w:eastAsia="pl-PL"/>
        </w:rPr>
        <w:t xml:space="preserve"> lub kilku</w:t>
      </w:r>
      <w:r w:rsidR="00612078" w:rsidRPr="0053598B">
        <w:rPr>
          <w:lang w:eastAsia="pl-PL"/>
        </w:rPr>
        <w:t xml:space="preserve"> wyżej wymienionych</w:t>
      </w:r>
      <w:r w:rsidRPr="0053598B">
        <w:rPr>
          <w:lang w:eastAsia="pl-PL"/>
        </w:rPr>
        <w:t xml:space="preserve"> </w:t>
      </w:r>
      <w:r w:rsidR="00612078" w:rsidRPr="0053598B">
        <w:rPr>
          <w:lang w:eastAsia="pl-PL"/>
        </w:rPr>
        <w:t>zagadnień</w:t>
      </w:r>
      <w:r w:rsidRPr="0053598B">
        <w:rPr>
          <w:lang w:eastAsia="pl-PL"/>
        </w:rPr>
        <w:t>, będzie miała ona obowiązek ujawnić ten fakt oraz podać przyczyny.</w:t>
      </w:r>
    </w:p>
    <w:p w:rsidR="00610D77" w:rsidRPr="0053598B" w:rsidRDefault="00610D77" w:rsidP="00E10BFF">
      <w:pPr>
        <w:spacing w:line="360" w:lineRule="auto"/>
        <w:jc w:val="both"/>
        <w:rPr>
          <w:lang w:eastAsia="pl-PL"/>
        </w:rPr>
      </w:pPr>
    </w:p>
    <w:p w:rsidR="00FA4AAC" w:rsidRPr="0053598B" w:rsidRDefault="00610D77" w:rsidP="00E10BFF">
      <w:pPr>
        <w:spacing w:line="360" w:lineRule="auto"/>
        <w:jc w:val="both"/>
        <w:rPr>
          <w:bCs/>
          <w:lang w:eastAsia="pl-PL"/>
        </w:rPr>
      </w:pPr>
      <w:r w:rsidRPr="0053598B">
        <w:rPr>
          <w:lang w:eastAsia="pl-PL"/>
        </w:rPr>
        <w:t>Implementacja ww. przepisów unijnych</w:t>
      </w:r>
      <w:r w:rsidR="003A7504" w:rsidRPr="0053598B">
        <w:rPr>
          <w:lang w:eastAsia="pl-PL"/>
        </w:rPr>
        <w:t xml:space="preserve"> w zakresie dotyczącym rozszerzonego raportowania informacji niefinansowych</w:t>
      </w:r>
      <w:r w:rsidRPr="0053598B">
        <w:rPr>
          <w:lang w:eastAsia="pl-PL"/>
        </w:rPr>
        <w:t xml:space="preserve"> zostanie przeprowadzona w formie</w:t>
      </w:r>
      <w:r w:rsidR="003A7504" w:rsidRPr="0053598B">
        <w:rPr>
          <w:lang w:eastAsia="pl-PL"/>
        </w:rPr>
        <w:t xml:space="preserve"> niniejszej</w:t>
      </w:r>
      <w:r w:rsidRPr="0053598B">
        <w:rPr>
          <w:lang w:eastAsia="pl-PL"/>
        </w:rPr>
        <w:t xml:space="preserve"> zmian</w:t>
      </w:r>
      <w:r w:rsidR="003A7504" w:rsidRPr="0053598B">
        <w:rPr>
          <w:lang w:eastAsia="pl-PL"/>
        </w:rPr>
        <w:t>y</w:t>
      </w:r>
      <w:r w:rsidRPr="0053598B">
        <w:rPr>
          <w:lang w:eastAsia="pl-PL"/>
        </w:rPr>
        <w:t xml:space="preserve"> do ustawy o</w:t>
      </w:r>
      <w:r w:rsidR="0053598B">
        <w:rPr>
          <w:lang w:eastAsia="pl-PL"/>
        </w:rPr>
        <w:t> </w:t>
      </w:r>
      <w:r w:rsidRPr="0053598B">
        <w:rPr>
          <w:lang w:eastAsia="pl-PL"/>
        </w:rPr>
        <w:t>rachunkowości</w:t>
      </w:r>
      <w:r w:rsidR="003A7504" w:rsidRPr="0053598B">
        <w:rPr>
          <w:lang w:eastAsia="pl-PL"/>
        </w:rPr>
        <w:t>, natomiast w zakresie dotyczącym ujawniania polityki różnorodności</w:t>
      </w:r>
      <w:r w:rsidRPr="0053598B">
        <w:rPr>
          <w:lang w:eastAsia="pl-PL"/>
        </w:rPr>
        <w:t xml:space="preserve"> </w:t>
      </w:r>
      <w:r w:rsidR="003A7504" w:rsidRPr="0053598B">
        <w:rPr>
          <w:lang w:eastAsia="pl-PL"/>
        </w:rPr>
        <w:t xml:space="preserve">– </w:t>
      </w:r>
      <w:r w:rsidR="0087326E" w:rsidRPr="0053598B">
        <w:rPr>
          <w:lang w:eastAsia="pl-PL"/>
        </w:rPr>
        <w:t>w</w:t>
      </w:r>
      <w:r w:rsidR="0053598B">
        <w:rPr>
          <w:lang w:eastAsia="pl-PL"/>
        </w:rPr>
        <w:t> </w:t>
      </w:r>
      <w:r w:rsidR="0087326E" w:rsidRPr="0053598B">
        <w:rPr>
          <w:lang w:eastAsia="pl-PL"/>
        </w:rPr>
        <w:t xml:space="preserve">ramach oświadczenia o ładzie korporacyjnym </w:t>
      </w:r>
      <w:r w:rsidR="00E10BFF" w:rsidRPr="0053598B">
        <w:rPr>
          <w:lang w:eastAsia="pl-PL"/>
        </w:rPr>
        <w:t>–</w:t>
      </w:r>
      <w:r w:rsidR="0087326E" w:rsidRPr="0053598B">
        <w:rPr>
          <w:lang w:eastAsia="pl-PL"/>
        </w:rPr>
        <w:t xml:space="preserve"> </w:t>
      </w:r>
      <w:r w:rsidR="003A7504" w:rsidRPr="0053598B">
        <w:rPr>
          <w:lang w:eastAsia="pl-PL"/>
        </w:rPr>
        <w:t xml:space="preserve">poprzez nowelizację </w:t>
      </w:r>
      <w:r w:rsidRPr="0053598B">
        <w:rPr>
          <w:lang w:eastAsia="pl-PL"/>
        </w:rPr>
        <w:t xml:space="preserve">rozporządzenia </w:t>
      </w:r>
      <w:r w:rsidRPr="0053598B">
        <w:rPr>
          <w:bCs/>
          <w:lang w:eastAsia="pl-PL"/>
        </w:rPr>
        <w:t>Ministra Finansów</w:t>
      </w:r>
      <w:r w:rsidRPr="0053598B">
        <w:rPr>
          <w:lang w:eastAsia="pl-PL"/>
        </w:rPr>
        <w:t xml:space="preserve"> </w:t>
      </w:r>
      <w:r w:rsidRPr="0053598B">
        <w:rPr>
          <w:bCs/>
          <w:lang w:eastAsia="pl-PL"/>
        </w:rPr>
        <w:t>w sprawie informacji bieżących i okresowych przekazywanych przez emitentów papierów wartościowych oraz warunków uznawania za równoważne informacji wymaganych przepisami prawa państwa niebędącego państwem członkowskim.</w:t>
      </w:r>
      <w:r w:rsidR="00FA4AAC" w:rsidRPr="0053598B">
        <w:rPr>
          <w:rFonts w:eastAsia="Cambria"/>
        </w:rPr>
        <w:t xml:space="preserve"> </w:t>
      </w:r>
      <w:r w:rsidR="0087326E" w:rsidRPr="0053598B">
        <w:rPr>
          <w:bCs/>
          <w:lang w:eastAsia="pl-PL"/>
        </w:rPr>
        <w:t xml:space="preserve">Wprawdzie </w:t>
      </w:r>
      <w:r w:rsidR="00FA4AAC" w:rsidRPr="0053598B">
        <w:rPr>
          <w:bCs/>
          <w:lang w:eastAsia="pl-PL"/>
        </w:rPr>
        <w:t>obowiązek sporządzenia oświadczenia o ładzie korporacyjnym wynika z ustawy o</w:t>
      </w:r>
      <w:r w:rsidR="0053598B">
        <w:rPr>
          <w:bCs/>
          <w:lang w:eastAsia="pl-PL"/>
        </w:rPr>
        <w:t> </w:t>
      </w:r>
      <w:r w:rsidR="00FA4AAC" w:rsidRPr="0053598B">
        <w:rPr>
          <w:bCs/>
          <w:lang w:eastAsia="pl-PL"/>
        </w:rPr>
        <w:t>rachunkowości (por.</w:t>
      </w:r>
      <w:r w:rsidR="00E10BFF" w:rsidRPr="0053598B">
        <w:rPr>
          <w:bCs/>
          <w:lang w:eastAsia="pl-PL"/>
        </w:rPr>
        <w:t xml:space="preserve"> </w:t>
      </w:r>
      <w:r w:rsidR="00FA4AAC" w:rsidRPr="0053598B">
        <w:rPr>
          <w:bCs/>
          <w:lang w:eastAsia="pl-PL"/>
        </w:rPr>
        <w:t>art. 49 ust. 2a), to jednak jego zawartość precyzuje</w:t>
      </w:r>
      <w:r w:rsidR="0087326E" w:rsidRPr="0053598B">
        <w:rPr>
          <w:bCs/>
          <w:lang w:eastAsia="pl-PL"/>
        </w:rPr>
        <w:t xml:space="preserve"> ww.</w:t>
      </w:r>
      <w:r w:rsidR="00FA4AAC" w:rsidRPr="0053598B">
        <w:rPr>
          <w:bCs/>
          <w:lang w:eastAsia="pl-PL"/>
        </w:rPr>
        <w:t xml:space="preserve"> rozporządzenie Ministra Finansów w sprawie informacji bieżących i okresowych.</w:t>
      </w:r>
      <w:r w:rsidR="006C1C69" w:rsidRPr="0053598B">
        <w:rPr>
          <w:bCs/>
          <w:lang w:eastAsia="pl-PL"/>
        </w:rPr>
        <w:t xml:space="preserve"> </w:t>
      </w:r>
    </w:p>
    <w:p w:rsidR="00610D77" w:rsidRPr="0053598B" w:rsidRDefault="00610D77" w:rsidP="00E10BFF">
      <w:pPr>
        <w:spacing w:line="360" w:lineRule="auto"/>
        <w:jc w:val="both"/>
        <w:rPr>
          <w:lang w:eastAsia="pl-PL"/>
        </w:rPr>
      </w:pPr>
    </w:p>
    <w:p w:rsidR="00EF0817" w:rsidRPr="0053598B" w:rsidRDefault="006C1C69" w:rsidP="00E10BFF">
      <w:pPr>
        <w:spacing w:line="360" w:lineRule="auto"/>
        <w:jc w:val="both"/>
        <w:rPr>
          <w:lang w:eastAsia="pl-PL"/>
        </w:rPr>
      </w:pPr>
      <w:r w:rsidRPr="0053598B">
        <w:rPr>
          <w:lang w:eastAsia="pl-PL"/>
        </w:rPr>
        <w:t>Zaproponowane w projekcie p</w:t>
      </w:r>
      <w:r w:rsidR="00A65B03" w:rsidRPr="0053598B">
        <w:rPr>
          <w:lang w:eastAsia="pl-PL"/>
        </w:rPr>
        <w:t>odejście do implementacji</w:t>
      </w:r>
      <w:r w:rsidR="00306029" w:rsidRPr="0053598B">
        <w:rPr>
          <w:lang w:eastAsia="pl-PL"/>
        </w:rPr>
        <w:t xml:space="preserve"> ww.</w:t>
      </w:r>
      <w:r w:rsidR="00A65B03" w:rsidRPr="0053598B">
        <w:rPr>
          <w:lang w:eastAsia="pl-PL"/>
        </w:rPr>
        <w:t xml:space="preserve"> dyrektywy ws. ujawniania informacji niefinansowych opiera się na uwzględnieniu aktualnego stanu raportowania informacji niefinansowych przez polskie jednostki. </w:t>
      </w:r>
    </w:p>
    <w:p w:rsidR="00306029" w:rsidRPr="0053598B" w:rsidRDefault="00EF0817" w:rsidP="00E10BFF">
      <w:pPr>
        <w:spacing w:line="360" w:lineRule="auto"/>
        <w:jc w:val="both"/>
        <w:rPr>
          <w:lang w:eastAsia="pl-PL"/>
        </w:rPr>
      </w:pPr>
      <w:r w:rsidRPr="0053598B">
        <w:rPr>
          <w:lang w:eastAsia="pl-PL"/>
        </w:rPr>
        <w:t>Obecnie jednostki sporządzające</w:t>
      </w:r>
      <w:r w:rsidR="00E10BFF" w:rsidRPr="0053598B">
        <w:rPr>
          <w:lang w:eastAsia="pl-PL"/>
        </w:rPr>
        <w:t xml:space="preserve"> </w:t>
      </w:r>
      <w:r w:rsidRPr="0053598B">
        <w:rPr>
          <w:lang w:eastAsia="pl-PL"/>
        </w:rPr>
        <w:t xml:space="preserve">sprawozdanie z działalności są zobowiązane </w:t>
      </w:r>
      <w:r w:rsidR="00E10BFF" w:rsidRPr="0053598B">
        <w:rPr>
          <w:lang w:eastAsia="pl-PL"/>
        </w:rPr>
        <w:t>–</w:t>
      </w:r>
      <w:r w:rsidRPr="0053598B">
        <w:rPr>
          <w:lang w:eastAsia="pl-PL"/>
        </w:rPr>
        <w:t xml:space="preserve"> na podstawie art. 49 ust. 3 ustawy o rachunkowości </w:t>
      </w:r>
      <w:r w:rsidR="00E10BFF" w:rsidRPr="0053598B">
        <w:rPr>
          <w:lang w:eastAsia="pl-PL"/>
        </w:rPr>
        <w:t>–</w:t>
      </w:r>
      <w:r w:rsidRPr="0053598B">
        <w:rPr>
          <w:lang w:eastAsia="pl-PL"/>
        </w:rPr>
        <w:t xml:space="preserve"> raportować minimum informacji w następującym </w:t>
      </w:r>
      <w:r w:rsidRPr="0053598B">
        <w:rPr>
          <w:lang w:eastAsia="pl-PL"/>
        </w:rPr>
        <w:lastRenderedPageBreak/>
        <w:t>zakresie: wskaźniki finansowe i niefinansowe, łącznie z informacjami dotyczącymi zagadnień środowiska naturalnego i zatrudnienia, a także dodatkowe wyjaśnienia do kwot wykazanych w sprawozdaniu finansowym. Natomiast</w:t>
      </w:r>
      <w:r w:rsidR="00306029" w:rsidRPr="0053598B">
        <w:rPr>
          <w:lang w:eastAsia="pl-PL"/>
        </w:rPr>
        <w:t xml:space="preserve"> rozbudowana </w:t>
      </w:r>
      <w:r w:rsidR="00A65B03" w:rsidRPr="0053598B">
        <w:rPr>
          <w:lang w:eastAsia="pl-PL"/>
        </w:rPr>
        <w:t>sprawozdawczość</w:t>
      </w:r>
      <w:r w:rsidR="00306029" w:rsidRPr="0053598B">
        <w:rPr>
          <w:lang w:eastAsia="pl-PL"/>
        </w:rPr>
        <w:t xml:space="preserve"> na temat informacji niefinansowych</w:t>
      </w:r>
      <w:r w:rsidR="00A65B03" w:rsidRPr="0053598B">
        <w:rPr>
          <w:lang w:eastAsia="pl-PL"/>
        </w:rPr>
        <w:t xml:space="preserve"> </w:t>
      </w:r>
      <w:r w:rsidR="002760DB" w:rsidRPr="0053598B">
        <w:rPr>
          <w:lang w:eastAsia="pl-PL"/>
        </w:rPr>
        <w:t>ma</w:t>
      </w:r>
      <w:r w:rsidR="00A65B03" w:rsidRPr="0053598B">
        <w:rPr>
          <w:lang w:eastAsia="pl-PL"/>
        </w:rPr>
        <w:t xml:space="preserve"> całkowicie</w:t>
      </w:r>
      <w:r w:rsidR="002760DB" w:rsidRPr="0053598B">
        <w:rPr>
          <w:lang w:eastAsia="pl-PL"/>
        </w:rPr>
        <w:t xml:space="preserve"> dobrowolny charakter i opiera</w:t>
      </w:r>
      <w:r w:rsidR="00001EBC" w:rsidRPr="0053598B">
        <w:rPr>
          <w:lang w:eastAsia="pl-PL"/>
        </w:rPr>
        <w:t xml:space="preserve"> się na indywidu</w:t>
      </w:r>
      <w:r w:rsidR="00A65B03" w:rsidRPr="0053598B">
        <w:rPr>
          <w:lang w:eastAsia="pl-PL"/>
        </w:rPr>
        <w:t>a</w:t>
      </w:r>
      <w:r w:rsidR="00001EBC" w:rsidRPr="0053598B">
        <w:rPr>
          <w:lang w:eastAsia="pl-PL"/>
        </w:rPr>
        <w:t>l</w:t>
      </w:r>
      <w:r w:rsidR="00A65B03" w:rsidRPr="0053598B">
        <w:rPr>
          <w:lang w:eastAsia="pl-PL"/>
        </w:rPr>
        <w:t>nych decyzjach</w:t>
      </w:r>
      <w:r w:rsidR="0011333F" w:rsidRPr="0053598B">
        <w:rPr>
          <w:lang w:eastAsia="pl-PL"/>
        </w:rPr>
        <w:t xml:space="preserve"> poszczególnych</w:t>
      </w:r>
      <w:r w:rsidR="00A65B03" w:rsidRPr="0053598B">
        <w:rPr>
          <w:lang w:eastAsia="pl-PL"/>
        </w:rPr>
        <w:t xml:space="preserve"> jednostek. </w:t>
      </w:r>
      <w:r w:rsidR="0011333F" w:rsidRPr="0053598B">
        <w:rPr>
          <w:lang w:eastAsia="pl-PL"/>
        </w:rPr>
        <w:t>Część jednostek dodatkowo dobrowolnie sporządza tzw. raporty na temat społecznej odpowiedzialności, zwane raportami CSR. Przykładowo są to spółki giełdowe wchodzą</w:t>
      </w:r>
      <w:r w:rsidR="00B36D88" w:rsidRPr="0053598B">
        <w:rPr>
          <w:lang w:eastAsia="pl-PL"/>
        </w:rPr>
        <w:t>ce w skład RESPECT Index</w:t>
      </w:r>
      <w:r w:rsidR="00D023CB" w:rsidRPr="0053598B">
        <w:rPr>
          <w:lang w:eastAsia="pl-PL"/>
        </w:rPr>
        <w:t xml:space="preserve"> funkcjonującego na Giełdzie Papierów Wartościowych w Warszawie</w:t>
      </w:r>
      <w:r w:rsidR="002E038B" w:rsidRPr="0053598B">
        <w:rPr>
          <w:lang w:eastAsia="pl-PL"/>
        </w:rPr>
        <w:t xml:space="preserve">. </w:t>
      </w:r>
    </w:p>
    <w:p w:rsidR="00EF0817" w:rsidRPr="0053598B" w:rsidRDefault="00EF0817" w:rsidP="00E10BFF">
      <w:pPr>
        <w:spacing w:line="360" w:lineRule="auto"/>
        <w:jc w:val="both"/>
        <w:rPr>
          <w:lang w:eastAsia="pl-PL"/>
        </w:rPr>
      </w:pPr>
      <w:r w:rsidRPr="0053598B">
        <w:rPr>
          <w:lang w:eastAsia="pl-PL"/>
        </w:rPr>
        <w:t xml:space="preserve">Biorąc powyższe pod uwagę, iż tego rodzaju sprawozdawczość niefinansowa powinna być rozwijana na zasadzie dobrowolności </w:t>
      </w:r>
      <w:r w:rsidR="00E10BFF" w:rsidRPr="0053598B">
        <w:rPr>
          <w:lang w:eastAsia="pl-PL"/>
        </w:rPr>
        <w:t>–</w:t>
      </w:r>
      <w:r w:rsidRPr="0053598B">
        <w:rPr>
          <w:lang w:eastAsia="pl-PL"/>
        </w:rPr>
        <w:t xml:space="preserve"> poprzez trendy rynkowe lub kodeksy dobrych praktyk</w:t>
      </w:r>
      <w:r w:rsidR="00001EBC" w:rsidRPr="0053598B">
        <w:rPr>
          <w:lang w:eastAsia="pl-PL"/>
        </w:rPr>
        <w:t xml:space="preserve"> </w:t>
      </w:r>
      <w:r w:rsidR="00E10BFF" w:rsidRPr="0053598B">
        <w:rPr>
          <w:lang w:eastAsia="pl-PL"/>
        </w:rPr>
        <w:t>–</w:t>
      </w:r>
      <w:r w:rsidR="00001EBC" w:rsidRPr="0053598B">
        <w:rPr>
          <w:lang w:eastAsia="pl-PL"/>
        </w:rPr>
        <w:t xml:space="preserve"> </w:t>
      </w:r>
      <w:r w:rsidR="00BC7E1F" w:rsidRPr="0053598B">
        <w:rPr>
          <w:lang w:eastAsia="pl-PL"/>
        </w:rPr>
        <w:t>w</w:t>
      </w:r>
      <w:r w:rsidR="0053598B">
        <w:rPr>
          <w:lang w:eastAsia="pl-PL"/>
        </w:rPr>
        <w:t> </w:t>
      </w:r>
      <w:r w:rsidR="00BC7E1F" w:rsidRPr="0053598B">
        <w:rPr>
          <w:lang w:eastAsia="pl-PL"/>
        </w:rPr>
        <w:t>projekcie ustawy nie wprowadza się dodatkowych wymogów ponad to</w:t>
      </w:r>
      <w:r w:rsidR="002E038B" w:rsidRPr="0053598B">
        <w:rPr>
          <w:lang w:eastAsia="pl-PL"/>
        </w:rPr>
        <w:t>,</w:t>
      </w:r>
      <w:r w:rsidR="00BC7E1F" w:rsidRPr="0053598B">
        <w:rPr>
          <w:lang w:eastAsia="pl-PL"/>
        </w:rPr>
        <w:t xml:space="preserve"> co jest wymagane dyrektywą</w:t>
      </w:r>
      <w:r w:rsidR="00937BC7" w:rsidRPr="0053598B">
        <w:rPr>
          <w:lang w:eastAsia="pl-PL"/>
        </w:rPr>
        <w:t xml:space="preserve"> 2014/95/UE</w:t>
      </w:r>
      <w:r w:rsidR="00BC7E1F" w:rsidRPr="0053598B">
        <w:rPr>
          <w:lang w:eastAsia="pl-PL"/>
        </w:rPr>
        <w:t>, tak aby nie zwiększać dodatkowo obciążeń sprawozdawczych dla jednostek ponad te wymagane prawem unijnym ani nie rozszerza</w:t>
      </w:r>
      <w:r w:rsidR="00124F45" w:rsidRPr="0053598B">
        <w:rPr>
          <w:lang w:eastAsia="pl-PL"/>
        </w:rPr>
        <w:t>ć</w:t>
      </w:r>
      <w:r w:rsidR="00BC7E1F" w:rsidRPr="0053598B">
        <w:rPr>
          <w:lang w:eastAsia="pl-PL"/>
        </w:rPr>
        <w:t xml:space="preserve"> katalogu jednostek na inne niż największe z</w:t>
      </w:r>
      <w:r w:rsidR="000C2B49" w:rsidRPr="0053598B">
        <w:rPr>
          <w:lang w:eastAsia="pl-PL"/>
        </w:rPr>
        <w:t xml:space="preserve"> katalogu</w:t>
      </w:r>
      <w:r w:rsidR="00BC7E1F" w:rsidRPr="0053598B">
        <w:rPr>
          <w:lang w:eastAsia="pl-PL"/>
        </w:rPr>
        <w:t xml:space="preserve"> dużych jednostek zainteresowania publicznego spełniające wymogi tej dyrektywy.</w:t>
      </w:r>
    </w:p>
    <w:p w:rsidR="00EF0817" w:rsidRPr="0053598B" w:rsidRDefault="00EF0817" w:rsidP="00E10BFF">
      <w:pPr>
        <w:spacing w:line="360" w:lineRule="auto"/>
        <w:jc w:val="both"/>
        <w:rPr>
          <w:lang w:eastAsia="pl-PL"/>
        </w:rPr>
      </w:pPr>
    </w:p>
    <w:p w:rsidR="001E7CB1" w:rsidRPr="0053598B" w:rsidRDefault="006B023F" w:rsidP="00E10BFF">
      <w:pPr>
        <w:spacing w:line="360" w:lineRule="auto"/>
        <w:jc w:val="both"/>
        <w:rPr>
          <w:lang w:eastAsia="pl-PL"/>
        </w:rPr>
      </w:pPr>
      <w:r w:rsidRPr="0053598B">
        <w:rPr>
          <w:lang w:eastAsia="pl-PL"/>
        </w:rPr>
        <w:t>Biorąc</w:t>
      </w:r>
      <w:r w:rsidR="00176E79" w:rsidRPr="0053598B">
        <w:rPr>
          <w:lang w:eastAsia="pl-PL"/>
        </w:rPr>
        <w:t xml:space="preserve"> pod uwagę</w:t>
      </w:r>
      <w:r w:rsidRPr="0053598B">
        <w:rPr>
          <w:lang w:eastAsia="pl-PL"/>
        </w:rPr>
        <w:t xml:space="preserve"> implementację dyrektywy 2013/34/UE</w:t>
      </w:r>
      <w:r w:rsidR="00001EBC" w:rsidRPr="0053598B">
        <w:rPr>
          <w:lang w:eastAsia="pl-PL"/>
        </w:rPr>
        <w:t xml:space="preserve"> w ustawie</w:t>
      </w:r>
      <w:r w:rsidRPr="0053598B">
        <w:rPr>
          <w:lang w:eastAsia="pl-PL"/>
        </w:rPr>
        <w:t xml:space="preserve"> z dnia </w:t>
      </w:r>
      <w:r w:rsidR="00176E79" w:rsidRPr="0053598B">
        <w:rPr>
          <w:lang w:eastAsia="pl-PL"/>
        </w:rPr>
        <w:t>23 lipca 2015 r. o</w:t>
      </w:r>
      <w:r w:rsidR="0053598B">
        <w:rPr>
          <w:lang w:eastAsia="pl-PL"/>
        </w:rPr>
        <w:t> </w:t>
      </w:r>
      <w:r w:rsidR="00176E79" w:rsidRPr="0053598B">
        <w:rPr>
          <w:lang w:eastAsia="pl-PL"/>
        </w:rPr>
        <w:t>zmianie ustawy o rachunkowości oraz niektórych innych us</w:t>
      </w:r>
      <w:r w:rsidR="00001EBC" w:rsidRPr="0053598B">
        <w:rPr>
          <w:lang w:eastAsia="pl-PL"/>
        </w:rPr>
        <w:t>taw (Dz. U z 2015 r. poz. 1333)</w:t>
      </w:r>
      <w:r w:rsidR="00176E79" w:rsidRPr="0053598B">
        <w:rPr>
          <w:lang w:eastAsia="pl-PL"/>
        </w:rPr>
        <w:t xml:space="preserve"> określono katalog jednostek traktowanych na potrzeby ustawy o rachunkowości jako jednostki zaintere</w:t>
      </w:r>
      <w:r w:rsidR="00001EBC" w:rsidRPr="0053598B">
        <w:rPr>
          <w:lang w:eastAsia="pl-PL"/>
        </w:rPr>
        <w:t>sowan</w:t>
      </w:r>
      <w:r w:rsidR="00E10BFF" w:rsidRPr="0053598B">
        <w:rPr>
          <w:lang w:eastAsia="pl-PL"/>
        </w:rPr>
        <w:t>i</w:t>
      </w:r>
      <w:r w:rsidR="00001EBC" w:rsidRPr="0053598B">
        <w:rPr>
          <w:lang w:eastAsia="pl-PL"/>
        </w:rPr>
        <w:t>a publicznego. W</w:t>
      </w:r>
      <w:r w:rsidR="00176E79" w:rsidRPr="0053598B">
        <w:rPr>
          <w:lang w:eastAsia="pl-PL"/>
        </w:rPr>
        <w:t xml:space="preserve"> projekcie ustawy nowe wymogi raportowania odniesiono do jednostek wymienionych w art. 3 ust. 1e pkt 1</w:t>
      </w:r>
      <w:r w:rsidR="00E10BFF" w:rsidRPr="0053598B">
        <w:rPr>
          <w:lang w:eastAsia="pl-PL"/>
        </w:rPr>
        <w:t>–</w:t>
      </w:r>
      <w:r w:rsidR="0053598B">
        <w:rPr>
          <w:lang w:eastAsia="pl-PL"/>
        </w:rPr>
        <w:t>6 ustawy o rachunkowości, a </w:t>
      </w:r>
      <w:r w:rsidR="00176E79" w:rsidRPr="0053598B">
        <w:rPr>
          <w:lang w:eastAsia="pl-PL"/>
        </w:rPr>
        <w:t xml:space="preserve">mianowicie: </w:t>
      </w:r>
    </w:p>
    <w:p w:rsidR="00937BC7" w:rsidRPr="0053598B" w:rsidRDefault="00937BC7" w:rsidP="00E10BFF">
      <w:pPr>
        <w:tabs>
          <w:tab w:val="left" w:pos="426"/>
          <w:tab w:val="left" w:pos="1134"/>
        </w:tabs>
        <w:spacing w:before="120" w:after="120" w:line="360" w:lineRule="auto"/>
        <w:contextualSpacing/>
        <w:jc w:val="both"/>
        <w:rPr>
          <w:rFonts w:eastAsia="Calibri"/>
        </w:rPr>
      </w:pPr>
      <w:r w:rsidRPr="0053598B">
        <w:rPr>
          <w:rFonts w:eastAsia="Calibri"/>
        </w:rPr>
        <w:t>1.</w:t>
      </w:r>
    </w:p>
    <w:p w:rsidR="00176E79" w:rsidRPr="0053598B" w:rsidRDefault="00176E79" w:rsidP="00E10BFF">
      <w:pPr>
        <w:numPr>
          <w:ilvl w:val="0"/>
          <w:numId w:val="2"/>
        </w:numPr>
        <w:spacing w:line="360" w:lineRule="auto"/>
        <w:jc w:val="both"/>
        <w:rPr>
          <w:lang w:eastAsia="pl-PL"/>
        </w:rPr>
      </w:pPr>
      <w:r w:rsidRPr="0053598B">
        <w:rPr>
          <w:lang w:eastAsia="pl-PL"/>
        </w:rPr>
        <w:t>jednost</w:t>
      </w:r>
      <w:r w:rsidR="00124F45" w:rsidRPr="0053598B">
        <w:rPr>
          <w:lang w:eastAsia="pl-PL"/>
        </w:rPr>
        <w:t>e</w:t>
      </w:r>
      <w:r w:rsidRPr="0053598B">
        <w:rPr>
          <w:lang w:eastAsia="pl-PL"/>
        </w:rPr>
        <w:t>k organizacyjn</w:t>
      </w:r>
      <w:r w:rsidR="00124F45" w:rsidRPr="0053598B">
        <w:rPr>
          <w:lang w:eastAsia="pl-PL"/>
        </w:rPr>
        <w:t>ych</w:t>
      </w:r>
      <w:r w:rsidRPr="0053598B">
        <w:rPr>
          <w:lang w:eastAsia="pl-PL"/>
        </w:rPr>
        <w:t xml:space="preserve"> działając</w:t>
      </w:r>
      <w:r w:rsidR="00124F45" w:rsidRPr="0053598B">
        <w:rPr>
          <w:lang w:eastAsia="pl-PL"/>
        </w:rPr>
        <w:t>ych</w:t>
      </w:r>
      <w:r w:rsidRPr="0053598B">
        <w:rPr>
          <w:lang w:eastAsia="pl-PL"/>
        </w:rPr>
        <w:t xml:space="preserve"> na podstawie </w:t>
      </w:r>
      <w:r w:rsidR="00F75D4E" w:rsidRPr="0053598B">
        <w:rPr>
          <w:lang w:eastAsia="pl-PL"/>
        </w:rPr>
        <w:t>przepisów p</w:t>
      </w:r>
      <w:r w:rsidRPr="0053598B">
        <w:rPr>
          <w:lang w:eastAsia="pl-PL"/>
        </w:rPr>
        <w:t>rawa bankowego, przepisów o obrocie papierami wartościowymi, przepisów o funduszach inwestycyjnych, przepisów o działalności ubezpieczeniowej i reasekuracyjnej, przepisów o</w:t>
      </w:r>
      <w:r w:rsidR="0053598B">
        <w:rPr>
          <w:lang w:eastAsia="pl-PL"/>
        </w:rPr>
        <w:t xml:space="preserve"> </w:t>
      </w:r>
      <w:r w:rsidRPr="0053598B">
        <w:rPr>
          <w:lang w:eastAsia="pl-PL"/>
        </w:rPr>
        <w:t>organizacji i</w:t>
      </w:r>
      <w:r w:rsidR="0053598B">
        <w:rPr>
          <w:lang w:eastAsia="pl-PL"/>
        </w:rPr>
        <w:t> </w:t>
      </w:r>
      <w:r w:rsidRPr="0053598B">
        <w:rPr>
          <w:lang w:eastAsia="pl-PL"/>
        </w:rPr>
        <w:t>funkcjonowaniu funduszy emerytalnych,</w:t>
      </w:r>
    </w:p>
    <w:p w:rsidR="00176E79" w:rsidRPr="0053598B" w:rsidRDefault="00176E79" w:rsidP="00E10BFF">
      <w:pPr>
        <w:numPr>
          <w:ilvl w:val="0"/>
          <w:numId w:val="2"/>
        </w:numPr>
        <w:spacing w:line="360" w:lineRule="auto"/>
        <w:jc w:val="both"/>
        <w:rPr>
          <w:lang w:eastAsia="pl-PL"/>
        </w:rPr>
      </w:pPr>
      <w:r w:rsidRPr="0053598B">
        <w:rPr>
          <w:lang w:eastAsia="pl-PL"/>
        </w:rPr>
        <w:t>jednost</w:t>
      </w:r>
      <w:r w:rsidR="00124F45" w:rsidRPr="0053598B">
        <w:rPr>
          <w:lang w:eastAsia="pl-PL"/>
        </w:rPr>
        <w:t>e</w:t>
      </w:r>
      <w:r w:rsidRPr="0053598B">
        <w:rPr>
          <w:lang w:eastAsia="pl-PL"/>
        </w:rPr>
        <w:t>k zamierzając</w:t>
      </w:r>
      <w:r w:rsidR="00124F45" w:rsidRPr="0053598B">
        <w:rPr>
          <w:lang w:eastAsia="pl-PL"/>
        </w:rPr>
        <w:t>ych</w:t>
      </w:r>
      <w:r w:rsidRPr="0053598B">
        <w:rPr>
          <w:lang w:eastAsia="pl-PL"/>
        </w:rPr>
        <w:t xml:space="preserve"> ubiegać się albo ubiegając</w:t>
      </w:r>
      <w:r w:rsidR="00124F45" w:rsidRPr="0053598B">
        <w:rPr>
          <w:lang w:eastAsia="pl-PL"/>
        </w:rPr>
        <w:t>ych</w:t>
      </w:r>
      <w:r w:rsidRPr="0053598B">
        <w:rPr>
          <w:lang w:eastAsia="pl-PL"/>
        </w:rPr>
        <w:t xml:space="preserve"> się o zezwolenie na wykonywanie działalności na podstawie przepisów, o których mowa w pkt 1,</w:t>
      </w:r>
    </w:p>
    <w:p w:rsidR="00176E79" w:rsidRPr="0053598B" w:rsidRDefault="00176E79" w:rsidP="00E10BFF">
      <w:pPr>
        <w:numPr>
          <w:ilvl w:val="0"/>
          <w:numId w:val="2"/>
        </w:numPr>
        <w:spacing w:line="360" w:lineRule="auto"/>
        <w:jc w:val="both"/>
        <w:rPr>
          <w:lang w:eastAsia="pl-PL"/>
        </w:rPr>
      </w:pPr>
      <w:r w:rsidRPr="0053598B">
        <w:rPr>
          <w:lang w:eastAsia="pl-PL"/>
        </w:rPr>
        <w:t>emiten</w:t>
      </w:r>
      <w:r w:rsidR="00124F45" w:rsidRPr="0053598B">
        <w:rPr>
          <w:lang w:eastAsia="pl-PL"/>
        </w:rPr>
        <w:t>tów</w:t>
      </w:r>
      <w:r w:rsidRPr="0053598B">
        <w:rPr>
          <w:lang w:eastAsia="pl-PL"/>
        </w:rPr>
        <w:t xml:space="preserve"> papierów wartościowych dopuszczonych, zamierzających ubiegać się lub ubiegających się o ich dopuszczenie do obrotu na jednym z rynków regulowanych Europejskiego Obszaru Gospodarczego,</w:t>
      </w:r>
    </w:p>
    <w:p w:rsidR="00176E79" w:rsidRPr="0053598B" w:rsidRDefault="00176E79" w:rsidP="00E10BFF">
      <w:pPr>
        <w:numPr>
          <w:ilvl w:val="0"/>
          <w:numId w:val="2"/>
        </w:numPr>
        <w:spacing w:line="360" w:lineRule="auto"/>
        <w:jc w:val="both"/>
        <w:rPr>
          <w:lang w:eastAsia="pl-PL"/>
        </w:rPr>
      </w:pPr>
      <w:r w:rsidRPr="0053598B">
        <w:rPr>
          <w:lang w:eastAsia="pl-PL"/>
        </w:rPr>
        <w:t>emiten</w:t>
      </w:r>
      <w:r w:rsidR="00124F45" w:rsidRPr="0053598B">
        <w:rPr>
          <w:lang w:eastAsia="pl-PL"/>
        </w:rPr>
        <w:t>tów</w:t>
      </w:r>
      <w:r w:rsidRPr="0053598B">
        <w:rPr>
          <w:lang w:eastAsia="pl-PL"/>
        </w:rPr>
        <w:t xml:space="preserve"> papierów wartościowych dopuszczonych do obrotu w alternatywnym systemie obrotu,</w:t>
      </w:r>
    </w:p>
    <w:p w:rsidR="00176E79" w:rsidRPr="0053598B" w:rsidRDefault="001E7CB1" w:rsidP="00E10BFF">
      <w:pPr>
        <w:numPr>
          <w:ilvl w:val="0"/>
          <w:numId w:val="2"/>
        </w:numPr>
        <w:spacing w:line="360" w:lineRule="auto"/>
        <w:jc w:val="both"/>
        <w:rPr>
          <w:lang w:eastAsia="pl-PL"/>
        </w:rPr>
      </w:pPr>
      <w:r w:rsidRPr="0053598B">
        <w:rPr>
          <w:lang w:eastAsia="pl-PL"/>
        </w:rPr>
        <w:lastRenderedPageBreak/>
        <w:t xml:space="preserve">krajowych </w:t>
      </w:r>
      <w:r w:rsidR="00176E79" w:rsidRPr="0053598B">
        <w:rPr>
          <w:lang w:eastAsia="pl-PL"/>
        </w:rPr>
        <w:t>instytucj</w:t>
      </w:r>
      <w:r w:rsidRPr="0053598B">
        <w:rPr>
          <w:lang w:eastAsia="pl-PL"/>
        </w:rPr>
        <w:t>i</w:t>
      </w:r>
      <w:r w:rsidR="00176E79" w:rsidRPr="0053598B">
        <w:rPr>
          <w:lang w:eastAsia="pl-PL"/>
        </w:rPr>
        <w:t xml:space="preserve"> płatnicz</w:t>
      </w:r>
      <w:r w:rsidRPr="0053598B">
        <w:rPr>
          <w:lang w:eastAsia="pl-PL"/>
        </w:rPr>
        <w:t>ych</w:t>
      </w:r>
      <w:r w:rsidR="00176E79" w:rsidRPr="0053598B">
        <w:rPr>
          <w:lang w:eastAsia="pl-PL"/>
        </w:rPr>
        <w:t>,</w:t>
      </w:r>
    </w:p>
    <w:p w:rsidR="00176E79" w:rsidRPr="0053598B" w:rsidRDefault="00176E79" w:rsidP="00E10BFF">
      <w:pPr>
        <w:numPr>
          <w:ilvl w:val="0"/>
          <w:numId w:val="2"/>
        </w:numPr>
        <w:spacing w:line="360" w:lineRule="auto"/>
        <w:jc w:val="both"/>
        <w:rPr>
          <w:bCs/>
          <w:lang w:eastAsia="pl-PL"/>
        </w:rPr>
      </w:pPr>
      <w:r w:rsidRPr="0053598B">
        <w:rPr>
          <w:lang w:eastAsia="pl-PL"/>
        </w:rPr>
        <w:t>instytucj</w:t>
      </w:r>
      <w:r w:rsidR="001E7CB1" w:rsidRPr="0053598B">
        <w:rPr>
          <w:lang w:eastAsia="pl-PL"/>
        </w:rPr>
        <w:t>i</w:t>
      </w:r>
      <w:r w:rsidRPr="0053598B">
        <w:rPr>
          <w:bCs/>
          <w:lang w:eastAsia="pl-PL"/>
        </w:rPr>
        <w:t xml:space="preserve"> pieniądza elektronicznego</w:t>
      </w:r>
    </w:p>
    <w:p w:rsidR="00937BC7" w:rsidRPr="0053598B" w:rsidRDefault="00E10BFF" w:rsidP="00E10BFF">
      <w:pPr>
        <w:spacing w:line="360" w:lineRule="auto"/>
        <w:jc w:val="both"/>
        <w:rPr>
          <w:lang w:eastAsia="pl-PL"/>
        </w:rPr>
      </w:pPr>
      <w:r w:rsidRPr="0053598B">
        <w:rPr>
          <w:lang w:eastAsia="pl-PL"/>
        </w:rPr>
        <w:t xml:space="preserve">– </w:t>
      </w:r>
      <w:r w:rsidR="00176E79" w:rsidRPr="0053598B">
        <w:rPr>
          <w:lang w:eastAsia="pl-PL"/>
        </w:rPr>
        <w:t>które są spółkami kapitałowymi, spółkami komandytowo</w:t>
      </w:r>
      <w:r w:rsidRPr="0053598B">
        <w:rPr>
          <w:lang w:eastAsia="pl-PL"/>
        </w:rPr>
        <w:t>-</w:t>
      </w:r>
      <w:r w:rsidR="00176E79" w:rsidRPr="0053598B">
        <w:rPr>
          <w:lang w:eastAsia="pl-PL"/>
        </w:rPr>
        <w:t>akcyjnymi lub takimi spółkami jawnymi lub komandytowymi, których wszystkimi wspólnikami ponoszącymi nieograniczoną odpowiedzialność są spółki kapitałowe lub spółki komandytowo</w:t>
      </w:r>
      <w:r w:rsidRPr="0053598B">
        <w:rPr>
          <w:lang w:eastAsia="pl-PL"/>
        </w:rPr>
        <w:t>-</w:t>
      </w:r>
      <w:r w:rsidR="00176E79" w:rsidRPr="0053598B">
        <w:rPr>
          <w:lang w:eastAsia="pl-PL"/>
        </w:rPr>
        <w:t>akcyjne bądź spółki z innych państw o podobnej do tych spółek formie prawnej</w:t>
      </w:r>
      <w:r w:rsidR="00937BC7" w:rsidRPr="0053598B">
        <w:rPr>
          <w:lang w:eastAsia="pl-PL"/>
        </w:rPr>
        <w:t>, i w roku obrotowym oraz w roku poprzedzającym przekroczyły następujące wartości:</w:t>
      </w:r>
    </w:p>
    <w:p w:rsidR="00937BC7" w:rsidRPr="0053598B" w:rsidRDefault="00937BC7" w:rsidP="00E10BFF">
      <w:pPr>
        <w:numPr>
          <w:ilvl w:val="0"/>
          <w:numId w:val="3"/>
        </w:numPr>
        <w:spacing w:line="360" w:lineRule="auto"/>
        <w:ind w:left="567" w:hanging="425"/>
        <w:jc w:val="both"/>
        <w:rPr>
          <w:lang w:eastAsia="pl-PL"/>
        </w:rPr>
      </w:pPr>
      <w:r w:rsidRPr="0053598B">
        <w:rPr>
          <w:lang w:eastAsia="pl-PL"/>
        </w:rPr>
        <w:t>średnioroczne zatrudnienie 500 osób oraz</w:t>
      </w:r>
    </w:p>
    <w:p w:rsidR="00937BC7" w:rsidRPr="0053598B" w:rsidRDefault="00937BC7" w:rsidP="00E10BFF">
      <w:pPr>
        <w:numPr>
          <w:ilvl w:val="0"/>
          <w:numId w:val="3"/>
        </w:numPr>
        <w:spacing w:line="360" w:lineRule="auto"/>
        <w:ind w:left="567" w:hanging="425"/>
        <w:jc w:val="both"/>
        <w:rPr>
          <w:lang w:eastAsia="pl-PL"/>
        </w:rPr>
      </w:pPr>
      <w:r w:rsidRPr="0053598B">
        <w:rPr>
          <w:lang w:eastAsia="pl-PL"/>
        </w:rPr>
        <w:t>suma aktywów bilansu powyżej 85 mln zł lub przychody netto ze sprzedaży towarów i</w:t>
      </w:r>
      <w:r w:rsidR="0053598B">
        <w:rPr>
          <w:lang w:eastAsia="pl-PL"/>
        </w:rPr>
        <w:t> </w:t>
      </w:r>
      <w:r w:rsidRPr="0053598B">
        <w:rPr>
          <w:lang w:eastAsia="pl-PL"/>
        </w:rPr>
        <w:t>produktów 170 mln zł.</w:t>
      </w:r>
    </w:p>
    <w:p w:rsidR="00937BC7" w:rsidRPr="0053598B" w:rsidRDefault="00937BC7" w:rsidP="00E10BFF">
      <w:pPr>
        <w:spacing w:line="360" w:lineRule="auto"/>
        <w:jc w:val="both"/>
        <w:rPr>
          <w:lang w:eastAsia="pl-PL"/>
        </w:rPr>
      </w:pPr>
      <w:r w:rsidRPr="0053598B">
        <w:rPr>
          <w:lang w:eastAsia="pl-PL"/>
        </w:rPr>
        <w:t>Z informacji otrzymanych</w:t>
      </w:r>
      <w:r w:rsidR="00FE14D6" w:rsidRPr="0053598B">
        <w:rPr>
          <w:lang w:eastAsia="pl-PL"/>
        </w:rPr>
        <w:t xml:space="preserve"> w 2015 r.</w:t>
      </w:r>
      <w:r w:rsidRPr="0053598B">
        <w:rPr>
          <w:lang w:eastAsia="pl-PL"/>
        </w:rPr>
        <w:t xml:space="preserve"> z Urzędu Komisji Nadzoru Finansowego w tej grupie znajduje się 131 podmiotów. </w:t>
      </w:r>
    </w:p>
    <w:p w:rsidR="00937BC7" w:rsidRPr="0053598B" w:rsidRDefault="00937BC7" w:rsidP="00E10BFF">
      <w:pPr>
        <w:spacing w:line="360" w:lineRule="auto"/>
        <w:jc w:val="both"/>
        <w:rPr>
          <w:lang w:eastAsia="pl-PL"/>
        </w:rPr>
      </w:pPr>
    </w:p>
    <w:p w:rsidR="00937BC7" w:rsidRPr="0053598B" w:rsidRDefault="00937BC7" w:rsidP="00E10BFF">
      <w:pPr>
        <w:spacing w:line="360" w:lineRule="auto"/>
        <w:jc w:val="both"/>
        <w:rPr>
          <w:lang w:eastAsia="pl-PL"/>
        </w:rPr>
      </w:pPr>
      <w:r w:rsidRPr="0053598B">
        <w:rPr>
          <w:lang w:eastAsia="pl-PL"/>
        </w:rPr>
        <w:t>2. jednost</w:t>
      </w:r>
      <w:r w:rsidR="000A7AC2" w:rsidRPr="0053598B">
        <w:rPr>
          <w:lang w:eastAsia="pl-PL"/>
        </w:rPr>
        <w:t>e</w:t>
      </w:r>
      <w:r w:rsidRPr="0053598B">
        <w:rPr>
          <w:lang w:eastAsia="pl-PL"/>
        </w:rPr>
        <w:t>k będąc</w:t>
      </w:r>
      <w:r w:rsidR="000A7AC2" w:rsidRPr="0053598B">
        <w:rPr>
          <w:lang w:eastAsia="pl-PL"/>
        </w:rPr>
        <w:t>ych</w:t>
      </w:r>
      <w:r w:rsidRPr="0053598B">
        <w:rPr>
          <w:lang w:eastAsia="pl-PL"/>
        </w:rPr>
        <w:t xml:space="preserve"> jednostkami organizacyjnymi określonymi w pkt 1, </w:t>
      </w:r>
      <w:r w:rsidR="000A7AC2" w:rsidRPr="0053598B">
        <w:rPr>
          <w:lang w:eastAsia="pl-PL"/>
        </w:rPr>
        <w:t xml:space="preserve">sporządzającymi </w:t>
      </w:r>
      <w:r w:rsidRPr="0053598B">
        <w:rPr>
          <w:lang w:eastAsia="pl-PL"/>
        </w:rPr>
        <w:t xml:space="preserve">– jako jednostki dominujące </w:t>
      </w:r>
      <w:r w:rsidR="00E10BFF" w:rsidRPr="0053598B">
        <w:rPr>
          <w:lang w:eastAsia="pl-PL"/>
        </w:rPr>
        <w:t>–</w:t>
      </w:r>
      <w:r w:rsidRPr="0053598B">
        <w:rPr>
          <w:lang w:eastAsia="pl-PL"/>
        </w:rPr>
        <w:t xml:space="preserve"> skonsolidowane sprawozdania finansowe, jeżeli grupa kapitałowa w roku obrotowym oraz w roku poprzedzającym przekroczyła następujące wartości:</w:t>
      </w:r>
    </w:p>
    <w:p w:rsidR="00937BC7" w:rsidRPr="0053598B" w:rsidRDefault="00937BC7" w:rsidP="00E10BFF">
      <w:pPr>
        <w:numPr>
          <w:ilvl w:val="0"/>
          <w:numId w:val="4"/>
        </w:numPr>
        <w:spacing w:line="360" w:lineRule="auto"/>
        <w:ind w:left="567"/>
        <w:jc w:val="both"/>
        <w:rPr>
          <w:lang w:eastAsia="pl-PL"/>
        </w:rPr>
      </w:pPr>
      <w:r w:rsidRPr="0053598B">
        <w:rPr>
          <w:lang w:eastAsia="pl-PL"/>
        </w:rPr>
        <w:t>średnioroczne zatrudnienie 500 osób oraz</w:t>
      </w:r>
    </w:p>
    <w:p w:rsidR="00937BC7" w:rsidRPr="0053598B" w:rsidRDefault="00937BC7" w:rsidP="00E10BFF">
      <w:pPr>
        <w:numPr>
          <w:ilvl w:val="0"/>
          <w:numId w:val="4"/>
        </w:numPr>
        <w:spacing w:line="360" w:lineRule="auto"/>
        <w:ind w:left="567"/>
        <w:jc w:val="both"/>
        <w:rPr>
          <w:lang w:eastAsia="pl-PL"/>
        </w:rPr>
      </w:pPr>
      <w:r w:rsidRPr="0053598B">
        <w:rPr>
          <w:lang w:eastAsia="pl-PL"/>
        </w:rPr>
        <w:t>suma aktywów bilansu powyżej 85 mln zł lub przychody netto ze sprzedaży towarów i</w:t>
      </w:r>
      <w:r w:rsidR="0053598B">
        <w:rPr>
          <w:lang w:eastAsia="pl-PL"/>
        </w:rPr>
        <w:t> </w:t>
      </w:r>
      <w:r w:rsidRPr="0053598B">
        <w:rPr>
          <w:lang w:eastAsia="pl-PL"/>
        </w:rPr>
        <w:t>produktów 170 mln zł.</w:t>
      </w:r>
    </w:p>
    <w:p w:rsidR="00937BC7" w:rsidRPr="0053598B" w:rsidRDefault="00937BC7" w:rsidP="00E10BFF">
      <w:pPr>
        <w:spacing w:line="360" w:lineRule="auto"/>
        <w:jc w:val="both"/>
        <w:rPr>
          <w:lang w:eastAsia="pl-PL"/>
        </w:rPr>
      </w:pPr>
      <w:r w:rsidRPr="0053598B">
        <w:rPr>
          <w:lang w:eastAsia="pl-PL"/>
        </w:rPr>
        <w:t xml:space="preserve">Z informacji otrzymanych z Urzędu Komisji Nadzoru Finansowego w tej grupie znajduje się 148 podmiotów. </w:t>
      </w:r>
    </w:p>
    <w:p w:rsidR="006C070C" w:rsidRPr="0053598B" w:rsidRDefault="006C070C" w:rsidP="00E10BFF">
      <w:pPr>
        <w:spacing w:line="360" w:lineRule="auto"/>
        <w:jc w:val="both"/>
        <w:rPr>
          <w:lang w:eastAsia="pl-PL"/>
        </w:rPr>
      </w:pPr>
    </w:p>
    <w:p w:rsidR="00A65B03" w:rsidRPr="0053598B" w:rsidRDefault="00E31984" w:rsidP="00E10BFF">
      <w:pPr>
        <w:spacing w:line="360" w:lineRule="auto"/>
        <w:jc w:val="both"/>
        <w:rPr>
          <w:lang w:eastAsia="pl-PL"/>
        </w:rPr>
      </w:pPr>
      <w:r w:rsidRPr="0053598B">
        <w:rPr>
          <w:lang w:eastAsia="pl-PL"/>
        </w:rPr>
        <w:t>Zgodne z zakresem dyrektywy r</w:t>
      </w:r>
      <w:r w:rsidR="00ED18C2" w:rsidRPr="0053598B">
        <w:rPr>
          <w:lang w:eastAsia="pl-PL"/>
        </w:rPr>
        <w:t>ozwiązanie proponowane w projekcie ustawy</w:t>
      </w:r>
      <w:r w:rsidR="00A65B03" w:rsidRPr="0053598B">
        <w:rPr>
          <w:lang w:eastAsia="pl-PL"/>
        </w:rPr>
        <w:t xml:space="preserve"> wprowadz</w:t>
      </w:r>
      <w:r w:rsidR="00ED18C2" w:rsidRPr="0053598B">
        <w:rPr>
          <w:lang w:eastAsia="pl-PL"/>
        </w:rPr>
        <w:t>a</w:t>
      </w:r>
      <w:r w:rsidR="00A65B03" w:rsidRPr="0053598B">
        <w:rPr>
          <w:lang w:eastAsia="pl-PL"/>
        </w:rPr>
        <w:t xml:space="preserve"> </w:t>
      </w:r>
      <w:r w:rsidRPr="0053598B">
        <w:rPr>
          <w:lang w:eastAsia="pl-PL"/>
        </w:rPr>
        <w:t>rozbudowane</w:t>
      </w:r>
      <w:r w:rsidR="00A65B03" w:rsidRPr="0053598B">
        <w:rPr>
          <w:lang w:eastAsia="pl-PL"/>
        </w:rPr>
        <w:t xml:space="preserve"> wymogi raportowania informacji niefinansowych jedynie w odniesieniu do największych z</w:t>
      </w:r>
      <w:r w:rsidR="00E10BFF" w:rsidRPr="0053598B">
        <w:rPr>
          <w:lang w:eastAsia="pl-PL"/>
        </w:rPr>
        <w:t xml:space="preserve"> </w:t>
      </w:r>
      <w:r w:rsidR="000A7AC2" w:rsidRPr="0053598B">
        <w:rPr>
          <w:lang w:eastAsia="pl-PL"/>
        </w:rPr>
        <w:t xml:space="preserve">katalogu </w:t>
      </w:r>
      <w:r w:rsidR="00A65B03" w:rsidRPr="0053598B">
        <w:rPr>
          <w:lang w:eastAsia="pl-PL"/>
        </w:rPr>
        <w:t>dużych jednostek zainteresowania publicznego. Biorąc pod uwagę, że dyrektywa zawiera szereg ogólnych wymogów i zasad, zamiast szczegółowych wytycznych, a także zapewnia bezpośrednio jednostkom objętym tymi wymogami pełną swobodę</w:t>
      </w:r>
      <w:r w:rsidRPr="0053598B">
        <w:rPr>
          <w:lang w:eastAsia="pl-PL"/>
        </w:rPr>
        <w:t>,</w:t>
      </w:r>
      <w:r w:rsidR="00A65B03" w:rsidRPr="0053598B">
        <w:rPr>
          <w:lang w:eastAsia="pl-PL"/>
        </w:rPr>
        <w:t xml:space="preserve"> czy i jakie standardy lub wytyczne zastosować do tego rodzaju sprawozdawczości, uznaje się za </w:t>
      </w:r>
      <w:r w:rsidR="00124F45" w:rsidRPr="0053598B">
        <w:rPr>
          <w:lang w:eastAsia="pl-PL"/>
        </w:rPr>
        <w:t>zasadne</w:t>
      </w:r>
      <w:r w:rsidR="001E7CB1" w:rsidRPr="0053598B">
        <w:rPr>
          <w:lang w:eastAsia="pl-PL"/>
        </w:rPr>
        <w:t xml:space="preserve"> </w:t>
      </w:r>
      <w:r w:rsidR="00A65B03" w:rsidRPr="0053598B">
        <w:rPr>
          <w:lang w:eastAsia="pl-PL"/>
        </w:rPr>
        <w:t>zachowanie tego podejścia opartego na ogólnych zasadach także w</w:t>
      </w:r>
      <w:r w:rsidR="0053598B">
        <w:rPr>
          <w:lang w:eastAsia="pl-PL"/>
        </w:rPr>
        <w:t> </w:t>
      </w:r>
      <w:r w:rsidR="00A65B03" w:rsidRPr="0053598B">
        <w:rPr>
          <w:lang w:eastAsia="pl-PL"/>
        </w:rPr>
        <w:t xml:space="preserve">krajowych przepisach. </w:t>
      </w:r>
    </w:p>
    <w:p w:rsidR="00ED18C2" w:rsidRPr="0053598B" w:rsidRDefault="00ED18C2" w:rsidP="00E10BFF">
      <w:pPr>
        <w:spacing w:line="360" w:lineRule="auto"/>
        <w:jc w:val="both"/>
        <w:rPr>
          <w:lang w:eastAsia="pl-PL"/>
        </w:rPr>
      </w:pPr>
    </w:p>
    <w:p w:rsidR="00ED18C2" w:rsidRPr="0053598B" w:rsidRDefault="00ED18C2" w:rsidP="00E10BFF">
      <w:pPr>
        <w:spacing w:line="360" w:lineRule="auto"/>
        <w:jc w:val="both"/>
        <w:rPr>
          <w:lang w:eastAsia="pl-PL"/>
        </w:rPr>
      </w:pPr>
      <w:r w:rsidRPr="0053598B">
        <w:rPr>
          <w:lang w:eastAsia="pl-PL"/>
        </w:rPr>
        <w:lastRenderedPageBreak/>
        <w:t>W ramach wstępnych prac analitycznych nad projektem ustawy przeprowadz</w:t>
      </w:r>
      <w:r w:rsidR="00F61167" w:rsidRPr="0053598B">
        <w:rPr>
          <w:lang w:eastAsia="pl-PL"/>
        </w:rPr>
        <w:t>one zostały pr</w:t>
      </w:r>
      <w:r w:rsidRPr="0053598B">
        <w:rPr>
          <w:lang w:eastAsia="pl-PL"/>
        </w:rPr>
        <w:t>ekonsultacje w obszarach</w:t>
      </w:r>
      <w:r w:rsidR="00E31984" w:rsidRPr="0053598B">
        <w:rPr>
          <w:lang w:eastAsia="pl-PL"/>
        </w:rPr>
        <w:t>,</w:t>
      </w:r>
      <w:r w:rsidRPr="0053598B">
        <w:rPr>
          <w:lang w:eastAsia="pl-PL"/>
        </w:rPr>
        <w:t xml:space="preserve"> w których dyrektywa 2014/95/UE pozostawia dowolność krajom członkowskim. Dotyczyły one następujących opcji:</w:t>
      </w:r>
    </w:p>
    <w:p w:rsidR="00ED18C2" w:rsidRPr="0053598B" w:rsidRDefault="00ED18C2" w:rsidP="00E10BFF">
      <w:pPr>
        <w:numPr>
          <w:ilvl w:val="0"/>
          <w:numId w:val="10"/>
        </w:numPr>
        <w:spacing w:line="360" w:lineRule="auto"/>
        <w:jc w:val="both"/>
        <w:rPr>
          <w:lang w:eastAsia="pl-PL"/>
        </w:rPr>
      </w:pPr>
      <w:r w:rsidRPr="0053598B">
        <w:rPr>
          <w:lang w:eastAsia="pl-PL"/>
        </w:rPr>
        <w:t xml:space="preserve">czy zezwolić, aby jednostki mogły przedstawić informacje niefinansowe w formie odrębnego sprawozdania (kwestia </w:t>
      </w:r>
      <w:r w:rsidR="00E31984" w:rsidRPr="0053598B">
        <w:rPr>
          <w:lang w:eastAsia="pl-PL"/>
        </w:rPr>
        <w:t>miejsca</w:t>
      </w:r>
      <w:r w:rsidR="00E10BFF" w:rsidRPr="0053598B">
        <w:rPr>
          <w:lang w:eastAsia="pl-PL"/>
        </w:rPr>
        <w:t xml:space="preserve"> </w:t>
      </w:r>
      <w:r w:rsidRPr="0053598B">
        <w:rPr>
          <w:lang w:eastAsia="pl-PL"/>
        </w:rPr>
        <w:t>i czasu publikacji)</w:t>
      </w:r>
      <w:r w:rsidR="000A7AC2" w:rsidRPr="0053598B">
        <w:rPr>
          <w:lang w:eastAsia="pl-PL"/>
        </w:rPr>
        <w:t xml:space="preserve"> – art. 19a ust. 4 ww. dyrektywy</w:t>
      </w:r>
      <w:r w:rsidR="00E10BFF" w:rsidRPr="0053598B">
        <w:rPr>
          <w:lang w:eastAsia="pl-PL"/>
        </w:rPr>
        <w:t>;</w:t>
      </w:r>
    </w:p>
    <w:p w:rsidR="00ED18C2" w:rsidRPr="0053598B" w:rsidRDefault="00ED18C2" w:rsidP="00E10BFF">
      <w:pPr>
        <w:numPr>
          <w:ilvl w:val="0"/>
          <w:numId w:val="10"/>
        </w:numPr>
        <w:spacing w:line="360" w:lineRule="auto"/>
        <w:jc w:val="both"/>
        <w:rPr>
          <w:lang w:eastAsia="pl-PL"/>
        </w:rPr>
      </w:pPr>
      <w:r w:rsidRPr="0053598B">
        <w:rPr>
          <w:lang w:eastAsia="pl-PL"/>
        </w:rPr>
        <w:t xml:space="preserve"> czy zezwolić, aby jednostki pominęły w wyjątkowych przypadkach informacje dotyczące oczekiwanych wydarzeń lub spraw będących przedmiotem toczących się negocjacji, jeżeli ich ujawnienie miałoby szkodliwy wpływ na sytuację handlową jednostki</w:t>
      </w:r>
      <w:r w:rsidR="000A7AC2" w:rsidRPr="0053598B">
        <w:rPr>
          <w:lang w:eastAsia="pl-PL"/>
        </w:rPr>
        <w:t xml:space="preserve"> – art. 19 ust. 1 akapit czwarty ww.</w:t>
      </w:r>
      <w:r w:rsidR="00E10BFF" w:rsidRPr="0053598B">
        <w:rPr>
          <w:lang w:eastAsia="pl-PL"/>
        </w:rPr>
        <w:t xml:space="preserve"> </w:t>
      </w:r>
      <w:r w:rsidR="000A7AC2" w:rsidRPr="0053598B">
        <w:rPr>
          <w:lang w:eastAsia="pl-PL"/>
        </w:rPr>
        <w:t>dyrektywy</w:t>
      </w:r>
      <w:r w:rsidR="00E10BFF" w:rsidRPr="0053598B">
        <w:rPr>
          <w:lang w:eastAsia="pl-PL"/>
        </w:rPr>
        <w:t>;</w:t>
      </w:r>
    </w:p>
    <w:p w:rsidR="00ED18C2" w:rsidRPr="0053598B" w:rsidRDefault="00ED18C2" w:rsidP="00E10BFF">
      <w:pPr>
        <w:numPr>
          <w:ilvl w:val="0"/>
          <w:numId w:val="10"/>
        </w:numPr>
        <w:spacing w:line="360" w:lineRule="auto"/>
        <w:jc w:val="both"/>
        <w:rPr>
          <w:lang w:eastAsia="pl-PL"/>
        </w:rPr>
      </w:pPr>
      <w:r w:rsidRPr="0053598B">
        <w:rPr>
          <w:lang w:eastAsia="pl-PL"/>
        </w:rPr>
        <w:t>czy wymagać, aby informacje niefinansowe były weryfikowane przez niezależny podmiot świadczący usługi atestacyjne (np. biegłego rewidenta lub podmiot inny niż podmioty uprawnione do badania sprawozdań finansowych)</w:t>
      </w:r>
      <w:r w:rsidR="000A7AC2" w:rsidRPr="0053598B">
        <w:rPr>
          <w:lang w:eastAsia="pl-PL"/>
        </w:rPr>
        <w:t xml:space="preserve"> – art. 19a ust. 6 ww. dyrektywy</w:t>
      </w:r>
      <w:r w:rsidRPr="0053598B">
        <w:rPr>
          <w:lang w:eastAsia="pl-PL"/>
        </w:rPr>
        <w:t>.</w:t>
      </w:r>
    </w:p>
    <w:p w:rsidR="00ED18C2" w:rsidRPr="0053598B" w:rsidRDefault="00ED18C2" w:rsidP="00E10BFF">
      <w:pPr>
        <w:spacing w:line="360" w:lineRule="auto"/>
        <w:jc w:val="both"/>
        <w:rPr>
          <w:lang w:eastAsia="pl-PL"/>
        </w:rPr>
      </w:pPr>
      <w:r w:rsidRPr="0053598B">
        <w:rPr>
          <w:lang w:eastAsia="pl-PL"/>
        </w:rPr>
        <w:t>Zapytanie wysłano do 16 podmiotów</w:t>
      </w:r>
      <w:r w:rsidRPr="0053598B">
        <w:rPr>
          <w:vertAlign w:val="superscript"/>
          <w:lang w:eastAsia="pl-PL"/>
        </w:rPr>
        <w:footnoteReference w:id="1"/>
      </w:r>
      <w:r w:rsidR="007A3322" w:rsidRPr="0053598B">
        <w:rPr>
          <w:vertAlign w:val="superscript"/>
          <w:lang w:eastAsia="pl-PL"/>
        </w:rPr>
        <w:t>)</w:t>
      </w:r>
      <w:r w:rsidRPr="0053598B">
        <w:rPr>
          <w:lang w:eastAsia="pl-PL"/>
        </w:rPr>
        <w:t xml:space="preserve">. </w:t>
      </w:r>
      <w:r w:rsidR="000F0E41" w:rsidRPr="0053598B">
        <w:rPr>
          <w:lang w:eastAsia="pl-PL"/>
        </w:rPr>
        <w:t>Odpowiedzi udzieliły</w:t>
      </w:r>
      <w:r w:rsidRPr="0053598B">
        <w:rPr>
          <w:lang w:eastAsia="pl-PL"/>
        </w:rPr>
        <w:t xml:space="preserve"> </w:t>
      </w:r>
      <w:r w:rsidR="000F0E41" w:rsidRPr="0053598B">
        <w:rPr>
          <w:lang w:eastAsia="pl-PL"/>
        </w:rPr>
        <w:t>Ministerstwo Gospodarki, Ministerstwo</w:t>
      </w:r>
      <w:r w:rsidRPr="0053598B">
        <w:rPr>
          <w:lang w:eastAsia="pl-PL"/>
        </w:rPr>
        <w:t xml:space="preserve"> Skarbu Państwa</w:t>
      </w:r>
      <w:r w:rsidR="000F0E41" w:rsidRPr="0053598B">
        <w:rPr>
          <w:lang w:eastAsia="pl-PL"/>
        </w:rPr>
        <w:t>, Krajowa Izba</w:t>
      </w:r>
      <w:r w:rsidRPr="0053598B">
        <w:rPr>
          <w:lang w:eastAsia="pl-PL"/>
        </w:rPr>
        <w:t xml:space="preserve"> Biegłych Rewidentów oraz Urz</w:t>
      </w:r>
      <w:r w:rsidR="000F0E41" w:rsidRPr="0053598B">
        <w:rPr>
          <w:lang w:eastAsia="pl-PL"/>
        </w:rPr>
        <w:t>ąd</w:t>
      </w:r>
      <w:r w:rsidRPr="0053598B">
        <w:rPr>
          <w:lang w:eastAsia="pl-PL"/>
        </w:rPr>
        <w:t xml:space="preserve"> Komisji Nadzoru Finansowego. </w:t>
      </w:r>
    </w:p>
    <w:p w:rsidR="000F0E41" w:rsidRPr="0053598B" w:rsidRDefault="00ED18C2" w:rsidP="00E10BFF">
      <w:pPr>
        <w:spacing w:line="360" w:lineRule="auto"/>
        <w:jc w:val="both"/>
        <w:rPr>
          <w:lang w:eastAsia="pl-PL"/>
        </w:rPr>
      </w:pPr>
      <w:r w:rsidRPr="0053598B">
        <w:rPr>
          <w:lang w:eastAsia="pl-PL"/>
        </w:rPr>
        <w:t xml:space="preserve">Jednocześnie </w:t>
      </w:r>
      <w:r w:rsidR="00E31984" w:rsidRPr="0053598B">
        <w:rPr>
          <w:lang w:eastAsia="pl-PL"/>
        </w:rPr>
        <w:t>MF przeprowadziło prekonsultacje nt. wdrożenia ww. dyrektywy poprzez upublicznienie szczegółowej ankiety skierowanej gł</w:t>
      </w:r>
      <w:r w:rsidR="000A7AC2" w:rsidRPr="0053598B">
        <w:rPr>
          <w:lang w:eastAsia="pl-PL"/>
        </w:rPr>
        <w:t>ó</w:t>
      </w:r>
      <w:r w:rsidR="00E31984" w:rsidRPr="0053598B">
        <w:rPr>
          <w:lang w:eastAsia="pl-PL"/>
        </w:rPr>
        <w:t xml:space="preserve">wnie do spółek </w:t>
      </w:r>
      <w:r w:rsidRPr="0053598B">
        <w:rPr>
          <w:lang w:eastAsia="pl-PL"/>
        </w:rPr>
        <w:t>będących zarówno jednostkami raportującymi dane niefinansowe</w:t>
      </w:r>
      <w:r w:rsidR="00E31984" w:rsidRPr="0053598B">
        <w:rPr>
          <w:lang w:eastAsia="pl-PL"/>
        </w:rPr>
        <w:t xml:space="preserve"> lub </w:t>
      </w:r>
      <w:r w:rsidR="000A7AC2" w:rsidRPr="0053598B">
        <w:rPr>
          <w:lang w:eastAsia="pl-PL"/>
        </w:rPr>
        <w:t>planującymi takie raportowanie</w:t>
      </w:r>
      <w:r w:rsidRPr="0053598B">
        <w:rPr>
          <w:lang w:eastAsia="pl-PL"/>
        </w:rPr>
        <w:t>, jak i</w:t>
      </w:r>
      <w:r w:rsidR="0053598B">
        <w:rPr>
          <w:lang w:eastAsia="pl-PL"/>
        </w:rPr>
        <w:t> </w:t>
      </w:r>
      <w:r w:rsidRPr="0053598B">
        <w:rPr>
          <w:lang w:eastAsia="pl-PL"/>
        </w:rPr>
        <w:t xml:space="preserve">użytkownikami tych informacji. Otrzymano łącznie 53 odpowiedzi, w tym 43 ankiety od jednostek, które mogą być w przyszłości objęte obowiązkiem ujawniania </w:t>
      </w:r>
      <w:r w:rsidR="00E31984" w:rsidRPr="0053598B">
        <w:rPr>
          <w:lang w:eastAsia="pl-PL"/>
        </w:rPr>
        <w:t xml:space="preserve">rozbudowanych </w:t>
      </w:r>
      <w:r w:rsidRPr="0053598B">
        <w:rPr>
          <w:lang w:eastAsia="pl-PL"/>
        </w:rPr>
        <w:t>informacji niefinansowych</w:t>
      </w:r>
      <w:r w:rsidR="000F0E41" w:rsidRPr="0053598B">
        <w:rPr>
          <w:vertAlign w:val="superscript"/>
          <w:lang w:eastAsia="pl-PL"/>
        </w:rPr>
        <w:footnoteReference w:id="2"/>
      </w:r>
      <w:r w:rsidR="00774E6A" w:rsidRPr="0053598B">
        <w:rPr>
          <w:vertAlign w:val="superscript"/>
          <w:lang w:eastAsia="pl-PL"/>
        </w:rPr>
        <w:t>)</w:t>
      </w:r>
      <w:r w:rsidR="000F0E41" w:rsidRPr="0053598B">
        <w:rPr>
          <w:lang w:eastAsia="pl-PL"/>
        </w:rPr>
        <w:t>.</w:t>
      </w:r>
    </w:p>
    <w:p w:rsidR="00C6337C" w:rsidRPr="0053598B" w:rsidRDefault="00C6337C" w:rsidP="00E10BFF">
      <w:pPr>
        <w:spacing w:line="360" w:lineRule="auto"/>
        <w:jc w:val="both"/>
        <w:rPr>
          <w:lang w:eastAsia="pl-PL"/>
        </w:rPr>
      </w:pPr>
    </w:p>
    <w:p w:rsidR="00ED18C2" w:rsidRPr="0053598B" w:rsidRDefault="00ED18C2" w:rsidP="00E10BFF">
      <w:pPr>
        <w:spacing w:line="360" w:lineRule="auto"/>
        <w:jc w:val="both"/>
        <w:rPr>
          <w:lang w:eastAsia="pl-PL"/>
        </w:rPr>
      </w:pPr>
      <w:r w:rsidRPr="0053598B">
        <w:rPr>
          <w:lang w:eastAsia="pl-PL"/>
        </w:rPr>
        <w:t xml:space="preserve">Z przeprowadzonych konsultacji </w:t>
      </w:r>
      <w:r w:rsidR="000F0E41" w:rsidRPr="0053598B">
        <w:rPr>
          <w:lang w:eastAsia="pl-PL"/>
        </w:rPr>
        <w:t>wynika</w:t>
      </w:r>
      <w:r w:rsidR="00F61167" w:rsidRPr="0053598B">
        <w:rPr>
          <w:lang w:eastAsia="pl-PL"/>
        </w:rPr>
        <w:t>ją następujące wnioski:</w:t>
      </w:r>
    </w:p>
    <w:p w:rsidR="00A83672" w:rsidRPr="0053598B" w:rsidRDefault="00ED18C2" w:rsidP="00E10BFF">
      <w:pPr>
        <w:spacing w:line="360" w:lineRule="auto"/>
        <w:ind w:left="426" w:hanging="426"/>
        <w:jc w:val="both"/>
        <w:rPr>
          <w:lang w:eastAsia="pl-PL"/>
        </w:rPr>
      </w:pPr>
      <w:r w:rsidRPr="0053598B">
        <w:rPr>
          <w:lang w:eastAsia="pl-PL"/>
        </w:rPr>
        <w:t>1)</w:t>
      </w:r>
      <w:r w:rsidRPr="0053598B">
        <w:rPr>
          <w:lang w:eastAsia="pl-PL"/>
        </w:rPr>
        <w:tab/>
      </w:r>
      <w:r w:rsidR="00F61167" w:rsidRPr="0053598B">
        <w:rPr>
          <w:lang w:eastAsia="pl-PL"/>
        </w:rPr>
        <w:t xml:space="preserve">w </w:t>
      </w:r>
      <w:r w:rsidR="000F0E41" w:rsidRPr="0053598B">
        <w:rPr>
          <w:lang w:eastAsia="pl-PL"/>
        </w:rPr>
        <w:t>zakresie opcji</w:t>
      </w:r>
      <w:r w:rsidRPr="0053598B">
        <w:rPr>
          <w:lang w:eastAsia="pl-PL"/>
        </w:rPr>
        <w:t xml:space="preserve"> dotycząc</w:t>
      </w:r>
      <w:r w:rsidR="000F0E41" w:rsidRPr="0053598B">
        <w:rPr>
          <w:lang w:eastAsia="pl-PL"/>
        </w:rPr>
        <w:t>ej</w:t>
      </w:r>
      <w:r w:rsidRPr="0053598B">
        <w:rPr>
          <w:lang w:eastAsia="pl-PL"/>
        </w:rPr>
        <w:t xml:space="preserve"> zezwolenia na raportowanie informacji niefinansowych odrębnie</w:t>
      </w:r>
      <w:r w:rsidR="00F61167" w:rsidRPr="0053598B">
        <w:rPr>
          <w:lang w:eastAsia="pl-PL"/>
        </w:rPr>
        <w:t xml:space="preserve"> od sprawozdania z działalności:</w:t>
      </w:r>
      <w:r w:rsidR="001E7CB1" w:rsidRPr="0053598B">
        <w:rPr>
          <w:lang w:eastAsia="pl-PL"/>
        </w:rPr>
        <w:t xml:space="preserve"> z</w:t>
      </w:r>
      <w:r w:rsidRPr="0053598B">
        <w:rPr>
          <w:lang w:eastAsia="pl-PL"/>
        </w:rPr>
        <w:t xml:space="preserve">decydowana większość spółek </w:t>
      </w:r>
      <w:r w:rsidR="000A7AC2" w:rsidRPr="0053598B">
        <w:rPr>
          <w:lang w:eastAsia="pl-PL"/>
        </w:rPr>
        <w:t xml:space="preserve">była </w:t>
      </w:r>
      <w:r w:rsidRPr="0053598B">
        <w:rPr>
          <w:lang w:eastAsia="pl-PL"/>
        </w:rPr>
        <w:t xml:space="preserve">za skorzystaniem z tej opcji, natomiast użytkownicy informacji niefinansowych mieli podzielone zdania. W kwestii </w:t>
      </w:r>
      <w:r w:rsidR="00E31984" w:rsidRPr="0053598B">
        <w:rPr>
          <w:lang w:eastAsia="pl-PL"/>
        </w:rPr>
        <w:t>miejsca</w:t>
      </w:r>
      <w:r w:rsidRPr="0053598B">
        <w:rPr>
          <w:lang w:eastAsia="pl-PL"/>
        </w:rPr>
        <w:t xml:space="preserve"> publikacji większość spółek była za umożliwieniem spółkom publikowania odrębnego sprawozdania niefinansowego </w:t>
      </w:r>
      <w:r w:rsidRPr="0053598B">
        <w:rPr>
          <w:lang w:eastAsia="pl-PL"/>
        </w:rPr>
        <w:lastRenderedPageBreak/>
        <w:t xml:space="preserve">równocześnie ze sprawozdaniem z działalności do KRS lub podawania do publicznej wiadomości na stronie internetowej jednostki najpóźniej w terminie do 6 miesięcy od dnia bilansowego, natomiast większość użytkowników była za umożliwieniem publikacji </w:t>
      </w:r>
      <w:r w:rsidR="00001EBC" w:rsidRPr="0053598B">
        <w:rPr>
          <w:lang w:eastAsia="pl-PL"/>
        </w:rPr>
        <w:t xml:space="preserve">tylko </w:t>
      </w:r>
      <w:r w:rsidRPr="0053598B">
        <w:rPr>
          <w:lang w:eastAsia="pl-PL"/>
        </w:rPr>
        <w:t>łącznie ze sprawozdaniem z działalności</w:t>
      </w:r>
      <w:r w:rsidR="00E31984" w:rsidRPr="0053598B">
        <w:rPr>
          <w:lang w:eastAsia="pl-PL"/>
        </w:rPr>
        <w:t xml:space="preserve"> i składaniem jej do KRS</w:t>
      </w:r>
      <w:r w:rsidR="00F75D4E" w:rsidRPr="0053598B">
        <w:rPr>
          <w:lang w:eastAsia="pl-PL"/>
        </w:rPr>
        <w:t>;</w:t>
      </w:r>
    </w:p>
    <w:p w:rsidR="00ED18C2" w:rsidRPr="0053598B" w:rsidRDefault="00ED18C2" w:rsidP="00E10BFF">
      <w:pPr>
        <w:spacing w:line="360" w:lineRule="auto"/>
        <w:ind w:left="426" w:hanging="426"/>
        <w:jc w:val="both"/>
        <w:rPr>
          <w:lang w:eastAsia="pl-PL"/>
        </w:rPr>
      </w:pPr>
      <w:r w:rsidRPr="0053598B">
        <w:rPr>
          <w:lang w:eastAsia="pl-PL"/>
        </w:rPr>
        <w:t>2)</w:t>
      </w:r>
      <w:r w:rsidRPr="0053598B">
        <w:rPr>
          <w:lang w:eastAsia="pl-PL"/>
        </w:rPr>
        <w:tab/>
      </w:r>
      <w:r w:rsidR="000F0E41" w:rsidRPr="0053598B">
        <w:rPr>
          <w:lang w:eastAsia="pl-PL"/>
        </w:rPr>
        <w:t>w zakresie opcji</w:t>
      </w:r>
      <w:r w:rsidRPr="0053598B">
        <w:rPr>
          <w:lang w:eastAsia="pl-PL"/>
        </w:rPr>
        <w:t xml:space="preserve"> dotycząc</w:t>
      </w:r>
      <w:r w:rsidR="000F0E41" w:rsidRPr="0053598B">
        <w:rPr>
          <w:lang w:eastAsia="pl-PL"/>
        </w:rPr>
        <w:t>ej</w:t>
      </w:r>
      <w:r w:rsidRPr="0053598B">
        <w:rPr>
          <w:lang w:eastAsia="pl-PL"/>
        </w:rPr>
        <w:t xml:space="preserve"> zezwolenia na pomijanie niektórych informacji niefinansowych w wyjątkowych przypadka</w:t>
      </w:r>
      <w:r w:rsidR="00F61167" w:rsidRPr="0053598B">
        <w:rPr>
          <w:lang w:eastAsia="pl-PL"/>
        </w:rPr>
        <w:t>ch:</w:t>
      </w:r>
      <w:r w:rsidR="001E7CB1" w:rsidRPr="0053598B">
        <w:rPr>
          <w:lang w:eastAsia="pl-PL"/>
        </w:rPr>
        <w:t xml:space="preserve"> z</w:t>
      </w:r>
      <w:r w:rsidRPr="0053598B">
        <w:rPr>
          <w:lang w:eastAsia="pl-PL"/>
        </w:rPr>
        <w:t>decydowana większość spółek oraz użytkowników była za skorzystaniem z opcji pomijania niektórych informacji w</w:t>
      </w:r>
      <w:r w:rsidR="0053598B">
        <w:rPr>
          <w:lang w:eastAsia="pl-PL"/>
        </w:rPr>
        <w:t> </w:t>
      </w:r>
      <w:r w:rsidRPr="0053598B">
        <w:rPr>
          <w:lang w:eastAsia="pl-PL"/>
        </w:rPr>
        <w:t>szczególnych przypadkach. Przy czym w sprawie wprowadzenia</w:t>
      </w:r>
      <w:r w:rsidR="0073465D" w:rsidRPr="0053598B">
        <w:rPr>
          <w:lang w:eastAsia="pl-PL"/>
        </w:rPr>
        <w:t>, ponad wymogi dyrektywy,</w:t>
      </w:r>
      <w:r w:rsidRPr="0053598B">
        <w:rPr>
          <w:lang w:eastAsia="pl-PL"/>
        </w:rPr>
        <w:t xml:space="preserve"> </w:t>
      </w:r>
      <w:r w:rsidR="0073465D" w:rsidRPr="0053598B">
        <w:rPr>
          <w:lang w:eastAsia="pl-PL"/>
        </w:rPr>
        <w:t>obowiązku</w:t>
      </w:r>
      <w:r w:rsidR="00E10BFF" w:rsidRPr="0053598B">
        <w:rPr>
          <w:lang w:eastAsia="pl-PL"/>
        </w:rPr>
        <w:t xml:space="preserve"> </w:t>
      </w:r>
      <w:r w:rsidRPr="0053598B">
        <w:rPr>
          <w:lang w:eastAsia="pl-PL"/>
        </w:rPr>
        <w:t>ujawnienia faktu, że dana spółka z takiej możliwości skorzystała, zdania spółek były bardziej podzielone, choć nadal ich większość i prawie wszyscy użytkownicy byli za takim ujawnieniem</w:t>
      </w:r>
      <w:r w:rsidR="00F75D4E" w:rsidRPr="0053598B">
        <w:rPr>
          <w:lang w:eastAsia="pl-PL"/>
        </w:rPr>
        <w:t>;</w:t>
      </w:r>
    </w:p>
    <w:p w:rsidR="00ED18C2" w:rsidRPr="0053598B" w:rsidRDefault="00ED18C2" w:rsidP="00E10BFF">
      <w:pPr>
        <w:spacing w:line="360" w:lineRule="auto"/>
        <w:ind w:left="426" w:hanging="426"/>
        <w:jc w:val="both"/>
        <w:rPr>
          <w:lang w:eastAsia="pl-PL"/>
        </w:rPr>
      </w:pPr>
      <w:r w:rsidRPr="0053598B">
        <w:rPr>
          <w:lang w:eastAsia="pl-PL"/>
        </w:rPr>
        <w:t>3)</w:t>
      </w:r>
      <w:r w:rsidRPr="0053598B">
        <w:rPr>
          <w:lang w:eastAsia="pl-PL"/>
        </w:rPr>
        <w:tab/>
      </w:r>
      <w:r w:rsidR="000F0E41" w:rsidRPr="0053598B">
        <w:rPr>
          <w:lang w:eastAsia="pl-PL"/>
        </w:rPr>
        <w:t>w zakresie opcji</w:t>
      </w:r>
      <w:r w:rsidRPr="0053598B">
        <w:rPr>
          <w:lang w:eastAsia="pl-PL"/>
        </w:rPr>
        <w:t xml:space="preserve"> dotycząc</w:t>
      </w:r>
      <w:r w:rsidR="000F0E41" w:rsidRPr="0053598B">
        <w:rPr>
          <w:lang w:eastAsia="pl-PL"/>
        </w:rPr>
        <w:t>ej</w:t>
      </w:r>
      <w:r w:rsidRPr="0053598B">
        <w:rPr>
          <w:lang w:eastAsia="pl-PL"/>
        </w:rPr>
        <w:t xml:space="preserve"> możliwości wprowadzenia obowiązku weryfik</w:t>
      </w:r>
      <w:r w:rsidR="00F61167" w:rsidRPr="0053598B">
        <w:rPr>
          <w:lang w:eastAsia="pl-PL"/>
        </w:rPr>
        <w:t>acji informacji niefinansowych</w:t>
      </w:r>
      <w:r w:rsidR="001E7CB1" w:rsidRPr="0053598B">
        <w:rPr>
          <w:lang w:eastAsia="pl-PL"/>
        </w:rPr>
        <w:t xml:space="preserve"> w</w:t>
      </w:r>
      <w:r w:rsidRPr="0053598B">
        <w:rPr>
          <w:lang w:eastAsia="pl-PL"/>
        </w:rPr>
        <w:t>iększość spółek nie popiera</w:t>
      </w:r>
      <w:r w:rsidR="000A7AC2" w:rsidRPr="0053598B">
        <w:rPr>
          <w:lang w:eastAsia="pl-PL"/>
        </w:rPr>
        <w:t>ła</w:t>
      </w:r>
      <w:r w:rsidRPr="0053598B">
        <w:rPr>
          <w:lang w:eastAsia="pl-PL"/>
        </w:rPr>
        <w:t xml:space="preserve"> wprowadzenia wymogu obowiązkowej weryfikacji (</w:t>
      </w:r>
      <w:r w:rsidR="00F51551" w:rsidRPr="0053598B">
        <w:rPr>
          <w:lang w:eastAsia="pl-PL"/>
        </w:rPr>
        <w:t xml:space="preserve">wśród nich </w:t>
      </w:r>
      <w:r w:rsidRPr="0053598B">
        <w:rPr>
          <w:lang w:eastAsia="pl-PL"/>
        </w:rPr>
        <w:t>nawet te spółki, które obecnie już dobrowolnie same zlecają taką weryfikację). Większość spółek wskazała także, że taka obowiązkowa weryfikacja będzie czynnikiem zniechęcającym do szerszego i bardziej szczegółowego raportowania informacji niefinansowych. Większość użytkowników natomiast poparła obowiązkową weryfikację, przyznając jednocześnie</w:t>
      </w:r>
      <w:r w:rsidR="00F51551" w:rsidRPr="0053598B">
        <w:rPr>
          <w:lang w:eastAsia="pl-PL"/>
        </w:rPr>
        <w:t>,</w:t>
      </w:r>
      <w:r w:rsidRPr="0053598B">
        <w:rPr>
          <w:lang w:eastAsia="pl-PL"/>
        </w:rPr>
        <w:t xml:space="preserve"> że nawet w przypadku jej braku, informacje niefinansowe będą częściowo brane pod uwagę w procesie decyzyjnym.</w:t>
      </w:r>
    </w:p>
    <w:p w:rsidR="00286DC7" w:rsidRPr="0053598B" w:rsidRDefault="00286DC7" w:rsidP="00E10BFF">
      <w:pPr>
        <w:spacing w:line="360" w:lineRule="auto"/>
        <w:jc w:val="both"/>
        <w:rPr>
          <w:lang w:eastAsia="pl-PL"/>
        </w:rPr>
      </w:pPr>
    </w:p>
    <w:p w:rsidR="00286DC7" w:rsidRPr="0053598B" w:rsidRDefault="00286DC7" w:rsidP="00E10BFF">
      <w:pPr>
        <w:spacing w:line="360" w:lineRule="auto"/>
        <w:jc w:val="both"/>
        <w:rPr>
          <w:lang w:eastAsia="pl-PL"/>
        </w:rPr>
      </w:pPr>
      <w:r w:rsidRPr="0053598B">
        <w:rPr>
          <w:lang w:eastAsia="pl-PL"/>
        </w:rPr>
        <w:t xml:space="preserve">Ponadto przy opracowaniu niniejszego projektu ustawy wzięto pod uwagę rekomendacje Zespołu ds. społecznej odpowiedzialności przedsiębiorstw (organu pomocniczego </w:t>
      </w:r>
      <w:r w:rsidR="00805088" w:rsidRPr="0053598B">
        <w:rPr>
          <w:lang w:eastAsia="pl-PL"/>
        </w:rPr>
        <w:t>m</w:t>
      </w:r>
      <w:r w:rsidRPr="0053598B">
        <w:rPr>
          <w:lang w:eastAsia="pl-PL"/>
        </w:rPr>
        <w:t xml:space="preserve">inistra </w:t>
      </w:r>
      <w:r w:rsidR="00805088" w:rsidRPr="0053598B">
        <w:rPr>
          <w:lang w:eastAsia="pl-PL"/>
        </w:rPr>
        <w:t>właściwego ds. g</w:t>
      </w:r>
      <w:r w:rsidRPr="0053598B">
        <w:rPr>
          <w:lang w:eastAsia="pl-PL"/>
        </w:rPr>
        <w:t>ospodarki) dotyczące transpozycji dyrektywy 2014/95/UE</w:t>
      </w:r>
      <w:r w:rsidR="009420A5" w:rsidRPr="0053598B">
        <w:rPr>
          <w:lang w:eastAsia="pl-PL"/>
        </w:rPr>
        <w:t>,</w:t>
      </w:r>
      <w:r w:rsidRPr="0053598B">
        <w:rPr>
          <w:lang w:eastAsia="pl-PL"/>
        </w:rPr>
        <w:t xml:space="preserve"> skierowane do Ministra Finansów w październiku 2015 r.</w:t>
      </w:r>
    </w:p>
    <w:p w:rsidR="008F4CE7" w:rsidRPr="0053598B" w:rsidRDefault="008F4CE7" w:rsidP="00E10BFF">
      <w:pPr>
        <w:spacing w:before="216" w:after="200" w:line="360" w:lineRule="auto"/>
        <w:jc w:val="both"/>
        <w:textAlignment w:val="baseline"/>
        <w:rPr>
          <w:lang w:eastAsia="pl-PL"/>
        </w:rPr>
      </w:pPr>
    </w:p>
    <w:p w:rsidR="00286DC7" w:rsidRPr="0053598B" w:rsidRDefault="00A83672" w:rsidP="00E10BFF">
      <w:pPr>
        <w:spacing w:line="360" w:lineRule="auto"/>
        <w:jc w:val="both"/>
        <w:rPr>
          <w:lang w:eastAsia="pl-PL"/>
        </w:rPr>
      </w:pPr>
      <w:r w:rsidRPr="0053598B">
        <w:rPr>
          <w:lang w:eastAsia="pl-PL"/>
        </w:rPr>
        <w:t>W związku z powyższym w projekcie przyjęto elastyczne podejście do</w:t>
      </w:r>
      <w:r w:rsidR="000A7AC2" w:rsidRPr="0053598B">
        <w:rPr>
          <w:lang w:eastAsia="pl-PL"/>
        </w:rPr>
        <w:t xml:space="preserve"> wymogów</w:t>
      </w:r>
      <w:r w:rsidRPr="0053598B">
        <w:rPr>
          <w:lang w:eastAsia="pl-PL"/>
        </w:rPr>
        <w:t xml:space="preserve"> raportowania informacji niefinansowych, tj.</w:t>
      </w:r>
      <w:r w:rsidR="00124F45" w:rsidRPr="0053598B">
        <w:rPr>
          <w:lang w:eastAsia="pl-PL"/>
        </w:rPr>
        <w:t>:</w:t>
      </w:r>
    </w:p>
    <w:p w:rsidR="00286DC7" w:rsidRPr="0053598B" w:rsidRDefault="00F51551" w:rsidP="00E10BFF">
      <w:pPr>
        <w:pStyle w:val="Akapitzlist"/>
        <w:numPr>
          <w:ilvl w:val="0"/>
          <w:numId w:val="46"/>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 xml:space="preserve"> skorzystano z opcji </w:t>
      </w:r>
      <w:r w:rsidR="000838DD" w:rsidRPr="0053598B">
        <w:rPr>
          <w:rFonts w:ascii="Times New Roman" w:hAnsi="Times New Roman" w:cs="Times New Roman"/>
          <w:sz w:val="24"/>
          <w:szCs w:val="24"/>
          <w:lang w:eastAsia="pl-PL"/>
        </w:rPr>
        <w:t>umożliwiającej</w:t>
      </w:r>
      <w:r w:rsidR="009420A5" w:rsidRPr="0053598B">
        <w:rPr>
          <w:rFonts w:ascii="Times New Roman" w:hAnsi="Times New Roman" w:cs="Times New Roman"/>
          <w:sz w:val="24"/>
          <w:szCs w:val="24"/>
          <w:lang w:eastAsia="pl-PL"/>
        </w:rPr>
        <w:t xml:space="preserve"> </w:t>
      </w:r>
      <w:r w:rsidR="00A83672" w:rsidRPr="0053598B">
        <w:rPr>
          <w:rFonts w:ascii="Times New Roman" w:hAnsi="Times New Roman" w:cs="Times New Roman"/>
          <w:sz w:val="24"/>
          <w:szCs w:val="24"/>
          <w:lang w:eastAsia="pl-PL"/>
        </w:rPr>
        <w:t xml:space="preserve">spółkom </w:t>
      </w:r>
      <w:r w:rsidR="009420A5" w:rsidRPr="0053598B">
        <w:rPr>
          <w:rFonts w:ascii="Times New Roman" w:hAnsi="Times New Roman" w:cs="Times New Roman"/>
          <w:sz w:val="24"/>
          <w:szCs w:val="24"/>
          <w:lang w:eastAsia="pl-PL"/>
        </w:rPr>
        <w:t>sporządzanie</w:t>
      </w:r>
      <w:r w:rsidR="00A83672" w:rsidRPr="0053598B">
        <w:rPr>
          <w:rFonts w:ascii="Times New Roman" w:hAnsi="Times New Roman" w:cs="Times New Roman"/>
          <w:sz w:val="24"/>
          <w:szCs w:val="24"/>
          <w:lang w:eastAsia="pl-PL"/>
        </w:rPr>
        <w:t xml:space="preserve"> odrębnego sprawozdania</w:t>
      </w:r>
      <w:r w:rsidR="009420A5" w:rsidRPr="0053598B">
        <w:rPr>
          <w:rFonts w:ascii="Times New Roman" w:hAnsi="Times New Roman" w:cs="Times New Roman"/>
          <w:sz w:val="24"/>
          <w:szCs w:val="24"/>
          <w:lang w:eastAsia="pl-PL"/>
        </w:rPr>
        <w:t xml:space="preserve"> na temat informacji niefinansowych</w:t>
      </w:r>
      <w:r w:rsidR="00A83672" w:rsidRPr="0053598B">
        <w:rPr>
          <w:rFonts w:ascii="Times New Roman" w:hAnsi="Times New Roman" w:cs="Times New Roman"/>
          <w:sz w:val="24"/>
          <w:szCs w:val="24"/>
          <w:lang w:eastAsia="pl-PL"/>
        </w:rPr>
        <w:t xml:space="preserve"> </w:t>
      </w:r>
      <w:r w:rsidR="009420A5" w:rsidRPr="0053598B">
        <w:rPr>
          <w:rFonts w:ascii="Times New Roman" w:hAnsi="Times New Roman" w:cs="Times New Roman"/>
          <w:sz w:val="24"/>
          <w:szCs w:val="24"/>
          <w:lang w:eastAsia="pl-PL"/>
        </w:rPr>
        <w:t>zamiast oświadczenia w ramach</w:t>
      </w:r>
      <w:r w:rsidR="00A83672" w:rsidRPr="0053598B">
        <w:rPr>
          <w:rFonts w:ascii="Times New Roman" w:hAnsi="Times New Roman" w:cs="Times New Roman"/>
          <w:sz w:val="24"/>
          <w:szCs w:val="24"/>
          <w:lang w:eastAsia="pl-PL"/>
        </w:rPr>
        <w:t xml:space="preserve"> sprawozdani</w:t>
      </w:r>
      <w:r w:rsidR="009420A5" w:rsidRPr="0053598B">
        <w:rPr>
          <w:rFonts w:ascii="Times New Roman" w:hAnsi="Times New Roman" w:cs="Times New Roman"/>
          <w:sz w:val="24"/>
          <w:szCs w:val="24"/>
          <w:lang w:eastAsia="pl-PL"/>
        </w:rPr>
        <w:t>a</w:t>
      </w:r>
      <w:r w:rsidR="00A83672" w:rsidRPr="0053598B">
        <w:rPr>
          <w:rFonts w:ascii="Times New Roman" w:hAnsi="Times New Roman" w:cs="Times New Roman"/>
          <w:sz w:val="24"/>
          <w:szCs w:val="24"/>
          <w:lang w:eastAsia="pl-PL"/>
        </w:rPr>
        <w:t xml:space="preserve"> z</w:t>
      </w:r>
      <w:r w:rsidR="0053598B">
        <w:rPr>
          <w:rFonts w:ascii="Times New Roman" w:hAnsi="Times New Roman" w:cs="Times New Roman"/>
          <w:sz w:val="24"/>
          <w:szCs w:val="24"/>
          <w:lang w:eastAsia="pl-PL"/>
        </w:rPr>
        <w:t> </w:t>
      </w:r>
      <w:r w:rsidR="00A83672" w:rsidRPr="0053598B">
        <w:rPr>
          <w:rFonts w:ascii="Times New Roman" w:hAnsi="Times New Roman" w:cs="Times New Roman"/>
          <w:sz w:val="24"/>
          <w:szCs w:val="24"/>
          <w:lang w:eastAsia="pl-PL"/>
        </w:rPr>
        <w:t>działalności. W takim przypadku te spółki, które już obecnie przygotowują rozbudowane raporty CSR</w:t>
      </w:r>
      <w:r w:rsidR="00E10BFF" w:rsidRPr="0053598B">
        <w:rPr>
          <w:rFonts w:ascii="Times New Roman" w:hAnsi="Times New Roman" w:cs="Times New Roman"/>
          <w:sz w:val="24"/>
          <w:szCs w:val="24"/>
          <w:lang w:eastAsia="pl-PL"/>
        </w:rPr>
        <w:t>,</w:t>
      </w:r>
      <w:r w:rsidR="00A83672" w:rsidRPr="0053598B">
        <w:rPr>
          <w:rFonts w:ascii="Times New Roman" w:hAnsi="Times New Roman" w:cs="Times New Roman"/>
          <w:sz w:val="24"/>
          <w:szCs w:val="24"/>
          <w:lang w:eastAsia="pl-PL"/>
        </w:rPr>
        <w:t xml:space="preserve"> </w:t>
      </w:r>
      <w:r w:rsidR="001A03FC" w:rsidRPr="0053598B">
        <w:rPr>
          <w:rFonts w:ascii="Times New Roman" w:hAnsi="Times New Roman" w:cs="Times New Roman"/>
          <w:sz w:val="24"/>
          <w:szCs w:val="24"/>
          <w:lang w:eastAsia="pl-PL"/>
        </w:rPr>
        <w:t xml:space="preserve">będą </w:t>
      </w:r>
      <w:r w:rsidR="00A83672" w:rsidRPr="0053598B">
        <w:rPr>
          <w:rFonts w:ascii="Times New Roman" w:hAnsi="Times New Roman" w:cs="Times New Roman"/>
          <w:sz w:val="24"/>
          <w:szCs w:val="24"/>
          <w:lang w:eastAsia="pl-PL"/>
        </w:rPr>
        <w:t>mog</w:t>
      </w:r>
      <w:r w:rsidR="001A03FC" w:rsidRPr="0053598B">
        <w:rPr>
          <w:rFonts w:ascii="Times New Roman" w:hAnsi="Times New Roman" w:cs="Times New Roman"/>
          <w:sz w:val="24"/>
          <w:szCs w:val="24"/>
          <w:lang w:eastAsia="pl-PL"/>
        </w:rPr>
        <w:t>ły</w:t>
      </w:r>
      <w:r w:rsidR="00A83672" w:rsidRPr="0053598B">
        <w:rPr>
          <w:rFonts w:ascii="Times New Roman" w:hAnsi="Times New Roman" w:cs="Times New Roman"/>
          <w:sz w:val="24"/>
          <w:szCs w:val="24"/>
          <w:lang w:eastAsia="pl-PL"/>
        </w:rPr>
        <w:t xml:space="preserve"> kontynuo</w:t>
      </w:r>
      <w:r w:rsidR="0053598B">
        <w:rPr>
          <w:rFonts w:ascii="Times New Roman" w:hAnsi="Times New Roman" w:cs="Times New Roman"/>
          <w:sz w:val="24"/>
          <w:szCs w:val="24"/>
          <w:lang w:eastAsia="pl-PL"/>
        </w:rPr>
        <w:t>wać tę formę sprawozdawczości i </w:t>
      </w:r>
      <w:r w:rsidR="00A83672" w:rsidRPr="0053598B">
        <w:rPr>
          <w:rFonts w:ascii="Times New Roman" w:hAnsi="Times New Roman" w:cs="Times New Roman"/>
          <w:sz w:val="24"/>
          <w:szCs w:val="24"/>
          <w:lang w:eastAsia="pl-PL"/>
        </w:rPr>
        <w:t xml:space="preserve">jednocześnie spełnić nowe wymogi nałożone dyrektywą 2014/95/UE (przy </w:t>
      </w:r>
      <w:r w:rsidR="00A83672" w:rsidRPr="0053598B">
        <w:rPr>
          <w:rFonts w:ascii="Times New Roman" w:hAnsi="Times New Roman" w:cs="Times New Roman"/>
          <w:sz w:val="24"/>
          <w:szCs w:val="24"/>
          <w:lang w:eastAsia="pl-PL"/>
        </w:rPr>
        <w:lastRenderedPageBreak/>
        <w:t xml:space="preserve">założeniu, że </w:t>
      </w:r>
      <w:r w:rsidRPr="0053598B">
        <w:rPr>
          <w:rFonts w:ascii="Times New Roman" w:hAnsi="Times New Roman" w:cs="Times New Roman"/>
          <w:sz w:val="24"/>
          <w:szCs w:val="24"/>
          <w:lang w:eastAsia="pl-PL"/>
        </w:rPr>
        <w:t xml:space="preserve">zakres </w:t>
      </w:r>
      <w:r w:rsidR="00A83672" w:rsidRPr="0053598B">
        <w:rPr>
          <w:rFonts w:ascii="Times New Roman" w:hAnsi="Times New Roman" w:cs="Times New Roman"/>
          <w:sz w:val="24"/>
          <w:szCs w:val="24"/>
          <w:lang w:eastAsia="pl-PL"/>
        </w:rPr>
        <w:t xml:space="preserve">ujawnień będzie co najmniej odpowiadać wymogom </w:t>
      </w:r>
      <w:r w:rsidRPr="0053598B">
        <w:rPr>
          <w:rFonts w:ascii="Times New Roman" w:hAnsi="Times New Roman" w:cs="Times New Roman"/>
          <w:sz w:val="24"/>
          <w:szCs w:val="24"/>
          <w:lang w:eastAsia="pl-PL"/>
        </w:rPr>
        <w:t>określonym w krajowych przepisach transponujących tę dyrektywę</w:t>
      </w:r>
      <w:r w:rsidR="009420A5" w:rsidRPr="0053598B">
        <w:rPr>
          <w:rFonts w:ascii="Times New Roman" w:hAnsi="Times New Roman" w:cs="Times New Roman"/>
          <w:sz w:val="24"/>
          <w:szCs w:val="24"/>
          <w:lang w:eastAsia="pl-PL"/>
        </w:rPr>
        <w:t>);</w:t>
      </w:r>
    </w:p>
    <w:p w:rsidR="00A83672" w:rsidRPr="0053598B" w:rsidRDefault="009420A5" w:rsidP="00E10BFF">
      <w:pPr>
        <w:pStyle w:val="Akapitzlist"/>
        <w:numPr>
          <w:ilvl w:val="0"/>
          <w:numId w:val="46"/>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z</w:t>
      </w:r>
      <w:r w:rsidR="00286DC7" w:rsidRPr="0053598B">
        <w:rPr>
          <w:rFonts w:ascii="Times New Roman" w:hAnsi="Times New Roman" w:cs="Times New Roman"/>
          <w:sz w:val="24"/>
          <w:szCs w:val="24"/>
          <w:lang w:eastAsia="pl-PL"/>
        </w:rPr>
        <w:t xml:space="preserve">e względu na fakt, iż wiele informacji niefinansowych spółki traktują jako informacje bardzo </w:t>
      </w:r>
      <w:r w:rsidRPr="0053598B">
        <w:rPr>
          <w:rFonts w:ascii="Times New Roman" w:hAnsi="Times New Roman" w:cs="Times New Roman"/>
          <w:sz w:val="24"/>
          <w:szCs w:val="24"/>
          <w:lang w:eastAsia="pl-PL"/>
        </w:rPr>
        <w:t>„</w:t>
      </w:r>
      <w:r w:rsidR="00286DC7" w:rsidRPr="0053598B">
        <w:rPr>
          <w:rFonts w:ascii="Times New Roman" w:hAnsi="Times New Roman" w:cs="Times New Roman"/>
          <w:sz w:val="24"/>
          <w:szCs w:val="24"/>
          <w:lang w:eastAsia="pl-PL"/>
        </w:rPr>
        <w:t>wrażliwe</w:t>
      </w:r>
      <w:r w:rsidRPr="0053598B">
        <w:rPr>
          <w:rFonts w:ascii="Times New Roman" w:hAnsi="Times New Roman" w:cs="Times New Roman"/>
          <w:sz w:val="24"/>
          <w:szCs w:val="24"/>
          <w:lang w:eastAsia="pl-PL"/>
        </w:rPr>
        <w:t>” (w tym będące przedmiotem negocjacji handlowych)</w:t>
      </w:r>
      <w:r w:rsidR="00286DC7" w:rsidRPr="0053598B">
        <w:rPr>
          <w:rFonts w:ascii="Times New Roman" w:hAnsi="Times New Roman" w:cs="Times New Roman"/>
          <w:sz w:val="24"/>
          <w:szCs w:val="24"/>
          <w:lang w:eastAsia="pl-PL"/>
        </w:rPr>
        <w:t xml:space="preserve"> i mogące pogorszyć ich pozycję konkurencyjną, </w:t>
      </w:r>
      <w:r w:rsidRPr="0053598B">
        <w:rPr>
          <w:rFonts w:ascii="Times New Roman" w:hAnsi="Times New Roman" w:cs="Times New Roman"/>
          <w:sz w:val="24"/>
          <w:szCs w:val="24"/>
          <w:lang w:eastAsia="pl-PL"/>
        </w:rPr>
        <w:t>w projekcie ustawy</w:t>
      </w:r>
      <w:r w:rsidR="00286DC7" w:rsidRPr="0053598B">
        <w:rPr>
          <w:rFonts w:ascii="Times New Roman" w:hAnsi="Times New Roman" w:cs="Times New Roman"/>
          <w:sz w:val="24"/>
          <w:szCs w:val="24"/>
          <w:lang w:eastAsia="pl-PL"/>
        </w:rPr>
        <w:t xml:space="preserve"> skorzystan</w:t>
      </w:r>
      <w:r w:rsidRPr="0053598B">
        <w:rPr>
          <w:rFonts w:ascii="Times New Roman" w:hAnsi="Times New Roman" w:cs="Times New Roman"/>
          <w:sz w:val="24"/>
          <w:szCs w:val="24"/>
          <w:lang w:eastAsia="pl-PL"/>
        </w:rPr>
        <w:t>o</w:t>
      </w:r>
      <w:r w:rsidR="00286DC7" w:rsidRPr="0053598B">
        <w:rPr>
          <w:rFonts w:ascii="Times New Roman" w:hAnsi="Times New Roman" w:cs="Times New Roman"/>
          <w:sz w:val="24"/>
          <w:szCs w:val="24"/>
          <w:lang w:eastAsia="pl-PL"/>
        </w:rPr>
        <w:t xml:space="preserve"> z </w:t>
      </w:r>
      <w:r w:rsidR="00287EA5" w:rsidRPr="0053598B">
        <w:rPr>
          <w:rFonts w:ascii="Times New Roman" w:hAnsi="Times New Roman" w:cs="Times New Roman"/>
          <w:sz w:val="24"/>
          <w:szCs w:val="24"/>
          <w:lang w:eastAsia="pl-PL"/>
        </w:rPr>
        <w:t>opcji umożliwiającej</w:t>
      </w:r>
      <w:r w:rsidR="00E10BFF" w:rsidRPr="0053598B">
        <w:rPr>
          <w:rFonts w:ascii="Times New Roman" w:hAnsi="Times New Roman" w:cs="Times New Roman"/>
          <w:sz w:val="24"/>
          <w:szCs w:val="24"/>
          <w:lang w:eastAsia="pl-PL"/>
        </w:rPr>
        <w:t xml:space="preserve"> </w:t>
      </w:r>
      <w:r w:rsidR="00287EA5" w:rsidRPr="0053598B">
        <w:rPr>
          <w:rFonts w:ascii="Times New Roman" w:hAnsi="Times New Roman" w:cs="Times New Roman"/>
          <w:sz w:val="24"/>
          <w:szCs w:val="24"/>
          <w:lang w:eastAsia="pl-PL"/>
        </w:rPr>
        <w:t xml:space="preserve">jednostkom </w:t>
      </w:r>
      <w:r w:rsidR="00286DC7" w:rsidRPr="0053598B">
        <w:rPr>
          <w:rFonts w:ascii="Times New Roman" w:hAnsi="Times New Roman" w:cs="Times New Roman"/>
          <w:sz w:val="24"/>
          <w:szCs w:val="24"/>
          <w:lang w:eastAsia="pl-PL"/>
        </w:rPr>
        <w:t>pominięci</w:t>
      </w:r>
      <w:r w:rsidR="00287EA5" w:rsidRPr="0053598B">
        <w:rPr>
          <w:rFonts w:ascii="Times New Roman" w:hAnsi="Times New Roman" w:cs="Times New Roman"/>
          <w:sz w:val="24"/>
          <w:szCs w:val="24"/>
          <w:lang w:eastAsia="pl-PL"/>
        </w:rPr>
        <w:t xml:space="preserve">e w oświadczeniu na temat informacji niefinansowych (lub sprawozdaniu na temat informacji niefinansowych) </w:t>
      </w:r>
      <w:r w:rsidR="00286DC7" w:rsidRPr="0053598B">
        <w:rPr>
          <w:rFonts w:ascii="Times New Roman" w:hAnsi="Times New Roman" w:cs="Times New Roman"/>
          <w:sz w:val="24"/>
          <w:szCs w:val="24"/>
          <w:lang w:eastAsia="pl-PL"/>
        </w:rPr>
        <w:t>niektórych informacji</w:t>
      </w:r>
      <w:r w:rsidR="00287EA5" w:rsidRPr="0053598B">
        <w:rPr>
          <w:rFonts w:ascii="Times New Roman" w:hAnsi="Times New Roman" w:cs="Times New Roman"/>
          <w:sz w:val="24"/>
          <w:szCs w:val="24"/>
          <w:lang w:eastAsia="pl-PL"/>
        </w:rPr>
        <w:t xml:space="preserve"> niefinansowych</w:t>
      </w:r>
      <w:r w:rsidR="00286DC7" w:rsidRPr="0053598B">
        <w:rPr>
          <w:rFonts w:ascii="Times New Roman" w:hAnsi="Times New Roman" w:cs="Times New Roman"/>
          <w:sz w:val="24"/>
          <w:szCs w:val="24"/>
          <w:lang w:eastAsia="pl-PL"/>
        </w:rPr>
        <w:t xml:space="preserve"> </w:t>
      </w:r>
      <w:r w:rsidRPr="0053598B">
        <w:rPr>
          <w:rFonts w:ascii="Times New Roman" w:hAnsi="Times New Roman" w:cs="Times New Roman"/>
          <w:sz w:val="24"/>
          <w:szCs w:val="24"/>
          <w:lang w:eastAsia="pl-PL"/>
        </w:rPr>
        <w:t>z jednoczesnym</w:t>
      </w:r>
      <w:r w:rsidR="00287EA5" w:rsidRPr="0053598B">
        <w:rPr>
          <w:rFonts w:ascii="Times New Roman" w:hAnsi="Times New Roman" w:cs="Times New Roman"/>
          <w:sz w:val="24"/>
          <w:szCs w:val="24"/>
          <w:lang w:eastAsia="pl-PL"/>
        </w:rPr>
        <w:t xml:space="preserve"> wprowadzeniem</w:t>
      </w:r>
      <w:r w:rsidRPr="0053598B">
        <w:rPr>
          <w:rFonts w:ascii="Times New Roman" w:hAnsi="Times New Roman" w:cs="Times New Roman"/>
          <w:sz w:val="24"/>
          <w:szCs w:val="24"/>
          <w:lang w:eastAsia="pl-PL"/>
        </w:rPr>
        <w:t xml:space="preserve"> obowiązk</w:t>
      </w:r>
      <w:r w:rsidR="00287EA5" w:rsidRPr="0053598B">
        <w:rPr>
          <w:rFonts w:ascii="Times New Roman" w:hAnsi="Times New Roman" w:cs="Times New Roman"/>
          <w:sz w:val="24"/>
          <w:szCs w:val="24"/>
          <w:lang w:eastAsia="pl-PL"/>
        </w:rPr>
        <w:t>u</w:t>
      </w:r>
      <w:r w:rsidR="00286DC7" w:rsidRPr="0053598B">
        <w:rPr>
          <w:rFonts w:ascii="Times New Roman" w:hAnsi="Times New Roman" w:cs="Times New Roman"/>
          <w:sz w:val="24"/>
          <w:szCs w:val="24"/>
          <w:lang w:eastAsia="pl-PL"/>
        </w:rPr>
        <w:t xml:space="preserve"> ujawni</w:t>
      </w:r>
      <w:r w:rsidRPr="0053598B">
        <w:rPr>
          <w:rFonts w:ascii="Times New Roman" w:hAnsi="Times New Roman" w:cs="Times New Roman"/>
          <w:sz w:val="24"/>
          <w:szCs w:val="24"/>
          <w:lang w:eastAsia="pl-PL"/>
        </w:rPr>
        <w:t>enia</w:t>
      </w:r>
      <w:r w:rsidR="00286DC7" w:rsidRPr="0053598B">
        <w:rPr>
          <w:rFonts w:ascii="Times New Roman" w:hAnsi="Times New Roman" w:cs="Times New Roman"/>
          <w:sz w:val="24"/>
          <w:szCs w:val="24"/>
          <w:lang w:eastAsia="pl-PL"/>
        </w:rPr>
        <w:t xml:space="preserve"> fakt</w:t>
      </w:r>
      <w:r w:rsidRPr="0053598B">
        <w:rPr>
          <w:rFonts w:ascii="Times New Roman" w:hAnsi="Times New Roman" w:cs="Times New Roman"/>
          <w:sz w:val="24"/>
          <w:szCs w:val="24"/>
          <w:lang w:eastAsia="pl-PL"/>
        </w:rPr>
        <w:t>u skorzystania z tego zezwolenia;</w:t>
      </w:r>
    </w:p>
    <w:p w:rsidR="00A83672" w:rsidRPr="0053598B" w:rsidRDefault="00286DC7" w:rsidP="00E10BFF">
      <w:pPr>
        <w:pStyle w:val="Akapitzlist"/>
        <w:numPr>
          <w:ilvl w:val="0"/>
          <w:numId w:val="46"/>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ze względu na wyraźną negatywną korelację pomiędzy wymogiem weryfikacji informacji niefinansowych a obszernością ujawnianych informacji niefinansowych (tj.</w:t>
      </w:r>
      <w:r w:rsidR="0053598B">
        <w:rPr>
          <w:rFonts w:ascii="Times New Roman" w:hAnsi="Times New Roman" w:cs="Times New Roman"/>
          <w:sz w:val="24"/>
          <w:szCs w:val="24"/>
          <w:lang w:eastAsia="pl-PL"/>
        </w:rPr>
        <w:t> </w:t>
      </w:r>
      <w:r w:rsidRPr="0053598B">
        <w:rPr>
          <w:rFonts w:ascii="Times New Roman" w:hAnsi="Times New Roman" w:cs="Times New Roman"/>
          <w:sz w:val="24"/>
          <w:szCs w:val="24"/>
          <w:lang w:eastAsia="pl-PL"/>
        </w:rPr>
        <w:t xml:space="preserve">obowiązek weryfikacji </w:t>
      </w:r>
      <w:r w:rsidR="009420A5" w:rsidRPr="0053598B">
        <w:rPr>
          <w:rFonts w:ascii="Times New Roman" w:hAnsi="Times New Roman" w:cs="Times New Roman"/>
          <w:sz w:val="24"/>
          <w:szCs w:val="24"/>
          <w:lang w:eastAsia="pl-PL"/>
        </w:rPr>
        <w:t>może</w:t>
      </w:r>
      <w:r w:rsidRPr="0053598B">
        <w:rPr>
          <w:rFonts w:ascii="Times New Roman" w:hAnsi="Times New Roman" w:cs="Times New Roman"/>
          <w:sz w:val="24"/>
          <w:szCs w:val="24"/>
          <w:lang w:eastAsia="pl-PL"/>
        </w:rPr>
        <w:t xml:space="preserve"> zniechęcać spółki do ujawniania bardziej szczegółowych, rozbudowanych informacji niefinansowych</w:t>
      </w:r>
      <w:r w:rsidR="00E300AD" w:rsidRPr="0053598B">
        <w:rPr>
          <w:rFonts w:ascii="Times New Roman" w:hAnsi="Times New Roman" w:cs="Times New Roman"/>
          <w:sz w:val="24"/>
          <w:szCs w:val="24"/>
          <w:lang w:eastAsia="pl-PL"/>
        </w:rPr>
        <w:t>,</w:t>
      </w:r>
      <w:r w:rsidRPr="0053598B">
        <w:rPr>
          <w:rFonts w:ascii="Times New Roman" w:hAnsi="Times New Roman" w:cs="Times New Roman"/>
          <w:sz w:val="24"/>
          <w:szCs w:val="24"/>
          <w:lang w:eastAsia="pl-PL"/>
        </w:rPr>
        <w:t xml:space="preserve"> np. w formie odrębnego sprawozdania) </w:t>
      </w:r>
      <w:r w:rsidR="0092414D" w:rsidRPr="0053598B">
        <w:rPr>
          <w:rFonts w:ascii="Times New Roman" w:hAnsi="Times New Roman" w:cs="Times New Roman"/>
          <w:sz w:val="24"/>
          <w:szCs w:val="24"/>
          <w:lang w:eastAsia="pl-PL"/>
        </w:rPr>
        <w:t>nie skorzystano z opcji umożliwiającej nałożenie</w:t>
      </w:r>
      <w:r w:rsidRPr="0053598B">
        <w:rPr>
          <w:rFonts w:ascii="Times New Roman" w:hAnsi="Times New Roman" w:cs="Times New Roman"/>
          <w:sz w:val="24"/>
          <w:szCs w:val="24"/>
          <w:lang w:eastAsia="pl-PL"/>
        </w:rPr>
        <w:t xml:space="preserve"> obowiązku weryfikacji informacji niefinansowych. Jak wykazała ankieta, koszty weryfikacji (która obecnie ma charakter całkowicie dobrowolny) wynoszą około kilkadziesiąt tysięcy złotych, co w porównaniu do kosztu sporządzenia informacji niefinansowych wynosi aż 1/3 kosztów </w:t>
      </w:r>
      <w:r w:rsidR="00E1508B" w:rsidRPr="0053598B">
        <w:rPr>
          <w:rFonts w:ascii="Times New Roman" w:hAnsi="Times New Roman" w:cs="Times New Roman"/>
          <w:sz w:val="24"/>
          <w:szCs w:val="24"/>
          <w:lang w:eastAsia="pl-PL"/>
        </w:rPr>
        <w:t xml:space="preserve">takiej </w:t>
      </w:r>
      <w:r w:rsidRPr="0053598B">
        <w:rPr>
          <w:rFonts w:ascii="Times New Roman" w:hAnsi="Times New Roman" w:cs="Times New Roman"/>
          <w:sz w:val="24"/>
          <w:szCs w:val="24"/>
          <w:lang w:eastAsia="pl-PL"/>
        </w:rPr>
        <w:t>sprawozdawczości</w:t>
      </w:r>
      <w:r w:rsidR="00E1508B" w:rsidRPr="0053598B">
        <w:rPr>
          <w:rFonts w:ascii="Times New Roman" w:hAnsi="Times New Roman" w:cs="Times New Roman"/>
          <w:sz w:val="24"/>
          <w:szCs w:val="24"/>
          <w:lang w:eastAsia="pl-PL"/>
        </w:rPr>
        <w:t xml:space="preserve"> niefinansowej</w:t>
      </w:r>
      <w:r w:rsidRPr="0053598B">
        <w:rPr>
          <w:rFonts w:ascii="Times New Roman" w:hAnsi="Times New Roman" w:cs="Times New Roman"/>
          <w:sz w:val="24"/>
          <w:szCs w:val="24"/>
          <w:lang w:eastAsia="pl-PL"/>
        </w:rPr>
        <w:t xml:space="preserve">. </w:t>
      </w:r>
      <w:r w:rsidR="00FE3F2E" w:rsidRPr="0053598B">
        <w:rPr>
          <w:rFonts w:ascii="Times New Roman" w:hAnsi="Times New Roman" w:cs="Times New Roman"/>
          <w:sz w:val="24"/>
          <w:szCs w:val="24"/>
          <w:lang w:eastAsia="pl-PL"/>
        </w:rPr>
        <w:t>Zatem s</w:t>
      </w:r>
      <w:r w:rsidRPr="0053598B">
        <w:rPr>
          <w:rFonts w:ascii="Times New Roman" w:hAnsi="Times New Roman" w:cs="Times New Roman"/>
          <w:sz w:val="24"/>
          <w:szCs w:val="24"/>
          <w:lang w:eastAsia="pl-PL"/>
        </w:rPr>
        <w:t>korzystanie z</w:t>
      </w:r>
      <w:r w:rsidR="0053598B">
        <w:rPr>
          <w:rFonts w:ascii="Times New Roman" w:hAnsi="Times New Roman" w:cs="Times New Roman"/>
          <w:sz w:val="24"/>
          <w:szCs w:val="24"/>
          <w:lang w:eastAsia="pl-PL"/>
        </w:rPr>
        <w:t> </w:t>
      </w:r>
      <w:r w:rsidRPr="0053598B">
        <w:rPr>
          <w:rFonts w:ascii="Times New Roman" w:hAnsi="Times New Roman" w:cs="Times New Roman"/>
          <w:sz w:val="24"/>
          <w:szCs w:val="24"/>
          <w:lang w:eastAsia="pl-PL"/>
        </w:rPr>
        <w:t>tej opcji oznaczałoby nałożenie dodatkowych obciążeń administracyjnych. Należy równocześnie zaznaczyć, że zauważalny jest na rynku trend, iż coraz więcej spółek dobrowolnie zleca taką weryfikację, co może wskazywać, iż presja rynku</w:t>
      </w:r>
      <w:r w:rsidR="00FE3F2E" w:rsidRPr="0053598B">
        <w:rPr>
          <w:rFonts w:ascii="Times New Roman" w:hAnsi="Times New Roman" w:cs="Times New Roman"/>
          <w:sz w:val="24"/>
          <w:szCs w:val="24"/>
          <w:lang w:eastAsia="pl-PL"/>
        </w:rPr>
        <w:t xml:space="preserve"> będzie naturalnym czynnikiem </w:t>
      </w:r>
      <w:r w:rsidRPr="0053598B">
        <w:rPr>
          <w:rFonts w:ascii="Times New Roman" w:hAnsi="Times New Roman" w:cs="Times New Roman"/>
          <w:sz w:val="24"/>
          <w:szCs w:val="24"/>
          <w:lang w:eastAsia="pl-PL"/>
        </w:rPr>
        <w:t>zwiększającym liczbę weryfikacji informacji niefinansowych</w:t>
      </w:r>
      <w:r w:rsidR="00E1508B" w:rsidRPr="0053598B">
        <w:rPr>
          <w:rFonts w:ascii="Times New Roman" w:hAnsi="Times New Roman" w:cs="Times New Roman"/>
          <w:sz w:val="24"/>
          <w:szCs w:val="24"/>
          <w:lang w:eastAsia="pl-PL"/>
        </w:rPr>
        <w:t xml:space="preserve"> prezentowanych przez spółki</w:t>
      </w:r>
      <w:r w:rsidRPr="0053598B">
        <w:rPr>
          <w:rFonts w:ascii="Times New Roman" w:hAnsi="Times New Roman" w:cs="Times New Roman"/>
          <w:sz w:val="24"/>
          <w:szCs w:val="24"/>
          <w:lang w:eastAsia="pl-PL"/>
        </w:rPr>
        <w:t xml:space="preserve">. </w:t>
      </w:r>
    </w:p>
    <w:p w:rsidR="00A83672" w:rsidRPr="0053598B" w:rsidRDefault="00A83672" w:rsidP="00E10BFF">
      <w:pPr>
        <w:spacing w:line="360" w:lineRule="auto"/>
        <w:jc w:val="both"/>
        <w:rPr>
          <w:lang w:eastAsia="pl-PL"/>
        </w:rPr>
      </w:pPr>
    </w:p>
    <w:p w:rsidR="006A04DE" w:rsidRPr="0053598B" w:rsidRDefault="00ED18C2" w:rsidP="00E10BFF">
      <w:pPr>
        <w:spacing w:line="360" w:lineRule="auto"/>
        <w:jc w:val="both"/>
        <w:rPr>
          <w:lang w:eastAsia="pl-PL"/>
        </w:rPr>
      </w:pPr>
      <w:r w:rsidRPr="0053598B">
        <w:rPr>
          <w:lang w:eastAsia="pl-PL"/>
        </w:rPr>
        <w:t>Poza zmianami związanymi z implementacją dyrektywy</w:t>
      </w:r>
      <w:r w:rsidR="00A62BCD" w:rsidRPr="0053598B">
        <w:rPr>
          <w:lang w:eastAsia="pl-PL"/>
        </w:rPr>
        <w:t xml:space="preserve"> 2014/95/UE</w:t>
      </w:r>
      <w:r w:rsidRPr="0053598B">
        <w:rPr>
          <w:lang w:eastAsia="pl-PL"/>
        </w:rPr>
        <w:t>, w ustawie o</w:t>
      </w:r>
      <w:r w:rsidR="0053598B">
        <w:rPr>
          <w:lang w:eastAsia="pl-PL"/>
        </w:rPr>
        <w:t> </w:t>
      </w:r>
      <w:r w:rsidRPr="0053598B">
        <w:rPr>
          <w:lang w:eastAsia="pl-PL"/>
        </w:rPr>
        <w:t>rachunkowości proponuje się wprowadzić zmian</w:t>
      </w:r>
      <w:r w:rsidR="000F0E41" w:rsidRPr="0053598B">
        <w:rPr>
          <w:lang w:eastAsia="pl-PL"/>
        </w:rPr>
        <w:t>ę</w:t>
      </w:r>
      <w:r w:rsidRPr="0053598B">
        <w:rPr>
          <w:lang w:eastAsia="pl-PL"/>
        </w:rPr>
        <w:t xml:space="preserve"> niezbędn</w:t>
      </w:r>
      <w:r w:rsidR="000F0E41" w:rsidRPr="0053598B">
        <w:rPr>
          <w:lang w:eastAsia="pl-PL"/>
        </w:rPr>
        <w:t>ą</w:t>
      </w:r>
      <w:r w:rsidRPr="0053598B">
        <w:rPr>
          <w:lang w:eastAsia="pl-PL"/>
        </w:rPr>
        <w:t xml:space="preserve"> z punktu widzenia zmieniające</w:t>
      </w:r>
      <w:r w:rsidR="00E015FE" w:rsidRPr="0053598B">
        <w:rPr>
          <w:lang w:eastAsia="pl-PL"/>
        </w:rPr>
        <w:t xml:space="preserve">go się otoczenia gospodarczego, a mianowicie </w:t>
      </w:r>
      <w:r w:rsidRPr="0053598B">
        <w:rPr>
          <w:lang w:eastAsia="pl-PL"/>
        </w:rPr>
        <w:t>umożliwi</w:t>
      </w:r>
      <w:r w:rsidR="00E015FE" w:rsidRPr="0053598B">
        <w:rPr>
          <w:lang w:eastAsia="pl-PL"/>
        </w:rPr>
        <w:t xml:space="preserve">ającą </w:t>
      </w:r>
      <w:r w:rsidRPr="0053598B">
        <w:rPr>
          <w:lang w:eastAsia="pl-PL"/>
        </w:rPr>
        <w:t>jednostkom przeniesieni</w:t>
      </w:r>
      <w:r w:rsidR="00E015FE" w:rsidRPr="0053598B">
        <w:rPr>
          <w:lang w:eastAsia="pl-PL"/>
        </w:rPr>
        <w:t>e</w:t>
      </w:r>
      <w:r w:rsidRPr="0053598B">
        <w:rPr>
          <w:lang w:eastAsia="pl-PL"/>
        </w:rPr>
        <w:t xml:space="preserve"> określonych dowodów księgowych przed zatwierdzeniem sprawozdania finansowego na informatyczne nośniki danych, pozwalające zachować w trwałej postaci zawartość tych dowodów, jako rozwiązanie ujednolicające przepisy z zakresu rachunkowości z przepisami podatkowymi dotyczącymi podatku od towarów i usług oraz dostosowujące do nowoczesnych rozwiązań umożliw</w:t>
      </w:r>
      <w:r w:rsidR="00E015FE" w:rsidRPr="0053598B">
        <w:rPr>
          <w:lang w:eastAsia="pl-PL"/>
        </w:rPr>
        <w:t>iających digitalizowanie danych.</w:t>
      </w:r>
      <w:r w:rsidRPr="0053598B">
        <w:rPr>
          <w:lang w:eastAsia="pl-PL"/>
        </w:rPr>
        <w:t xml:space="preserve"> </w:t>
      </w:r>
    </w:p>
    <w:p w:rsidR="00AD6A05" w:rsidRPr="0053598B" w:rsidRDefault="00AD6A05" w:rsidP="00E10BFF">
      <w:pPr>
        <w:spacing w:line="360" w:lineRule="auto"/>
        <w:jc w:val="both"/>
        <w:rPr>
          <w:lang w:eastAsia="pl-PL"/>
        </w:rPr>
      </w:pPr>
      <w:r w:rsidRPr="0053598B">
        <w:rPr>
          <w:lang w:eastAsia="pl-PL"/>
        </w:rPr>
        <w:lastRenderedPageBreak/>
        <w:t xml:space="preserve">Wprowadza się również nowy wzór sprawozdania finansowego dla </w:t>
      </w:r>
      <w:r w:rsidR="007C6473" w:rsidRPr="0053598B">
        <w:rPr>
          <w:lang w:eastAsia="pl-PL"/>
        </w:rPr>
        <w:t>jednostek</w:t>
      </w:r>
      <w:r w:rsidR="00BB3E9F" w:rsidRPr="0053598B">
        <w:rPr>
          <w:lang w:eastAsia="pl-PL"/>
        </w:rPr>
        <w:t>,</w:t>
      </w:r>
      <w:r w:rsidR="00964442" w:rsidRPr="0053598B">
        <w:rPr>
          <w:lang w:eastAsia="pl-PL"/>
        </w:rPr>
        <w:t xml:space="preserve"> </w:t>
      </w:r>
      <w:r w:rsidR="00737919" w:rsidRPr="0053598B">
        <w:t>o których mowa w art. 3 ust. 2 ustawy z dnia 24 kwietnia 2003 r. o działalności pożytku publicznego i o wolontariacie</w:t>
      </w:r>
      <w:r w:rsidR="007C6473" w:rsidRPr="0053598B">
        <w:t xml:space="preserve"> </w:t>
      </w:r>
      <w:r w:rsidR="00E10BFF" w:rsidRPr="0053598B">
        <w:t>–</w:t>
      </w:r>
      <w:r w:rsidR="00737919" w:rsidRPr="0053598B">
        <w:t xml:space="preserve"> z wyjątkiem spółek kapitałowych</w:t>
      </w:r>
      <w:r w:rsidR="007C6473" w:rsidRPr="0053598B">
        <w:t xml:space="preserve"> –</w:t>
      </w:r>
      <w:r w:rsidR="00BB3E9F" w:rsidRPr="0053598B">
        <w:t xml:space="preserve"> </w:t>
      </w:r>
      <w:r w:rsidR="007C6473" w:rsidRPr="0053598B">
        <w:t xml:space="preserve">oraz jednostek, o których mowa </w:t>
      </w:r>
      <w:r w:rsidR="0053598B">
        <w:rPr>
          <w:lang w:eastAsia="pl-PL"/>
        </w:rPr>
        <w:t>w art. </w:t>
      </w:r>
      <w:r w:rsidRPr="0053598B">
        <w:rPr>
          <w:lang w:eastAsia="pl-PL"/>
        </w:rPr>
        <w:t xml:space="preserve">3 ust. 3 pkt 1 i 2 </w:t>
      </w:r>
      <w:r w:rsidR="007C6473" w:rsidRPr="0053598B">
        <w:rPr>
          <w:lang w:eastAsia="pl-PL"/>
        </w:rPr>
        <w:t xml:space="preserve">tej </w:t>
      </w:r>
      <w:r w:rsidRPr="0053598B">
        <w:rPr>
          <w:lang w:eastAsia="pl-PL"/>
        </w:rPr>
        <w:t>ustawy</w:t>
      </w:r>
      <w:r w:rsidR="00964442" w:rsidRPr="0053598B">
        <w:rPr>
          <w:lang w:eastAsia="pl-PL"/>
        </w:rPr>
        <w:t>. Przedmiotowa propozycja ma na celu dostosowanie zasad sprawozdawczości finansowej do specyfiki prowadzonej działalności przez te podmioty.</w:t>
      </w:r>
    </w:p>
    <w:p w:rsidR="006A04DE" w:rsidRPr="0053598B" w:rsidRDefault="00751B4A" w:rsidP="00E10BFF">
      <w:pPr>
        <w:spacing w:line="360" w:lineRule="auto"/>
        <w:jc w:val="both"/>
        <w:rPr>
          <w:lang w:eastAsia="pl-PL"/>
        </w:rPr>
      </w:pPr>
      <w:r w:rsidRPr="0053598B">
        <w:rPr>
          <w:lang w:eastAsia="pl-PL"/>
        </w:rPr>
        <w:t>Ponadto proponuje się zmian</w:t>
      </w:r>
      <w:r w:rsidR="002C22B6" w:rsidRPr="0053598B">
        <w:rPr>
          <w:lang w:eastAsia="pl-PL"/>
        </w:rPr>
        <w:t>y</w:t>
      </w:r>
      <w:r w:rsidRPr="0053598B">
        <w:rPr>
          <w:lang w:eastAsia="pl-PL"/>
        </w:rPr>
        <w:t xml:space="preserve"> w przepisach</w:t>
      </w:r>
      <w:r w:rsidR="002C22B6" w:rsidRPr="0053598B">
        <w:rPr>
          <w:lang w:eastAsia="pl-PL"/>
        </w:rPr>
        <w:t xml:space="preserve"> ustawy o rachunkowości o charakterze ujednolicającym</w:t>
      </w:r>
      <w:r w:rsidR="00662C00" w:rsidRPr="0053598B">
        <w:rPr>
          <w:lang w:eastAsia="pl-PL"/>
        </w:rPr>
        <w:t xml:space="preserve"> i doprecyzowującym, polegające na: </w:t>
      </w:r>
    </w:p>
    <w:p w:rsidR="00662C00" w:rsidRPr="0053598B" w:rsidRDefault="00662C00" w:rsidP="00E10BFF">
      <w:pPr>
        <w:pStyle w:val="Akapitzlist"/>
        <w:numPr>
          <w:ilvl w:val="0"/>
          <w:numId w:val="14"/>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umożliwieniu stosowania przez jednostki sektora finansów publicznych uproszczonych zasad rachunkowości w ewidencji umów leasingu (zgodnie z przepisami podatkowymi) oraz stosowania uproszczonych zasad kalkulacji kosztu wytworzenia produktu dla szerszego kręgu jednostek, w celu ujednolicenia katalogu</w:t>
      </w:r>
      <w:r w:rsidR="0053598B">
        <w:rPr>
          <w:rFonts w:ascii="Times New Roman" w:hAnsi="Times New Roman" w:cs="Times New Roman"/>
          <w:sz w:val="24"/>
          <w:szCs w:val="24"/>
          <w:lang w:eastAsia="pl-PL"/>
        </w:rPr>
        <w:t xml:space="preserve"> jednostek dla których ustawa o </w:t>
      </w:r>
      <w:r w:rsidRPr="0053598B">
        <w:rPr>
          <w:rFonts w:ascii="Times New Roman" w:hAnsi="Times New Roman" w:cs="Times New Roman"/>
          <w:sz w:val="24"/>
          <w:szCs w:val="24"/>
          <w:lang w:eastAsia="pl-PL"/>
        </w:rPr>
        <w:t xml:space="preserve">rachunkowości przewiduje uproszczenia, </w:t>
      </w:r>
    </w:p>
    <w:p w:rsidR="00881BDC" w:rsidRPr="0053598B" w:rsidRDefault="00881BDC" w:rsidP="00E10BFF">
      <w:pPr>
        <w:pStyle w:val="Akapitzlist"/>
        <w:numPr>
          <w:ilvl w:val="0"/>
          <w:numId w:val="14"/>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 xml:space="preserve">doprecyzowaniu miejsca </w:t>
      </w:r>
      <w:r w:rsidR="00E10BFF" w:rsidRPr="0053598B">
        <w:rPr>
          <w:rFonts w:ascii="Times New Roman" w:hAnsi="Times New Roman" w:cs="Times New Roman"/>
          <w:sz w:val="24"/>
          <w:szCs w:val="24"/>
          <w:lang w:eastAsia="pl-PL"/>
        </w:rPr>
        <w:t>–</w:t>
      </w:r>
      <w:r w:rsidRPr="0053598B">
        <w:rPr>
          <w:rFonts w:ascii="Times New Roman" w:hAnsi="Times New Roman" w:cs="Times New Roman"/>
          <w:sz w:val="24"/>
          <w:szCs w:val="24"/>
          <w:lang w:eastAsia="pl-PL"/>
        </w:rPr>
        <w:t xml:space="preserve"> w informacji dodatkowej do sprawozdania finansowego </w:t>
      </w:r>
      <w:r w:rsidR="00E10BFF" w:rsidRPr="0053598B">
        <w:rPr>
          <w:rFonts w:ascii="Times New Roman" w:hAnsi="Times New Roman" w:cs="Times New Roman"/>
          <w:sz w:val="24"/>
          <w:szCs w:val="24"/>
          <w:lang w:eastAsia="pl-PL"/>
        </w:rPr>
        <w:t>–</w:t>
      </w:r>
      <w:r w:rsidRPr="0053598B">
        <w:rPr>
          <w:rFonts w:ascii="Times New Roman" w:hAnsi="Times New Roman" w:cs="Times New Roman"/>
          <w:sz w:val="24"/>
          <w:szCs w:val="24"/>
          <w:lang w:eastAsia="pl-PL"/>
        </w:rPr>
        <w:t xml:space="preserve"> wykazywania przez jednostkę dominującą informacji na temat niesporządzania skonsolidowanego sprawozdania finansowego;</w:t>
      </w:r>
    </w:p>
    <w:p w:rsidR="001033FA" w:rsidRPr="0053598B" w:rsidRDefault="00881BDC" w:rsidP="00E10BFF">
      <w:pPr>
        <w:pStyle w:val="Akapitzlist"/>
        <w:numPr>
          <w:ilvl w:val="0"/>
          <w:numId w:val="14"/>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modyfikacji t</w:t>
      </w:r>
      <w:r w:rsidR="00E90E9F" w:rsidRPr="0053598B">
        <w:rPr>
          <w:rFonts w:ascii="Times New Roman" w:hAnsi="Times New Roman" w:cs="Times New Roman"/>
          <w:sz w:val="24"/>
          <w:szCs w:val="24"/>
          <w:lang w:eastAsia="pl-PL"/>
        </w:rPr>
        <w:t>reści załącznika nr 2 do ustawy</w:t>
      </w:r>
      <w:r w:rsidRPr="0053598B">
        <w:rPr>
          <w:rFonts w:ascii="Times New Roman" w:hAnsi="Times New Roman" w:cs="Times New Roman"/>
          <w:sz w:val="24"/>
          <w:szCs w:val="24"/>
          <w:lang w:eastAsia="pl-PL"/>
        </w:rPr>
        <w:t xml:space="preserve">, tj. </w:t>
      </w:r>
      <w:r w:rsidR="00E90E9F" w:rsidRPr="0053598B">
        <w:rPr>
          <w:rFonts w:ascii="Times New Roman" w:hAnsi="Times New Roman" w:cs="Times New Roman"/>
          <w:sz w:val="24"/>
          <w:szCs w:val="24"/>
          <w:lang w:eastAsia="pl-PL"/>
        </w:rPr>
        <w:t>zakresu informacyjnego</w:t>
      </w:r>
      <w:r w:rsidRPr="0053598B">
        <w:rPr>
          <w:rFonts w:ascii="Times New Roman" w:hAnsi="Times New Roman" w:cs="Times New Roman"/>
          <w:sz w:val="24"/>
          <w:szCs w:val="24"/>
          <w:lang w:eastAsia="pl-PL"/>
        </w:rPr>
        <w:t xml:space="preserve"> sprawozdania finansowego dla banków </w:t>
      </w:r>
      <w:r w:rsidR="00E10BFF" w:rsidRPr="0053598B">
        <w:rPr>
          <w:rFonts w:ascii="Times New Roman" w:hAnsi="Times New Roman" w:cs="Times New Roman"/>
          <w:sz w:val="24"/>
          <w:szCs w:val="24"/>
          <w:lang w:eastAsia="pl-PL"/>
        </w:rPr>
        <w:t>–</w:t>
      </w:r>
      <w:r w:rsidRPr="0053598B">
        <w:rPr>
          <w:rFonts w:ascii="Times New Roman" w:hAnsi="Times New Roman" w:cs="Times New Roman"/>
          <w:sz w:val="24"/>
          <w:szCs w:val="24"/>
          <w:lang w:eastAsia="pl-PL"/>
        </w:rPr>
        <w:t xml:space="preserve"> usunięciu z </w:t>
      </w:r>
      <w:r w:rsidR="007C6473" w:rsidRPr="0053598B">
        <w:rPr>
          <w:rFonts w:ascii="Times New Roman" w:hAnsi="Times New Roman" w:cs="Times New Roman"/>
          <w:sz w:val="24"/>
          <w:szCs w:val="24"/>
          <w:lang w:eastAsia="pl-PL"/>
        </w:rPr>
        <w:t xml:space="preserve">pkt </w:t>
      </w:r>
      <w:r w:rsidRPr="0053598B">
        <w:rPr>
          <w:rFonts w:ascii="Times New Roman" w:hAnsi="Times New Roman" w:cs="Times New Roman"/>
          <w:sz w:val="24"/>
          <w:szCs w:val="24"/>
          <w:lang w:eastAsia="pl-PL"/>
        </w:rPr>
        <w:t xml:space="preserve">IX </w:t>
      </w:r>
      <w:r w:rsidR="007C6473" w:rsidRPr="0053598B">
        <w:rPr>
          <w:rFonts w:ascii="Times New Roman" w:hAnsi="Times New Roman" w:cs="Times New Roman"/>
          <w:sz w:val="24"/>
          <w:szCs w:val="24"/>
          <w:lang w:eastAsia="pl-PL"/>
        </w:rPr>
        <w:t xml:space="preserve">poz. </w:t>
      </w:r>
      <w:r w:rsidRPr="0053598B">
        <w:rPr>
          <w:rFonts w:ascii="Times New Roman" w:hAnsi="Times New Roman" w:cs="Times New Roman"/>
          <w:sz w:val="24"/>
          <w:szCs w:val="24"/>
          <w:lang w:eastAsia="pl-PL"/>
        </w:rPr>
        <w:t>3 pasywów: „Pozostałe przychody przyszłych okresów oraz zastrzeżone” wyrazów: „oraz zastrzeżone”</w:t>
      </w:r>
      <w:r w:rsidR="00805088" w:rsidRPr="0053598B">
        <w:rPr>
          <w:rFonts w:ascii="Times New Roman" w:hAnsi="Times New Roman" w:cs="Times New Roman"/>
          <w:sz w:val="24"/>
          <w:szCs w:val="24"/>
          <w:lang w:eastAsia="pl-PL"/>
        </w:rPr>
        <w:t xml:space="preserve"> i wprowadzenie aktualnej terminologii w zakresie rozliczeń międzyokresowych przychodów</w:t>
      </w:r>
      <w:r w:rsidRPr="0053598B">
        <w:rPr>
          <w:rFonts w:ascii="Times New Roman" w:hAnsi="Times New Roman" w:cs="Times New Roman"/>
          <w:sz w:val="24"/>
          <w:szCs w:val="24"/>
          <w:lang w:eastAsia="pl-PL"/>
        </w:rPr>
        <w:t>;</w:t>
      </w:r>
    </w:p>
    <w:p w:rsidR="00881BDC" w:rsidRPr="0053598B" w:rsidRDefault="00881BDC" w:rsidP="00E10BFF">
      <w:pPr>
        <w:pStyle w:val="Akapitzlist"/>
        <w:numPr>
          <w:ilvl w:val="0"/>
          <w:numId w:val="14"/>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dostosowaniu jej przepisów do ustawy z dnia 11 września 2015 r. o działalności ubezpieczeniowej i reasekuracyjnej (Dz. U. poz. 1844</w:t>
      </w:r>
      <w:r w:rsidR="005E0BB1">
        <w:rPr>
          <w:rFonts w:ascii="Times New Roman" w:hAnsi="Times New Roman" w:cs="Times New Roman"/>
          <w:sz w:val="24"/>
          <w:szCs w:val="24"/>
          <w:lang w:eastAsia="pl-PL"/>
        </w:rPr>
        <w:t>, z późn. zm.</w:t>
      </w:r>
      <w:r w:rsidRPr="0053598B">
        <w:rPr>
          <w:rFonts w:ascii="Times New Roman" w:hAnsi="Times New Roman" w:cs="Times New Roman"/>
          <w:sz w:val="24"/>
          <w:szCs w:val="24"/>
          <w:lang w:eastAsia="pl-PL"/>
        </w:rPr>
        <w:t>) i jej aktów wykonawczych</w:t>
      </w:r>
      <w:r w:rsidR="00E300AD" w:rsidRPr="0053598B">
        <w:rPr>
          <w:rFonts w:ascii="Times New Roman" w:hAnsi="Times New Roman" w:cs="Times New Roman"/>
          <w:sz w:val="24"/>
          <w:szCs w:val="24"/>
          <w:lang w:eastAsia="pl-PL"/>
        </w:rPr>
        <w:t>.</w:t>
      </w:r>
    </w:p>
    <w:p w:rsidR="001033FA" w:rsidRPr="0053598B" w:rsidRDefault="001033FA" w:rsidP="00E10BFF">
      <w:pPr>
        <w:pStyle w:val="Akapitzlist"/>
        <w:spacing w:line="360" w:lineRule="auto"/>
        <w:ind w:left="502"/>
        <w:jc w:val="both"/>
        <w:rPr>
          <w:rFonts w:ascii="Times New Roman" w:hAnsi="Times New Roman" w:cs="Times New Roman"/>
          <w:sz w:val="24"/>
          <w:szCs w:val="24"/>
          <w:lang w:eastAsia="pl-PL"/>
        </w:rPr>
      </w:pPr>
    </w:p>
    <w:p w:rsidR="00881BDC" w:rsidRPr="0053598B" w:rsidRDefault="00F75455" w:rsidP="00E10BFF">
      <w:pPr>
        <w:pStyle w:val="Akapitzlist"/>
        <w:spacing w:line="360" w:lineRule="auto"/>
        <w:ind w:left="142"/>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Niezbędna zmiana</w:t>
      </w:r>
      <w:r w:rsidR="00881BDC" w:rsidRPr="0053598B">
        <w:rPr>
          <w:rFonts w:ascii="Times New Roman" w:hAnsi="Times New Roman" w:cs="Times New Roman"/>
          <w:sz w:val="24"/>
          <w:szCs w:val="24"/>
          <w:lang w:eastAsia="pl-PL"/>
        </w:rPr>
        <w:t xml:space="preserve"> w zakresie uzupełnienia rejestru przedsiębiorców o dodatkową wzmiankę na temat złożenia do KRS sprawozdania z płatności na rzec</w:t>
      </w:r>
      <w:r w:rsidR="0053598B">
        <w:rPr>
          <w:rFonts w:ascii="Times New Roman" w:hAnsi="Times New Roman" w:cs="Times New Roman"/>
          <w:sz w:val="24"/>
          <w:szCs w:val="24"/>
          <w:lang w:eastAsia="pl-PL"/>
        </w:rPr>
        <w:t>z administracji rządowych (art. </w:t>
      </w:r>
      <w:r w:rsidR="00881BDC" w:rsidRPr="0053598B">
        <w:rPr>
          <w:rFonts w:ascii="Times New Roman" w:hAnsi="Times New Roman" w:cs="Times New Roman"/>
          <w:sz w:val="24"/>
          <w:szCs w:val="24"/>
          <w:lang w:eastAsia="pl-PL"/>
        </w:rPr>
        <w:t>42–45 dyrektywy 2013/34/UE)</w:t>
      </w:r>
      <w:r w:rsidRPr="0053598B">
        <w:rPr>
          <w:rFonts w:ascii="Times New Roman" w:hAnsi="Times New Roman" w:cs="Times New Roman"/>
          <w:sz w:val="24"/>
          <w:szCs w:val="24"/>
          <w:lang w:eastAsia="pl-PL"/>
        </w:rPr>
        <w:t xml:space="preserve"> nastąpi w ustawie o Krajowym Rejestrze Sądowym, poprzez zmianę w procedowanym projekcie ustawy o biegłych rewidentach i ich samorządzie, firmach audytorskich oraz o nadzorze publicznym</w:t>
      </w:r>
      <w:r w:rsidR="00881BDC" w:rsidRPr="0053598B">
        <w:rPr>
          <w:rFonts w:ascii="Times New Roman" w:hAnsi="Times New Roman" w:cs="Times New Roman"/>
          <w:sz w:val="24"/>
          <w:szCs w:val="24"/>
          <w:lang w:eastAsia="pl-PL"/>
        </w:rPr>
        <w:t>. Ujawnienie tych informacji zgodnie z rozdziałem 2 dyrektywy 2013/34/UE jest obligatoryjne, co powinno wiązać się z</w:t>
      </w:r>
      <w:r w:rsidR="0053598B">
        <w:rPr>
          <w:rFonts w:ascii="Times New Roman" w:hAnsi="Times New Roman" w:cs="Times New Roman"/>
          <w:sz w:val="24"/>
          <w:szCs w:val="24"/>
          <w:lang w:eastAsia="pl-PL"/>
        </w:rPr>
        <w:t> </w:t>
      </w:r>
      <w:r w:rsidR="00881BDC" w:rsidRPr="0053598B">
        <w:rPr>
          <w:rFonts w:ascii="Times New Roman" w:hAnsi="Times New Roman" w:cs="Times New Roman"/>
          <w:sz w:val="24"/>
          <w:szCs w:val="24"/>
          <w:lang w:eastAsia="pl-PL"/>
        </w:rPr>
        <w:t>wpisem wzmianki o sprawozdaniu (skonsolidowanym sprawozdaniu) z płatności na rzecz administracji publicznej w dziale trzecim rejestru przedsiębiorców i publikacją w Monitorze Sądowym i Gospodarczym.</w:t>
      </w:r>
    </w:p>
    <w:p w:rsidR="008F4CE7" w:rsidRPr="0053598B" w:rsidRDefault="008F4CE7" w:rsidP="00E10BFF">
      <w:pPr>
        <w:spacing w:line="360" w:lineRule="auto"/>
        <w:rPr>
          <w:lang w:eastAsia="pl-PL"/>
        </w:rPr>
      </w:pPr>
    </w:p>
    <w:p w:rsidR="00774E6A" w:rsidRPr="0053598B" w:rsidRDefault="00774E6A" w:rsidP="00E10BFF">
      <w:pPr>
        <w:spacing w:line="360" w:lineRule="auto"/>
        <w:rPr>
          <w:lang w:eastAsia="pl-PL"/>
        </w:rPr>
      </w:pPr>
    </w:p>
    <w:p w:rsidR="00E209C9" w:rsidRPr="0053598B" w:rsidRDefault="006E2D5A" w:rsidP="00E10BFF">
      <w:pPr>
        <w:numPr>
          <w:ilvl w:val="0"/>
          <w:numId w:val="1"/>
        </w:numPr>
        <w:spacing w:line="360" w:lineRule="auto"/>
        <w:rPr>
          <w:b/>
          <w:lang w:eastAsia="pl-PL"/>
        </w:rPr>
      </w:pPr>
      <w:r w:rsidRPr="0053598B">
        <w:rPr>
          <w:b/>
          <w:lang w:eastAsia="pl-PL"/>
        </w:rPr>
        <w:t>Obecny stan prawny</w:t>
      </w:r>
    </w:p>
    <w:p w:rsidR="00BA55BA" w:rsidRPr="0053598B" w:rsidRDefault="006E2D5A" w:rsidP="00E10BFF">
      <w:pPr>
        <w:spacing w:line="360" w:lineRule="auto"/>
        <w:jc w:val="both"/>
        <w:rPr>
          <w:lang w:eastAsia="pl-PL"/>
        </w:rPr>
      </w:pPr>
      <w:r w:rsidRPr="0053598B">
        <w:rPr>
          <w:lang w:eastAsia="pl-PL"/>
        </w:rPr>
        <w:t>Na podstawie art. 49 ust. 3 ustawy o rachunkowości określone jednostki</w:t>
      </w:r>
      <w:r w:rsidR="00036D19" w:rsidRPr="0053598B">
        <w:rPr>
          <w:lang w:eastAsia="pl-PL"/>
        </w:rPr>
        <w:t xml:space="preserve"> (por. art. 49 ust.</w:t>
      </w:r>
      <w:r w:rsidR="00E300AD" w:rsidRPr="0053598B">
        <w:rPr>
          <w:lang w:eastAsia="pl-PL"/>
        </w:rPr>
        <w:t xml:space="preserve"> </w:t>
      </w:r>
      <w:r w:rsidR="00036D19" w:rsidRPr="0053598B">
        <w:rPr>
          <w:lang w:eastAsia="pl-PL"/>
        </w:rPr>
        <w:t>1, 4</w:t>
      </w:r>
      <w:r w:rsidR="00BA55BA" w:rsidRPr="0053598B">
        <w:rPr>
          <w:lang w:eastAsia="pl-PL"/>
        </w:rPr>
        <w:t xml:space="preserve"> i</w:t>
      </w:r>
      <w:r w:rsidR="0053598B">
        <w:rPr>
          <w:lang w:eastAsia="pl-PL"/>
        </w:rPr>
        <w:t> </w:t>
      </w:r>
      <w:r w:rsidR="00036D19" w:rsidRPr="0053598B">
        <w:rPr>
          <w:lang w:eastAsia="pl-PL"/>
        </w:rPr>
        <w:t xml:space="preserve">5), zobowiązane do sporządzania sprawozdania z działalności, wykazują w tym sprawozdaniu </w:t>
      </w:r>
      <w:r w:rsidR="00E10BFF" w:rsidRPr="0053598B">
        <w:rPr>
          <w:lang w:eastAsia="pl-PL"/>
        </w:rPr>
        <w:t>–</w:t>
      </w:r>
      <w:r w:rsidRPr="0053598B">
        <w:rPr>
          <w:lang w:eastAsia="pl-PL"/>
        </w:rPr>
        <w:t xml:space="preserve"> </w:t>
      </w:r>
      <w:r w:rsidR="00036D19" w:rsidRPr="0053598B">
        <w:rPr>
          <w:lang w:eastAsia="pl-PL"/>
        </w:rPr>
        <w:t xml:space="preserve">o ile jest to istotne dla oceny sytuacji jednostki </w:t>
      </w:r>
      <w:r w:rsidR="00E10BFF" w:rsidRPr="0053598B">
        <w:rPr>
          <w:lang w:eastAsia="pl-PL"/>
        </w:rPr>
        <w:t>–</w:t>
      </w:r>
      <w:r w:rsidR="00036D19" w:rsidRPr="0053598B">
        <w:rPr>
          <w:lang w:eastAsia="pl-PL"/>
        </w:rPr>
        <w:t xml:space="preserve"> wskaźniki finansowe i</w:t>
      </w:r>
      <w:r w:rsidR="0053598B">
        <w:rPr>
          <w:lang w:eastAsia="pl-PL"/>
        </w:rPr>
        <w:t> </w:t>
      </w:r>
      <w:r w:rsidR="00036D19" w:rsidRPr="0053598B">
        <w:rPr>
          <w:lang w:eastAsia="pl-PL"/>
        </w:rPr>
        <w:t>niefinansowe, łącznie z informacjami dotyczącymi zag</w:t>
      </w:r>
      <w:r w:rsidR="0053598B">
        <w:rPr>
          <w:lang w:eastAsia="pl-PL"/>
        </w:rPr>
        <w:t>adnień środowiska naturalnego i </w:t>
      </w:r>
      <w:r w:rsidR="00036D19" w:rsidRPr="0053598B">
        <w:rPr>
          <w:lang w:eastAsia="pl-PL"/>
        </w:rPr>
        <w:t>zatrudnienia, a także dodatkowe wyjaśnienia do kwot wykazanych w sprawozdaniu finansowym.</w:t>
      </w:r>
      <w:r w:rsidR="00BA55BA" w:rsidRPr="0053598B">
        <w:rPr>
          <w:lang w:eastAsia="pl-PL"/>
        </w:rPr>
        <w:t xml:space="preserve"> Jednostki dominujące, sporządzające skonsolidowane sprawozdanie finansowe grupy kapitałowej, w skonsolidowanym sprawozdaniu z działalności grupy kapitałowej, również wykazują ww. </w:t>
      </w:r>
      <w:r w:rsidR="005B744C" w:rsidRPr="0053598B">
        <w:rPr>
          <w:lang w:eastAsia="pl-PL"/>
        </w:rPr>
        <w:t>informacje.</w:t>
      </w:r>
    </w:p>
    <w:p w:rsidR="00822BEE" w:rsidRPr="0053598B" w:rsidRDefault="00822BEE" w:rsidP="00E10BFF">
      <w:pPr>
        <w:spacing w:line="360" w:lineRule="auto"/>
        <w:jc w:val="both"/>
        <w:rPr>
          <w:lang w:eastAsia="pl-PL"/>
        </w:rPr>
      </w:pPr>
      <w:r w:rsidRPr="0053598B">
        <w:rPr>
          <w:lang w:eastAsia="pl-PL"/>
        </w:rPr>
        <w:t>Zgodnie z art. 52 ust. 3 ustawy o rachunkowości kierownik jednostki zapewnia sporządzenie sprawozdania z działalności nie później niż w ciągu 3</w:t>
      </w:r>
      <w:r w:rsidR="0053598B">
        <w:rPr>
          <w:lang w:eastAsia="pl-PL"/>
        </w:rPr>
        <w:t xml:space="preserve"> miesięcy od dnia bilansowego i </w:t>
      </w:r>
      <w:r w:rsidRPr="0053598B">
        <w:rPr>
          <w:lang w:eastAsia="pl-PL"/>
        </w:rPr>
        <w:t xml:space="preserve">przedstawia je właściwym organom, zgodnie z obowiązującymi jednostkę </w:t>
      </w:r>
      <w:hyperlink r:id="rId10" w:anchor="hiperlinkDocsList.rpc?hiperlink=type=merytoryczny:nro=Powszechny.1188741:part=a52u1:nr=1&amp;full=1" w:tgtFrame="_parent" w:history="1">
        <w:r w:rsidRPr="0053598B">
          <w:rPr>
            <w:lang w:eastAsia="pl-PL"/>
          </w:rPr>
          <w:t>przepisami</w:t>
        </w:r>
      </w:hyperlink>
      <w:r w:rsidRPr="0053598B">
        <w:rPr>
          <w:lang w:eastAsia="pl-PL"/>
        </w:rPr>
        <w:t xml:space="preserve"> prawa, postanowieniami statutu lub umowy.</w:t>
      </w:r>
      <w:r w:rsidR="005B744C" w:rsidRPr="0053598B">
        <w:rPr>
          <w:lang w:eastAsia="pl-PL"/>
        </w:rPr>
        <w:t xml:space="preserve"> </w:t>
      </w:r>
      <w:r w:rsidRPr="0053598B">
        <w:rPr>
          <w:lang w:eastAsia="pl-PL"/>
        </w:rPr>
        <w:t xml:space="preserve">Sprawozdanie </w:t>
      </w:r>
      <w:r w:rsidR="000F25B9" w:rsidRPr="0053598B">
        <w:rPr>
          <w:lang w:eastAsia="pl-PL"/>
        </w:rPr>
        <w:t>to</w:t>
      </w:r>
      <w:r w:rsidRPr="0053598B">
        <w:rPr>
          <w:lang w:eastAsia="pl-PL"/>
        </w:rPr>
        <w:t xml:space="preserve"> podpisuje </w:t>
      </w:r>
      <w:r w:rsidR="00E10BFF" w:rsidRPr="0053598B">
        <w:rPr>
          <w:lang w:eastAsia="pl-PL"/>
        </w:rPr>
        <w:t>–</w:t>
      </w:r>
      <w:r w:rsidRPr="0053598B">
        <w:rPr>
          <w:lang w:eastAsia="pl-PL"/>
        </w:rPr>
        <w:t xml:space="preserve"> podając zarazem datę podpisu </w:t>
      </w:r>
      <w:r w:rsidR="00E10BFF" w:rsidRPr="0053598B">
        <w:rPr>
          <w:lang w:eastAsia="pl-PL"/>
        </w:rPr>
        <w:t>–</w:t>
      </w:r>
      <w:r w:rsidRPr="0053598B">
        <w:rPr>
          <w:lang w:eastAsia="pl-PL"/>
        </w:rPr>
        <w:t xml:space="preserve"> kierownik jednostki, a jeżeli jednostką kieruje organ wieloosobowy </w:t>
      </w:r>
      <w:r w:rsidR="00E10BFF" w:rsidRPr="0053598B">
        <w:rPr>
          <w:lang w:eastAsia="pl-PL"/>
        </w:rPr>
        <w:t>–</w:t>
      </w:r>
      <w:r w:rsidRPr="0053598B">
        <w:rPr>
          <w:lang w:eastAsia="pl-PL"/>
        </w:rPr>
        <w:t xml:space="preserve"> wszyscy członkowie tego organu. Odmowa podpisu wymaga pisemnego uzasadnienia dołączonego do sprawozdania </w:t>
      </w:r>
      <w:r w:rsidR="000F25B9" w:rsidRPr="0053598B">
        <w:rPr>
          <w:lang w:eastAsia="pl-PL"/>
        </w:rPr>
        <w:t>z działalności.</w:t>
      </w:r>
    </w:p>
    <w:p w:rsidR="00D06288" w:rsidRPr="0053598B" w:rsidRDefault="00D06288" w:rsidP="00E10BFF">
      <w:pPr>
        <w:spacing w:line="360" w:lineRule="auto"/>
        <w:jc w:val="both"/>
        <w:rPr>
          <w:lang w:eastAsia="pl-PL"/>
        </w:rPr>
      </w:pPr>
    </w:p>
    <w:p w:rsidR="004A0339" w:rsidRPr="0053598B" w:rsidRDefault="00D06288" w:rsidP="00E10BFF">
      <w:pPr>
        <w:spacing w:line="360" w:lineRule="auto"/>
        <w:jc w:val="both"/>
        <w:rPr>
          <w:lang w:eastAsia="pl-PL"/>
        </w:rPr>
      </w:pPr>
      <w:r w:rsidRPr="0053598B">
        <w:t xml:space="preserve">W świetle obecnie obowiązujących przepisów ustawy o rachunkowości, w tym art. </w:t>
      </w:r>
      <w:r w:rsidR="00805088" w:rsidRPr="0053598B">
        <w:t>46,</w:t>
      </w:r>
      <w:r w:rsidR="00E300AD" w:rsidRPr="0053598B">
        <w:t xml:space="preserve"> art.</w:t>
      </w:r>
      <w:r w:rsidR="00805088" w:rsidRPr="0053598B">
        <w:t xml:space="preserve"> </w:t>
      </w:r>
      <w:r w:rsidRPr="0053598B">
        <w:t>47</w:t>
      </w:r>
      <w:r w:rsidR="00805088" w:rsidRPr="0053598B">
        <w:t xml:space="preserve"> i</w:t>
      </w:r>
      <w:r w:rsidR="00E300AD" w:rsidRPr="0053598B">
        <w:t xml:space="preserve"> art.</w:t>
      </w:r>
      <w:r w:rsidR="00805088" w:rsidRPr="0053598B">
        <w:t xml:space="preserve"> 48</w:t>
      </w:r>
      <w:r w:rsidRPr="0053598B">
        <w:t xml:space="preserve">, wszystkie jednostki stosujące przepisy tej ustawy, w tym </w:t>
      </w:r>
      <w:r w:rsidRPr="0053598B">
        <w:rPr>
          <w:lang w:eastAsia="pl-PL"/>
        </w:rPr>
        <w:t>organizacje pozarządowe</w:t>
      </w:r>
      <w:r w:rsidRPr="0053598B">
        <w:t>, sporządzają sprawozdanie finansowe zgodnie z zakresem określonym w załączniku nr 1, 4 i 5 do ustawy o rachunkowości.</w:t>
      </w:r>
    </w:p>
    <w:p w:rsidR="001255AA" w:rsidRPr="0053598B" w:rsidRDefault="001255AA" w:rsidP="00E10BFF">
      <w:pPr>
        <w:spacing w:line="360" w:lineRule="auto"/>
        <w:jc w:val="both"/>
        <w:rPr>
          <w:lang w:eastAsia="pl-PL"/>
        </w:rPr>
      </w:pPr>
    </w:p>
    <w:p w:rsidR="004A0339" w:rsidRPr="0053598B" w:rsidRDefault="004A0339" w:rsidP="00E10BFF">
      <w:pPr>
        <w:spacing w:line="360" w:lineRule="auto"/>
        <w:jc w:val="both"/>
        <w:rPr>
          <w:lang w:eastAsia="pl-PL"/>
        </w:rPr>
      </w:pPr>
      <w:r w:rsidRPr="0053598B">
        <w:rPr>
          <w:lang w:eastAsia="pl-PL"/>
        </w:rPr>
        <w:t>W</w:t>
      </w:r>
      <w:r w:rsidR="009A2F25" w:rsidRPr="0053598B">
        <w:rPr>
          <w:lang w:eastAsia="pl-PL"/>
        </w:rPr>
        <w:t xml:space="preserve"> odniesieniu do obowiązującego stanu prawnego w</w:t>
      </w:r>
      <w:r w:rsidRPr="0053598B">
        <w:rPr>
          <w:lang w:eastAsia="pl-PL"/>
        </w:rPr>
        <w:t xml:space="preserve"> zakresie </w:t>
      </w:r>
      <w:r w:rsidR="009A2F25" w:rsidRPr="0053598B">
        <w:rPr>
          <w:lang w:eastAsia="pl-PL"/>
        </w:rPr>
        <w:t xml:space="preserve">przechowywania dokumentów księgowych </w:t>
      </w:r>
      <w:r w:rsidR="00E10BFF" w:rsidRPr="0053598B">
        <w:rPr>
          <w:lang w:eastAsia="pl-PL"/>
        </w:rPr>
        <w:t>–</w:t>
      </w:r>
      <w:r w:rsidR="009A2F25" w:rsidRPr="0053598B">
        <w:rPr>
          <w:lang w:eastAsia="pl-PL"/>
        </w:rPr>
        <w:t xml:space="preserve"> zgodnie z art. 73 ust. 2 ustawy o rachunkowości </w:t>
      </w:r>
      <w:r w:rsidR="00E10BFF" w:rsidRPr="0053598B">
        <w:rPr>
          <w:lang w:eastAsia="pl-PL"/>
        </w:rPr>
        <w:t>–</w:t>
      </w:r>
      <w:r w:rsidR="009A2F25" w:rsidRPr="0053598B">
        <w:rPr>
          <w:lang w:eastAsia="pl-PL"/>
        </w:rPr>
        <w:t xml:space="preserve"> z</w:t>
      </w:r>
      <w:r w:rsidRPr="0053598B">
        <w:rPr>
          <w:lang w:eastAsia="pl-PL"/>
        </w:rPr>
        <w:t xml:space="preserve"> wyłączeniem dokumentów dotyczących przeniesienia praw majątkowych do nieruchomości, powierzenia odpowiedzialności za składniki aktywów, znaczących umów i innych ważnych dokumentów określonych przez kierownika jednostki, treść dowodów księgowych może być przeniesiona na informatyczne nośniki danych, pozwalające zachować w trwałej postaci zawartość dowodów</w:t>
      </w:r>
      <w:r w:rsidR="009A2F25" w:rsidRPr="0053598B">
        <w:rPr>
          <w:lang w:eastAsia="pl-PL"/>
        </w:rPr>
        <w:t xml:space="preserve"> dopiero po zatwierdzeniu sprawozdania finansowego</w:t>
      </w:r>
      <w:r w:rsidRPr="0053598B">
        <w:rPr>
          <w:lang w:eastAsia="pl-PL"/>
        </w:rPr>
        <w:t>. Warunkiem stosowania tej metody przechowywania danych jest posiadanie urządzeń pozwalających na odtworzenie dowodów w postaci wydruku, o ile inne przepisy nie stanowią inaczej.</w:t>
      </w:r>
    </w:p>
    <w:p w:rsidR="001F6461" w:rsidRPr="0053598B" w:rsidRDefault="00A41CA5" w:rsidP="00E10BFF">
      <w:pPr>
        <w:spacing w:line="360" w:lineRule="auto"/>
        <w:jc w:val="both"/>
        <w:rPr>
          <w:lang w:eastAsia="pl-PL"/>
        </w:rPr>
      </w:pPr>
      <w:r w:rsidRPr="0053598B">
        <w:rPr>
          <w:lang w:eastAsia="pl-PL"/>
        </w:rPr>
        <w:lastRenderedPageBreak/>
        <w:t>Zgodnie z przepisami art. 3 ust. 6 ustawy o rachunkowości</w:t>
      </w:r>
      <w:r w:rsidR="001F6461" w:rsidRPr="0053598B">
        <w:rPr>
          <w:lang w:eastAsia="pl-PL"/>
        </w:rPr>
        <w:t xml:space="preserve"> ze stosowania</w:t>
      </w:r>
      <w:r w:rsidRPr="0053598B">
        <w:rPr>
          <w:lang w:eastAsia="pl-PL"/>
        </w:rPr>
        <w:t xml:space="preserve"> </w:t>
      </w:r>
      <w:r w:rsidR="001F6461" w:rsidRPr="0053598B">
        <w:rPr>
          <w:lang w:eastAsia="pl-PL"/>
        </w:rPr>
        <w:t>uproszczonych</w:t>
      </w:r>
      <w:r w:rsidRPr="0053598B">
        <w:rPr>
          <w:lang w:eastAsia="pl-PL"/>
        </w:rPr>
        <w:t xml:space="preserve"> </w:t>
      </w:r>
      <w:r w:rsidR="001F6461" w:rsidRPr="0053598B">
        <w:rPr>
          <w:lang w:eastAsia="pl-PL"/>
        </w:rPr>
        <w:t xml:space="preserve">zasad rachunkowości w zakresie ewidencji umów leasingu wyłączone są jednostki </w:t>
      </w:r>
      <w:r w:rsidR="002D04D1" w:rsidRPr="0053598B">
        <w:rPr>
          <w:lang w:eastAsia="pl-PL"/>
        </w:rPr>
        <w:t>finansów publicznych (z wyłączeniem jednostek samorządu terytorialnego).</w:t>
      </w:r>
    </w:p>
    <w:p w:rsidR="00371661" w:rsidRPr="0053598B" w:rsidRDefault="006367DA" w:rsidP="00E10BFF">
      <w:pPr>
        <w:spacing w:line="360" w:lineRule="auto"/>
        <w:jc w:val="both"/>
        <w:rPr>
          <w:lang w:eastAsia="pl-PL"/>
        </w:rPr>
      </w:pPr>
      <w:r w:rsidRPr="0053598B">
        <w:rPr>
          <w:lang w:eastAsia="pl-PL"/>
        </w:rPr>
        <w:t>Z uproszczonych zasad kalkulacji kosztu wytworzenia produktu mogą korzystać jednostki, gdy ich roczne sprawozdanie finansowe nie podlega obowiązkowi badania i ogłaszania w</w:t>
      </w:r>
      <w:r w:rsidR="0053598B">
        <w:rPr>
          <w:lang w:eastAsia="pl-PL"/>
        </w:rPr>
        <w:t> </w:t>
      </w:r>
      <w:r w:rsidRPr="0053598B">
        <w:rPr>
          <w:lang w:eastAsia="pl-PL"/>
        </w:rPr>
        <w:t>myśl art. 64 ust. 1 ustawy o rachunkowości. Wówczas</w:t>
      </w:r>
      <w:r w:rsidR="00E300AD" w:rsidRPr="0053598B">
        <w:rPr>
          <w:lang w:eastAsia="pl-PL"/>
        </w:rPr>
        <w:t>,</w:t>
      </w:r>
      <w:r w:rsidRPr="0053598B">
        <w:rPr>
          <w:lang w:eastAsia="pl-PL"/>
        </w:rPr>
        <w:t xml:space="preserve"> obliczając koszt wytworzenia produktu zgodnie z art. 28 ust. 3 tej ustawy, jednostki te mogą do kosztów bezpośrednich doliczyć koszty pośrednie związane z wytworzeniem tego produktu, niezależnie od poziomu wykorzystania zdolności produkcyjnych. Ustalony w ten sposób koszt wytworzenia nie może być wyższy od ceny sprzedaży netto.</w:t>
      </w:r>
    </w:p>
    <w:p w:rsidR="00FA5EB6" w:rsidRPr="0053598B" w:rsidRDefault="00470449" w:rsidP="00E10BFF">
      <w:pPr>
        <w:spacing w:line="360" w:lineRule="auto"/>
        <w:jc w:val="both"/>
        <w:rPr>
          <w:lang w:eastAsia="pl-PL"/>
        </w:rPr>
      </w:pPr>
      <w:r w:rsidRPr="0053598B">
        <w:rPr>
          <w:lang w:eastAsia="pl-PL"/>
        </w:rPr>
        <w:t>Przepisy ustawy o rachunkowości</w:t>
      </w:r>
      <w:r w:rsidR="001612B6" w:rsidRPr="0053598B">
        <w:rPr>
          <w:lang w:eastAsia="pl-PL"/>
        </w:rPr>
        <w:t xml:space="preserve"> </w:t>
      </w:r>
      <w:r w:rsidR="001D254D" w:rsidRPr="0053598B">
        <w:rPr>
          <w:rFonts w:eastAsia="Cambria"/>
        </w:rPr>
        <w:t>nie uwzględniają</w:t>
      </w:r>
      <w:r w:rsidR="001612B6" w:rsidRPr="0053598B">
        <w:rPr>
          <w:rFonts w:eastAsia="Cambria"/>
        </w:rPr>
        <w:t xml:space="preserve"> w sposób kompletny</w:t>
      </w:r>
      <w:r w:rsidR="001D254D" w:rsidRPr="0053598B">
        <w:rPr>
          <w:rFonts w:eastAsia="Cambria"/>
        </w:rPr>
        <w:t xml:space="preserve"> zmienionych przepisów ustawy o działalności ube</w:t>
      </w:r>
      <w:r w:rsidR="001612B6" w:rsidRPr="0053598B">
        <w:rPr>
          <w:rFonts w:eastAsia="Cambria"/>
        </w:rPr>
        <w:t>zpieczeniowej i reasekuracyjnej.</w:t>
      </w:r>
      <w:r w:rsidR="001612B6" w:rsidRPr="0053598B">
        <w:rPr>
          <w:lang w:eastAsia="pl-PL"/>
        </w:rPr>
        <w:t xml:space="preserve"> </w:t>
      </w:r>
    </w:p>
    <w:p w:rsidR="00FA5EB6" w:rsidRPr="0053598B" w:rsidRDefault="00FA5EB6" w:rsidP="00E10BFF">
      <w:pPr>
        <w:spacing w:line="360" w:lineRule="auto"/>
        <w:jc w:val="both"/>
        <w:rPr>
          <w:lang w:eastAsia="pl-PL"/>
        </w:rPr>
      </w:pPr>
    </w:p>
    <w:p w:rsidR="00371661" w:rsidRPr="0053598B" w:rsidRDefault="00371661" w:rsidP="0053598B">
      <w:pPr>
        <w:pStyle w:val="Akapitzlist"/>
        <w:numPr>
          <w:ilvl w:val="0"/>
          <w:numId w:val="1"/>
        </w:numPr>
        <w:spacing w:after="0" w:line="360" w:lineRule="auto"/>
        <w:ind w:left="714" w:hanging="357"/>
        <w:rPr>
          <w:rFonts w:ascii="Times New Roman" w:hAnsi="Times New Roman" w:cs="Times New Roman"/>
          <w:b/>
          <w:sz w:val="24"/>
          <w:szCs w:val="24"/>
          <w:lang w:eastAsia="pl-PL"/>
        </w:rPr>
      </w:pPr>
      <w:r w:rsidRPr="0053598B">
        <w:rPr>
          <w:rFonts w:ascii="Times New Roman" w:hAnsi="Times New Roman" w:cs="Times New Roman"/>
          <w:b/>
          <w:sz w:val="24"/>
          <w:szCs w:val="24"/>
          <w:lang w:eastAsia="pl-PL"/>
        </w:rPr>
        <w:t xml:space="preserve">Proponowane zmiany wprowadzane projektem ustawy </w:t>
      </w:r>
    </w:p>
    <w:p w:rsidR="00371661" w:rsidRPr="0053598B" w:rsidRDefault="00371661" w:rsidP="0053598B">
      <w:pPr>
        <w:spacing w:line="360" w:lineRule="auto"/>
        <w:rPr>
          <w:b/>
          <w:lang w:eastAsia="pl-PL"/>
        </w:rPr>
      </w:pPr>
    </w:p>
    <w:p w:rsidR="00E2104D" w:rsidRPr="0053598B" w:rsidRDefault="00F11D1C" w:rsidP="00E10BFF">
      <w:pPr>
        <w:numPr>
          <w:ilvl w:val="0"/>
          <w:numId w:val="17"/>
        </w:numPr>
        <w:tabs>
          <w:tab w:val="clear" w:pos="113"/>
          <w:tab w:val="num" w:pos="284"/>
        </w:tabs>
        <w:spacing w:line="360" w:lineRule="auto"/>
        <w:ind w:left="284" w:hanging="284"/>
        <w:jc w:val="both"/>
        <w:rPr>
          <w:color w:val="000000"/>
          <w:lang w:eastAsia="pl-PL"/>
        </w:rPr>
      </w:pPr>
      <w:r w:rsidRPr="0053598B">
        <w:rPr>
          <w:b/>
          <w:color w:val="000000"/>
          <w:lang w:eastAsia="pl-PL"/>
        </w:rPr>
        <w:t>Art. 1 pkt 1 ustawy nowelizującej</w:t>
      </w:r>
      <w:r w:rsidR="004A2892" w:rsidRPr="0053598B">
        <w:rPr>
          <w:b/>
          <w:color w:val="000000"/>
          <w:lang w:eastAsia="pl-PL"/>
        </w:rPr>
        <w:t>:</w:t>
      </w:r>
      <w:r w:rsidRPr="0053598B">
        <w:rPr>
          <w:b/>
          <w:color w:val="000000"/>
          <w:lang w:eastAsia="pl-PL"/>
        </w:rPr>
        <w:t xml:space="preserve"> </w:t>
      </w:r>
    </w:p>
    <w:p w:rsidR="001717E2" w:rsidRPr="0053598B" w:rsidRDefault="00E2104D" w:rsidP="00E10BFF">
      <w:pPr>
        <w:pStyle w:val="Akapitzlist"/>
        <w:numPr>
          <w:ilvl w:val="0"/>
          <w:numId w:val="39"/>
        </w:numPr>
        <w:spacing w:line="360" w:lineRule="auto"/>
        <w:jc w:val="both"/>
        <w:rPr>
          <w:rFonts w:ascii="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w lit</w:t>
      </w:r>
      <w:r w:rsidR="004A2892" w:rsidRPr="0053598B">
        <w:rPr>
          <w:rFonts w:ascii="Times New Roman" w:hAnsi="Times New Roman" w:cs="Times New Roman"/>
          <w:b/>
          <w:color w:val="000000"/>
          <w:sz w:val="24"/>
          <w:szCs w:val="24"/>
          <w:lang w:eastAsia="pl-PL"/>
        </w:rPr>
        <w:t>.</w:t>
      </w:r>
      <w:r w:rsidRPr="0053598B">
        <w:rPr>
          <w:rFonts w:ascii="Times New Roman" w:hAnsi="Times New Roman" w:cs="Times New Roman"/>
          <w:b/>
          <w:color w:val="000000"/>
          <w:sz w:val="24"/>
          <w:szCs w:val="24"/>
          <w:lang w:eastAsia="pl-PL"/>
        </w:rPr>
        <w:t xml:space="preserve"> a</w:t>
      </w:r>
      <w:r w:rsidRPr="0053598B">
        <w:rPr>
          <w:rFonts w:ascii="Times New Roman" w:hAnsi="Times New Roman" w:cs="Times New Roman"/>
          <w:color w:val="000000"/>
          <w:sz w:val="24"/>
          <w:szCs w:val="24"/>
          <w:lang w:eastAsia="pl-PL"/>
        </w:rPr>
        <w:t xml:space="preserve"> dokonuje zmiany w art. 3 w ust. 1a </w:t>
      </w:r>
      <w:r w:rsidR="00805088" w:rsidRPr="0053598B">
        <w:rPr>
          <w:rFonts w:ascii="Times New Roman" w:hAnsi="Times New Roman" w:cs="Times New Roman"/>
          <w:color w:val="000000"/>
          <w:sz w:val="24"/>
          <w:szCs w:val="24"/>
          <w:lang w:eastAsia="pl-PL"/>
        </w:rPr>
        <w:t>pkt 2</w:t>
      </w:r>
      <w:r w:rsidRPr="0053598B">
        <w:rPr>
          <w:rFonts w:ascii="Times New Roman" w:hAnsi="Times New Roman" w:cs="Times New Roman"/>
          <w:color w:val="000000"/>
          <w:sz w:val="24"/>
          <w:szCs w:val="24"/>
          <w:lang w:eastAsia="pl-PL"/>
        </w:rPr>
        <w:t xml:space="preserve"> ustawy o rachunkowości</w:t>
      </w:r>
      <w:r w:rsidR="000051C2" w:rsidRPr="0053598B">
        <w:rPr>
          <w:rFonts w:ascii="Times New Roman" w:hAnsi="Times New Roman" w:cs="Times New Roman"/>
          <w:color w:val="000000"/>
          <w:sz w:val="24"/>
          <w:szCs w:val="24"/>
          <w:lang w:eastAsia="pl-PL"/>
        </w:rPr>
        <w:t xml:space="preserve">, poprzez wykreślenie z katalogu jednostek mikro (oraz małych – </w:t>
      </w:r>
      <w:r w:rsidR="000051C2" w:rsidRPr="0053598B">
        <w:rPr>
          <w:rFonts w:ascii="Times New Roman" w:hAnsi="Times New Roman" w:cs="Times New Roman"/>
          <w:i/>
          <w:color w:val="000000"/>
          <w:sz w:val="24"/>
          <w:szCs w:val="24"/>
          <w:lang w:eastAsia="pl-PL"/>
        </w:rPr>
        <w:t>vide</w:t>
      </w:r>
      <w:r w:rsidR="000051C2" w:rsidRPr="0053598B">
        <w:rPr>
          <w:rFonts w:ascii="Times New Roman" w:hAnsi="Times New Roman" w:cs="Times New Roman"/>
          <w:color w:val="000000"/>
          <w:sz w:val="24"/>
          <w:szCs w:val="24"/>
          <w:lang w:eastAsia="pl-PL"/>
        </w:rPr>
        <w:t xml:space="preserve"> art. 1 pkt 1 lit</w:t>
      </w:r>
      <w:r w:rsidR="004A2892" w:rsidRPr="0053598B">
        <w:rPr>
          <w:rFonts w:ascii="Times New Roman" w:hAnsi="Times New Roman" w:cs="Times New Roman"/>
          <w:color w:val="000000"/>
          <w:sz w:val="24"/>
          <w:szCs w:val="24"/>
          <w:lang w:eastAsia="pl-PL"/>
        </w:rPr>
        <w:t>.</w:t>
      </w:r>
      <w:r w:rsidR="000051C2" w:rsidRPr="0053598B">
        <w:rPr>
          <w:rFonts w:ascii="Times New Roman" w:hAnsi="Times New Roman" w:cs="Times New Roman"/>
          <w:color w:val="000000"/>
          <w:sz w:val="24"/>
          <w:szCs w:val="24"/>
          <w:lang w:eastAsia="pl-PL"/>
        </w:rPr>
        <w:t xml:space="preserve"> b projektu) stowarzyszeń i fundacji, co wiąże się</w:t>
      </w:r>
      <w:r w:rsidRPr="0053598B">
        <w:rPr>
          <w:rFonts w:ascii="Times New Roman" w:hAnsi="Times New Roman" w:cs="Times New Roman"/>
          <w:color w:val="000000"/>
          <w:sz w:val="24"/>
          <w:szCs w:val="24"/>
          <w:lang w:eastAsia="pl-PL"/>
        </w:rPr>
        <w:t xml:space="preserve"> z wprowadzeniem w niniejszym projekcie odrębnego </w:t>
      </w:r>
      <w:r w:rsidR="003872C9" w:rsidRPr="0053598B">
        <w:rPr>
          <w:rFonts w:ascii="Times New Roman" w:hAnsi="Times New Roman" w:cs="Times New Roman"/>
          <w:color w:val="000000"/>
          <w:sz w:val="24"/>
          <w:szCs w:val="24"/>
          <w:lang w:eastAsia="pl-PL"/>
        </w:rPr>
        <w:t>zakresu informacyjnego</w:t>
      </w:r>
      <w:r w:rsidRPr="0053598B">
        <w:rPr>
          <w:rFonts w:ascii="Times New Roman" w:hAnsi="Times New Roman" w:cs="Times New Roman"/>
          <w:color w:val="000000"/>
          <w:sz w:val="24"/>
          <w:szCs w:val="24"/>
          <w:lang w:eastAsia="pl-PL"/>
        </w:rPr>
        <w:t xml:space="preserve"> sprawozdania finansowego dla</w:t>
      </w:r>
      <w:r w:rsidR="00A450B9" w:rsidRPr="0053598B">
        <w:rPr>
          <w:rFonts w:ascii="Times New Roman" w:hAnsi="Times New Roman" w:cs="Times New Roman"/>
          <w:color w:val="000000"/>
          <w:sz w:val="24"/>
          <w:szCs w:val="24"/>
          <w:lang w:eastAsia="pl-PL"/>
        </w:rPr>
        <w:t xml:space="preserve"> </w:t>
      </w:r>
      <w:r w:rsidR="00F75D4E" w:rsidRPr="0053598B">
        <w:rPr>
          <w:rFonts w:ascii="Times New Roman" w:hAnsi="Times New Roman" w:cs="Times New Roman"/>
          <w:color w:val="000000"/>
          <w:sz w:val="24"/>
          <w:szCs w:val="24"/>
          <w:lang w:eastAsia="pl-PL"/>
        </w:rPr>
        <w:t xml:space="preserve">jednostek określonych </w:t>
      </w:r>
      <w:r w:rsidR="000051C2" w:rsidRPr="0053598B">
        <w:rPr>
          <w:rFonts w:ascii="Times New Roman" w:hAnsi="Times New Roman" w:cs="Times New Roman"/>
          <w:color w:val="000000"/>
          <w:sz w:val="24"/>
          <w:szCs w:val="24"/>
          <w:lang w:eastAsia="pl-PL"/>
        </w:rPr>
        <w:t>w art. 3 ust. 2</w:t>
      </w:r>
      <w:r w:rsidRPr="0053598B">
        <w:rPr>
          <w:rFonts w:ascii="Times New Roman" w:hAnsi="Times New Roman" w:cs="Times New Roman"/>
          <w:color w:val="000000"/>
          <w:sz w:val="24"/>
          <w:szCs w:val="24"/>
          <w:lang w:eastAsia="pl-PL"/>
        </w:rPr>
        <w:t xml:space="preserve"> ustawy z dnia 24 kwietnia 2003 r. o działalności pożytku publicznego i o wolontariacie</w:t>
      </w:r>
      <w:r w:rsidR="00F75D4E" w:rsidRPr="0053598B">
        <w:rPr>
          <w:rFonts w:ascii="Times New Roman" w:hAnsi="Times New Roman" w:cs="Times New Roman"/>
          <w:color w:val="000000"/>
          <w:sz w:val="24"/>
          <w:szCs w:val="24"/>
          <w:lang w:eastAsia="pl-PL"/>
        </w:rPr>
        <w:t xml:space="preserve"> </w:t>
      </w:r>
      <w:r w:rsidR="00E10BFF"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 z wyłączeniem spółek kapitałowych</w:t>
      </w:r>
      <w:r w:rsidR="00F75D4E" w:rsidRPr="0053598B">
        <w:rPr>
          <w:rFonts w:ascii="Times New Roman" w:hAnsi="Times New Roman" w:cs="Times New Roman"/>
          <w:color w:val="000000"/>
          <w:sz w:val="24"/>
          <w:szCs w:val="24"/>
          <w:lang w:eastAsia="pl-PL"/>
        </w:rPr>
        <w:t xml:space="preserve"> </w:t>
      </w:r>
      <w:r w:rsidR="00E10BFF"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 oraz jednostek</w:t>
      </w:r>
      <w:r w:rsidR="00E10BFF" w:rsidRPr="0053598B">
        <w:rPr>
          <w:rFonts w:ascii="Times New Roman" w:hAnsi="Times New Roman" w:cs="Times New Roman"/>
          <w:color w:val="000000"/>
          <w:sz w:val="24"/>
          <w:szCs w:val="24"/>
          <w:lang w:eastAsia="pl-PL"/>
        </w:rPr>
        <w:t xml:space="preserve"> </w:t>
      </w:r>
      <w:r w:rsidRPr="0053598B">
        <w:rPr>
          <w:rFonts w:ascii="Times New Roman" w:hAnsi="Times New Roman" w:cs="Times New Roman"/>
          <w:color w:val="000000"/>
          <w:sz w:val="24"/>
          <w:szCs w:val="24"/>
          <w:lang w:eastAsia="pl-PL"/>
        </w:rPr>
        <w:t>wymienionych w</w:t>
      </w:r>
      <w:r w:rsidR="000051C2" w:rsidRPr="0053598B">
        <w:rPr>
          <w:rFonts w:ascii="Times New Roman" w:hAnsi="Times New Roman" w:cs="Times New Roman"/>
          <w:color w:val="000000"/>
          <w:sz w:val="24"/>
          <w:szCs w:val="24"/>
          <w:lang w:eastAsia="pl-PL"/>
        </w:rPr>
        <w:t xml:space="preserve"> art. 3</w:t>
      </w:r>
      <w:r w:rsidRPr="0053598B">
        <w:rPr>
          <w:rFonts w:ascii="Times New Roman" w:hAnsi="Times New Roman" w:cs="Times New Roman"/>
          <w:color w:val="000000"/>
          <w:sz w:val="24"/>
          <w:szCs w:val="24"/>
          <w:lang w:eastAsia="pl-PL"/>
        </w:rPr>
        <w:t xml:space="preserve"> ust. 3 pkt 1 i 2 tej ustawy</w:t>
      </w:r>
      <w:r w:rsidR="000051C2" w:rsidRPr="0053598B">
        <w:rPr>
          <w:rFonts w:ascii="Times New Roman" w:hAnsi="Times New Roman" w:cs="Times New Roman"/>
          <w:color w:val="000000"/>
          <w:sz w:val="24"/>
          <w:szCs w:val="24"/>
          <w:lang w:eastAsia="pl-PL"/>
        </w:rPr>
        <w:t xml:space="preserve">. </w:t>
      </w:r>
      <w:r w:rsidR="001717E2" w:rsidRPr="0053598B">
        <w:rPr>
          <w:rFonts w:ascii="Times New Roman" w:hAnsi="Times New Roman" w:cs="Times New Roman"/>
          <w:color w:val="000000"/>
          <w:sz w:val="24"/>
          <w:szCs w:val="24"/>
          <w:lang w:eastAsia="pl-PL"/>
        </w:rPr>
        <w:t xml:space="preserve">Wprowadzenie do ustawy załącznika nr 6 powoduje zmiany przepisów ustawy o rachunkowości dotyczące sprawozdawczości finansowej jednostek mikro i jednostek małych, poprzez wyłączenie z ich stosowania </w:t>
      </w:r>
      <w:r w:rsidR="00F75D4E" w:rsidRPr="0053598B">
        <w:rPr>
          <w:rFonts w:ascii="Times New Roman" w:hAnsi="Times New Roman" w:cs="Times New Roman"/>
          <w:color w:val="000000"/>
          <w:sz w:val="24"/>
          <w:szCs w:val="24"/>
          <w:lang w:eastAsia="pl-PL"/>
        </w:rPr>
        <w:t>ww. jednostek</w:t>
      </w:r>
      <w:r w:rsidR="001717E2" w:rsidRPr="0053598B">
        <w:rPr>
          <w:rFonts w:ascii="Times New Roman" w:hAnsi="Times New Roman" w:cs="Times New Roman"/>
          <w:color w:val="000000"/>
          <w:sz w:val="24"/>
          <w:szCs w:val="24"/>
          <w:lang w:eastAsia="pl-PL"/>
        </w:rPr>
        <w:t>. Należy podkreślić, że sprawozdania finansowe jednostek mikro i jednostek małych nie odzwierciedlają specyfiki prowadzonej działalności przez organizacje pozarządowe i zasadniczo są skierowane do jednostek, których istotą funkcjonowania jest prowadzenie działalności gospodarczej.</w:t>
      </w:r>
    </w:p>
    <w:p w:rsidR="001717E2" w:rsidRPr="0053598B" w:rsidRDefault="001717E2" w:rsidP="00E10BFF">
      <w:pPr>
        <w:pStyle w:val="Akapitzlist"/>
        <w:spacing w:line="360" w:lineRule="auto"/>
        <w:ind w:left="644"/>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W wyniku tej zmiany </w:t>
      </w:r>
      <w:r w:rsidR="00F75D4E" w:rsidRPr="0053598B">
        <w:rPr>
          <w:rFonts w:ascii="Times New Roman" w:hAnsi="Times New Roman" w:cs="Times New Roman"/>
          <w:color w:val="000000"/>
          <w:sz w:val="24"/>
          <w:szCs w:val="24"/>
          <w:lang w:eastAsia="pl-PL"/>
        </w:rPr>
        <w:t>jednostki te</w:t>
      </w:r>
      <w:r w:rsidRPr="0053598B">
        <w:rPr>
          <w:rFonts w:ascii="Times New Roman" w:hAnsi="Times New Roman" w:cs="Times New Roman"/>
          <w:color w:val="000000"/>
          <w:sz w:val="24"/>
          <w:szCs w:val="24"/>
          <w:lang w:eastAsia="pl-PL"/>
        </w:rPr>
        <w:t xml:space="preserve"> sporządzałyby sprawozdanie finansowe na podstawie załącznika nr 1 lub 6. </w:t>
      </w:r>
    </w:p>
    <w:p w:rsidR="001717E2" w:rsidRPr="0053598B" w:rsidRDefault="000051C2" w:rsidP="00E10BFF">
      <w:pPr>
        <w:pStyle w:val="Akapitzlist"/>
        <w:spacing w:line="360" w:lineRule="auto"/>
        <w:ind w:left="644"/>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Umożliwi to zapewnianie spójnego i przejrzystego sy</w:t>
      </w:r>
      <w:r w:rsidR="00E300AD" w:rsidRPr="0053598B">
        <w:rPr>
          <w:rFonts w:ascii="Times New Roman" w:hAnsi="Times New Roman" w:cs="Times New Roman"/>
          <w:color w:val="000000"/>
          <w:sz w:val="24"/>
          <w:szCs w:val="24"/>
          <w:lang w:eastAsia="pl-PL"/>
        </w:rPr>
        <w:t>s</w:t>
      </w:r>
      <w:r w:rsidRPr="0053598B">
        <w:rPr>
          <w:rFonts w:ascii="Times New Roman" w:hAnsi="Times New Roman" w:cs="Times New Roman"/>
          <w:color w:val="000000"/>
          <w:sz w:val="24"/>
          <w:szCs w:val="24"/>
          <w:lang w:eastAsia="pl-PL"/>
        </w:rPr>
        <w:t>temu sprawozdawczości tychże organizacji pozarządowych</w:t>
      </w:r>
      <w:r w:rsidR="00F703FB" w:rsidRPr="0053598B">
        <w:rPr>
          <w:rFonts w:ascii="Times New Roman" w:hAnsi="Times New Roman" w:cs="Times New Roman"/>
          <w:color w:val="000000"/>
          <w:sz w:val="24"/>
          <w:szCs w:val="24"/>
          <w:lang w:eastAsia="pl-PL"/>
        </w:rPr>
        <w:t xml:space="preserve"> (</w:t>
      </w:r>
      <w:r w:rsidR="001717E2" w:rsidRPr="0053598B">
        <w:rPr>
          <w:rFonts w:ascii="Times New Roman" w:hAnsi="Times New Roman" w:cs="Times New Roman"/>
          <w:color w:val="000000"/>
          <w:sz w:val="24"/>
          <w:szCs w:val="24"/>
          <w:lang w:eastAsia="pl-PL"/>
        </w:rPr>
        <w:t xml:space="preserve">uzasadnienie proponowanej zmiany zostało szerzej omówione </w:t>
      </w:r>
      <w:r w:rsidR="00F703FB" w:rsidRPr="0053598B">
        <w:rPr>
          <w:rFonts w:ascii="Times New Roman" w:hAnsi="Times New Roman" w:cs="Times New Roman"/>
          <w:color w:val="000000"/>
          <w:sz w:val="24"/>
          <w:szCs w:val="24"/>
          <w:lang w:eastAsia="pl-PL"/>
        </w:rPr>
        <w:t xml:space="preserve">w pkt </w:t>
      </w:r>
      <w:r w:rsidR="001717E2" w:rsidRPr="0053598B">
        <w:rPr>
          <w:rFonts w:ascii="Times New Roman" w:hAnsi="Times New Roman" w:cs="Times New Roman"/>
          <w:color w:val="000000"/>
          <w:sz w:val="24"/>
          <w:szCs w:val="24"/>
          <w:lang w:eastAsia="pl-PL"/>
        </w:rPr>
        <w:t>5</w:t>
      </w:r>
      <w:r w:rsidR="00F703FB" w:rsidRPr="0053598B">
        <w:rPr>
          <w:rFonts w:ascii="Times New Roman" w:hAnsi="Times New Roman" w:cs="Times New Roman"/>
          <w:color w:val="000000"/>
          <w:sz w:val="24"/>
          <w:szCs w:val="24"/>
          <w:lang w:eastAsia="pl-PL"/>
        </w:rPr>
        <w:t>)</w:t>
      </w:r>
      <w:r w:rsidR="001717E2" w:rsidRPr="0053598B">
        <w:rPr>
          <w:rFonts w:ascii="Times New Roman" w:hAnsi="Times New Roman" w:cs="Times New Roman"/>
          <w:color w:val="000000"/>
          <w:sz w:val="24"/>
          <w:szCs w:val="24"/>
          <w:lang w:eastAsia="pl-PL"/>
        </w:rPr>
        <w:t xml:space="preserve">. </w:t>
      </w:r>
      <w:r w:rsidR="00967249" w:rsidRPr="0053598B">
        <w:rPr>
          <w:rFonts w:ascii="Times New Roman" w:hAnsi="Times New Roman" w:cs="Times New Roman"/>
          <w:color w:val="000000"/>
          <w:sz w:val="24"/>
          <w:szCs w:val="24"/>
          <w:lang w:eastAsia="pl-PL"/>
        </w:rPr>
        <w:t xml:space="preserve">Kolejną konsekwencją tej zmiany będzie stosowanie przez te </w:t>
      </w:r>
      <w:r w:rsidR="00967249" w:rsidRPr="0053598B">
        <w:rPr>
          <w:rFonts w:ascii="Times New Roman" w:hAnsi="Times New Roman" w:cs="Times New Roman"/>
          <w:color w:val="000000"/>
          <w:sz w:val="24"/>
          <w:szCs w:val="24"/>
          <w:lang w:eastAsia="pl-PL"/>
        </w:rPr>
        <w:lastRenderedPageBreak/>
        <w:t>podmioty zasad rachunkowości przewidzianych dla pozostałych jednostek stosujących przepisy ustawy o rachunkowości (np. stosowanie wyceny w wartości godziwej).</w:t>
      </w:r>
    </w:p>
    <w:p w:rsidR="000051C2" w:rsidRPr="0053598B" w:rsidRDefault="001717E2" w:rsidP="00E10BFF">
      <w:pPr>
        <w:pStyle w:val="Akapitzlist"/>
        <w:spacing w:line="360" w:lineRule="auto"/>
        <w:ind w:left="644"/>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Należy podkreślić, iż proponowane zmiany w zakresie wprowadzenia nowego zakresu informacji w sprawozdaniu finansowym dla tych podmiotów są wynikiem licznych konsultacji publicznych, podczas których środowisko tychże organizacji postulowało wielokrotnie o te zmiany. Dodatkowo tę zmianę przepisów ustawy o rachunkowości, zgłaszało Ministerstwo Rodziny, Pracy i Polityki Społecznej. Proponowane przepisy w</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tym zakresie zmniejszą obciążenia sprawozdawcze tych podmiotów</w:t>
      </w:r>
      <w:r w:rsidR="004A2892"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 w tym koszty ich funkcjonowania.</w:t>
      </w:r>
    </w:p>
    <w:p w:rsidR="00E2104D" w:rsidRPr="0053598B" w:rsidRDefault="000051C2" w:rsidP="00E10BFF">
      <w:pPr>
        <w:pStyle w:val="Akapitzlist"/>
        <w:numPr>
          <w:ilvl w:val="0"/>
          <w:numId w:val="39"/>
        </w:numPr>
        <w:spacing w:line="360" w:lineRule="auto"/>
        <w:jc w:val="both"/>
        <w:rPr>
          <w:rFonts w:ascii="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w lit</w:t>
      </w:r>
      <w:r w:rsidR="004A2892" w:rsidRPr="0053598B">
        <w:rPr>
          <w:rFonts w:ascii="Times New Roman" w:hAnsi="Times New Roman" w:cs="Times New Roman"/>
          <w:b/>
          <w:color w:val="000000"/>
          <w:sz w:val="24"/>
          <w:szCs w:val="24"/>
          <w:lang w:eastAsia="pl-PL"/>
        </w:rPr>
        <w:t>.</w:t>
      </w:r>
      <w:r w:rsidRPr="0053598B">
        <w:rPr>
          <w:rFonts w:ascii="Times New Roman" w:hAnsi="Times New Roman" w:cs="Times New Roman"/>
          <w:b/>
          <w:color w:val="000000"/>
          <w:sz w:val="24"/>
          <w:szCs w:val="24"/>
          <w:lang w:eastAsia="pl-PL"/>
        </w:rPr>
        <w:t xml:space="preserve"> b</w:t>
      </w:r>
      <w:r w:rsidRPr="0053598B">
        <w:rPr>
          <w:rFonts w:ascii="Times New Roman" w:hAnsi="Times New Roman" w:cs="Times New Roman"/>
          <w:color w:val="000000"/>
          <w:sz w:val="24"/>
          <w:szCs w:val="24"/>
          <w:lang w:eastAsia="pl-PL"/>
        </w:rPr>
        <w:t xml:space="preserve"> dokonuje zmiany w art. 3 ust. 1e</w:t>
      </w:r>
      <w:r w:rsidR="00206A9A" w:rsidRPr="0053598B">
        <w:rPr>
          <w:rFonts w:ascii="Times New Roman" w:hAnsi="Times New Roman" w:cs="Times New Roman"/>
          <w:color w:val="000000"/>
          <w:sz w:val="24"/>
          <w:szCs w:val="24"/>
          <w:lang w:eastAsia="pl-PL"/>
        </w:rPr>
        <w:t xml:space="preserve"> (dodanie nowego pkt 8)</w:t>
      </w:r>
      <w:r w:rsidRPr="0053598B">
        <w:rPr>
          <w:rFonts w:ascii="Times New Roman" w:hAnsi="Times New Roman" w:cs="Times New Roman"/>
          <w:color w:val="000000"/>
          <w:sz w:val="24"/>
          <w:szCs w:val="24"/>
          <w:lang w:eastAsia="pl-PL"/>
        </w:rPr>
        <w:t xml:space="preserve">, </w:t>
      </w:r>
      <w:r w:rsidR="00F703FB" w:rsidRPr="0053598B">
        <w:rPr>
          <w:rFonts w:ascii="Times New Roman" w:hAnsi="Times New Roman" w:cs="Times New Roman"/>
          <w:color w:val="000000"/>
          <w:sz w:val="24"/>
          <w:szCs w:val="24"/>
          <w:lang w:eastAsia="pl-PL"/>
        </w:rPr>
        <w:t>poprzez wyłączenie z</w:t>
      </w:r>
      <w:r w:rsidR="0053598B">
        <w:rPr>
          <w:rFonts w:ascii="Times New Roman" w:hAnsi="Times New Roman" w:cs="Times New Roman"/>
          <w:color w:val="000000"/>
          <w:sz w:val="24"/>
          <w:szCs w:val="24"/>
          <w:lang w:eastAsia="pl-PL"/>
        </w:rPr>
        <w:t> </w:t>
      </w:r>
      <w:r w:rsidR="00F703FB" w:rsidRPr="0053598B">
        <w:rPr>
          <w:rFonts w:ascii="Times New Roman" w:hAnsi="Times New Roman" w:cs="Times New Roman"/>
          <w:color w:val="000000"/>
          <w:sz w:val="24"/>
          <w:szCs w:val="24"/>
          <w:lang w:eastAsia="pl-PL"/>
        </w:rPr>
        <w:t>katalogu jednostek małych jednostek wymienionych w</w:t>
      </w:r>
      <w:r w:rsidR="0053598B">
        <w:rPr>
          <w:rFonts w:ascii="Times New Roman" w:hAnsi="Times New Roman" w:cs="Times New Roman"/>
          <w:color w:val="000000"/>
          <w:sz w:val="24"/>
          <w:szCs w:val="24"/>
          <w:lang w:eastAsia="pl-PL"/>
        </w:rPr>
        <w:t xml:space="preserve"> art. 3 ust. 2 ustawy z dnia 24 </w:t>
      </w:r>
      <w:r w:rsidR="00F703FB" w:rsidRPr="0053598B">
        <w:rPr>
          <w:rFonts w:ascii="Times New Roman" w:hAnsi="Times New Roman" w:cs="Times New Roman"/>
          <w:color w:val="000000"/>
          <w:sz w:val="24"/>
          <w:szCs w:val="24"/>
          <w:lang w:eastAsia="pl-PL"/>
        </w:rPr>
        <w:t>kwietnia 2003 r. o działalności pożytku publicznego i o wolontariacie, z</w:t>
      </w:r>
      <w:r w:rsidR="0053598B">
        <w:rPr>
          <w:rFonts w:ascii="Times New Roman" w:hAnsi="Times New Roman" w:cs="Times New Roman"/>
          <w:color w:val="000000"/>
          <w:sz w:val="24"/>
          <w:szCs w:val="24"/>
          <w:lang w:eastAsia="pl-PL"/>
        </w:rPr>
        <w:t> </w:t>
      </w:r>
      <w:r w:rsidR="00F703FB" w:rsidRPr="0053598B">
        <w:rPr>
          <w:rFonts w:ascii="Times New Roman" w:hAnsi="Times New Roman" w:cs="Times New Roman"/>
          <w:color w:val="000000"/>
          <w:sz w:val="24"/>
          <w:szCs w:val="24"/>
          <w:lang w:eastAsia="pl-PL"/>
        </w:rPr>
        <w:t>wyłączeniem spółek kapitałowych, oraz jednostek</w:t>
      </w:r>
      <w:r w:rsidR="00E10BFF" w:rsidRPr="0053598B">
        <w:rPr>
          <w:rFonts w:ascii="Times New Roman" w:hAnsi="Times New Roman" w:cs="Times New Roman"/>
          <w:color w:val="000000"/>
          <w:sz w:val="24"/>
          <w:szCs w:val="24"/>
          <w:lang w:eastAsia="pl-PL"/>
        </w:rPr>
        <w:t xml:space="preserve"> </w:t>
      </w:r>
      <w:r w:rsidR="00F703FB" w:rsidRPr="0053598B">
        <w:rPr>
          <w:rFonts w:ascii="Times New Roman" w:hAnsi="Times New Roman" w:cs="Times New Roman"/>
          <w:color w:val="000000"/>
          <w:sz w:val="24"/>
          <w:szCs w:val="24"/>
          <w:lang w:eastAsia="pl-PL"/>
        </w:rPr>
        <w:t>wymienionych w art. 3 ust. 3 pkt 1 i 2 tej ustawy; wskazane jednostki będą miały możliwość sporządzania sprawozdania finansowego jedynie na podstawie załącznika nr 1 lub 6 do ustawy o rachunkowości. Umożliwi to zapewnianie spójnego i przejrzystego sy</w:t>
      </w:r>
      <w:r w:rsidR="00E300AD" w:rsidRPr="0053598B">
        <w:rPr>
          <w:rFonts w:ascii="Times New Roman" w:hAnsi="Times New Roman" w:cs="Times New Roman"/>
          <w:color w:val="000000"/>
          <w:sz w:val="24"/>
          <w:szCs w:val="24"/>
          <w:lang w:eastAsia="pl-PL"/>
        </w:rPr>
        <w:t>s</w:t>
      </w:r>
      <w:r w:rsidR="00F703FB" w:rsidRPr="0053598B">
        <w:rPr>
          <w:rFonts w:ascii="Times New Roman" w:hAnsi="Times New Roman" w:cs="Times New Roman"/>
          <w:color w:val="000000"/>
          <w:sz w:val="24"/>
          <w:szCs w:val="24"/>
          <w:lang w:eastAsia="pl-PL"/>
        </w:rPr>
        <w:t>temu sprawozdawczości tychże organizacji pozarządowych (</w:t>
      </w:r>
      <w:r w:rsidR="001717E2" w:rsidRPr="0053598B">
        <w:rPr>
          <w:rFonts w:ascii="Times New Roman" w:hAnsi="Times New Roman" w:cs="Times New Roman"/>
          <w:color w:val="000000"/>
          <w:sz w:val="24"/>
          <w:szCs w:val="24"/>
          <w:lang w:eastAsia="pl-PL"/>
        </w:rPr>
        <w:t>uzasadnienie proponowanej zmiany zostało</w:t>
      </w:r>
      <w:r w:rsidR="00E10BFF" w:rsidRPr="0053598B">
        <w:rPr>
          <w:rFonts w:ascii="Times New Roman" w:hAnsi="Times New Roman" w:cs="Times New Roman"/>
          <w:color w:val="000000"/>
          <w:sz w:val="24"/>
          <w:szCs w:val="24"/>
          <w:lang w:eastAsia="pl-PL"/>
        </w:rPr>
        <w:t xml:space="preserve"> </w:t>
      </w:r>
      <w:r w:rsidR="001717E2" w:rsidRPr="0053598B">
        <w:rPr>
          <w:rFonts w:ascii="Times New Roman" w:hAnsi="Times New Roman" w:cs="Times New Roman"/>
          <w:color w:val="000000"/>
          <w:sz w:val="24"/>
          <w:szCs w:val="24"/>
          <w:lang w:eastAsia="pl-PL"/>
        </w:rPr>
        <w:t>szerzej omówione powyżej oraz w pkt 5</w:t>
      </w:r>
      <w:r w:rsidR="00F703FB" w:rsidRPr="0053598B">
        <w:rPr>
          <w:rFonts w:ascii="Times New Roman" w:hAnsi="Times New Roman" w:cs="Times New Roman"/>
          <w:color w:val="000000"/>
          <w:sz w:val="24"/>
          <w:szCs w:val="24"/>
          <w:lang w:eastAsia="pl-PL"/>
        </w:rPr>
        <w:t>)</w:t>
      </w:r>
      <w:r w:rsidR="00E300AD" w:rsidRPr="0053598B">
        <w:rPr>
          <w:rFonts w:ascii="Times New Roman" w:hAnsi="Times New Roman" w:cs="Times New Roman"/>
          <w:color w:val="000000"/>
          <w:sz w:val="24"/>
          <w:szCs w:val="24"/>
          <w:lang w:eastAsia="pl-PL"/>
        </w:rPr>
        <w:t>.</w:t>
      </w:r>
    </w:p>
    <w:p w:rsidR="00F11D1C" w:rsidRPr="0053598B" w:rsidRDefault="00E2104D" w:rsidP="00E10BFF">
      <w:pPr>
        <w:pStyle w:val="Akapitzlist"/>
        <w:numPr>
          <w:ilvl w:val="0"/>
          <w:numId w:val="39"/>
        </w:numPr>
        <w:spacing w:line="360" w:lineRule="auto"/>
        <w:jc w:val="both"/>
        <w:rPr>
          <w:rFonts w:ascii="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w lit</w:t>
      </w:r>
      <w:r w:rsidR="004A2892" w:rsidRPr="0053598B">
        <w:rPr>
          <w:rFonts w:ascii="Times New Roman" w:hAnsi="Times New Roman" w:cs="Times New Roman"/>
          <w:b/>
          <w:color w:val="000000"/>
          <w:sz w:val="24"/>
          <w:szCs w:val="24"/>
          <w:lang w:eastAsia="pl-PL"/>
        </w:rPr>
        <w:t>.</w:t>
      </w:r>
      <w:r w:rsidRPr="0053598B">
        <w:rPr>
          <w:rFonts w:ascii="Times New Roman" w:hAnsi="Times New Roman" w:cs="Times New Roman"/>
          <w:b/>
          <w:color w:val="000000"/>
          <w:sz w:val="24"/>
          <w:szCs w:val="24"/>
          <w:lang w:eastAsia="pl-PL"/>
        </w:rPr>
        <w:t xml:space="preserve"> c</w:t>
      </w:r>
      <w:r w:rsidRPr="0053598B">
        <w:rPr>
          <w:rFonts w:ascii="Times New Roman" w:hAnsi="Times New Roman" w:cs="Times New Roman"/>
          <w:color w:val="000000"/>
          <w:sz w:val="24"/>
          <w:szCs w:val="24"/>
          <w:lang w:eastAsia="pl-PL"/>
        </w:rPr>
        <w:t xml:space="preserve"> </w:t>
      </w:r>
      <w:r w:rsidR="00F11D1C" w:rsidRPr="0053598B">
        <w:rPr>
          <w:rFonts w:ascii="Times New Roman" w:hAnsi="Times New Roman" w:cs="Times New Roman"/>
          <w:color w:val="000000"/>
          <w:sz w:val="24"/>
          <w:szCs w:val="24"/>
          <w:lang w:eastAsia="pl-PL"/>
        </w:rPr>
        <w:t>wprowadza nowe brzmienie ust. 6</w:t>
      </w:r>
      <w:r w:rsidR="001C0F5B" w:rsidRPr="0053598B">
        <w:rPr>
          <w:rFonts w:ascii="Times New Roman" w:hAnsi="Times New Roman" w:cs="Times New Roman"/>
          <w:color w:val="000000"/>
          <w:sz w:val="24"/>
          <w:szCs w:val="24"/>
          <w:lang w:eastAsia="pl-PL"/>
        </w:rPr>
        <w:t xml:space="preserve"> </w:t>
      </w:r>
      <w:r w:rsidR="00F11D1C" w:rsidRPr="0053598B">
        <w:rPr>
          <w:rFonts w:ascii="Times New Roman" w:hAnsi="Times New Roman" w:cs="Times New Roman"/>
          <w:color w:val="000000"/>
          <w:sz w:val="24"/>
          <w:szCs w:val="24"/>
          <w:lang w:eastAsia="pl-PL"/>
        </w:rPr>
        <w:t>w art. 3 ustawy o rachunkowości</w:t>
      </w:r>
      <w:r w:rsidR="004A2892" w:rsidRPr="0053598B">
        <w:rPr>
          <w:rFonts w:ascii="Times New Roman" w:hAnsi="Times New Roman" w:cs="Times New Roman"/>
          <w:color w:val="000000"/>
          <w:sz w:val="24"/>
          <w:szCs w:val="24"/>
          <w:lang w:eastAsia="pl-PL"/>
        </w:rPr>
        <w:t>,</w:t>
      </w:r>
      <w:r w:rsidR="00F11D1C" w:rsidRPr="0053598B">
        <w:rPr>
          <w:rFonts w:ascii="Times New Roman" w:hAnsi="Times New Roman" w:cs="Times New Roman"/>
          <w:color w:val="000000"/>
          <w:sz w:val="24"/>
          <w:szCs w:val="24"/>
          <w:lang w:eastAsia="pl-PL"/>
        </w:rPr>
        <w:t xml:space="preserve"> </w:t>
      </w:r>
      <w:r w:rsidR="004A2892" w:rsidRPr="0053598B">
        <w:rPr>
          <w:rFonts w:ascii="Times New Roman" w:hAnsi="Times New Roman" w:cs="Times New Roman"/>
          <w:color w:val="000000"/>
          <w:sz w:val="24"/>
          <w:szCs w:val="24"/>
          <w:lang w:eastAsia="pl-PL"/>
        </w:rPr>
        <w:t>z</w:t>
      </w:r>
      <w:r w:rsidR="00F11D1C" w:rsidRPr="0053598B">
        <w:rPr>
          <w:rFonts w:ascii="Times New Roman" w:hAnsi="Times New Roman" w:cs="Times New Roman"/>
          <w:color w:val="000000"/>
          <w:sz w:val="24"/>
          <w:szCs w:val="24"/>
          <w:lang w:eastAsia="pl-PL"/>
        </w:rPr>
        <w:t>godnie z</w:t>
      </w:r>
      <w:r w:rsidR="0053598B">
        <w:rPr>
          <w:rFonts w:ascii="Times New Roman" w:hAnsi="Times New Roman" w:cs="Times New Roman"/>
          <w:color w:val="000000"/>
          <w:sz w:val="24"/>
          <w:szCs w:val="24"/>
          <w:lang w:eastAsia="pl-PL"/>
        </w:rPr>
        <w:t> </w:t>
      </w:r>
      <w:r w:rsidR="004A2892" w:rsidRPr="0053598B">
        <w:rPr>
          <w:rFonts w:ascii="Times New Roman" w:hAnsi="Times New Roman" w:cs="Times New Roman"/>
          <w:color w:val="000000"/>
          <w:sz w:val="24"/>
          <w:szCs w:val="24"/>
          <w:lang w:eastAsia="pl-PL"/>
        </w:rPr>
        <w:t>którym</w:t>
      </w:r>
      <w:r w:rsidR="00F11D1C" w:rsidRPr="0053598B">
        <w:rPr>
          <w:rFonts w:ascii="Times New Roman" w:hAnsi="Times New Roman" w:cs="Times New Roman"/>
          <w:color w:val="000000"/>
          <w:sz w:val="24"/>
          <w:szCs w:val="24"/>
          <w:lang w:eastAsia="pl-PL"/>
        </w:rPr>
        <w:t xml:space="preserve"> z uproszczonych zasad ewidencji leasingu (określonych w przepisach podatkowych) będą mogły korzystać jednostki </w:t>
      </w:r>
      <w:r w:rsidR="002D04D1" w:rsidRPr="0053598B">
        <w:rPr>
          <w:rFonts w:ascii="Times New Roman" w:hAnsi="Times New Roman" w:cs="Times New Roman"/>
          <w:color w:val="000000"/>
          <w:sz w:val="24"/>
          <w:szCs w:val="24"/>
          <w:lang w:eastAsia="pl-PL"/>
        </w:rPr>
        <w:t>sektora finansów publicznych</w:t>
      </w:r>
      <w:r w:rsidR="00F11D1C" w:rsidRPr="0053598B">
        <w:rPr>
          <w:rFonts w:ascii="Times New Roman" w:hAnsi="Times New Roman" w:cs="Times New Roman"/>
          <w:color w:val="000000"/>
          <w:sz w:val="24"/>
          <w:szCs w:val="24"/>
          <w:lang w:eastAsia="pl-PL"/>
        </w:rPr>
        <w:t>, w tym samodzielne publiczne zakłady opieki zdrowotnej</w:t>
      </w:r>
      <w:r w:rsidR="00E300AD" w:rsidRPr="0053598B">
        <w:rPr>
          <w:rFonts w:ascii="Times New Roman" w:hAnsi="Times New Roman" w:cs="Times New Roman"/>
          <w:color w:val="000000"/>
          <w:sz w:val="24"/>
          <w:szCs w:val="24"/>
          <w:lang w:eastAsia="pl-PL"/>
        </w:rPr>
        <w:t>.</w:t>
      </w:r>
    </w:p>
    <w:p w:rsidR="00AC6813" w:rsidRPr="0053598B" w:rsidRDefault="00C36738" w:rsidP="00E10BFF">
      <w:pPr>
        <w:pStyle w:val="Akapitzlist"/>
        <w:numPr>
          <w:ilvl w:val="0"/>
          <w:numId w:val="17"/>
        </w:numPr>
        <w:spacing w:line="360" w:lineRule="auto"/>
        <w:jc w:val="both"/>
        <w:rPr>
          <w:rFonts w:ascii="Times New Roman" w:eastAsia="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 xml:space="preserve">Art. 1 pkt </w:t>
      </w:r>
      <w:r w:rsidR="0024642A" w:rsidRPr="0053598B">
        <w:rPr>
          <w:rFonts w:ascii="Times New Roman" w:hAnsi="Times New Roman" w:cs="Times New Roman"/>
          <w:b/>
          <w:color w:val="000000"/>
          <w:sz w:val="24"/>
          <w:szCs w:val="24"/>
          <w:lang w:eastAsia="pl-PL"/>
        </w:rPr>
        <w:t xml:space="preserve">2 </w:t>
      </w:r>
      <w:r w:rsidRPr="0053598B">
        <w:rPr>
          <w:rFonts w:ascii="Times New Roman" w:hAnsi="Times New Roman" w:cs="Times New Roman"/>
          <w:b/>
          <w:color w:val="000000"/>
          <w:sz w:val="24"/>
          <w:szCs w:val="24"/>
          <w:lang w:eastAsia="pl-PL"/>
        </w:rPr>
        <w:t>ustawy nowelizującej</w:t>
      </w:r>
      <w:r w:rsidR="0025457A" w:rsidRPr="0053598B">
        <w:rPr>
          <w:rFonts w:ascii="Times New Roman" w:hAnsi="Times New Roman" w:cs="Times New Roman"/>
          <w:color w:val="000000"/>
          <w:sz w:val="24"/>
          <w:szCs w:val="24"/>
          <w:lang w:eastAsia="pl-PL"/>
        </w:rPr>
        <w:t>:</w:t>
      </w:r>
      <w:r w:rsidR="0029618F" w:rsidRPr="0053598B">
        <w:rPr>
          <w:rFonts w:ascii="Times New Roman" w:hAnsi="Times New Roman" w:cs="Times New Roman"/>
          <w:color w:val="000000"/>
          <w:sz w:val="24"/>
          <w:szCs w:val="24"/>
          <w:lang w:eastAsia="pl-PL"/>
        </w:rPr>
        <w:t xml:space="preserve"> </w:t>
      </w:r>
    </w:p>
    <w:p w:rsidR="00AC6813" w:rsidRPr="0053598B" w:rsidRDefault="00E10BFF"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 xml:space="preserve">– </w:t>
      </w:r>
      <w:r w:rsidR="004A2892" w:rsidRPr="0053598B">
        <w:rPr>
          <w:rFonts w:ascii="Times New Roman" w:hAnsi="Times New Roman" w:cs="Times New Roman"/>
          <w:b/>
          <w:color w:val="000000"/>
          <w:sz w:val="24"/>
          <w:szCs w:val="24"/>
          <w:lang w:eastAsia="pl-PL"/>
        </w:rPr>
        <w:t xml:space="preserve">w lit. a </w:t>
      </w:r>
      <w:r w:rsidR="004A2892" w:rsidRPr="0053598B">
        <w:rPr>
          <w:rFonts w:ascii="Times New Roman" w:hAnsi="Times New Roman" w:cs="Times New Roman"/>
          <w:color w:val="000000"/>
          <w:sz w:val="24"/>
          <w:szCs w:val="24"/>
          <w:lang w:eastAsia="pl-PL"/>
        </w:rPr>
        <w:t xml:space="preserve">wprowadza nowe brzmienie </w:t>
      </w:r>
      <w:r w:rsidR="0029618F" w:rsidRPr="0053598B">
        <w:rPr>
          <w:rFonts w:ascii="Times New Roman" w:hAnsi="Times New Roman" w:cs="Times New Roman"/>
          <w:color w:val="000000"/>
          <w:sz w:val="24"/>
          <w:szCs w:val="24"/>
          <w:lang w:eastAsia="pl-PL"/>
        </w:rPr>
        <w:t>ust. 4a</w:t>
      </w:r>
      <w:r w:rsidR="004A2892" w:rsidRPr="0053598B">
        <w:rPr>
          <w:rFonts w:ascii="Times New Roman" w:hAnsi="Times New Roman" w:cs="Times New Roman"/>
          <w:color w:val="000000"/>
          <w:sz w:val="24"/>
          <w:szCs w:val="24"/>
          <w:lang w:eastAsia="pl-PL"/>
        </w:rPr>
        <w:t xml:space="preserve"> w art. 28</w:t>
      </w:r>
      <w:r w:rsidR="0029618F" w:rsidRPr="0053598B">
        <w:rPr>
          <w:rFonts w:ascii="Times New Roman" w:hAnsi="Times New Roman" w:cs="Times New Roman"/>
          <w:color w:val="000000"/>
          <w:sz w:val="24"/>
          <w:szCs w:val="24"/>
          <w:lang w:eastAsia="pl-PL"/>
        </w:rPr>
        <w:t xml:space="preserve">. </w:t>
      </w:r>
    </w:p>
    <w:p w:rsidR="0029618F" w:rsidRPr="0053598B" w:rsidRDefault="0029618F"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Celem tej zmiany jest ujednolicenie katalogu jednostek korzystających z uproszczeń ewidencyjnych i tym samym umożliwienie większej liczbie jednostek stosowania uproszczonych zasad kalkulacji kosztu wytworzenia produktu, tj. obliczając koszt wytworzenia produktu</w:t>
      </w:r>
      <w:r w:rsidR="00E300AD"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 jednostki spełniające określone wielkości (brak kryterium badania sprawozdania finansowego) będą mogły do kosztów bezpośrednich doliczyć koszty pośrednie związane z wytworzeniem tego produktu, niezależnie od poziomu wykorzystania zdolności produkcyjnych. Ustalony w ten sposób koszt wytworzenia nie może być wyższy od </w:t>
      </w:r>
      <w:r w:rsidR="00AC6813" w:rsidRPr="0053598B">
        <w:rPr>
          <w:rFonts w:ascii="Times New Roman" w:hAnsi="Times New Roman" w:cs="Times New Roman"/>
          <w:color w:val="000000"/>
          <w:sz w:val="24"/>
          <w:szCs w:val="24"/>
          <w:lang w:eastAsia="pl-PL"/>
        </w:rPr>
        <w:t xml:space="preserve">możliwej do uzyskania </w:t>
      </w:r>
      <w:r w:rsidRPr="0053598B">
        <w:rPr>
          <w:rFonts w:ascii="Times New Roman" w:hAnsi="Times New Roman" w:cs="Times New Roman"/>
          <w:color w:val="000000"/>
          <w:sz w:val="24"/>
          <w:szCs w:val="24"/>
          <w:lang w:eastAsia="pl-PL"/>
        </w:rPr>
        <w:t>ceny sprzedaży netto.</w:t>
      </w:r>
      <w:r w:rsidR="00030804" w:rsidRPr="0053598B">
        <w:rPr>
          <w:rFonts w:ascii="Times New Roman" w:eastAsia="Calibri" w:hAnsi="Times New Roman" w:cs="Times New Roman"/>
          <w:sz w:val="24"/>
          <w:szCs w:val="24"/>
        </w:rPr>
        <w:t xml:space="preserve"> Projektowane uproszczenie dotyczy wszystkich jednostek prowadzących księgi rachunkowe, </w:t>
      </w:r>
      <w:r w:rsidR="00030804" w:rsidRPr="0053598B">
        <w:rPr>
          <w:rFonts w:ascii="Times New Roman" w:eastAsia="Calibri" w:hAnsi="Times New Roman" w:cs="Times New Roman"/>
          <w:sz w:val="24"/>
          <w:szCs w:val="24"/>
        </w:rPr>
        <w:lastRenderedPageBreak/>
        <w:t>z</w:t>
      </w:r>
      <w:r w:rsidR="0053598B">
        <w:rPr>
          <w:rFonts w:ascii="Times New Roman" w:eastAsia="Calibri" w:hAnsi="Times New Roman" w:cs="Times New Roman"/>
          <w:sz w:val="24"/>
          <w:szCs w:val="24"/>
        </w:rPr>
        <w:t> </w:t>
      </w:r>
      <w:r w:rsidR="00030804" w:rsidRPr="0053598B">
        <w:rPr>
          <w:rFonts w:ascii="Times New Roman" w:eastAsia="Calibri" w:hAnsi="Times New Roman" w:cs="Times New Roman"/>
          <w:sz w:val="24"/>
          <w:szCs w:val="24"/>
        </w:rPr>
        <w:t>wyłączeniem jednostek o których mowa w art. 3 ust. 1e</w:t>
      </w:r>
      <w:r w:rsidR="00511349" w:rsidRPr="0053598B">
        <w:rPr>
          <w:rFonts w:ascii="Times New Roman" w:eastAsia="Calibri" w:hAnsi="Times New Roman" w:cs="Times New Roman"/>
          <w:sz w:val="24"/>
          <w:szCs w:val="24"/>
        </w:rPr>
        <w:t xml:space="preserve"> pkt 1</w:t>
      </w:r>
      <w:r w:rsidR="00E10BFF" w:rsidRPr="0053598B">
        <w:rPr>
          <w:rFonts w:ascii="Times New Roman" w:eastAsia="Calibri" w:hAnsi="Times New Roman" w:cs="Times New Roman"/>
          <w:sz w:val="24"/>
          <w:szCs w:val="24"/>
        </w:rPr>
        <w:t>–</w:t>
      </w:r>
      <w:r w:rsidR="00511349" w:rsidRPr="0053598B">
        <w:rPr>
          <w:rFonts w:ascii="Times New Roman" w:eastAsia="Calibri" w:hAnsi="Times New Roman" w:cs="Times New Roman"/>
          <w:sz w:val="24"/>
          <w:szCs w:val="24"/>
        </w:rPr>
        <w:t>6</w:t>
      </w:r>
      <w:r w:rsidR="00030804" w:rsidRPr="0053598B">
        <w:rPr>
          <w:rFonts w:ascii="Times New Roman" w:eastAsia="Calibri" w:hAnsi="Times New Roman" w:cs="Times New Roman"/>
          <w:sz w:val="24"/>
          <w:szCs w:val="24"/>
        </w:rPr>
        <w:t xml:space="preserve"> ustawy o</w:t>
      </w:r>
      <w:r w:rsidR="0053598B">
        <w:rPr>
          <w:rFonts w:ascii="Times New Roman" w:eastAsia="Calibri" w:hAnsi="Times New Roman" w:cs="Times New Roman"/>
          <w:sz w:val="24"/>
          <w:szCs w:val="24"/>
        </w:rPr>
        <w:t> </w:t>
      </w:r>
      <w:r w:rsidR="00030804" w:rsidRPr="0053598B">
        <w:rPr>
          <w:rFonts w:ascii="Times New Roman" w:eastAsia="Calibri" w:hAnsi="Times New Roman" w:cs="Times New Roman"/>
          <w:sz w:val="24"/>
          <w:szCs w:val="24"/>
        </w:rPr>
        <w:t>rachunkowości.</w:t>
      </w:r>
    </w:p>
    <w:p w:rsidR="008F4CE7" w:rsidRPr="0053598B" w:rsidRDefault="00E10BFF" w:rsidP="0053598B">
      <w:pPr>
        <w:pStyle w:val="Akapitzlist"/>
        <w:keepNext/>
        <w:spacing w:line="360" w:lineRule="auto"/>
        <w:ind w:left="340"/>
        <w:jc w:val="both"/>
        <w:rPr>
          <w:rFonts w:ascii="Times New Roman" w:hAnsi="Times New Roman" w:cs="Times New Roman"/>
          <w:sz w:val="24"/>
          <w:szCs w:val="24"/>
        </w:rPr>
      </w:pPr>
      <w:r w:rsidRPr="0053598B">
        <w:rPr>
          <w:rFonts w:ascii="Times New Roman" w:hAnsi="Times New Roman" w:cs="Times New Roman"/>
          <w:color w:val="000000"/>
          <w:sz w:val="24"/>
          <w:szCs w:val="24"/>
          <w:lang w:eastAsia="pl-PL"/>
        </w:rPr>
        <w:t>–</w:t>
      </w:r>
      <w:r w:rsidR="00AC6813" w:rsidRPr="0053598B">
        <w:rPr>
          <w:rFonts w:ascii="Times New Roman" w:hAnsi="Times New Roman" w:cs="Times New Roman"/>
          <w:color w:val="000000"/>
          <w:sz w:val="24"/>
          <w:szCs w:val="24"/>
          <w:lang w:eastAsia="pl-PL"/>
        </w:rPr>
        <w:t xml:space="preserve"> </w:t>
      </w:r>
      <w:r w:rsidR="000A4F33" w:rsidRPr="0053598B">
        <w:rPr>
          <w:rFonts w:ascii="Times New Roman" w:hAnsi="Times New Roman" w:cs="Times New Roman"/>
          <w:b/>
          <w:color w:val="000000"/>
          <w:sz w:val="24"/>
          <w:szCs w:val="24"/>
          <w:lang w:eastAsia="pl-PL"/>
        </w:rPr>
        <w:t>w lit. b</w:t>
      </w:r>
      <w:r w:rsidR="000A4F33" w:rsidRPr="0053598B">
        <w:rPr>
          <w:rFonts w:ascii="Times New Roman" w:hAnsi="Times New Roman" w:cs="Times New Roman"/>
          <w:color w:val="000000"/>
          <w:sz w:val="24"/>
          <w:szCs w:val="24"/>
          <w:lang w:eastAsia="pl-PL"/>
        </w:rPr>
        <w:t xml:space="preserve"> wprowadza nowe brzmienie </w:t>
      </w:r>
      <w:r w:rsidR="00AC6813" w:rsidRPr="0053598B">
        <w:rPr>
          <w:rFonts w:ascii="Times New Roman" w:hAnsi="Times New Roman" w:cs="Times New Roman"/>
          <w:color w:val="000000"/>
          <w:sz w:val="24"/>
          <w:szCs w:val="24"/>
          <w:lang w:eastAsia="pl-PL"/>
        </w:rPr>
        <w:t>ust. 9</w:t>
      </w:r>
      <w:r w:rsidR="000A4F33" w:rsidRPr="0053598B">
        <w:rPr>
          <w:rFonts w:ascii="Times New Roman" w:hAnsi="Times New Roman" w:cs="Times New Roman"/>
          <w:color w:val="000000"/>
          <w:sz w:val="24"/>
          <w:szCs w:val="24"/>
          <w:lang w:eastAsia="pl-PL"/>
        </w:rPr>
        <w:t xml:space="preserve"> w art. 28</w:t>
      </w:r>
      <w:r w:rsidR="00AC6813" w:rsidRPr="0053598B">
        <w:rPr>
          <w:rFonts w:ascii="Times New Roman" w:hAnsi="Times New Roman" w:cs="Times New Roman"/>
          <w:color w:val="000000"/>
          <w:sz w:val="24"/>
          <w:szCs w:val="24"/>
          <w:lang w:eastAsia="pl-PL"/>
        </w:rPr>
        <w:t>.</w:t>
      </w:r>
      <w:r w:rsidR="00AC6813" w:rsidRPr="0053598B">
        <w:rPr>
          <w:rFonts w:ascii="Times New Roman" w:hAnsi="Times New Roman" w:cs="Times New Roman"/>
          <w:sz w:val="24"/>
          <w:szCs w:val="24"/>
        </w:rPr>
        <w:t xml:space="preserve"> </w:t>
      </w:r>
    </w:p>
    <w:p w:rsidR="00AC6813" w:rsidRPr="0053598B" w:rsidRDefault="00AC6813"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Umożliwi to wycenę instrumentów finansowych, dla których określony jest termin zapadalności wg skorygowanej ceny nabycia. W ten sposób zapewniona zostanie zgodność metod wyceny lokat z określonymi w rozporządzeniu Ministra Finansów z dnia </w:t>
      </w:r>
      <w:r w:rsidR="00965B66" w:rsidRPr="0053598B">
        <w:rPr>
          <w:rFonts w:ascii="Times New Roman" w:hAnsi="Times New Roman" w:cs="Times New Roman"/>
          <w:color w:val="000000"/>
          <w:sz w:val="24"/>
          <w:szCs w:val="24"/>
          <w:lang w:eastAsia="pl-PL"/>
        </w:rPr>
        <w:t xml:space="preserve">12 </w:t>
      </w:r>
      <w:r w:rsidR="00337125" w:rsidRPr="0053598B">
        <w:rPr>
          <w:rFonts w:ascii="Times New Roman" w:hAnsi="Times New Roman" w:cs="Times New Roman"/>
          <w:color w:val="000000"/>
          <w:sz w:val="24"/>
          <w:szCs w:val="24"/>
          <w:lang w:eastAsia="pl-PL"/>
        </w:rPr>
        <w:t xml:space="preserve">kwietnia 2016 </w:t>
      </w:r>
      <w:r w:rsidR="00965B66" w:rsidRPr="0053598B">
        <w:rPr>
          <w:rFonts w:ascii="Times New Roman" w:hAnsi="Times New Roman" w:cs="Times New Roman"/>
          <w:color w:val="000000"/>
          <w:sz w:val="24"/>
          <w:szCs w:val="24"/>
          <w:lang w:eastAsia="pl-PL"/>
        </w:rPr>
        <w:t xml:space="preserve">r. </w:t>
      </w:r>
      <w:r w:rsidRPr="0053598B">
        <w:rPr>
          <w:rFonts w:ascii="Times New Roman" w:hAnsi="Times New Roman" w:cs="Times New Roman"/>
          <w:color w:val="000000"/>
          <w:sz w:val="24"/>
          <w:szCs w:val="24"/>
          <w:lang w:eastAsia="pl-PL"/>
        </w:rPr>
        <w:t>w sprawie szczególnych zasad rachunkowości zakładów ubezp</w:t>
      </w:r>
      <w:r w:rsidR="0053598B">
        <w:rPr>
          <w:rFonts w:ascii="Times New Roman" w:hAnsi="Times New Roman" w:cs="Times New Roman"/>
          <w:color w:val="000000"/>
          <w:sz w:val="24"/>
          <w:szCs w:val="24"/>
          <w:lang w:eastAsia="pl-PL"/>
        </w:rPr>
        <w:t>ieczeń i </w:t>
      </w:r>
      <w:r w:rsidR="00E300AD" w:rsidRPr="0053598B">
        <w:rPr>
          <w:rFonts w:ascii="Times New Roman" w:hAnsi="Times New Roman" w:cs="Times New Roman"/>
          <w:color w:val="000000"/>
          <w:sz w:val="24"/>
          <w:szCs w:val="24"/>
          <w:lang w:eastAsia="pl-PL"/>
        </w:rPr>
        <w:t>zakładów reasekuracji.</w:t>
      </w:r>
    </w:p>
    <w:p w:rsidR="00993615" w:rsidRPr="0053598B" w:rsidRDefault="008F4CE7" w:rsidP="00E10BFF">
      <w:pPr>
        <w:numPr>
          <w:ilvl w:val="0"/>
          <w:numId w:val="17"/>
        </w:numPr>
        <w:spacing w:after="120" w:line="360" w:lineRule="auto"/>
        <w:jc w:val="both"/>
        <w:rPr>
          <w:iCs/>
          <w:color w:val="000000"/>
          <w:lang w:eastAsia="pl-PL"/>
        </w:rPr>
      </w:pPr>
      <w:r w:rsidRPr="0053598B">
        <w:rPr>
          <w:b/>
          <w:color w:val="000000"/>
          <w:lang w:eastAsia="pl-PL"/>
        </w:rPr>
        <w:t xml:space="preserve">Art. 1 pkt </w:t>
      </w:r>
      <w:r w:rsidR="0024642A" w:rsidRPr="0053598B">
        <w:rPr>
          <w:b/>
          <w:color w:val="000000"/>
          <w:lang w:eastAsia="pl-PL"/>
        </w:rPr>
        <w:t xml:space="preserve">3 </w:t>
      </w:r>
      <w:r w:rsidRPr="0053598B">
        <w:rPr>
          <w:b/>
          <w:color w:val="000000"/>
          <w:lang w:eastAsia="pl-PL"/>
        </w:rPr>
        <w:t xml:space="preserve">ustawy nowelizującej </w:t>
      </w:r>
      <w:r w:rsidR="00D32C20" w:rsidRPr="0053598B">
        <w:rPr>
          <w:iCs/>
          <w:color w:val="000000"/>
          <w:lang w:eastAsia="pl-PL"/>
        </w:rPr>
        <w:t>u</w:t>
      </w:r>
      <w:r w:rsidR="000A4F33" w:rsidRPr="0053598B">
        <w:rPr>
          <w:iCs/>
          <w:color w:val="000000"/>
          <w:lang w:eastAsia="pl-PL"/>
        </w:rPr>
        <w:t>chyla</w:t>
      </w:r>
      <w:r w:rsidRPr="0053598B">
        <w:rPr>
          <w:iCs/>
          <w:color w:val="000000"/>
          <w:lang w:eastAsia="pl-PL"/>
        </w:rPr>
        <w:t xml:space="preserve"> </w:t>
      </w:r>
      <w:r w:rsidR="000A4F33" w:rsidRPr="0053598B">
        <w:rPr>
          <w:iCs/>
          <w:color w:val="000000"/>
          <w:lang w:eastAsia="pl-PL"/>
        </w:rPr>
        <w:t xml:space="preserve">ust. 3 </w:t>
      </w:r>
      <w:r w:rsidRPr="0053598B">
        <w:rPr>
          <w:iCs/>
          <w:color w:val="000000"/>
          <w:lang w:eastAsia="pl-PL"/>
        </w:rPr>
        <w:t xml:space="preserve">w art. 41 </w:t>
      </w:r>
      <w:r w:rsidR="00D32C20" w:rsidRPr="0053598B">
        <w:rPr>
          <w:iCs/>
          <w:color w:val="000000"/>
          <w:lang w:eastAsia="pl-PL"/>
        </w:rPr>
        <w:t>ustawy o rachunkowości</w:t>
      </w:r>
      <w:r w:rsidR="000A4F33" w:rsidRPr="0053598B">
        <w:rPr>
          <w:iCs/>
          <w:color w:val="000000"/>
          <w:lang w:eastAsia="pl-PL"/>
        </w:rPr>
        <w:t>.</w:t>
      </w:r>
      <w:r w:rsidR="00D32C20" w:rsidRPr="0053598B">
        <w:rPr>
          <w:iCs/>
          <w:color w:val="000000"/>
          <w:lang w:eastAsia="pl-PL"/>
        </w:rPr>
        <w:t xml:space="preserve"> Konsekwencją</w:t>
      </w:r>
      <w:r w:rsidR="00E10BFF" w:rsidRPr="0053598B">
        <w:rPr>
          <w:iCs/>
          <w:color w:val="000000"/>
          <w:lang w:eastAsia="pl-PL"/>
        </w:rPr>
        <w:t xml:space="preserve"> </w:t>
      </w:r>
      <w:r w:rsidR="00D32C20" w:rsidRPr="0053598B">
        <w:rPr>
          <w:iCs/>
          <w:color w:val="000000"/>
          <w:lang w:eastAsia="pl-PL"/>
        </w:rPr>
        <w:t xml:space="preserve">tej zmiany jest </w:t>
      </w:r>
      <w:r w:rsidR="00993615" w:rsidRPr="0053598B">
        <w:rPr>
          <w:iCs/>
          <w:color w:val="000000"/>
          <w:lang w:eastAsia="pl-PL"/>
        </w:rPr>
        <w:t>modyfikacja</w:t>
      </w:r>
      <w:r w:rsidR="00D32C20" w:rsidRPr="0053598B">
        <w:rPr>
          <w:iCs/>
          <w:color w:val="000000"/>
          <w:lang w:eastAsia="pl-PL"/>
        </w:rPr>
        <w:t xml:space="preserve"> treści załącznika nr 2 do ustawy o</w:t>
      </w:r>
      <w:r w:rsidR="0053598B">
        <w:rPr>
          <w:iCs/>
          <w:color w:val="000000"/>
          <w:lang w:eastAsia="pl-PL"/>
        </w:rPr>
        <w:t> </w:t>
      </w:r>
      <w:r w:rsidR="00993615" w:rsidRPr="0053598B">
        <w:rPr>
          <w:iCs/>
          <w:color w:val="000000"/>
          <w:lang w:eastAsia="pl-PL"/>
        </w:rPr>
        <w:t>rachunkowości</w:t>
      </w:r>
      <w:r w:rsidR="00D32C20" w:rsidRPr="0053598B">
        <w:rPr>
          <w:iCs/>
          <w:color w:val="000000"/>
          <w:lang w:eastAsia="pl-PL"/>
        </w:rPr>
        <w:t xml:space="preserve"> </w:t>
      </w:r>
      <w:r w:rsidR="00993615" w:rsidRPr="0053598B">
        <w:rPr>
          <w:iCs/>
          <w:color w:val="000000"/>
          <w:lang w:eastAsia="pl-PL"/>
        </w:rPr>
        <w:t>polegająca</w:t>
      </w:r>
      <w:r w:rsidR="00D32C20" w:rsidRPr="0053598B">
        <w:rPr>
          <w:iCs/>
          <w:color w:val="000000"/>
          <w:lang w:eastAsia="pl-PL"/>
        </w:rPr>
        <w:t xml:space="preserve"> na</w:t>
      </w:r>
      <w:r w:rsidR="00D32C20" w:rsidRPr="0053598B">
        <w:rPr>
          <w:i/>
          <w:iCs/>
          <w:color w:val="000000"/>
          <w:lang w:eastAsia="pl-PL"/>
        </w:rPr>
        <w:t xml:space="preserve"> </w:t>
      </w:r>
      <w:r w:rsidRPr="0053598B">
        <w:rPr>
          <w:iCs/>
          <w:color w:val="000000"/>
          <w:lang w:eastAsia="pl-PL"/>
        </w:rPr>
        <w:t>usunięci</w:t>
      </w:r>
      <w:r w:rsidR="00993615" w:rsidRPr="0053598B">
        <w:rPr>
          <w:iCs/>
          <w:color w:val="000000"/>
          <w:lang w:eastAsia="pl-PL"/>
        </w:rPr>
        <w:t>u</w:t>
      </w:r>
      <w:r w:rsidRPr="0053598B">
        <w:rPr>
          <w:iCs/>
          <w:color w:val="000000"/>
          <w:lang w:eastAsia="pl-PL"/>
        </w:rPr>
        <w:t xml:space="preserve"> z </w:t>
      </w:r>
      <w:r w:rsidR="007C6473" w:rsidRPr="0053598B">
        <w:rPr>
          <w:iCs/>
          <w:color w:val="000000"/>
          <w:lang w:eastAsia="pl-PL"/>
        </w:rPr>
        <w:t xml:space="preserve">pkt </w:t>
      </w:r>
      <w:r w:rsidRPr="0053598B">
        <w:rPr>
          <w:iCs/>
          <w:color w:val="000000"/>
          <w:lang w:eastAsia="pl-PL"/>
        </w:rPr>
        <w:t xml:space="preserve">IX </w:t>
      </w:r>
      <w:r w:rsidR="007C6473" w:rsidRPr="0053598B">
        <w:rPr>
          <w:iCs/>
          <w:color w:val="000000"/>
          <w:lang w:eastAsia="pl-PL"/>
        </w:rPr>
        <w:t xml:space="preserve">poz. </w:t>
      </w:r>
      <w:r w:rsidRPr="0053598B">
        <w:rPr>
          <w:iCs/>
          <w:color w:val="000000"/>
          <w:lang w:eastAsia="pl-PL"/>
        </w:rPr>
        <w:t xml:space="preserve">3 pasywów wyrazów: „oraz zastrzeżone” </w:t>
      </w:r>
      <w:r w:rsidR="00F75D4E" w:rsidRPr="0053598B">
        <w:rPr>
          <w:lang w:eastAsia="pl-PL"/>
        </w:rPr>
        <w:t>i wprowadzenie aktualnej terminologii w zakresie rozliczeń międzyokresowych przychodów.</w:t>
      </w:r>
    </w:p>
    <w:p w:rsidR="00AA6ACE" w:rsidRPr="0053598B" w:rsidRDefault="00AA6ACE"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Proponowana zmiana związana jest z wprowadzeniem do polskiego porządku prawnego </w:t>
      </w:r>
      <w:r w:rsidR="00F75D4E" w:rsidRPr="0053598B">
        <w:rPr>
          <w:rFonts w:ascii="Times New Roman" w:hAnsi="Times New Roman" w:cs="Times New Roman"/>
          <w:color w:val="000000"/>
          <w:sz w:val="24"/>
          <w:szCs w:val="24"/>
          <w:lang w:eastAsia="pl-PL"/>
        </w:rPr>
        <w:t>r</w:t>
      </w:r>
      <w:r w:rsidRPr="0053598B">
        <w:rPr>
          <w:rFonts w:ascii="Times New Roman" w:hAnsi="Times New Roman" w:cs="Times New Roman"/>
          <w:color w:val="000000"/>
          <w:sz w:val="24"/>
          <w:szCs w:val="24"/>
          <w:lang w:eastAsia="pl-PL"/>
        </w:rPr>
        <w:t>ozporządzenia Parlamentu Europejskiego i Rady (UE) nr 575/2013 z dnia 26 czerwca 2013 r. w sprawie wymogów ostrożnościowych dla instytucji kredytowych i firm inwestycyjnych, zmieniające</w:t>
      </w:r>
      <w:r w:rsidR="00EB7A94" w:rsidRPr="0053598B">
        <w:rPr>
          <w:rFonts w:ascii="Times New Roman" w:hAnsi="Times New Roman" w:cs="Times New Roman"/>
          <w:color w:val="000000"/>
          <w:sz w:val="24"/>
          <w:szCs w:val="24"/>
          <w:lang w:eastAsia="pl-PL"/>
        </w:rPr>
        <w:t>go</w:t>
      </w:r>
      <w:r w:rsidRPr="0053598B">
        <w:rPr>
          <w:rFonts w:ascii="Times New Roman" w:hAnsi="Times New Roman" w:cs="Times New Roman"/>
          <w:color w:val="000000"/>
          <w:sz w:val="24"/>
          <w:szCs w:val="24"/>
          <w:lang w:eastAsia="pl-PL"/>
        </w:rPr>
        <w:t xml:space="preserve"> rozporządzenie (UE) nr 648/2012. Rozporządzenie to wprowadziło obowiązującą wszystkie banki definicję ekspozycji kredytowej mającą zastosowanie do kalkulacji ryzyka kredytowego. </w:t>
      </w:r>
    </w:p>
    <w:p w:rsidR="00AA6ACE" w:rsidRPr="0053598B" w:rsidRDefault="00AA6ACE"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Banki sporządzające sprawozdania finansowe zgodnie z ustawą o rachunkowości ujmują wszystkie naliczone od kredytów i pożyczek odsetki jako rozliczenia międzyokresowe przychodów, podczas gdy banki sporządzające sprawozdania finansowe na podstawie MSR/MSSF rozpoznają naliczone odsetki w przychodach odsetkowych. Jednocześnie odpisy aktualizujące zmniejszają wynik odsetkowy proporcjonalnie do wysokości jego utworzenia.</w:t>
      </w:r>
    </w:p>
    <w:p w:rsidR="007A4A81" w:rsidRPr="0053598B" w:rsidRDefault="00AA6ACE"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Rozdźwięk pomiędzy stosowanymi dotychczas przepisami krajowymi a </w:t>
      </w:r>
      <w:r w:rsidR="00EB7A94" w:rsidRPr="0053598B">
        <w:rPr>
          <w:rFonts w:ascii="Times New Roman" w:hAnsi="Times New Roman" w:cs="Times New Roman"/>
          <w:color w:val="000000"/>
          <w:sz w:val="24"/>
          <w:szCs w:val="24"/>
          <w:lang w:eastAsia="pl-PL"/>
        </w:rPr>
        <w:t>ww. r</w:t>
      </w:r>
      <w:r w:rsidRPr="0053598B">
        <w:rPr>
          <w:rFonts w:ascii="Times New Roman" w:hAnsi="Times New Roman" w:cs="Times New Roman"/>
          <w:color w:val="000000"/>
          <w:sz w:val="24"/>
          <w:szCs w:val="24"/>
          <w:lang w:eastAsia="pl-PL"/>
        </w:rPr>
        <w:t xml:space="preserve">ozporządzeniem prowadzi do powstania różnic w wyniku odsetkowym banku </w:t>
      </w:r>
      <w:r w:rsidR="00E300AD" w:rsidRPr="0053598B">
        <w:rPr>
          <w:rFonts w:ascii="Times New Roman" w:hAnsi="Times New Roman" w:cs="Times New Roman"/>
          <w:color w:val="000000"/>
          <w:sz w:val="24"/>
          <w:szCs w:val="24"/>
          <w:lang w:eastAsia="pl-PL"/>
        </w:rPr>
        <w:br/>
      </w:r>
      <w:r w:rsidRPr="0053598B">
        <w:rPr>
          <w:rFonts w:ascii="Times New Roman" w:hAnsi="Times New Roman" w:cs="Times New Roman"/>
          <w:color w:val="000000"/>
          <w:sz w:val="24"/>
          <w:szCs w:val="24"/>
          <w:lang w:eastAsia="pl-PL"/>
        </w:rPr>
        <w:t>PSR-owego i MSR-owego, a także w ustalaniu podstawy liczenia wymogu kapitałowego z</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 xml:space="preserve">tytułu ryzyka kredytowego. Z tego względu za koniczne należy uznać dokonanie odpowiednich zmian przepisów doprowadzających do </w:t>
      </w:r>
      <w:r w:rsidR="00EB7A94" w:rsidRPr="0053598B">
        <w:rPr>
          <w:rFonts w:ascii="Times New Roman" w:hAnsi="Times New Roman" w:cs="Times New Roman"/>
          <w:color w:val="000000"/>
          <w:sz w:val="24"/>
          <w:szCs w:val="24"/>
          <w:lang w:eastAsia="pl-PL"/>
        </w:rPr>
        <w:t xml:space="preserve">zapewnienia </w:t>
      </w:r>
      <w:r w:rsidR="002568E8" w:rsidRPr="0053598B">
        <w:rPr>
          <w:rFonts w:ascii="Times New Roman" w:hAnsi="Times New Roman" w:cs="Times New Roman"/>
          <w:color w:val="000000"/>
          <w:sz w:val="24"/>
          <w:szCs w:val="24"/>
          <w:lang w:eastAsia="pl-PL"/>
        </w:rPr>
        <w:t xml:space="preserve">spójności </w:t>
      </w:r>
      <w:r w:rsidRPr="0053598B">
        <w:rPr>
          <w:rFonts w:ascii="Times New Roman" w:hAnsi="Times New Roman" w:cs="Times New Roman"/>
          <w:color w:val="000000"/>
          <w:sz w:val="24"/>
          <w:szCs w:val="24"/>
          <w:lang w:eastAsia="pl-PL"/>
        </w:rPr>
        <w:t>stosowanych zasad.</w:t>
      </w:r>
    </w:p>
    <w:p w:rsidR="002C6701" w:rsidRPr="0053598B" w:rsidRDefault="0029618F" w:rsidP="00E300AD">
      <w:pPr>
        <w:keepNext/>
        <w:numPr>
          <w:ilvl w:val="0"/>
          <w:numId w:val="17"/>
        </w:numPr>
        <w:spacing w:after="120" w:line="360" w:lineRule="auto"/>
        <w:jc w:val="both"/>
      </w:pPr>
      <w:r w:rsidRPr="0053598B">
        <w:rPr>
          <w:b/>
          <w:color w:val="000000"/>
          <w:lang w:eastAsia="pl-PL"/>
        </w:rPr>
        <w:lastRenderedPageBreak/>
        <w:t xml:space="preserve">Art. 1 pkt </w:t>
      </w:r>
      <w:r w:rsidR="0024642A" w:rsidRPr="0053598B">
        <w:rPr>
          <w:b/>
          <w:color w:val="000000"/>
          <w:lang w:eastAsia="pl-PL"/>
        </w:rPr>
        <w:t xml:space="preserve">4 </w:t>
      </w:r>
      <w:r w:rsidRPr="0053598B">
        <w:rPr>
          <w:b/>
          <w:color w:val="000000"/>
          <w:lang w:eastAsia="pl-PL"/>
        </w:rPr>
        <w:t xml:space="preserve">ustawy nowelizującej </w:t>
      </w:r>
      <w:r w:rsidR="002C6701" w:rsidRPr="0053598B">
        <w:rPr>
          <w:color w:val="000000"/>
          <w:lang w:eastAsia="pl-PL"/>
        </w:rPr>
        <w:t>wprowadza nowe brzmienie ust.</w:t>
      </w:r>
      <w:r w:rsidR="00993615" w:rsidRPr="0053598B">
        <w:rPr>
          <w:color w:val="000000"/>
          <w:lang w:eastAsia="pl-PL"/>
        </w:rPr>
        <w:t xml:space="preserve"> </w:t>
      </w:r>
      <w:r w:rsidR="00750435" w:rsidRPr="0053598B">
        <w:rPr>
          <w:color w:val="000000"/>
          <w:lang w:eastAsia="pl-PL"/>
        </w:rPr>
        <w:t>2</w:t>
      </w:r>
      <w:r w:rsidR="00993615" w:rsidRPr="0053598B">
        <w:rPr>
          <w:color w:val="000000"/>
          <w:lang w:eastAsia="pl-PL"/>
        </w:rPr>
        <w:t xml:space="preserve"> </w:t>
      </w:r>
      <w:r w:rsidR="002C6701" w:rsidRPr="0053598B">
        <w:rPr>
          <w:color w:val="000000"/>
          <w:lang w:eastAsia="pl-PL"/>
        </w:rPr>
        <w:t>w art. 44 ustawy o</w:t>
      </w:r>
      <w:r w:rsidR="0053598B">
        <w:rPr>
          <w:color w:val="000000"/>
          <w:lang w:eastAsia="pl-PL"/>
        </w:rPr>
        <w:t> </w:t>
      </w:r>
      <w:r w:rsidR="002C6701" w:rsidRPr="0053598B">
        <w:rPr>
          <w:color w:val="000000"/>
          <w:lang w:eastAsia="pl-PL"/>
        </w:rPr>
        <w:t>rachunkow</w:t>
      </w:r>
      <w:r w:rsidR="00C916E1" w:rsidRPr="0053598B">
        <w:rPr>
          <w:color w:val="000000"/>
          <w:lang w:eastAsia="pl-PL"/>
        </w:rPr>
        <w:t>ości</w:t>
      </w:r>
      <w:r w:rsidR="002C6701" w:rsidRPr="0053598B">
        <w:rPr>
          <w:color w:val="000000"/>
          <w:lang w:eastAsia="pl-PL"/>
        </w:rPr>
        <w:t>.</w:t>
      </w:r>
    </w:p>
    <w:p w:rsidR="00D153BE" w:rsidRPr="0053598B" w:rsidRDefault="00C16222"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W odniesieniu </w:t>
      </w:r>
      <w:r w:rsidR="000A4F33" w:rsidRPr="0053598B">
        <w:rPr>
          <w:rFonts w:ascii="Times New Roman" w:hAnsi="Times New Roman" w:cs="Times New Roman"/>
          <w:color w:val="000000"/>
          <w:sz w:val="24"/>
          <w:szCs w:val="24"/>
          <w:lang w:eastAsia="pl-PL"/>
        </w:rPr>
        <w:t xml:space="preserve">do </w:t>
      </w:r>
      <w:r w:rsidRPr="0053598B">
        <w:rPr>
          <w:rFonts w:ascii="Times New Roman" w:hAnsi="Times New Roman" w:cs="Times New Roman"/>
          <w:color w:val="000000"/>
          <w:sz w:val="24"/>
          <w:szCs w:val="24"/>
          <w:lang w:eastAsia="pl-PL"/>
        </w:rPr>
        <w:t>treści ust. 2 pkt 1 proponowana zmiana ma charakter redakcyjno</w:t>
      </w:r>
      <w:r w:rsidR="00E10BFF" w:rsidRPr="0053598B">
        <w:rPr>
          <w:rFonts w:ascii="Times New Roman" w:hAnsi="Times New Roman" w:cs="Times New Roman"/>
          <w:color w:val="000000"/>
          <w:sz w:val="24"/>
          <w:szCs w:val="24"/>
          <w:lang w:eastAsia="pl-PL"/>
        </w:rPr>
        <w:t>-</w:t>
      </w:r>
      <w:r w:rsidR="00E10BFF" w:rsidRPr="0053598B">
        <w:rPr>
          <w:rFonts w:ascii="Times New Roman" w:hAnsi="Times New Roman" w:cs="Times New Roman"/>
          <w:color w:val="000000"/>
          <w:sz w:val="24"/>
          <w:szCs w:val="24"/>
          <w:lang w:eastAsia="pl-PL"/>
        </w:rPr>
        <w:br/>
      </w:r>
      <w:r w:rsidRPr="0053598B">
        <w:rPr>
          <w:rFonts w:ascii="Times New Roman" w:hAnsi="Times New Roman" w:cs="Times New Roman"/>
          <w:color w:val="000000"/>
          <w:sz w:val="24"/>
          <w:szCs w:val="24"/>
          <w:lang w:eastAsia="pl-PL"/>
        </w:rPr>
        <w:t>-legislacyjny. W treści przepisu należy zaznaczyć, że przepis odnosi się do rezerw techniczno</w:t>
      </w:r>
      <w:r w:rsidR="000A4F33"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ubezpieczeniowych.</w:t>
      </w:r>
    </w:p>
    <w:p w:rsidR="00750435" w:rsidRPr="0053598B" w:rsidRDefault="00750435"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Zmiana w ust. 2 pkt 2 ma charakter korygujący. Przepis powinien dotyczyć inwestowania środków wolnych, tzn. inwestowania środków niestanowiących pokrycia rezerw techniczno</w:t>
      </w:r>
      <w:r w:rsidR="00511349"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ubezpieczeniowych danego zakładu, a nie środków własnych. </w:t>
      </w:r>
    </w:p>
    <w:p w:rsidR="00E04E96" w:rsidRPr="0053598B" w:rsidRDefault="00993615" w:rsidP="00E10BFF">
      <w:pPr>
        <w:numPr>
          <w:ilvl w:val="0"/>
          <w:numId w:val="17"/>
        </w:numPr>
        <w:spacing w:line="360" w:lineRule="auto"/>
        <w:jc w:val="both"/>
        <w:rPr>
          <w:color w:val="000000"/>
          <w:lang w:eastAsia="pl-PL"/>
        </w:rPr>
      </w:pPr>
      <w:r w:rsidRPr="0053598B">
        <w:rPr>
          <w:b/>
          <w:color w:val="000000"/>
          <w:lang w:eastAsia="pl-PL"/>
        </w:rPr>
        <w:t xml:space="preserve">Art. 1 pkt </w:t>
      </w:r>
      <w:r w:rsidR="0024642A" w:rsidRPr="0053598B">
        <w:rPr>
          <w:b/>
          <w:color w:val="000000"/>
          <w:lang w:eastAsia="pl-PL"/>
        </w:rPr>
        <w:t xml:space="preserve">5, 6, 7 </w:t>
      </w:r>
      <w:r w:rsidRPr="0053598B">
        <w:rPr>
          <w:b/>
          <w:color w:val="000000"/>
          <w:lang w:eastAsia="pl-PL"/>
        </w:rPr>
        <w:t xml:space="preserve">ustawy nowelizującej </w:t>
      </w:r>
      <w:r w:rsidRPr="0053598B">
        <w:rPr>
          <w:color w:val="000000"/>
          <w:lang w:eastAsia="pl-PL"/>
        </w:rPr>
        <w:t xml:space="preserve">wprowadza odrębny </w:t>
      </w:r>
      <w:r w:rsidR="00E84A05" w:rsidRPr="0053598B">
        <w:rPr>
          <w:color w:val="000000"/>
          <w:lang w:eastAsia="pl-PL"/>
        </w:rPr>
        <w:t xml:space="preserve">zakres informacyjny </w:t>
      </w:r>
      <w:r w:rsidRPr="0053598B">
        <w:rPr>
          <w:color w:val="000000"/>
          <w:lang w:eastAsia="pl-PL"/>
        </w:rPr>
        <w:t>sprawozdania finansowego dla</w:t>
      </w:r>
      <w:r w:rsidR="00E04E96" w:rsidRPr="0053598B">
        <w:rPr>
          <w:color w:val="000000"/>
          <w:lang w:eastAsia="pl-PL"/>
        </w:rPr>
        <w:t xml:space="preserve"> </w:t>
      </w:r>
      <w:r w:rsidR="006A1007" w:rsidRPr="0053598B">
        <w:rPr>
          <w:color w:val="000000"/>
          <w:lang w:eastAsia="pl-PL"/>
        </w:rPr>
        <w:t>organizacji pozarządowych</w:t>
      </w:r>
      <w:r w:rsidR="001033FA" w:rsidRPr="0053598B">
        <w:rPr>
          <w:color w:val="000000"/>
          <w:lang w:eastAsia="pl-PL"/>
        </w:rPr>
        <w:t xml:space="preserve"> (załącznik nr 6 do ustawy)</w:t>
      </w:r>
      <w:r w:rsidR="006A1007" w:rsidRPr="0053598B">
        <w:rPr>
          <w:color w:val="000000"/>
          <w:lang w:eastAsia="pl-PL"/>
        </w:rPr>
        <w:t xml:space="preserve">, </w:t>
      </w:r>
      <w:r w:rsidR="003872C9" w:rsidRPr="0053598B">
        <w:rPr>
          <w:color w:val="000000"/>
          <w:lang w:eastAsia="pl-PL"/>
        </w:rPr>
        <w:t>a</w:t>
      </w:r>
      <w:r w:rsidR="0053598B">
        <w:rPr>
          <w:color w:val="000000"/>
          <w:lang w:eastAsia="pl-PL"/>
        </w:rPr>
        <w:t> </w:t>
      </w:r>
      <w:r w:rsidR="003872C9" w:rsidRPr="0053598B">
        <w:rPr>
          <w:color w:val="000000"/>
          <w:lang w:eastAsia="pl-PL"/>
        </w:rPr>
        <w:t>mianowicie</w:t>
      </w:r>
      <w:r w:rsidR="0024642A" w:rsidRPr="0053598B">
        <w:rPr>
          <w:color w:val="000000"/>
          <w:lang w:eastAsia="pl-PL"/>
        </w:rPr>
        <w:t xml:space="preserve"> jednostek wymienionych w art. 3 ust. 2 usta</w:t>
      </w:r>
      <w:r w:rsidR="0053598B">
        <w:rPr>
          <w:color w:val="000000"/>
          <w:lang w:eastAsia="pl-PL"/>
        </w:rPr>
        <w:t>wy z dnia 24 kwietnia 2003 r. o </w:t>
      </w:r>
      <w:r w:rsidR="0024642A" w:rsidRPr="0053598B">
        <w:rPr>
          <w:color w:val="000000"/>
          <w:lang w:eastAsia="pl-PL"/>
        </w:rPr>
        <w:t>działalności pożytku publicznego i o wolontariacie</w:t>
      </w:r>
      <w:r w:rsidR="00F25521" w:rsidRPr="0053598B">
        <w:rPr>
          <w:color w:val="000000"/>
          <w:lang w:eastAsia="pl-PL"/>
        </w:rPr>
        <w:t xml:space="preserve"> </w:t>
      </w:r>
      <w:r w:rsidR="00E10BFF" w:rsidRPr="0053598B">
        <w:rPr>
          <w:color w:val="000000"/>
          <w:lang w:eastAsia="pl-PL"/>
        </w:rPr>
        <w:t>–</w:t>
      </w:r>
      <w:r w:rsidR="0024642A" w:rsidRPr="0053598B">
        <w:rPr>
          <w:color w:val="000000"/>
          <w:lang w:eastAsia="pl-PL"/>
        </w:rPr>
        <w:t xml:space="preserve"> </w:t>
      </w:r>
      <w:r w:rsidR="006A1007" w:rsidRPr="0053598B">
        <w:rPr>
          <w:color w:val="000000"/>
          <w:lang w:eastAsia="pl-PL"/>
        </w:rPr>
        <w:t>z wyłączeniem spółek kapitałowych</w:t>
      </w:r>
      <w:r w:rsidR="00E10BFF" w:rsidRPr="0053598B">
        <w:rPr>
          <w:color w:val="000000"/>
          <w:lang w:eastAsia="pl-PL"/>
        </w:rPr>
        <w:t xml:space="preserve"> –</w:t>
      </w:r>
      <w:r w:rsidR="00BD497D" w:rsidRPr="0053598B">
        <w:rPr>
          <w:color w:val="000000"/>
          <w:lang w:eastAsia="pl-PL"/>
        </w:rPr>
        <w:t xml:space="preserve"> oraz</w:t>
      </w:r>
      <w:r w:rsidR="006A1007" w:rsidRPr="0053598B">
        <w:rPr>
          <w:color w:val="000000"/>
          <w:lang w:eastAsia="pl-PL"/>
        </w:rPr>
        <w:t xml:space="preserve"> </w:t>
      </w:r>
      <w:r w:rsidR="00511349" w:rsidRPr="0053598B">
        <w:rPr>
          <w:color w:val="000000"/>
          <w:lang w:eastAsia="pl-PL"/>
        </w:rPr>
        <w:t>jednostek</w:t>
      </w:r>
      <w:r w:rsidR="000A4F33" w:rsidRPr="0053598B">
        <w:rPr>
          <w:color w:val="000000"/>
          <w:lang w:eastAsia="pl-PL"/>
        </w:rPr>
        <w:t>, o których mowa</w:t>
      </w:r>
      <w:r w:rsidR="00E10BFF" w:rsidRPr="0053598B">
        <w:rPr>
          <w:color w:val="000000"/>
          <w:lang w:eastAsia="pl-PL"/>
        </w:rPr>
        <w:t xml:space="preserve"> </w:t>
      </w:r>
      <w:r w:rsidR="006A1007" w:rsidRPr="0053598B">
        <w:rPr>
          <w:color w:val="000000"/>
          <w:lang w:eastAsia="pl-PL"/>
        </w:rPr>
        <w:t>w</w:t>
      </w:r>
      <w:r w:rsidR="0024642A" w:rsidRPr="0053598B">
        <w:rPr>
          <w:color w:val="000000"/>
          <w:lang w:eastAsia="pl-PL"/>
        </w:rPr>
        <w:t xml:space="preserve"> art. 3</w:t>
      </w:r>
      <w:r w:rsidR="006A1007" w:rsidRPr="0053598B">
        <w:rPr>
          <w:color w:val="000000"/>
          <w:lang w:eastAsia="pl-PL"/>
        </w:rPr>
        <w:t xml:space="preserve"> ust. 3 pkt 1 i 2 </w:t>
      </w:r>
      <w:r w:rsidR="0024642A" w:rsidRPr="0053598B">
        <w:rPr>
          <w:color w:val="000000"/>
          <w:lang w:eastAsia="pl-PL"/>
        </w:rPr>
        <w:t>tej ustawy</w:t>
      </w:r>
      <w:r w:rsidR="006A1007" w:rsidRPr="0053598B">
        <w:rPr>
          <w:color w:val="000000"/>
          <w:lang w:eastAsia="pl-PL"/>
        </w:rPr>
        <w:t>, tj.</w:t>
      </w:r>
      <w:r w:rsidR="005711AD" w:rsidRPr="0053598B">
        <w:rPr>
          <w:color w:val="000000"/>
          <w:lang w:eastAsia="pl-PL"/>
        </w:rPr>
        <w:t xml:space="preserve"> dla</w:t>
      </w:r>
      <w:r w:rsidR="006A1007" w:rsidRPr="0053598B">
        <w:rPr>
          <w:color w:val="000000"/>
          <w:lang w:eastAsia="pl-PL"/>
        </w:rPr>
        <w:t>:</w:t>
      </w:r>
      <w:r w:rsidR="00E04E96" w:rsidRPr="0053598B">
        <w:rPr>
          <w:color w:val="000000"/>
          <w:lang w:eastAsia="pl-PL"/>
        </w:rPr>
        <w:t xml:space="preserve"> </w:t>
      </w:r>
    </w:p>
    <w:p w:rsidR="006A1007" w:rsidRPr="0053598B" w:rsidRDefault="00AD6FD9" w:rsidP="00E300AD">
      <w:pPr>
        <w:spacing w:line="360" w:lineRule="auto"/>
        <w:ind w:left="567" w:hanging="227"/>
        <w:jc w:val="both"/>
        <w:rPr>
          <w:color w:val="000000"/>
          <w:lang w:eastAsia="pl-PL"/>
        </w:rPr>
      </w:pPr>
      <w:r w:rsidRPr="0053598B">
        <w:rPr>
          <w:color w:val="000000"/>
          <w:lang w:eastAsia="pl-PL"/>
        </w:rPr>
        <w:t>1) o</w:t>
      </w:r>
      <w:r w:rsidR="00E04E96" w:rsidRPr="0053598B">
        <w:rPr>
          <w:color w:val="000000"/>
          <w:lang w:eastAsia="pl-PL"/>
        </w:rPr>
        <w:t>sób prawnych lub jednostek organizacyjnych nieposiadających osobowości prawnej, którym odrębna ustawa przyznaje zdolność prawną, w tym fundacji i stowarzyszeń,</w:t>
      </w:r>
    </w:p>
    <w:p w:rsidR="006A1007" w:rsidRPr="0053598B" w:rsidRDefault="00AD6FD9" w:rsidP="00E300AD">
      <w:pPr>
        <w:spacing w:line="360" w:lineRule="auto"/>
        <w:ind w:left="851" w:hanging="143"/>
        <w:jc w:val="both"/>
        <w:rPr>
          <w:color w:val="000000"/>
          <w:lang w:eastAsia="pl-PL"/>
        </w:rPr>
      </w:pPr>
      <w:r w:rsidRPr="0053598B">
        <w:rPr>
          <w:color w:val="000000"/>
          <w:lang w:eastAsia="pl-PL"/>
        </w:rPr>
        <w:t>a</w:t>
      </w:r>
      <w:r w:rsidR="006A1007" w:rsidRPr="0053598B">
        <w:rPr>
          <w:color w:val="000000"/>
          <w:lang w:eastAsia="pl-PL"/>
        </w:rPr>
        <w:t>) niebędących jednostkami sektora finansów publicznych w rozumieniu ustawy z dnia 27 sierpnia 2009 r. o finansach publicznych lub przedsiębiorstwami, instytutami badawczymi, bankami i spółkami prawa handlowego będącymi państwowymi lub samorządowymi osobami prawnymi,</w:t>
      </w:r>
    </w:p>
    <w:p w:rsidR="006A1007" w:rsidRPr="0053598B" w:rsidRDefault="00AD6FD9" w:rsidP="00E300AD">
      <w:pPr>
        <w:spacing w:line="360" w:lineRule="auto"/>
        <w:ind w:left="851" w:hanging="143"/>
        <w:jc w:val="both"/>
        <w:rPr>
          <w:color w:val="000000"/>
          <w:lang w:eastAsia="pl-PL"/>
        </w:rPr>
      </w:pPr>
      <w:r w:rsidRPr="0053598B">
        <w:rPr>
          <w:color w:val="000000"/>
          <w:lang w:eastAsia="pl-PL"/>
        </w:rPr>
        <w:t>b</w:t>
      </w:r>
      <w:r w:rsidR="006A1007" w:rsidRPr="0053598B">
        <w:rPr>
          <w:color w:val="000000"/>
          <w:lang w:eastAsia="pl-PL"/>
        </w:rPr>
        <w:t>) niedziałających w celu osiągnięcia zysku</w:t>
      </w:r>
      <w:r w:rsidR="00E04E96" w:rsidRPr="0053598B">
        <w:rPr>
          <w:color w:val="000000"/>
          <w:lang w:eastAsia="pl-PL"/>
        </w:rPr>
        <w:t>;</w:t>
      </w:r>
    </w:p>
    <w:p w:rsidR="006A1007" w:rsidRPr="0053598B" w:rsidRDefault="00E04E96" w:rsidP="00E10BFF">
      <w:pPr>
        <w:spacing w:line="360" w:lineRule="auto"/>
        <w:ind w:left="340"/>
        <w:jc w:val="both"/>
        <w:rPr>
          <w:color w:val="000000"/>
          <w:lang w:eastAsia="pl-PL"/>
        </w:rPr>
      </w:pPr>
      <w:r w:rsidRPr="0053598B">
        <w:rPr>
          <w:color w:val="000000"/>
          <w:lang w:eastAsia="pl-PL"/>
        </w:rPr>
        <w:t>2</w:t>
      </w:r>
      <w:r w:rsidR="00AD6FD9" w:rsidRPr="0053598B">
        <w:rPr>
          <w:color w:val="000000"/>
          <w:lang w:eastAsia="pl-PL"/>
        </w:rPr>
        <w:t xml:space="preserve">) </w:t>
      </w:r>
      <w:r w:rsidRPr="0053598B">
        <w:rPr>
          <w:color w:val="000000"/>
          <w:lang w:eastAsia="pl-PL"/>
        </w:rPr>
        <w:t>prowadzących działalność pożytku publicznego:</w:t>
      </w:r>
    </w:p>
    <w:p w:rsidR="006A1007" w:rsidRPr="0053598B" w:rsidRDefault="00AD6FD9" w:rsidP="00E300AD">
      <w:pPr>
        <w:spacing w:line="360" w:lineRule="auto"/>
        <w:ind w:left="851" w:hanging="143"/>
        <w:jc w:val="both"/>
        <w:rPr>
          <w:color w:val="000000"/>
          <w:lang w:eastAsia="pl-PL"/>
        </w:rPr>
      </w:pPr>
      <w:r w:rsidRPr="0053598B">
        <w:rPr>
          <w:color w:val="000000"/>
          <w:lang w:eastAsia="pl-PL"/>
        </w:rPr>
        <w:t>a</w:t>
      </w:r>
      <w:r w:rsidR="00E04E96" w:rsidRPr="0053598B">
        <w:rPr>
          <w:color w:val="000000"/>
          <w:lang w:eastAsia="pl-PL"/>
        </w:rPr>
        <w:t>) osób</w:t>
      </w:r>
      <w:r w:rsidR="006A1007" w:rsidRPr="0053598B">
        <w:rPr>
          <w:color w:val="000000"/>
          <w:lang w:eastAsia="pl-PL"/>
        </w:rPr>
        <w:t xml:space="preserve"> prawn</w:t>
      </w:r>
      <w:r w:rsidR="00E04E96" w:rsidRPr="0053598B">
        <w:rPr>
          <w:color w:val="000000"/>
          <w:lang w:eastAsia="pl-PL"/>
        </w:rPr>
        <w:t>ych</w:t>
      </w:r>
      <w:r w:rsidR="006A1007" w:rsidRPr="0053598B">
        <w:rPr>
          <w:color w:val="000000"/>
          <w:lang w:eastAsia="pl-PL"/>
        </w:rPr>
        <w:t xml:space="preserve"> i jednost</w:t>
      </w:r>
      <w:r w:rsidR="00E04E96" w:rsidRPr="0053598B">
        <w:rPr>
          <w:color w:val="000000"/>
          <w:lang w:eastAsia="pl-PL"/>
        </w:rPr>
        <w:t>ek organizacyjnych</w:t>
      </w:r>
      <w:r w:rsidR="006A1007" w:rsidRPr="0053598B">
        <w:rPr>
          <w:color w:val="000000"/>
          <w:lang w:eastAsia="pl-PL"/>
        </w:rPr>
        <w:t xml:space="preserve"> działając</w:t>
      </w:r>
      <w:r w:rsidR="00E04E96" w:rsidRPr="0053598B">
        <w:rPr>
          <w:color w:val="000000"/>
          <w:lang w:eastAsia="pl-PL"/>
        </w:rPr>
        <w:t>ych</w:t>
      </w:r>
      <w:r w:rsidR="006A1007" w:rsidRPr="0053598B">
        <w:rPr>
          <w:color w:val="000000"/>
          <w:lang w:eastAsia="pl-PL"/>
        </w:rPr>
        <w:t xml:space="preserve"> na podstawie przepisów o</w:t>
      </w:r>
      <w:r w:rsidR="0053598B">
        <w:rPr>
          <w:color w:val="000000"/>
          <w:lang w:eastAsia="pl-PL"/>
        </w:rPr>
        <w:t> </w:t>
      </w:r>
      <w:r w:rsidR="006A1007" w:rsidRPr="0053598B">
        <w:rPr>
          <w:color w:val="000000"/>
          <w:lang w:eastAsia="pl-PL"/>
        </w:rPr>
        <w:t>stosunku Państwa do Kościoła Katolickiego w Rzeczypospolitej Polskiej, o</w:t>
      </w:r>
      <w:r w:rsidR="0053598B">
        <w:rPr>
          <w:color w:val="000000"/>
          <w:lang w:eastAsia="pl-PL"/>
        </w:rPr>
        <w:t> </w:t>
      </w:r>
      <w:r w:rsidR="006A1007" w:rsidRPr="0053598B">
        <w:rPr>
          <w:color w:val="000000"/>
          <w:lang w:eastAsia="pl-PL"/>
        </w:rPr>
        <w:t>stosunku Państwa do innych kościołów</w:t>
      </w:r>
      <w:r w:rsidR="0053598B">
        <w:rPr>
          <w:color w:val="000000"/>
          <w:lang w:eastAsia="pl-PL"/>
        </w:rPr>
        <w:t xml:space="preserve"> i związków wyznaniowych oraz o </w:t>
      </w:r>
      <w:r w:rsidR="006A1007" w:rsidRPr="0053598B">
        <w:rPr>
          <w:color w:val="000000"/>
          <w:lang w:eastAsia="pl-PL"/>
        </w:rPr>
        <w:t>gwarancjach wolności sumienia i wyznania, jeżeli ich cele statutowe obejmują prowadzenie działalności pożytku publicznego</w:t>
      </w:r>
      <w:r w:rsidR="00E300AD" w:rsidRPr="0053598B">
        <w:rPr>
          <w:color w:val="000000"/>
          <w:lang w:eastAsia="pl-PL"/>
        </w:rPr>
        <w:t>,</w:t>
      </w:r>
    </w:p>
    <w:p w:rsidR="00DE43F3" w:rsidRPr="0053598B" w:rsidRDefault="00AD6FD9" w:rsidP="00E10BFF">
      <w:pPr>
        <w:spacing w:line="360" w:lineRule="auto"/>
        <w:ind w:left="708"/>
        <w:jc w:val="both"/>
        <w:rPr>
          <w:color w:val="000000"/>
          <w:lang w:eastAsia="pl-PL"/>
        </w:rPr>
      </w:pPr>
      <w:r w:rsidRPr="0053598B">
        <w:rPr>
          <w:color w:val="000000"/>
          <w:lang w:eastAsia="pl-PL"/>
        </w:rPr>
        <w:t>b</w:t>
      </w:r>
      <w:r w:rsidR="006A1007" w:rsidRPr="0053598B">
        <w:rPr>
          <w:color w:val="000000"/>
          <w:lang w:eastAsia="pl-PL"/>
        </w:rPr>
        <w:t>) stowarzysze</w:t>
      </w:r>
      <w:r w:rsidR="00E04E96" w:rsidRPr="0053598B">
        <w:rPr>
          <w:color w:val="000000"/>
          <w:lang w:eastAsia="pl-PL"/>
        </w:rPr>
        <w:t>ń</w:t>
      </w:r>
      <w:r w:rsidR="006A1007" w:rsidRPr="0053598B">
        <w:rPr>
          <w:color w:val="000000"/>
          <w:lang w:eastAsia="pl-PL"/>
        </w:rPr>
        <w:t xml:space="preserve"> jed</w:t>
      </w:r>
      <w:r w:rsidR="00E04E96" w:rsidRPr="0053598B">
        <w:rPr>
          <w:color w:val="000000"/>
          <w:lang w:eastAsia="pl-PL"/>
        </w:rPr>
        <w:t>nostek samorządu terytorialnego.</w:t>
      </w:r>
    </w:p>
    <w:p w:rsidR="00A450B9" w:rsidRPr="0053598B" w:rsidRDefault="00A450B9" w:rsidP="00E10BFF">
      <w:pPr>
        <w:pStyle w:val="Akapitzlist"/>
        <w:spacing w:line="360" w:lineRule="auto"/>
        <w:ind w:left="340"/>
        <w:jc w:val="both"/>
        <w:rPr>
          <w:rFonts w:ascii="Times New Roman" w:hAnsi="Times New Roman" w:cs="Times New Roman"/>
          <w:color w:val="000000"/>
          <w:sz w:val="24"/>
          <w:szCs w:val="24"/>
          <w:lang w:eastAsia="pl-PL"/>
        </w:rPr>
      </w:pPr>
    </w:p>
    <w:p w:rsidR="00FD0B68" w:rsidRPr="0053598B" w:rsidRDefault="00EB2A82"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Do katalogu jednostek</w:t>
      </w:r>
      <w:r w:rsidR="00E2382B" w:rsidRPr="0053598B">
        <w:rPr>
          <w:rFonts w:ascii="Times New Roman" w:hAnsi="Times New Roman" w:cs="Times New Roman"/>
          <w:color w:val="000000"/>
          <w:sz w:val="24"/>
          <w:szCs w:val="24"/>
          <w:lang w:eastAsia="pl-PL"/>
        </w:rPr>
        <w:t>, któr</w:t>
      </w:r>
      <w:r w:rsidRPr="0053598B">
        <w:rPr>
          <w:rFonts w:ascii="Times New Roman" w:hAnsi="Times New Roman" w:cs="Times New Roman"/>
          <w:color w:val="000000"/>
          <w:sz w:val="24"/>
          <w:szCs w:val="24"/>
          <w:lang w:eastAsia="pl-PL"/>
        </w:rPr>
        <w:t>e</w:t>
      </w:r>
      <w:r w:rsidR="00E2382B" w:rsidRPr="0053598B">
        <w:rPr>
          <w:rFonts w:ascii="Times New Roman" w:hAnsi="Times New Roman" w:cs="Times New Roman"/>
          <w:color w:val="000000"/>
          <w:sz w:val="24"/>
          <w:szCs w:val="24"/>
          <w:lang w:eastAsia="pl-PL"/>
        </w:rPr>
        <w:t xml:space="preserve"> będą</w:t>
      </w:r>
      <w:r w:rsidRPr="0053598B">
        <w:rPr>
          <w:rFonts w:ascii="Times New Roman" w:hAnsi="Times New Roman" w:cs="Times New Roman"/>
          <w:color w:val="000000"/>
          <w:sz w:val="24"/>
          <w:szCs w:val="24"/>
          <w:lang w:eastAsia="pl-PL"/>
        </w:rPr>
        <w:t xml:space="preserve"> stosować załącznik nr 6</w:t>
      </w:r>
      <w:r w:rsidR="00E300AD" w:rsidRPr="0053598B">
        <w:rPr>
          <w:rFonts w:ascii="Times New Roman" w:hAnsi="Times New Roman" w:cs="Times New Roman"/>
          <w:color w:val="000000"/>
          <w:sz w:val="24"/>
          <w:szCs w:val="24"/>
          <w:lang w:eastAsia="pl-PL"/>
        </w:rPr>
        <w:t>,</w:t>
      </w:r>
      <w:r w:rsidRPr="0053598B">
        <w:rPr>
          <w:rFonts w:ascii="Times New Roman" w:hAnsi="Times New Roman" w:cs="Times New Roman"/>
          <w:color w:val="000000"/>
          <w:sz w:val="24"/>
          <w:szCs w:val="24"/>
          <w:lang w:eastAsia="pl-PL"/>
        </w:rPr>
        <w:t xml:space="preserve"> nie</w:t>
      </w:r>
      <w:r w:rsidR="005711AD" w:rsidRPr="0053598B">
        <w:rPr>
          <w:rFonts w:ascii="Times New Roman" w:hAnsi="Times New Roman" w:cs="Times New Roman"/>
          <w:color w:val="000000"/>
          <w:sz w:val="24"/>
          <w:szCs w:val="24"/>
          <w:lang w:eastAsia="pl-PL"/>
        </w:rPr>
        <w:t xml:space="preserve"> będą</w:t>
      </w:r>
      <w:r w:rsidRPr="0053598B">
        <w:rPr>
          <w:rFonts w:ascii="Times New Roman" w:hAnsi="Times New Roman" w:cs="Times New Roman"/>
          <w:color w:val="000000"/>
          <w:sz w:val="24"/>
          <w:szCs w:val="24"/>
          <w:lang w:eastAsia="pl-PL"/>
        </w:rPr>
        <w:t xml:space="preserve"> zalicza</w:t>
      </w:r>
      <w:r w:rsidR="005711AD" w:rsidRPr="0053598B">
        <w:rPr>
          <w:rFonts w:ascii="Times New Roman" w:hAnsi="Times New Roman" w:cs="Times New Roman"/>
          <w:color w:val="000000"/>
          <w:sz w:val="24"/>
          <w:szCs w:val="24"/>
          <w:lang w:eastAsia="pl-PL"/>
        </w:rPr>
        <w:t>ne</w:t>
      </w:r>
      <w:r w:rsidRPr="0053598B">
        <w:rPr>
          <w:rFonts w:ascii="Times New Roman" w:hAnsi="Times New Roman" w:cs="Times New Roman"/>
          <w:color w:val="000000"/>
          <w:sz w:val="24"/>
          <w:szCs w:val="24"/>
          <w:lang w:eastAsia="pl-PL"/>
        </w:rPr>
        <w:t xml:space="preserve"> spó</w:t>
      </w:r>
      <w:r w:rsidR="005711AD" w:rsidRPr="0053598B">
        <w:rPr>
          <w:rFonts w:ascii="Times New Roman" w:hAnsi="Times New Roman" w:cs="Times New Roman"/>
          <w:color w:val="000000"/>
          <w:sz w:val="24"/>
          <w:szCs w:val="24"/>
          <w:lang w:eastAsia="pl-PL"/>
        </w:rPr>
        <w:t>ł</w:t>
      </w:r>
      <w:r w:rsidR="00E2382B" w:rsidRPr="0053598B">
        <w:rPr>
          <w:rFonts w:ascii="Times New Roman" w:hAnsi="Times New Roman" w:cs="Times New Roman"/>
          <w:color w:val="000000"/>
          <w:sz w:val="24"/>
          <w:szCs w:val="24"/>
          <w:lang w:eastAsia="pl-PL"/>
        </w:rPr>
        <w:t>k</w:t>
      </w:r>
      <w:r w:rsidR="005711AD" w:rsidRPr="0053598B">
        <w:rPr>
          <w:rFonts w:ascii="Times New Roman" w:hAnsi="Times New Roman" w:cs="Times New Roman"/>
          <w:color w:val="000000"/>
          <w:sz w:val="24"/>
          <w:szCs w:val="24"/>
          <w:lang w:eastAsia="pl-PL"/>
        </w:rPr>
        <w:t>i</w:t>
      </w:r>
      <w:r w:rsidR="00E2382B" w:rsidRPr="0053598B">
        <w:rPr>
          <w:rFonts w:ascii="Times New Roman" w:hAnsi="Times New Roman" w:cs="Times New Roman"/>
          <w:color w:val="000000"/>
          <w:sz w:val="24"/>
          <w:szCs w:val="24"/>
          <w:lang w:eastAsia="pl-PL"/>
        </w:rPr>
        <w:t xml:space="preserve"> </w:t>
      </w:r>
      <w:r w:rsidRPr="0053598B">
        <w:rPr>
          <w:rFonts w:ascii="Times New Roman" w:hAnsi="Times New Roman" w:cs="Times New Roman"/>
          <w:color w:val="000000"/>
          <w:sz w:val="24"/>
          <w:szCs w:val="24"/>
          <w:lang w:eastAsia="pl-PL"/>
        </w:rPr>
        <w:t>kapitałow</w:t>
      </w:r>
      <w:r w:rsidR="005711AD" w:rsidRPr="0053598B">
        <w:rPr>
          <w:rFonts w:ascii="Times New Roman" w:hAnsi="Times New Roman" w:cs="Times New Roman"/>
          <w:color w:val="000000"/>
          <w:sz w:val="24"/>
          <w:szCs w:val="24"/>
          <w:lang w:eastAsia="pl-PL"/>
        </w:rPr>
        <w:t>e</w:t>
      </w:r>
      <w:r w:rsidRPr="0053598B">
        <w:rPr>
          <w:rFonts w:ascii="Times New Roman" w:hAnsi="Times New Roman" w:cs="Times New Roman"/>
          <w:color w:val="000000"/>
          <w:sz w:val="24"/>
          <w:szCs w:val="24"/>
          <w:lang w:eastAsia="pl-PL"/>
        </w:rPr>
        <w:t xml:space="preserve"> </w:t>
      </w:r>
      <w:r w:rsidR="00E2382B" w:rsidRPr="0053598B">
        <w:rPr>
          <w:rFonts w:ascii="Times New Roman" w:hAnsi="Times New Roman" w:cs="Times New Roman"/>
          <w:color w:val="000000"/>
          <w:sz w:val="24"/>
          <w:szCs w:val="24"/>
          <w:lang w:eastAsia="pl-PL"/>
        </w:rPr>
        <w:t>oraz spółdzielni</w:t>
      </w:r>
      <w:r w:rsidR="005711AD" w:rsidRPr="0053598B">
        <w:rPr>
          <w:rFonts w:ascii="Times New Roman" w:hAnsi="Times New Roman" w:cs="Times New Roman"/>
          <w:color w:val="000000"/>
          <w:sz w:val="24"/>
          <w:szCs w:val="24"/>
          <w:lang w:eastAsia="pl-PL"/>
        </w:rPr>
        <w:t>e</w:t>
      </w:r>
      <w:r w:rsidR="00E2382B" w:rsidRPr="0053598B">
        <w:rPr>
          <w:rFonts w:ascii="Times New Roman" w:hAnsi="Times New Roman" w:cs="Times New Roman"/>
          <w:color w:val="000000"/>
          <w:sz w:val="24"/>
          <w:szCs w:val="24"/>
          <w:lang w:eastAsia="pl-PL"/>
        </w:rPr>
        <w:t xml:space="preserve"> socjaln</w:t>
      </w:r>
      <w:r w:rsidR="005711AD" w:rsidRPr="0053598B">
        <w:rPr>
          <w:rFonts w:ascii="Times New Roman" w:hAnsi="Times New Roman" w:cs="Times New Roman"/>
          <w:color w:val="000000"/>
          <w:sz w:val="24"/>
          <w:szCs w:val="24"/>
          <w:lang w:eastAsia="pl-PL"/>
        </w:rPr>
        <w:t>e</w:t>
      </w:r>
      <w:r w:rsidR="00E2382B" w:rsidRPr="0053598B">
        <w:rPr>
          <w:rFonts w:ascii="Times New Roman" w:hAnsi="Times New Roman" w:cs="Times New Roman"/>
          <w:color w:val="000000"/>
          <w:sz w:val="24"/>
          <w:szCs w:val="24"/>
          <w:lang w:eastAsia="pl-PL"/>
        </w:rPr>
        <w:t xml:space="preserve">. </w:t>
      </w:r>
      <w:r w:rsidR="00FD0B68" w:rsidRPr="0053598B">
        <w:rPr>
          <w:rFonts w:ascii="Times New Roman" w:hAnsi="Times New Roman" w:cs="Times New Roman"/>
          <w:color w:val="000000"/>
          <w:sz w:val="24"/>
          <w:szCs w:val="24"/>
          <w:lang w:eastAsia="pl-PL"/>
        </w:rPr>
        <w:t>Co prawda działalność pożytku publicznego może być prowadzona także przez spółki akcyjne i spółki z og</w:t>
      </w:r>
      <w:r w:rsidR="0053598B">
        <w:rPr>
          <w:rFonts w:ascii="Times New Roman" w:hAnsi="Times New Roman" w:cs="Times New Roman"/>
          <w:color w:val="000000"/>
          <w:sz w:val="24"/>
          <w:szCs w:val="24"/>
          <w:lang w:eastAsia="pl-PL"/>
        </w:rPr>
        <w:t>raniczoną odpowiedzialnością, o </w:t>
      </w:r>
      <w:r w:rsidR="00FD0B68" w:rsidRPr="0053598B">
        <w:rPr>
          <w:rFonts w:ascii="Times New Roman" w:hAnsi="Times New Roman" w:cs="Times New Roman"/>
          <w:color w:val="000000"/>
          <w:sz w:val="24"/>
          <w:szCs w:val="24"/>
          <w:lang w:eastAsia="pl-PL"/>
        </w:rPr>
        <w:t xml:space="preserve">których mowa w art. 3 ust. 3 pkt 4 ustawy </w:t>
      </w:r>
      <w:r w:rsidR="000A4F33" w:rsidRPr="0053598B">
        <w:rPr>
          <w:rFonts w:ascii="Times New Roman" w:hAnsi="Times New Roman" w:cs="Times New Roman"/>
          <w:color w:val="000000"/>
          <w:sz w:val="24"/>
          <w:szCs w:val="24"/>
          <w:lang w:eastAsia="pl-PL"/>
        </w:rPr>
        <w:t xml:space="preserve">z dnia 24 kwietnia 2003 r. </w:t>
      </w:r>
      <w:r w:rsidR="00FD0B68" w:rsidRPr="0053598B">
        <w:rPr>
          <w:rFonts w:ascii="Times New Roman" w:hAnsi="Times New Roman" w:cs="Times New Roman"/>
          <w:color w:val="000000"/>
          <w:sz w:val="24"/>
          <w:szCs w:val="24"/>
          <w:lang w:eastAsia="pl-PL"/>
        </w:rPr>
        <w:t>o działalności pożytku publicznego i o wolontariacie</w:t>
      </w:r>
      <w:r w:rsidR="00E300AD" w:rsidRPr="0053598B">
        <w:rPr>
          <w:rFonts w:ascii="Times New Roman" w:hAnsi="Times New Roman" w:cs="Times New Roman"/>
          <w:color w:val="000000"/>
          <w:sz w:val="24"/>
          <w:szCs w:val="24"/>
          <w:lang w:eastAsia="pl-PL"/>
        </w:rPr>
        <w:t>,</w:t>
      </w:r>
      <w:r w:rsidR="00FD0B68" w:rsidRPr="0053598B">
        <w:rPr>
          <w:rFonts w:ascii="Times New Roman" w:hAnsi="Times New Roman" w:cs="Times New Roman"/>
          <w:color w:val="000000"/>
          <w:sz w:val="24"/>
          <w:szCs w:val="24"/>
          <w:lang w:eastAsia="pl-PL"/>
        </w:rPr>
        <w:t xml:space="preserve"> i nawet wobec wpisanego celu niezarobkowego do </w:t>
      </w:r>
      <w:r w:rsidR="00FD0B68" w:rsidRPr="0053598B">
        <w:rPr>
          <w:rFonts w:ascii="Times New Roman" w:hAnsi="Times New Roman" w:cs="Times New Roman"/>
          <w:color w:val="000000"/>
          <w:sz w:val="24"/>
          <w:szCs w:val="24"/>
          <w:lang w:eastAsia="pl-PL"/>
        </w:rPr>
        <w:lastRenderedPageBreak/>
        <w:t>statutu, nie zmienia to faktu, że podmioty te są przedsiębiorcami i stosuje się wobec</w:t>
      </w:r>
      <w:r w:rsidR="00E84A05" w:rsidRPr="0053598B">
        <w:rPr>
          <w:rFonts w:ascii="Times New Roman" w:hAnsi="Times New Roman" w:cs="Times New Roman"/>
          <w:color w:val="000000"/>
          <w:sz w:val="24"/>
          <w:szCs w:val="24"/>
          <w:lang w:eastAsia="pl-PL"/>
        </w:rPr>
        <w:t xml:space="preserve"> nich</w:t>
      </w:r>
      <w:r w:rsidR="00FD0B68" w:rsidRPr="0053598B">
        <w:rPr>
          <w:rFonts w:ascii="Times New Roman" w:hAnsi="Times New Roman" w:cs="Times New Roman"/>
          <w:color w:val="000000"/>
          <w:sz w:val="24"/>
          <w:szCs w:val="24"/>
          <w:lang w:eastAsia="pl-PL"/>
        </w:rPr>
        <w:t xml:space="preserve"> kodeks spółek handlowych. Przykładowo spółki kapitałowe uzyskują osobowość prawną z</w:t>
      </w:r>
      <w:r w:rsidR="0053598B">
        <w:rPr>
          <w:rFonts w:ascii="Times New Roman" w:hAnsi="Times New Roman" w:cs="Times New Roman"/>
          <w:color w:val="000000"/>
          <w:sz w:val="24"/>
          <w:szCs w:val="24"/>
          <w:lang w:eastAsia="pl-PL"/>
        </w:rPr>
        <w:t> </w:t>
      </w:r>
      <w:r w:rsidR="00FD0B68" w:rsidRPr="0053598B">
        <w:rPr>
          <w:rFonts w:ascii="Times New Roman" w:hAnsi="Times New Roman" w:cs="Times New Roman"/>
          <w:color w:val="000000"/>
          <w:sz w:val="24"/>
          <w:szCs w:val="24"/>
          <w:lang w:eastAsia="pl-PL"/>
        </w:rPr>
        <w:t xml:space="preserve">chwilą wpisu do rejestru przedsiębiorców. </w:t>
      </w:r>
      <w:r w:rsidR="005711AD" w:rsidRPr="0053598B">
        <w:rPr>
          <w:rFonts w:ascii="Times New Roman" w:hAnsi="Times New Roman" w:cs="Times New Roman"/>
          <w:color w:val="000000"/>
          <w:sz w:val="24"/>
          <w:szCs w:val="24"/>
          <w:lang w:eastAsia="pl-PL"/>
        </w:rPr>
        <w:t xml:space="preserve">Ponadto podmioty te, ze względu na formę prawną, obowiązują przepisy wdrożonej do polskiego prawodawstwa dyrektywy rachunkowej, tj. </w:t>
      </w:r>
      <w:r w:rsidR="005711AD" w:rsidRPr="0053598B">
        <w:rPr>
          <w:rFonts w:ascii="Times New Roman" w:hAnsi="Times New Roman" w:cs="Times New Roman"/>
          <w:sz w:val="24"/>
          <w:szCs w:val="24"/>
          <w:lang w:eastAsia="pl-PL"/>
        </w:rPr>
        <w:t>dyrektywy P</w:t>
      </w:r>
      <w:r w:rsidR="00E300AD" w:rsidRPr="0053598B">
        <w:rPr>
          <w:rFonts w:ascii="Times New Roman" w:hAnsi="Times New Roman" w:cs="Times New Roman"/>
          <w:sz w:val="24"/>
          <w:szCs w:val="24"/>
          <w:lang w:eastAsia="pl-PL"/>
        </w:rPr>
        <w:t xml:space="preserve">arlamentu </w:t>
      </w:r>
      <w:r w:rsidR="005711AD" w:rsidRPr="0053598B">
        <w:rPr>
          <w:rFonts w:ascii="Times New Roman" w:hAnsi="Times New Roman" w:cs="Times New Roman"/>
          <w:sz w:val="24"/>
          <w:szCs w:val="24"/>
          <w:lang w:eastAsia="pl-PL"/>
        </w:rPr>
        <w:t>E</w:t>
      </w:r>
      <w:r w:rsidR="00E300AD" w:rsidRPr="0053598B">
        <w:rPr>
          <w:rFonts w:ascii="Times New Roman" w:hAnsi="Times New Roman" w:cs="Times New Roman"/>
          <w:sz w:val="24"/>
          <w:szCs w:val="24"/>
          <w:lang w:eastAsia="pl-PL"/>
        </w:rPr>
        <w:t>uropejskiego</w:t>
      </w:r>
      <w:r w:rsidR="005711AD" w:rsidRPr="0053598B">
        <w:rPr>
          <w:rFonts w:ascii="Times New Roman" w:hAnsi="Times New Roman" w:cs="Times New Roman"/>
          <w:sz w:val="24"/>
          <w:szCs w:val="24"/>
          <w:lang w:eastAsia="pl-PL"/>
        </w:rPr>
        <w:t xml:space="preserve"> i Rady 2013/34/UE z dnia 26</w:t>
      </w:r>
      <w:r w:rsidR="0053598B">
        <w:rPr>
          <w:rFonts w:ascii="Times New Roman" w:hAnsi="Times New Roman" w:cs="Times New Roman"/>
          <w:sz w:val="24"/>
          <w:szCs w:val="24"/>
          <w:lang w:eastAsia="pl-PL"/>
        </w:rPr>
        <w:t> </w:t>
      </w:r>
      <w:r w:rsidR="005711AD" w:rsidRPr="0053598B">
        <w:rPr>
          <w:rFonts w:ascii="Times New Roman" w:hAnsi="Times New Roman" w:cs="Times New Roman"/>
          <w:sz w:val="24"/>
          <w:szCs w:val="24"/>
          <w:lang w:eastAsia="pl-PL"/>
        </w:rPr>
        <w:t>czerwca 2013 r. w sprawie rocznych sprawozdań finansowych, skonsolidowanych sprawozdań finansowych i powiązanych sprawozdań niektórych rodzajów jednostek</w:t>
      </w:r>
      <w:r w:rsidR="005711AD" w:rsidRPr="0053598B">
        <w:rPr>
          <w:rFonts w:ascii="Times New Roman" w:hAnsi="Times New Roman" w:cs="Times New Roman"/>
          <w:color w:val="000000"/>
          <w:sz w:val="24"/>
          <w:szCs w:val="24"/>
          <w:lang w:eastAsia="pl-PL"/>
        </w:rPr>
        <w:t>.</w:t>
      </w:r>
      <w:r w:rsidR="00E10BFF" w:rsidRPr="0053598B">
        <w:rPr>
          <w:rFonts w:ascii="Times New Roman" w:hAnsi="Times New Roman" w:cs="Times New Roman"/>
          <w:color w:val="000000"/>
          <w:sz w:val="24"/>
          <w:szCs w:val="24"/>
          <w:lang w:eastAsia="pl-PL"/>
        </w:rPr>
        <w:t xml:space="preserve"> </w:t>
      </w:r>
      <w:r w:rsidR="0053598B">
        <w:rPr>
          <w:rFonts w:ascii="Times New Roman" w:hAnsi="Times New Roman" w:cs="Times New Roman"/>
          <w:color w:val="000000"/>
          <w:sz w:val="24"/>
          <w:szCs w:val="24"/>
          <w:lang w:eastAsia="pl-PL"/>
        </w:rPr>
        <w:t>A </w:t>
      </w:r>
      <w:r w:rsidR="00967B75" w:rsidRPr="0053598B">
        <w:rPr>
          <w:rFonts w:ascii="Times New Roman" w:hAnsi="Times New Roman" w:cs="Times New Roman"/>
          <w:color w:val="000000"/>
          <w:sz w:val="24"/>
          <w:szCs w:val="24"/>
          <w:lang w:eastAsia="pl-PL"/>
        </w:rPr>
        <w:t>zatem powinny sporządzać swoje sprawozdani</w:t>
      </w:r>
      <w:r w:rsidR="000A4F33" w:rsidRPr="0053598B">
        <w:rPr>
          <w:rFonts w:ascii="Times New Roman" w:hAnsi="Times New Roman" w:cs="Times New Roman"/>
          <w:color w:val="000000"/>
          <w:sz w:val="24"/>
          <w:szCs w:val="24"/>
          <w:lang w:eastAsia="pl-PL"/>
        </w:rPr>
        <w:t>a</w:t>
      </w:r>
      <w:r w:rsidR="00967B75" w:rsidRPr="0053598B">
        <w:rPr>
          <w:rFonts w:ascii="Times New Roman" w:hAnsi="Times New Roman" w:cs="Times New Roman"/>
          <w:color w:val="000000"/>
          <w:sz w:val="24"/>
          <w:szCs w:val="24"/>
          <w:lang w:eastAsia="pl-PL"/>
        </w:rPr>
        <w:t xml:space="preserve"> finansowe zgodnie z załącznikiem nr 1</w:t>
      </w:r>
      <w:r w:rsidR="000A4F33" w:rsidRPr="0053598B">
        <w:rPr>
          <w:rFonts w:ascii="Times New Roman" w:hAnsi="Times New Roman" w:cs="Times New Roman"/>
          <w:color w:val="000000"/>
          <w:sz w:val="24"/>
          <w:szCs w:val="24"/>
          <w:lang w:eastAsia="pl-PL"/>
        </w:rPr>
        <w:t>,</w:t>
      </w:r>
      <w:r w:rsidR="00967B75" w:rsidRPr="0053598B">
        <w:rPr>
          <w:rFonts w:ascii="Times New Roman" w:hAnsi="Times New Roman" w:cs="Times New Roman"/>
          <w:color w:val="000000"/>
          <w:sz w:val="24"/>
          <w:szCs w:val="24"/>
          <w:lang w:eastAsia="pl-PL"/>
        </w:rPr>
        <w:t xml:space="preserve"> 4 lub 5.</w:t>
      </w:r>
    </w:p>
    <w:p w:rsidR="00967B75" w:rsidRPr="0053598B" w:rsidRDefault="00FD0B68"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Z kolei przedmiotem działalności spółdzielni socjalnej jest przede wszystkim prowadzenie wspólnego przedsiębiorstwa w oparciu o osobistą pracę członków w celach społecznej i</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zawodowej reintegracji jej członków. Oznacza to, że spółdzielnia socjalna musi prowadzić działalność gospodarczą, natomiast działalność o charakterze niegospodarczym tj. działal</w:t>
      </w:r>
      <w:r w:rsidR="001033FA" w:rsidRPr="0053598B">
        <w:rPr>
          <w:rFonts w:ascii="Times New Roman" w:hAnsi="Times New Roman" w:cs="Times New Roman"/>
          <w:color w:val="000000"/>
          <w:sz w:val="24"/>
          <w:szCs w:val="24"/>
          <w:lang w:eastAsia="pl-PL"/>
        </w:rPr>
        <w:t>ność pożytku publicznego czy też</w:t>
      </w:r>
      <w:r w:rsidRPr="0053598B">
        <w:rPr>
          <w:rFonts w:ascii="Times New Roman" w:hAnsi="Times New Roman" w:cs="Times New Roman"/>
          <w:color w:val="000000"/>
          <w:sz w:val="24"/>
          <w:szCs w:val="24"/>
          <w:lang w:eastAsia="pl-PL"/>
        </w:rPr>
        <w:t xml:space="preserve"> społeczn</w:t>
      </w:r>
      <w:r w:rsidR="00E300AD" w:rsidRPr="0053598B">
        <w:rPr>
          <w:rFonts w:ascii="Times New Roman" w:hAnsi="Times New Roman" w:cs="Times New Roman"/>
          <w:color w:val="000000"/>
          <w:sz w:val="24"/>
          <w:szCs w:val="24"/>
          <w:lang w:eastAsia="pl-PL"/>
        </w:rPr>
        <w:t>a</w:t>
      </w:r>
      <w:r w:rsidRPr="0053598B">
        <w:rPr>
          <w:rFonts w:ascii="Times New Roman" w:hAnsi="Times New Roman" w:cs="Times New Roman"/>
          <w:color w:val="000000"/>
          <w:sz w:val="24"/>
          <w:szCs w:val="24"/>
          <w:lang w:eastAsia="pl-PL"/>
        </w:rPr>
        <w:t xml:space="preserve"> i oświatowo-kulturaln</w:t>
      </w:r>
      <w:r w:rsidR="00E300AD" w:rsidRPr="0053598B">
        <w:rPr>
          <w:rFonts w:ascii="Times New Roman" w:hAnsi="Times New Roman" w:cs="Times New Roman"/>
          <w:color w:val="000000"/>
          <w:sz w:val="24"/>
          <w:szCs w:val="24"/>
          <w:lang w:eastAsia="pl-PL"/>
        </w:rPr>
        <w:t>a</w:t>
      </w:r>
      <w:r w:rsidR="00E10BFF" w:rsidRPr="0053598B">
        <w:rPr>
          <w:rFonts w:ascii="Times New Roman" w:hAnsi="Times New Roman" w:cs="Times New Roman"/>
          <w:color w:val="000000"/>
          <w:sz w:val="24"/>
          <w:szCs w:val="24"/>
          <w:lang w:eastAsia="pl-PL"/>
        </w:rPr>
        <w:t xml:space="preserve"> </w:t>
      </w:r>
      <w:r w:rsidRPr="0053598B">
        <w:rPr>
          <w:rFonts w:ascii="Times New Roman" w:hAnsi="Times New Roman" w:cs="Times New Roman"/>
          <w:color w:val="000000"/>
          <w:sz w:val="24"/>
          <w:szCs w:val="24"/>
          <w:lang w:eastAsia="pl-PL"/>
        </w:rPr>
        <w:t>działalność ma charakter fakultatywny. Wobec powyższego objęcie ich</w:t>
      </w:r>
      <w:r w:rsidR="00E10BFF" w:rsidRPr="0053598B">
        <w:rPr>
          <w:rFonts w:ascii="Times New Roman" w:hAnsi="Times New Roman" w:cs="Times New Roman"/>
          <w:color w:val="000000"/>
          <w:sz w:val="24"/>
          <w:szCs w:val="24"/>
          <w:lang w:eastAsia="pl-PL"/>
        </w:rPr>
        <w:t xml:space="preserve"> </w:t>
      </w:r>
      <w:r w:rsidR="001033FA" w:rsidRPr="0053598B">
        <w:rPr>
          <w:rFonts w:ascii="Times New Roman" w:hAnsi="Times New Roman" w:cs="Times New Roman"/>
          <w:color w:val="000000"/>
          <w:sz w:val="24"/>
          <w:szCs w:val="24"/>
          <w:lang w:eastAsia="pl-PL"/>
        </w:rPr>
        <w:t>projektowanym</w:t>
      </w:r>
      <w:r w:rsidRPr="0053598B">
        <w:rPr>
          <w:rFonts w:ascii="Times New Roman" w:hAnsi="Times New Roman" w:cs="Times New Roman"/>
          <w:color w:val="000000"/>
          <w:sz w:val="24"/>
          <w:szCs w:val="24"/>
          <w:lang w:eastAsia="pl-PL"/>
        </w:rPr>
        <w:t xml:space="preserve"> załącznikiem nr 6 jest niecelowe. </w:t>
      </w:r>
    </w:p>
    <w:p w:rsidR="004E155D" w:rsidRPr="0053598B" w:rsidRDefault="004E155D" w:rsidP="00E10BFF">
      <w:pPr>
        <w:pStyle w:val="Akapitzlist"/>
        <w:spacing w:line="360" w:lineRule="auto"/>
        <w:ind w:left="340"/>
        <w:jc w:val="both"/>
        <w:rPr>
          <w:rFonts w:ascii="Times New Roman" w:hAnsi="Times New Roman" w:cs="Times New Roman"/>
          <w:color w:val="000000"/>
          <w:sz w:val="24"/>
          <w:szCs w:val="24"/>
          <w:lang w:eastAsia="pl-PL"/>
        </w:rPr>
      </w:pPr>
    </w:p>
    <w:p w:rsidR="00E2382B" w:rsidRPr="0053598B" w:rsidRDefault="00FB0117"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Propozycja nowego zakresu informacyjnego sprawozdania finansowego dla powyższych jednostek wynika z faktu, że podmioty te cechuje duża specyfika swojej działalności oraz szczególny sposób osiągania przychodów i ponoszenia kosztów, całkowicie odmienny od jednostek prowadzących wyłącznie działalność gospodarczą. </w:t>
      </w:r>
    </w:p>
    <w:p w:rsidR="006B1F84"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Art. 10 ust. 1 ustawy </w:t>
      </w:r>
      <w:r w:rsidR="000A4F33" w:rsidRPr="0053598B">
        <w:rPr>
          <w:rFonts w:ascii="Times New Roman" w:hAnsi="Times New Roman" w:cs="Times New Roman"/>
          <w:color w:val="000000"/>
          <w:sz w:val="24"/>
          <w:szCs w:val="24"/>
          <w:lang w:eastAsia="pl-PL"/>
        </w:rPr>
        <w:t xml:space="preserve">z dnia 24 kwietnia 2003 r. </w:t>
      </w:r>
      <w:r w:rsidRPr="0053598B">
        <w:rPr>
          <w:rFonts w:ascii="Times New Roman" w:hAnsi="Times New Roman" w:cs="Times New Roman"/>
          <w:color w:val="000000"/>
          <w:sz w:val="24"/>
          <w:szCs w:val="24"/>
          <w:lang w:eastAsia="pl-PL"/>
        </w:rPr>
        <w:t>o działalności pożytku publicznego i</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o</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 xml:space="preserve">wolontariacie wymaga od </w:t>
      </w:r>
      <w:r w:rsidR="006B1F84" w:rsidRPr="0053598B">
        <w:rPr>
          <w:rFonts w:ascii="Times New Roman" w:hAnsi="Times New Roman" w:cs="Times New Roman"/>
          <w:color w:val="000000"/>
          <w:sz w:val="24"/>
          <w:szCs w:val="24"/>
          <w:lang w:eastAsia="pl-PL"/>
        </w:rPr>
        <w:t>powyższych jednostek</w:t>
      </w:r>
      <w:r w:rsidR="00E10BFF" w:rsidRPr="0053598B">
        <w:rPr>
          <w:rFonts w:ascii="Times New Roman" w:hAnsi="Times New Roman" w:cs="Times New Roman"/>
          <w:color w:val="000000"/>
          <w:sz w:val="24"/>
          <w:szCs w:val="24"/>
          <w:lang w:eastAsia="pl-PL"/>
        </w:rPr>
        <w:t xml:space="preserve"> </w:t>
      </w:r>
      <w:r w:rsidR="006B1F84" w:rsidRPr="0053598B">
        <w:rPr>
          <w:rFonts w:ascii="Times New Roman" w:hAnsi="Times New Roman" w:cs="Times New Roman"/>
          <w:color w:val="000000"/>
          <w:sz w:val="24"/>
          <w:szCs w:val="24"/>
          <w:lang w:eastAsia="pl-PL"/>
        </w:rPr>
        <w:t>wyodrębnieni</w:t>
      </w:r>
      <w:r w:rsidR="00206A9A" w:rsidRPr="0053598B">
        <w:rPr>
          <w:rFonts w:ascii="Times New Roman" w:hAnsi="Times New Roman" w:cs="Times New Roman"/>
          <w:color w:val="000000"/>
          <w:sz w:val="24"/>
          <w:szCs w:val="24"/>
          <w:lang w:eastAsia="pl-PL"/>
        </w:rPr>
        <w:t xml:space="preserve">a </w:t>
      </w:r>
      <w:r w:rsidR="006B1F84" w:rsidRPr="0053598B">
        <w:rPr>
          <w:rFonts w:ascii="Times New Roman" w:hAnsi="Times New Roman" w:cs="Times New Roman"/>
          <w:color w:val="000000"/>
          <w:sz w:val="24"/>
          <w:szCs w:val="24"/>
          <w:lang w:eastAsia="pl-PL"/>
        </w:rPr>
        <w:t xml:space="preserve">rachunkowego: </w:t>
      </w:r>
    </w:p>
    <w:p w:rsidR="00E2382B"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a)</w:t>
      </w:r>
      <w:r w:rsidRPr="0053598B">
        <w:rPr>
          <w:rFonts w:ascii="Times New Roman" w:hAnsi="Times New Roman" w:cs="Times New Roman"/>
          <w:color w:val="000000"/>
          <w:sz w:val="24"/>
          <w:szCs w:val="24"/>
          <w:lang w:eastAsia="pl-PL"/>
        </w:rPr>
        <w:tab/>
        <w:t xml:space="preserve">nieodpłatnej działalności pożytku publicznego, </w:t>
      </w:r>
    </w:p>
    <w:p w:rsidR="00E2382B"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b)</w:t>
      </w:r>
      <w:r w:rsidRPr="0053598B">
        <w:rPr>
          <w:rFonts w:ascii="Times New Roman" w:hAnsi="Times New Roman" w:cs="Times New Roman"/>
          <w:color w:val="000000"/>
          <w:sz w:val="24"/>
          <w:szCs w:val="24"/>
          <w:lang w:eastAsia="pl-PL"/>
        </w:rPr>
        <w:tab/>
        <w:t>odpłatnej działalności pożytku publicznego,</w:t>
      </w:r>
    </w:p>
    <w:p w:rsidR="00E2382B"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c)</w:t>
      </w:r>
      <w:r w:rsidRPr="0053598B">
        <w:rPr>
          <w:rFonts w:ascii="Times New Roman" w:hAnsi="Times New Roman" w:cs="Times New Roman"/>
          <w:color w:val="000000"/>
          <w:sz w:val="24"/>
          <w:szCs w:val="24"/>
          <w:lang w:eastAsia="pl-PL"/>
        </w:rPr>
        <w:tab/>
        <w:t xml:space="preserve">działalności gospodarczej. </w:t>
      </w:r>
    </w:p>
    <w:p w:rsidR="00E2382B"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Z kolei art. 10a ust. 1 pkt 4 lit. c ustawy </w:t>
      </w:r>
      <w:r w:rsidR="000A4F33" w:rsidRPr="0053598B">
        <w:rPr>
          <w:rFonts w:ascii="Times New Roman" w:hAnsi="Times New Roman" w:cs="Times New Roman"/>
          <w:color w:val="000000"/>
          <w:sz w:val="24"/>
          <w:szCs w:val="24"/>
          <w:lang w:eastAsia="pl-PL"/>
        </w:rPr>
        <w:t xml:space="preserve">z dnia 24 kwietnia 2003 r. </w:t>
      </w:r>
      <w:r w:rsidRPr="0053598B">
        <w:rPr>
          <w:rFonts w:ascii="Times New Roman" w:hAnsi="Times New Roman" w:cs="Times New Roman"/>
          <w:color w:val="000000"/>
          <w:sz w:val="24"/>
          <w:szCs w:val="24"/>
          <w:lang w:eastAsia="pl-PL"/>
        </w:rPr>
        <w:t>o dz</w:t>
      </w:r>
      <w:r w:rsidR="006B1F84" w:rsidRPr="0053598B">
        <w:rPr>
          <w:rFonts w:ascii="Times New Roman" w:hAnsi="Times New Roman" w:cs="Times New Roman"/>
          <w:color w:val="000000"/>
          <w:sz w:val="24"/>
          <w:szCs w:val="24"/>
          <w:lang w:eastAsia="pl-PL"/>
        </w:rPr>
        <w:t xml:space="preserve">iałalności pożytku publicznego </w:t>
      </w:r>
      <w:r w:rsidRPr="0053598B">
        <w:rPr>
          <w:rFonts w:ascii="Times New Roman" w:hAnsi="Times New Roman" w:cs="Times New Roman"/>
          <w:color w:val="000000"/>
          <w:sz w:val="24"/>
          <w:szCs w:val="24"/>
          <w:lang w:eastAsia="pl-PL"/>
        </w:rPr>
        <w:t xml:space="preserve">i o wolontariacie wprowadza dodatkową kategorię przychodów: z tytułu sprzedaży, najmu lub dzierżawy składników majątkowych. Artykuł ten wszedł w życie 1 stycznia 2016 r. (Dz. U. z 2015 r. poz. 1333) i przewiduje sytuację, w której najem lub dzierżawa składników majątkowych nie stanowią działalności gospodarczej. O ile wspomnianą w tym artykule sprzedaż składników majątkowych, ze względu na jej incydentalny charakter, można wykazać w </w:t>
      </w:r>
      <w:r w:rsidR="006B1F84" w:rsidRPr="0053598B">
        <w:rPr>
          <w:rFonts w:ascii="Times New Roman" w:hAnsi="Times New Roman" w:cs="Times New Roman"/>
          <w:color w:val="000000"/>
          <w:sz w:val="24"/>
          <w:szCs w:val="24"/>
          <w:lang w:eastAsia="pl-PL"/>
        </w:rPr>
        <w:t>pozycji pozostałych przychodów o charakterze operacyjnym w rachunku zysków i strat, jak wskazuje załącznik nr 4 i 5</w:t>
      </w:r>
      <w:r w:rsidRPr="0053598B">
        <w:rPr>
          <w:rFonts w:ascii="Times New Roman" w:hAnsi="Times New Roman" w:cs="Times New Roman"/>
          <w:color w:val="000000"/>
          <w:sz w:val="24"/>
          <w:szCs w:val="24"/>
          <w:lang w:eastAsia="pl-PL"/>
        </w:rPr>
        <w:t xml:space="preserve"> do us</w:t>
      </w:r>
      <w:r w:rsidR="006B1F84" w:rsidRPr="0053598B">
        <w:rPr>
          <w:rFonts w:ascii="Times New Roman" w:hAnsi="Times New Roman" w:cs="Times New Roman"/>
          <w:color w:val="000000"/>
          <w:sz w:val="24"/>
          <w:szCs w:val="24"/>
          <w:lang w:eastAsia="pl-PL"/>
        </w:rPr>
        <w:t xml:space="preserve">tawy </w:t>
      </w:r>
      <w:r w:rsidR="006B1F84" w:rsidRPr="0053598B">
        <w:rPr>
          <w:rFonts w:ascii="Times New Roman" w:hAnsi="Times New Roman" w:cs="Times New Roman"/>
          <w:color w:val="000000"/>
          <w:sz w:val="24"/>
          <w:szCs w:val="24"/>
          <w:lang w:eastAsia="pl-PL"/>
        </w:rPr>
        <w:lastRenderedPageBreak/>
        <w:t>o</w:t>
      </w:r>
      <w:r w:rsidR="0053598B">
        <w:rPr>
          <w:rFonts w:ascii="Times New Roman" w:hAnsi="Times New Roman" w:cs="Times New Roman"/>
          <w:color w:val="000000"/>
          <w:sz w:val="24"/>
          <w:szCs w:val="24"/>
          <w:lang w:eastAsia="pl-PL"/>
        </w:rPr>
        <w:t> </w:t>
      </w:r>
      <w:r w:rsidR="006B1F84" w:rsidRPr="0053598B">
        <w:rPr>
          <w:rFonts w:ascii="Times New Roman" w:hAnsi="Times New Roman" w:cs="Times New Roman"/>
          <w:color w:val="000000"/>
          <w:sz w:val="24"/>
          <w:szCs w:val="24"/>
          <w:lang w:eastAsia="pl-PL"/>
        </w:rPr>
        <w:t>rachunkowości</w:t>
      </w:r>
      <w:r w:rsidRPr="0053598B">
        <w:rPr>
          <w:rFonts w:ascii="Times New Roman" w:hAnsi="Times New Roman" w:cs="Times New Roman"/>
          <w:color w:val="000000"/>
          <w:sz w:val="24"/>
          <w:szCs w:val="24"/>
          <w:lang w:eastAsia="pl-PL"/>
        </w:rPr>
        <w:t xml:space="preserve">, o tyle stałe czerpanie przychodów z tytułu najmu lub dzierżawy nie ma już charakteru incydentalnego. Jednocześnie w myśl art. 10a ust. 1 pkt 4 ustawy </w:t>
      </w:r>
      <w:r w:rsidR="000A4F33" w:rsidRPr="0053598B">
        <w:rPr>
          <w:rFonts w:ascii="Times New Roman" w:hAnsi="Times New Roman" w:cs="Times New Roman"/>
          <w:color w:val="000000"/>
          <w:sz w:val="24"/>
          <w:szCs w:val="24"/>
          <w:lang w:eastAsia="pl-PL"/>
        </w:rPr>
        <w:t>z dnia 24</w:t>
      </w:r>
      <w:r w:rsidR="0053598B">
        <w:rPr>
          <w:rFonts w:ascii="Times New Roman" w:hAnsi="Times New Roman" w:cs="Times New Roman"/>
          <w:color w:val="000000"/>
          <w:sz w:val="24"/>
          <w:szCs w:val="24"/>
          <w:lang w:eastAsia="pl-PL"/>
        </w:rPr>
        <w:t> </w:t>
      </w:r>
      <w:r w:rsidR="000A4F33" w:rsidRPr="0053598B">
        <w:rPr>
          <w:rFonts w:ascii="Times New Roman" w:hAnsi="Times New Roman" w:cs="Times New Roman"/>
          <w:color w:val="000000"/>
          <w:sz w:val="24"/>
          <w:szCs w:val="24"/>
          <w:lang w:eastAsia="pl-PL"/>
        </w:rPr>
        <w:t xml:space="preserve">kwietnia 2003 r. </w:t>
      </w:r>
      <w:r w:rsidRPr="0053598B">
        <w:rPr>
          <w:rFonts w:ascii="Times New Roman" w:hAnsi="Times New Roman" w:cs="Times New Roman"/>
          <w:color w:val="000000"/>
          <w:sz w:val="24"/>
          <w:szCs w:val="24"/>
          <w:lang w:eastAsia="pl-PL"/>
        </w:rPr>
        <w:t>o działalności pożytku publicznego i o wolontariacie przychody te nie są przychodami z nieodpłatnej ani odpłatnej działalności pożytku publicznego.</w:t>
      </w:r>
    </w:p>
    <w:p w:rsidR="00A8078B" w:rsidRPr="0053598B" w:rsidRDefault="00A8078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Ponadto zawarty w załączniku nr 4 do ustawy o rachunkowości w części „Rachunek zysków i strat” w lit. B podział kosztów na: amortyzację, materiały i energię, wynagrodzenia, pozostałe:</w:t>
      </w:r>
    </w:p>
    <w:p w:rsidR="00A8078B" w:rsidRPr="0053598B" w:rsidRDefault="00E10BFF" w:rsidP="00E300AD">
      <w:pPr>
        <w:pStyle w:val="Akapitzlist"/>
        <w:spacing w:line="360" w:lineRule="auto"/>
        <w:ind w:left="567" w:hanging="227"/>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w:t>
      </w:r>
      <w:r w:rsidR="00A8078B" w:rsidRPr="0053598B">
        <w:rPr>
          <w:rFonts w:ascii="Times New Roman" w:hAnsi="Times New Roman" w:cs="Times New Roman"/>
          <w:color w:val="000000"/>
          <w:sz w:val="24"/>
          <w:szCs w:val="24"/>
          <w:lang w:eastAsia="pl-PL"/>
        </w:rPr>
        <w:t xml:space="preserve"> jest różny od wymaganego w organizacjach prowadzących działalność pożytku publicznego podziału kosztów wg rodzajów działalności (art. 10 ust. 1 z</w:t>
      </w:r>
      <w:r w:rsidR="0053598B">
        <w:rPr>
          <w:rFonts w:ascii="Times New Roman" w:hAnsi="Times New Roman" w:cs="Times New Roman"/>
          <w:color w:val="000000"/>
          <w:sz w:val="24"/>
          <w:szCs w:val="24"/>
          <w:lang w:eastAsia="pl-PL"/>
        </w:rPr>
        <w:t> </w:t>
      </w:r>
      <w:r w:rsidR="00A8078B" w:rsidRPr="0053598B">
        <w:rPr>
          <w:rFonts w:ascii="Times New Roman" w:hAnsi="Times New Roman" w:cs="Times New Roman"/>
          <w:color w:val="000000"/>
          <w:sz w:val="24"/>
          <w:szCs w:val="24"/>
          <w:lang w:eastAsia="pl-PL"/>
        </w:rPr>
        <w:t xml:space="preserve">uwzględnieniem art. 10a ust. 1 pkt 4 lit. c ustawy </w:t>
      </w:r>
      <w:r w:rsidR="000A4F33" w:rsidRPr="0053598B">
        <w:rPr>
          <w:rFonts w:ascii="Times New Roman" w:hAnsi="Times New Roman" w:cs="Times New Roman"/>
          <w:color w:val="000000"/>
          <w:sz w:val="24"/>
          <w:szCs w:val="24"/>
          <w:lang w:eastAsia="pl-PL"/>
        </w:rPr>
        <w:t xml:space="preserve">z dnia 24 kwietnia 2003 r. </w:t>
      </w:r>
      <w:r w:rsidR="0053598B">
        <w:rPr>
          <w:rFonts w:ascii="Times New Roman" w:hAnsi="Times New Roman" w:cs="Times New Roman"/>
          <w:color w:val="000000"/>
          <w:sz w:val="24"/>
          <w:szCs w:val="24"/>
          <w:lang w:eastAsia="pl-PL"/>
        </w:rPr>
        <w:t>o </w:t>
      </w:r>
      <w:r w:rsidR="00A8078B" w:rsidRPr="0053598B">
        <w:rPr>
          <w:rFonts w:ascii="Times New Roman" w:hAnsi="Times New Roman" w:cs="Times New Roman"/>
          <w:color w:val="000000"/>
          <w:sz w:val="24"/>
          <w:szCs w:val="24"/>
          <w:lang w:eastAsia="pl-PL"/>
        </w:rPr>
        <w:t>działalności pożytku publicznego i o wolontariacie),</w:t>
      </w:r>
    </w:p>
    <w:p w:rsidR="00A8078B" w:rsidRPr="0053598B" w:rsidRDefault="00E10BFF" w:rsidP="00E300AD">
      <w:pPr>
        <w:pStyle w:val="Akapitzlist"/>
        <w:spacing w:line="360" w:lineRule="auto"/>
        <w:ind w:left="567" w:hanging="227"/>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w:t>
      </w:r>
      <w:r w:rsidR="00A8078B" w:rsidRPr="0053598B">
        <w:rPr>
          <w:rFonts w:ascii="Times New Roman" w:hAnsi="Times New Roman" w:cs="Times New Roman"/>
          <w:color w:val="000000"/>
          <w:sz w:val="24"/>
          <w:szCs w:val="24"/>
          <w:lang w:eastAsia="pl-PL"/>
        </w:rPr>
        <w:t xml:space="preserve"> wiąże się z dodatkowymi obowiązkami księgowymi,</w:t>
      </w:r>
    </w:p>
    <w:p w:rsidR="00A8078B" w:rsidRPr="0053598B" w:rsidRDefault="00E10BFF"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w:t>
      </w:r>
      <w:r w:rsidR="00A8078B" w:rsidRPr="0053598B">
        <w:rPr>
          <w:rFonts w:ascii="Times New Roman" w:hAnsi="Times New Roman" w:cs="Times New Roman"/>
          <w:color w:val="000000"/>
          <w:sz w:val="24"/>
          <w:szCs w:val="24"/>
          <w:lang w:eastAsia="pl-PL"/>
        </w:rPr>
        <w:t xml:space="preserve"> nie przedstawia rzetelnie kosztów organizacji,</w:t>
      </w:r>
    </w:p>
    <w:p w:rsidR="00A8078B" w:rsidRPr="0053598B" w:rsidRDefault="00E10BFF"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w:t>
      </w:r>
      <w:r w:rsidR="00A8078B" w:rsidRPr="0053598B">
        <w:rPr>
          <w:rFonts w:ascii="Times New Roman" w:hAnsi="Times New Roman" w:cs="Times New Roman"/>
          <w:color w:val="000000"/>
          <w:sz w:val="24"/>
          <w:szCs w:val="24"/>
          <w:lang w:eastAsia="pl-PL"/>
        </w:rPr>
        <w:t xml:space="preserve"> nie odpowiada potrzebom zarządczym i sprawozdawczym.</w:t>
      </w:r>
    </w:p>
    <w:p w:rsidR="00E2382B" w:rsidRPr="0053598B" w:rsidRDefault="00E2382B"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Organizacje pozarządowe prowadzące działalność pożytku publicznego zobowiązane są do podziału przychodów i kosztów uwzględniającego rodzaje działań i źródła ich fin</w:t>
      </w:r>
      <w:r w:rsidR="00A8078B" w:rsidRPr="0053598B">
        <w:rPr>
          <w:rFonts w:ascii="Times New Roman" w:hAnsi="Times New Roman" w:cs="Times New Roman"/>
          <w:color w:val="000000"/>
          <w:sz w:val="24"/>
          <w:szCs w:val="24"/>
          <w:lang w:eastAsia="pl-PL"/>
        </w:rPr>
        <w:t>ansowania. Proponowane</w:t>
      </w:r>
      <w:r w:rsidRPr="0053598B">
        <w:rPr>
          <w:rFonts w:ascii="Times New Roman" w:hAnsi="Times New Roman" w:cs="Times New Roman"/>
          <w:color w:val="000000"/>
          <w:sz w:val="24"/>
          <w:szCs w:val="24"/>
          <w:lang w:eastAsia="pl-PL"/>
        </w:rPr>
        <w:t xml:space="preserve"> zmiany</w:t>
      </w:r>
      <w:r w:rsidR="00A8078B" w:rsidRPr="0053598B">
        <w:rPr>
          <w:rFonts w:ascii="Times New Roman" w:hAnsi="Times New Roman" w:cs="Times New Roman"/>
          <w:color w:val="000000"/>
          <w:sz w:val="24"/>
          <w:szCs w:val="24"/>
          <w:lang w:eastAsia="pl-PL"/>
        </w:rPr>
        <w:t xml:space="preserve"> polegające na wprowadzeniu nowego załącznika nr 6</w:t>
      </w:r>
      <w:r w:rsidRPr="0053598B">
        <w:rPr>
          <w:rFonts w:ascii="Times New Roman" w:hAnsi="Times New Roman" w:cs="Times New Roman"/>
          <w:color w:val="000000"/>
          <w:sz w:val="24"/>
          <w:szCs w:val="24"/>
          <w:lang w:eastAsia="pl-PL"/>
        </w:rPr>
        <w:t xml:space="preserve"> </w:t>
      </w:r>
      <w:r w:rsidR="00A8078B" w:rsidRPr="0053598B">
        <w:rPr>
          <w:rFonts w:ascii="Times New Roman" w:hAnsi="Times New Roman" w:cs="Times New Roman"/>
          <w:color w:val="000000"/>
          <w:sz w:val="24"/>
          <w:szCs w:val="24"/>
          <w:lang w:eastAsia="pl-PL"/>
        </w:rPr>
        <w:t xml:space="preserve">do ustawy </w:t>
      </w:r>
      <w:r w:rsidRPr="0053598B">
        <w:rPr>
          <w:rFonts w:ascii="Times New Roman" w:hAnsi="Times New Roman" w:cs="Times New Roman"/>
          <w:color w:val="000000"/>
          <w:sz w:val="24"/>
          <w:szCs w:val="24"/>
          <w:lang w:eastAsia="pl-PL"/>
        </w:rPr>
        <w:t>o rachunkowości mają na celu</w:t>
      </w:r>
      <w:r w:rsidR="00A8078B" w:rsidRPr="0053598B">
        <w:rPr>
          <w:rFonts w:ascii="Times New Roman" w:hAnsi="Times New Roman" w:cs="Times New Roman"/>
          <w:color w:val="000000"/>
          <w:sz w:val="24"/>
          <w:szCs w:val="24"/>
          <w:lang w:eastAsia="pl-PL"/>
        </w:rPr>
        <w:t xml:space="preserve"> </w:t>
      </w:r>
      <w:r w:rsidRPr="0053598B">
        <w:rPr>
          <w:rFonts w:ascii="Times New Roman" w:hAnsi="Times New Roman" w:cs="Times New Roman"/>
          <w:color w:val="000000"/>
          <w:sz w:val="24"/>
          <w:szCs w:val="24"/>
          <w:lang w:eastAsia="pl-PL"/>
        </w:rPr>
        <w:t xml:space="preserve">dostosowanie </w:t>
      </w:r>
      <w:r w:rsidR="00A8078B" w:rsidRPr="0053598B">
        <w:rPr>
          <w:rFonts w:ascii="Times New Roman" w:hAnsi="Times New Roman" w:cs="Times New Roman"/>
          <w:color w:val="000000"/>
          <w:sz w:val="24"/>
          <w:szCs w:val="24"/>
          <w:lang w:eastAsia="pl-PL"/>
        </w:rPr>
        <w:t>przepisów tej</w:t>
      </w:r>
      <w:r w:rsidRPr="0053598B">
        <w:rPr>
          <w:rFonts w:ascii="Times New Roman" w:hAnsi="Times New Roman" w:cs="Times New Roman"/>
          <w:color w:val="000000"/>
          <w:sz w:val="24"/>
          <w:szCs w:val="24"/>
          <w:lang w:eastAsia="pl-PL"/>
        </w:rPr>
        <w:t xml:space="preserve"> ustawy do wspomnianych art. 10 i art. 10a ustawy </w:t>
      </w:r>
      <w:r w:rsidR="000A4F33" w:rsidRPr="0053598B">
        <w:rPr>
          <w:rFonts w:ascii="Times New Roman" w:hAnsi="Times New Roman" w:cs="Times New Roman"/>
          <w:color w:val="000000"/>
          <w:sz w:val="24"/>
          <w:szCs w:val="24"/>
          <w:lang w:eastAsia="pl-PL"/>
        </w:rPr>
        <w:t xml:space="preserve">z dnia 24 kwietnia 2003 r. </w:t>
      </w:r>
      <w:r w:rsidRPr="0053598B">
        <w:rPr>
          <w:rFonts w:ascii="Times New Roman" w:hAnsi="Times New Roman" w:cs="Times New Roman"/>
          <w:color w:val="000000"/>
          <w:sz w:val="24"/>
          <w:szCs w:val="24"/>
          <w:lang w:eastAsia="pl-PL"/>
        </w:rPr>
        <w:t>o dz</w:t>
      </w:r>
      <w:r w:rsidR="00A8078B" w:rsidRPr="0053598B">
        <w:rPr>
          <w:rFonts w:ascii="Times New Roman" w:hAnsi="Times New Roman" w:cs="Times New Roman"/>
          <w:color w:val="000000"/>
          <w:sz w:val="24"/>
          <w:szCs w:val="24"/>
          <w:lang w:eastAsia="pl-PL"/>
        </w:rPr>
        <w:t xml:space="preserve">iałalności pożytku publicznego </w:t>
      </w:r>
      <w:r w:rsidRPr="0053598B">
        <w:rPr>
          <w:rFonts w:ascii="Times New Roman" w:hAnsi="Times New Roman" w:cs="Times New Roman"/>
          <w:color w:val="000000"/>
          <w:sz w:val="24"/>
          <w:szCs w:val="24"/>
          <w:lang w:eastAsia="pl-PL"/>
        </w:rPr>
        <w:t>i o wolontariacie, a także umożliwienie organizacjom prowadzącym działalność pożytku publicznego wykazywanie przychodów i kosztów zgodnie ze specyfiką ich działalności. Taki podział przychodów i kosztów jest również zgod</w:t>
      </w:r>
      <w:r w:rsidR="000A4F33" w:rsidRPr="0053598B">
        <w:rPr>
          <w:rFonts w:ascii="Times New Roman" w:hAnsi="Times New Roman" w:cs="Times New Roman"/>
          <w:color w:val="000000"/>
          <w:sz w:val="24"/>
          <w:szCs w:val="24"/>
          <w:lang w:eastAsia="pl-PL"/>
        </w:rPr>
        <w:t>n</w:t>
      </w:r>
      <w:r w:rsidRPr="0053598B">
        <w:rPr>
          <w:rFonts w:ascii="Times New Roman" w:hAnsi="Times New Roman" w:cs="Times New Roman"/>
          <w:color w:val="000000"/>
          <w:sz w:val="24"/>
          <w:szCs w:val="24"/>
          <w:lang w:eastAsia="pl-PL"/>
        </w:rPr>
        <w:t>y z</w:t>
      </w:r>
      <w:r w:rsidR="0053598B">
        <w:rPr>
          <w:rFonts w:ascii="Times New Roman" w:hAnsi="Times New Roman" w:cs="Times New Roman"/>
          <w:color w:val="000000"/>
          <w:sz w:val="24"/>
          <w:szCs w:val="24"/>
          <w:lang w:eastAsia="pl-PL"/>
        </w:rPr>
        <w:t> </w:t>
      </w:r>
      <w:r w:rsidRPr="0053598B">
        <w:rPr>
          <w:rFonts w:ascii="Times New Roman" w:hAnsi="Times New Roman" w:cs="Times New Roman"/>
          <w:color w:val="000000"/>
          <w:sz w:val="24"/>
          <w:szCs w:val="24"/>
          <w:lang w:eastAsia="pl-PL"/>
        </w:rPr>
        <w:t>charakterem działań organizacji pozarządowych ze względu na zarządzanie organizacją oraz regulacj</w:t>
      </w:r>
      <w:r w:rsidR="00A8078B" w:rsidRPr="0053598B">
        <w:rPr>
          <w:rFonts w:ascii="Times New Roman" w:hAnsi="Times New Roman" w:cs="Times New Roman"/>
          <w:color w:val="000000"/>
          <w:sz w:val="24"/>
          <w:szCs w:val="24"/>
          <w:lang w:eastAsia="pl-PL"/>
        </w:rPr>
        <w:t>e prawne otrzymywanych dotacji.</w:t>
      </w:r>
    </w:p>
    <w:p w:rsidR="0024717B" w:rsidRPr="0053598B" w:rsidRDefault="00FB0117" w:rsidP="00E10BFF">
      <w:pPr>
        <w:pStyle w:val="Akapitzlist"/>
        <w:spacing w:line="360" w:lineRule="auto"/>
        <w:ind w:left="340"/>
        <w:jc w:val="both"/>
        <w:rPr>
          <w:rFonts w:ascii="Times New Roman" w:hAnsi="Times New Roman" w:cs="Times New Roman"/>
          <w:color w:val="000000"/>
          <w:sz w:val="24"/>
          <w:szCs w:val="24"/>
          <w:lang w:eastAsia="pl-PL"/>
        </w:rPr>
      </w:pPr>
      <w:r w:rsidRPr="0053598B">
        <w:rPr>
          <w:rFonts w:ascii="Times New Roman" w:hAnsi="Times New Roman" w:cs="Times New Roman"/>
          <w:color w:val="000000"/>
          <w:sz w:val="24"/>
          <w:szCs w:val="24"/>
          <w:lang w:eastAsia="pl-PL"/>
        </w:rPr>
        <w:t xml:space="preserve">Biorąc pod uwagę powyższe, projekt zawiera </w:t>
      </w:r>
      <w:r w:rsidR="00AD6FD9" w:rsidRPr="0053598B">
        <w:rPr>
          <w:rFonts w:ascii="Times New Roman" w:hAnsi="Times New Roman" w:cs="Times New Roman"/>
          <w:color w:val="000000"/>
          <w:sz w:val="24"/>
          <w:szCs w:val="24"/>
          <w:lang w:eastAsia="pl-PL"/>
        </w:rPr>
        <w:t>nowy zakres informacyjny sprawozdania finansowego w nowym załączni</w:t>
      </w:r>
      <w:r w:rsidR="00967249" w:rsidRPr="0053598B">
        <w:rPr>
          <w:rFonts w:ascii="Times New Roman" w:hAnsi="Times New Roman" w:cs="Times New Roman"/>
          <w:color w:val="000000"/>
          <w:sz w:val="24"/>
          <w:szCs w:val="24"/>
          <w:lang w:eastAsia="pl-PL"/>
        </w:rPr>
        <w:t>k</w:t>
      </w:r>
      <w:r w:rsidR="00AD6FD9" w:rsidRPr="0053598B">
        <w:rPr>
          <w:rFonts w:ascii="Times New Roman" w:hAnsi="Times New Roman" w:cs="Times New Roman"/>
          <w:color w:val="000000"/>
          <w:sz w:val="24"/>
          <w:szCs w:val="24"/>
          <w:lang w:eastAsia="pl-PL"/>
        </w:rPr>
        <w:t>u</w:t>
      </w:r>
      <w:r w:rsidRPr="0053598B">
        <w:rPr>
          <w:rFonts w:ascii="Times New Roman" w:hAnsi="Times New Roman" w:cs="Times New Roman"/>
          <w:color w:val="000000"/>
          <w:sz w:val="24"/>
          <w:szCs w:val="24"/>
          <w:lang w:eastAsia="pl-PL"/>
        </w:rPr>
        <w:t xml:space="preserve"> </w:t>
      </w:r>
      <w:r w:rsidR="00AD6FD9" w:rsidRPr="0053598B">
        <w:rPr>
          <w:rFonts w:ascii="Times New Roman" w:hAnsi="Times New Roman" w:cs="Times New Roman"/>
          <w:color w:val="000000"/>
          <w:sz w:val="24"/>
          <w:szCs w:val="24"/>
          <w:lang w:eastAsia="pl-PL"/>
        </w:rPr>
        <w:t>nr</w:t>
      </w:r>
      <w:r w:rsidR="00E10BFF" w:rsidRPr="0053598B">
        <w:rPr>
          <w:rFonts w:ascii="Times New Roman" w:hAnsi="Times New Roman" w:cs="Times New Roman"/>
          <w:color w:val="000000"/>
          <w:sz w:val="24"/>
          <w:szCs w:val="24"/>
          <w:lang w:eastAsia="pl-PL"/>
        </w:rPr>
        <w:t xml:space="preserve"> </w:t>
      </w:r>
      <w:r w:rsidR="00AD6FD9" w:rsidRPr="0053598B">
        <w:rPr>
          <w:rFonts w:ascii="Times New Roman" w:hAnsi="Times New Roman" w:cs="Times New Roman"/>
          <w:color w:val="000000"/>
          <w:sz w:val="24"/>
          <w:szCs w:val="24"/>
          <w:lang w:eastAsia="pl-PL"/>
        </w:rPr>
        <w:t>6, składający</w:t>
      </w:r>
      <w:r w:rsidR="0024717B" w:rsidRPr="0053598B">
        <w:rPr>
          <w:rFonts w:ascii="Times New Roman" w:hAnsi="Times New Roman" w:cs="Times New Roman"/>
          <w:color w:val="000000"/>
          <w:sz w:val="24"/>
          <w:szCs w:val="24"/>
          <w:lang w:eastAsia="pl-PL"/>
        </w:rPr>
        <w:t xml:space="preserve"> się z wprowadzenia do sprawozdania finansowego, uproszczonego bilansu oraz rachunku zysków i strat w wersji kalkulacyjnej (dostosowanego do prowadzonej przez te podmioty działalności), oraz informacji </w:t>
      </w:r>
      <w:r w:rsidR="00206A9A" w:rsidRPr="0053598B">
        <w:rPr>
          <w:rFonts w:ascii="Times New Roman" w:hAnsi="Times New Roman" w:cs="Times New Roman"/>
          <w:color w:val="000000"/>
          <w:sz w:val="24"/>
          <w:szCs w:val="24"/>
          <w:lang w:eastAsia="pl-PL"/>
        </w:rPr>
        <w:t>dodatkow</w:t>
      </w:r>
      <w:r w:rsidR="00AB17AF" w:rsidRPr="0053598B">
        <w:rPr>
          <w:rFonts w:ascii="Times New Roman" w:hAnsi="Times New Roman" w:cs="Times New Roman"/>
          <w:color w:val="000000"/>
          <w:sz w:val="24"/>
          <w:szCs w:val="24"/>
          <w:lang w:eastAsia="pl-PL"/>
        </w:rPr>
        <w:t>ej</w:t>
      </w:r>
      <w:r w:rsidR="00206A9A" w:rsidRPr="0053598B">
        <w:rPr>
          <w:rFonts w:ascii="Times New Roman" w:hAnsi="Times New Roman" w:cs="Times New Roman"/>
          <w:color w:val="000000"/>
          <w:sz w:val="24"/>
          <w:szCs w:val="24"/>
          <w:lang w:eastAsia="pl-PL"/>
        </w:rPr>
        <w:t xml:space="preserve"> </w:t>
      </w:r>
      <w:r w:rsidR="00E10BFF" w:rsidRPr="0053598B">
        <w:rPr>
          <w:rFonts w:ascii="Times New Roman" w:hAnsi="Times New Roman" w:cs="Times New Roman"/>
          <w:color w:val="000000"/>
          <w:sz w:val="24"/>
          <w:szCs w:val="24"/>
          <w:lang w:eastAsia="pl-PL"/>
        </w:rPr>
        <w:t>–</w:t>
      </w:r>
      <w:r w:rsidR="00A450B9" w:rsidRPr="0053598B">
        <w:rPr>
          <w:rFonts w:ascii="Times New Roman" w:hAnsi="Times New Roman" w:cs="Times New Roman"/>
          <w:color w:val="000000"/>
          <w:sz w:val="24"/>
          <w:szCs w:val="24"/>
          <w:lang w:eastAsia="pl-PL"/>
        </w:rPr>
        <w:t xml:space="preserve"> </w:t>
      </w:r>
      <w:r w:rsidR="0024717B" w:rsidRPr="0053598B">
        <w:rPr>
          <w:rFonts w:ascii="Times New Roman" w:hAnsi="Times New Roman" w:cs="Times New Roman"/>
          <w:color w:val="000000"/>
          <w:sz w:val="24"/>
          <w:szCs w:val="24"/>
          <w:lang w:eastAsia="pl-PL"/>
        </w:rPr>
        <w:t>charakterystycznych dla tych jednostek</w:t>
      </w:r>
      <w:r w:rsidR="00A450B9" w:rsidRPr="0053598B">
        <w:rPr>
          <w:rFonts w:ascii="Times New Roman" w:hAnsi="Times New Roman" w:cs="Times New Roman"/>
          <w:color w:val="000000"/>
          <w:sz w:val="24"/>
          <w:szCs w:val="24"/>
          <w:lang w:eastAsia="pl-PL"/>
        </w:rPr>
        <w:t xml:space="preserve">. </w:t>
      </w:r>
      <w:r w:rsidR="00EE0CDE" w:rsidRPr="0053598B">
        <w:rPr>
          <w:rFonts w:ascii="Times New Roman" w:hAnsi="Times New Roman" w:cs="Times New Roman"/>
          <w:color w:val="000000"/>
          <w:sz w:val="24"/>
          <w:szCs w:val="24"/>
          <w:lang w:eastAsia="pl-PL"/>
        </w:rPr>
        <w:t>W informacj</w:t>
      </w:r>
      <w:r w:rsidR="00AB17AF" w:rsidRPr="0053598B">
        <w:rPr>
          <w:rFonts w:ascii="Times New Roman" w:hAnsi="Times New Roman" w:cs="Times New Roman"/>
          <w:color w:val="000000"/>
          <w:sz w:val="24"/>
          <w:szCs w:val="24"/>
          <w:lang w:eastAsia="pl-PL"/>
        </w:rPr>
        <w:t>i</w:t>
      </w:r>
      <w:r w:rsidR="00EE0CDE" w:rsidRPr="0053598B">
        <w:rPr>
          <w:rFonts w:ascii="Times New Roman" w:hAnsi="Times New Roman" w:cs="Times New Roman"/>
          <w:color w:val="000000"/>
          <w:sz w:val="24"/>
          <w:szCs w:val="24"/>
          <w:lang w:eastAsia="pl-PL"/>
        </w:rPr>
        <w:t xml:space="preserve"> </w:t>
      </w:r>
      <w:r w:rsidR="00AB17AF" w:rsidRPr="0053598B">
        <w:rPr>
          <w:rFonts w:ascii="Times New Roman" w:hAnsi="Times New Roman" w:cs="Times New Roman"/>
          <w:color w:val="000000"/>
          <w:sz w:val="24"/>
          <w:szCs w:val="24"/>
          <w:lang w:eastAsia="pl-PL"/>
        </w:rPr>
        <w:t>dodatkowej</w:t>
      </w:r>
      <w:r w:rsidR="00EE0CDE" w:rsidRPr="0053598B">
        <w:rPr>
          <w:rFonts w:ascii="Times New Roman" w:hAnsi="Times New Roman" w:cs="Times New Roman"/>
          <w:color w:val="000000"/>
          <w:sz w:val="24"/>
          <w:szCs w:val="24"/>
          <w:lang w:eastAsia="pl-PL"/>
        </w:rPr>
        <w:t xml:space="preserve"> w pkt 7</w:t>
      </w:r>
      <w:r w:rsidR="00E10BFF" w:rsidRPr="0053598B">
        <w:rPr>
          <w:rFonts w:ascii="Times New Roman" w:hAnsi="Times New Roman" w:cs="Times New Roman"/>
          <w:color w:val="000000"/>
          <w:sz w:val="24"/>
          <w:szCs w:val="24"/>
          <w:lang w:eastAsia="pl-PL"/>
        </w:rPr>
        <w:t xml:space="preserve"> </w:t>
      </w:r>
      <w:r w:rsidR="00EE0CDE" w:rsidRPr="0053598B">
        <w:rPr>
          <w:rFonts w:ascii="Times New Roman" w:hAnsi="Times New Roman" w:cs="Times New Roman"/>
          <w:color w:val="000000"/>
          <w:sz w:val="24"/>
          <w:szCs w:val="24"/>
          <w:lang w:eastAsia="pl-PL"/>
        </w:rPr>
        <w:t xml:space="preserve">jednostki </w:t>
      </w:r>
      <w:r w:rsidR="00EE0CDE" w:rsidRPr="0053598B">
        <w:rPr>
          <w:rFonts w:ascii="Times New Roman" w:hAnsi="Times New Roman" w:cs="Times New Roman"/>
          <w:kern w:val="24"/>
          <w:sz w:val="24"/>
          <w:szCs w:val="24"/>
        </w:rPr>
        <w:t>posiadające status organizacji pożytku publicznego</w:t>
      </w:r>
      <w:r w:rsidR="00EE0CDE" w:rsidRPr="0053598B">
        <w:rPr>
          <w:rFonts w:ascii="Times New Roman" w:hAnsi="Times New Roman" w:cs="Times New Roman"/>
          <w:color w:val="000000"/>
          <w:sz w:val="24"/>
          <w:szCs w:val="24"/>
          <w:lang w:eastAsia="pl-PL"/>
        </w:rPr>
        <w:t xml:space="preserve"> będą zobowiązane do </w:t>
      </w:r>
      <w:r w:rsidR="00EE0CDE" w:rsidRPr="0053598B">
        <w:rPr>
          <w:rFonts w:ascii="Times New Roman" w:hAnsi="Times New Roman" w:cs="Times New Roman"/>
          <w:kern w:val="24"/>
          <w:sz w:val="24"/>
          <w:szCs w:val="24"/>
        </w:rPr>
        <w:t>zamieszczenia danych na temat uzyskanych przychodów i poniesionych kosztów z tytułu 1% podatku dochodowego od osób fizycznych oraz sposobu wydatkowania środków pochodzących z 1% podatku dochodowego od osób fizycznych, wymagane ustawą z dnia 24 kwietnia 2003 r. o działalności pożytku publicznego i o wolontariacie</w:t>
      </w:r>
      <w:r w:rsidR="00EE0CDE" w:rsidRPr="0053598B">
        <w:rPr>
          <w:rFonts w:ascii="Times New Roman" w:hAnsi="Times New Roman" w:cs="Times New Roman"/>
          <w:color w:val="000000"/>
          <w:sz w:val="24"/>
          <w:szCs w:val="24"/>
          <w:lang w:eastAsia="pl-PL"/>
        </w:rPr>
        <w:t xml:space="preserve">. Co prawda </w:t>
      </w:r>
      <w:r w:rsidR="00EE0CDE" w:rsidRPr="0053598B">
        <w:rPr>
          <w:rFonts w:ascii="Times New Roman" w:hAnsi="Times New Roman" w:cs="Times New Roman"/>
          <w:color w:val="000000"/>
          <w:sz w:val="24"/>
          <w:szCs w:val="24"/>
          <w:lang w:eastAsia="pl-PL"/>
        </w:rPr>
        <w:lastRenderedPageBreak/>
        <w:t>zgodnie z art. 23 ust. 6d i 6e ww. ustawy, organizacja pożytku publicznego w</w:t>
      </w:r>
      <w:r w:rsidR="0053598B">
        <w:rPr>
          <w:rFonts w:ascii="Times New Roman" w:hAnsi="Times New Roman" w:cs="Times New Roman"/>
          <w:color w:val="000000"/>
          <w:sz w:val="24"/>
          <w:szCs w:val="24"/>
          <w:lang w:eastAsia="pl-PL"/>
        </w:rPr>
        <w:t> </w:t>
      </w:r>
      <w:r w:rsidR="00EE0CDE" w:rsidRPr="0053598B">
        <w:rPr>
          <w:rFonts w:ascii="Times New Roman" w:hAnsi="Times New Roman" w:cs="Times New Roman"/>
          <w:color w:val="000000"/>
          <w:sz w:val="24"/>
          <w:szCs w:val="24"/>
          <w:lang w:eastAsia="pl-PL"/>
        </w:rPr>
        <w:t>sprawozdaniu merytorycznym zobowiązana jest podać informację na temat osiągniętych przychodów z 1% podatku oraz poniesionych kosztów, to zgodnie z</w:t>
      </w:r>
      <w:r w:rsidR="0053598B">
        <w:rPr>
          <w:rFonts w:ascii="Times New Roman" w:hAnsi="Times New Roman" w:cs="Times New Roman"/>
          <w:color w:val="000000"/>
          <w:sz w:val="24"/>
          <w:szCs w:val="24"/>
          <w:lang w:eastAsia="pl-PL"/>
        </w:rPr>
        <w:t> </w:t>
      </w:r>
      <w:r w:rsidR="00EE0CDE" w:rsidRPr="0053598B">
        <w:rPr>
          <w:rFonts w:ascii="Times New Roman" w:hAnsi="Times New Roman" w:cs="Times New Roman"/>
          <w:color w:val="000000"/>
          <w:sz w:val="24"/>
          <w:szCs w:val="24"/>
          <w:lang w:eastAsia="pl-PL"/>
        </w:rPr>
        <w:t xml:space="preserve">rozporządzeniem </w:t>
      </w:r>
      <w:r w:rsidR="006D5C9D" w:rsidRPr="0053598B">
        <w:rPr>
          <w:rFonts w:ascii="Times New Roman" w:hAnsi="Times New Roman" w:cs="Times New Roman"/>
          <w:color w:val="000000"/>
          <w:sz w:val="24"/>
          <w:szCs w:val="24"/>
          <w:lang w:eastAsia="pl-PL"/>
        </w:rPr>
        <w:t xml:space="preserve">Ministra Pracy i Polityki Społecznej z dnia 12 lutego 2013 r. </w:t>
      </w:r>
      <w:r w:rsidR="00EE0CDE" w:rsidRPr="0053598B">
        <w:rPr>
          <w:rFonts w:ascii="Times New Roman" w:hAnsi="Times New Roman" w:cs="Times New Roman"/>
          <w:color w:val="000000"/>
          <w:sz w:val="24"/>
          <w:szCs w:val="24"/>
          <w:lang w:eastAsia="pl-PL"/>
        </w:rPr>
        <w:t>w</w:t>
      </w:r>
      <w:r w:rsidR="0053598B">
        <w:rPr>
          <w:rFonts w:ascii="Times New Roman" w:hAnsi="Times New Roman" w:cs="Times New Roman"/>
          <w:color w:val="000000"/>
          <w:sz w:val="24"/>
          <w:szCs w:val="24"/>
          <w:lang w:eastAsia="pl-PL"/>
        </w:rPr>
        <w:t> </w:t>
      </w:r>
      <w:r w:rsidR="00EE0CDE" w:rsidRPr="0053598B">
        <w:rPr>
          <w:rFonts w:ascii="Times New Roman" w:hAnsi="Times New Roman" w:cs="Times New Roman"/>
          <w:color w:val="000000"/>
          <w:sz w:val="24"/>
          <w:szCs w:val="24"/>
          <w:lang w:eastAsia="pl-PL"/>
        </w:rPr>
        <w:t xml:space="preserve">sprawie wzorów rocznego sprawozdania merytorycznego oraz rocznego uproszczonego sprawozdania merytorycznego z działalności organizacji pożytku publicznego (Dz. U. poz. 234) ogranicza się jedynie do wskazania kwot ogółem. Dlatego w </w:t>
      </w:r>
      <w:r w:rsidR="006A0770" w:rsidRPr="0053598B">
        <w:rPr>
          <w:rFonts w:ascii="Times New Roman" w:hAnsi="Times New Roman" w:cs="Times New Roman"/>
          <w:color w:val="000000"/>
          <w:sz w:val="24"/>
          <w:szCs w:val="24"/>
          <w:lang w:eastAsia="pl-PL"/>
        </w:rPr>
        <w:t>i</w:t>
      </w:r>
      <w:r w:rsidR="00EE0CDE" w:rsidRPr="0053598B">
        <w:rPr>
          <w:rFonts w:ascii="Times New Roman" w:hAnsi="Times New Roman" w:cs="Times New Roman"/>
          <w:color w:val="000000"/>
          <w:sz w:val="24"/>
          <w:szCs w:val="24"/>
          <w:lang w:eastAsia="pl-PL"/>
        </w:rPr>
        <w:t>nformacj</w:t>
      </w:r>
      <w:r w:rsidR="006A0770" w:rsidRPr="0053598B">
        <w:rPr>
          <w:rFonts w:ascii="Times New Roman" w:hAnsi="Times New Roman" w:cs="Times New Roman"/>
          <w:color w:val="000000"/>
          <w:sz w:val="24"/>
          <w:szCs w:val="24"/>
          <w:lang w:eastAsia="pl-PL"/>
        </w:rPr>
        <w:t>i</w:t>
      </w:r>
      <w:r w:rsidR="00EE0CDE" w:rsidRPr="0053598B">
        <w:rPr>
          <w:rFonts w:ascii="Times New Roman" w:hAnsi="Times New Roman" w:cs="Times New Roman"/>
          <w:color w:val="000000"/>
          <w:sz w:val="24"/>
          <w:szCs w:val="24"/>
          <w:lang w:eastAsia="pl-PL"/>
        </w:rPr>
        <w:t xml:space="preserve"> </w:t>
      </w:r>
      <w:r w:rsidR="00206A9A" w:rsidRPr="0053598B">
        <w:rPr>
          <w:rFonts w:ascii="Times New Roman" w:hAnsi="Times New Roman" w:cs="Times New Roman"/>
          <w:color w:val="000000"/>
          <w:sz w:val="24"/>
          <w:szCs w:val="24"/>
          <w:lang w:eastAsia="pl-PL"/>
        </w:rPr>
        <w:t>dodatkow</w:t>
      </w:r>
      <w:r w:rsidR="006A0770" w:rsidRPr="0053598B">
        <w:rPr>
          <w:rFonts w:ascii="Times New Roman" w:hAnsi="Times New Roman" w:cs="Times New Roman"/>
          <w:color w:val="000000"/>
          <w:sz w:val="24"/>
          <w:szCs w:val="24"/>
          <w:lang w:eastAsia="pl-PL"/>
        </w:rPr>
        <w:t>ej</w:t>
      </w:r>
      <w:r w:rsidR="00206A9A" w:rsidRPr="0053598B">
        <w:rPr>
          <w:rFonts w:ascii="Times New Roman" w:hAnsi="Times New Roman" w:cs="Times New Roman"/>
          <w:color w:val="000000"/>
          <w:sz w:val="24"/>
          <w:szCs w:val="24"/>
          <w:lang w:eastAsia="pl-PL"/>
        </w:rPr>
        <w:t xml:space="preserve"> </w:t>
      </w:r>
      <w:r w:rsidR="00EE0CDE" w:rsidRPr="0053598B">
        <w:rPr>
          <w:rFonts w:ascii="Times New Roman" w:hAnsi="Times New Roman" w:cs="Times New Roman"/>
          <w:color w:val="000000"/>
          <w:sz w:val="24"/>
          <w:szCs w:val="24"/>
          <w:lang w:eastAsia="pl-PL"/>
        </w:rPr>
        <w:t>do sprawozdania finansowego mogłaby przedstawić bardziej szczegółowe informacje, w tym np. szczegółowe zestawienie poniesionych kosztów.</w:t>
      </w:r>
    </w:p>
    <w:p w:rsidR="00371661" w:rsidRPr="0053598B" w:rsidRDefault="00371661" w:rsidP="005D7F97">
      <w:pPr>
        <w:pStyle w:val="Akapitzlist"/>
        <w:numPr>
          <w:ilvl w:val="0"/>
          <w:numId w:val="17"/>
        </w:numPr>
        <w:spacing w:before="360" w:after="120" w:line="360" w:lineRule="auto"/>
        <w:contextualSpacing w:val="0"/>
        <w:jc w:val="both"/>
        <w:rPr>
          <w:rFonts w:ascii="Times New Roman" w:hAnsi="Times New Roman" w:cs="Times New Roman"/>
          <w:color w:val="000000"/>
          <w:sz w:val="24"/>
          <w:szCs w:val="24"/>
          <w:lang w:eastAsia="pl-PL"/>
        </w:rPr>
      </w:pPr>
      <w:r w:rsidRPr="0053598B">
        <w:rPr>
          <w:rFonts w:ascii="Times New Roman" w:hAnsi="Times New Roman" w:cs="Times New Roman"/>
          <w:b/>
          <w:color w:val="000000"/>
          <w:sz w:val="24"/>
          <w:szCs w:val="24"/>
          <w:lang w:eastAsia="pl-PL"/>
        </w:rPr>
        <w:t xml:space="preserve">Art. 1 pkt </w:t>
      </w:r>
      <w:r w:rsidR="00A343D3" w:rsidRPr="0053598B">
        <w:rPr>
          <w:rFonts w:ascii="Times New Roman" w:hAnsi="Times New Roman" w:cs="Times New Roman"/>
          <w:b/>
          <w:color w:val="000000"/>
          <w:sz w:val="24"/>
          <w:szCs w:val="24"/>
          <w:lang w:eastAsia="pl-PL"/>
        </w:rPr>
        <w:t xml:space="preserve">8 </w:t>
      </w:r>
      <w:r w:rsidRPr="0053598B">
        <w:rPr>
          <w:rFonts w:ascii="Times New Roman" w:hAnsi="Times New Roman" w:cs="Times New Roman"/>
          <w:b/>
          <w:color w:val="000000"/>
          <w:sz w:val="24"/>
          <w:szCs w:val="24"/>
          <w:lang w:eastAsia="pl-PL"/>
        </w:rPr>
        <w:t>ustawy nowelizującej</w:t>
      </w:r>
      <w:r w:rsidRPr="0053598B">
        <w:rPr>
          <w:rFonts w:ascii="Times New Roman" w:hAnsi="Times New Roman" w:cs="Times New Roman"/>
          <w:color w:val="000000"/>
          <w:sz w:val="24"/>
          <w:szCs w:val="24"/>
          <w:lang w:eastAsia="pl-PL"/>
        </w:rPr>
        <w:t xml:space="preserve"> wprowadza nowe brzmienie ust. 3</w:t>
      </w:r>
      <w:r w:rsidR="004D0724" w:rsidRPr="0053598B">
        <w:rPr>
          <w:rFonts w:ascii="Times New Roman" w:hAnsi="Times New Roman" w:cs="Times New Roman"/>
          <w:color w:val="000000"/>
          <w:sz w:val="24"/>
          <w:szCs w:val="24"/>
          <w:lang w:eastAsia="pl-PL"/>
        </w:rPr>
        <w:t xml:space="preserve"> i 6 oraz wprowadza nowy ust</w:t>
      </w:r>
      <w:r w:rsidR="006D5C9D" w:rsidRPr="0053598B">
        <w:rPr>
          <w:rFonts w:ascii="Times New Roman" w:hAnsi="Times New Roman" w:cs="Times New Roman"/>
          <w:color w:val="000000"/>
          <w:sz w:val="24"/>
          <w:szCs w:val="24"/>
          <w:lang w:eastAsia="pl-PL"/>
        </w:rPr>
        <w:t>.</w:t>
      </w:r>
      <w:r w:rsidR="004D0724" w:rsidRPr="0053598B">
        <w:rPr>
          <w:rFonts w:ascii="Times New Roman" w:hAnsi="Times New Roman" w:cs="Times New Roman"/>
          <w:color w:val="000000"/>
          <w:sz w:val="24"/>
          <w:szCs w:val="24"/>
          <w:lang w:eastAsia="pl-PL"/>
        </w:rPr>
        <w:t xml:space="preserve"> 3a</w:t>
      </w:r>
      <w:r w:rsidR="007E0DDD" w:rsidRPr="0053598B">
        <w:rPr>
          <w:rFonts w:ascii="Times New Roman" w:hAnsi="Times New Roman" w:cs="Times New Roman"/>
          <w:color w:val="000000"/>
          <w:sz w:val="24"/>
          <w:szCs w:val="24"/>
          <w:lang w:eastAsia="pl-PL"/>
        </w:rPr>
        <w:t xml:space="preserve"> </w:t>
      </w:r>
      <w:r w:rsidRPr="0053598B">
        <w:rPr>
          <w:rFonts w:ascii="Times New Roman" w:hAnsi="Times New Roman" w:cs="Times New Roman"/>
          <w:color w:val="000000"/>
          <w:sz w:val="24"/>
          <w:szCs w:val="24"/>
          <w:lang w:eastAsia="pl-PL"/>
        </w:rPr>
        <w:t>w art. 49 ustawy o rachunkowości.</w:t>
      </w:r>
    </w:p>
    <w:p w:rsidR="00371661" w:rsidRPr="0053598B" w:rsidRDefault="00E10BFF" w:rsidP="00E10BFF">
      <w:pPr>
        <w:spacing w:line="360" w:lineRule="auto"/>
        <w:ind w:left="426"/>
        <w:jc w:val="both"/>
        <w:rPr>
          <w:lang w:eastAsia="pl-PL"/>
        </w:rPr>
      </w:pPr>
      <w:r w:rsidRPr="0053598B">
        <w:rPr>
          <w:b/>
          <w:color w:val="000000"/>
          <w:lang w:eastAsia="pl-PL"/>
        </w:rPr>
        <w:t>–</w:t>
      </w:r>
      <w:r w:rsidR="000A4F33" w:rsidRPr="0053598B">
        <w:rPr>
          <w:b/>
          <w:color w:val="000000"/>
          <w:lang w:eastAsia="pl-PL"/>
        </w:rPr>
        <w:t xml:space="preserve"> w </w:t>
      </w:r>
      <w:r w:rsidR="004D0724" w:rsidRPr="0053598B">
        <w:rPr>
          <w:b/>
          <w:color w:val="000000"/>
          <w:lang w:eastAsia="pl-PL"/>
        </w:rPr>
        <w:t xml:space="preserve">lit. a </w:t>
      </w:r>
      <w:r w:rsidR="000A4F33" w:rsidRPr="0053598B">
        <w:rPr>
          <w:lang w:eastAsia="pl-PL"/>
        </w:rPr>
        <w:t>wprowadza się</w:t>
      </w:r>
      <w:r w:rsidR="004D0724" w:rsidRPr="0053598B">
        <w:rPr>
          <w:color w:val="000000"/>
          <w:lang w:eastAsia="pl-PL"/>
        </w:rPr>
        <w:t xml:space="preserve"> </w:t>
      </w:r>
      <w:r w:rsidR="004D0724" w:rsidRPr="0053598B">
        <w:rPr>
          <w:lang w:eastAsia="pl-PL"/>
        </w:rPr>
        <w:t xml:space="preserve">nowe brzmienie ust. 3 w art. 49 polegające na </w:t>
      </w:r>
      <w:r w:rsidR="00371661" w:rsidRPr="0053598B">
        <w:rPr>
          <w:lang w:eastAsia="pl-PL"/>
        </w:rPr>
        <w:t>doprecyzowani</w:t>
      </w:r>
      <w:r w:rsidR="004D0724" w:rsidRPr="0053598B">
        <w:rPr>
          <w:lang w:eastAsia="pl-PL"/>
        </w:rPr>
        <w:t>u</w:t>
      </w:r>
      <w:r w:rsidR="00191922" w:rsidRPr="0053598B">
        <w:rPr>
          <w:lang w:eastAsia="pl-PL"/>
        </w:rPr>
        <w:t xml:space="preserve"> i</w:t>
      </w:r>
      <w:r w:rsidR="0053598B">
        <w:rPr>
          <w:lang w:eastAsia="pl-PL"/>
        </w:rPr>
        <w:t> </w:t>
      </w:r>
      <w:r w:rsidR="00191922" w:rsidRPr="0053598B">
        <w:rPr>
          <w:lang w:eastAsia="pl-PL"/>
        </w:rPr>
        <w:t>ujednoliceni</w:t>
      </w:r>
      <w:r w:rsidR="004D0724" w:rsidRPr="0053598B">
        <w:rPr>
          <w:lang w:eastAsia="pl-PL"/>
        </w:rPr>
        <w:t xml:space="preserve">u </w:t>
      </w:r>
      <w:r w:rsidR="00191922" w:rsidRPr="0053598B">
        <w:rPr>
          <w:lang w:eastAsia="pl-PL"/>
        </w:rPr>
        <w:t xml:space="preserve">terminologii </w:t>
      </w:r>
      <w:r w:rsidR="008165E5" w:rsidRPr="0053598B">
        <w:rPr>
          <w:lang w:eastAsia="pl-PL"/>
        </w:rPr>
        <w:t>dotyczącej</w:t>
      </w:r>
      <w:r w:rsidR="00371661" w:rsidRPr="0053598B">
        <w:rPr>
          <w:lang w:eastAsia="pl-PL"/>
        </w:rPr>
        <w:t xml:space="preserve"> podstawowych wymogów </w:t>
      </w:r>
      <w:r w:rsidR="008165E5" w:rsidRPr="0053598B">
        <w:rPr>
          <w:lang w:eastAsia="pl-PL"/>
        </w:rPr>
        <w:t>w zakresie</w:t>
      </w:r>
      <w:r w:rsidR="00371661" w:rsidRPr="0053598B">
        <w:rPr>
          <w:lang w:eastAsia="pl-PL"/>
        </w:rPr>
        <w:t xml:space="preserve"> </w:t>
      </w:r>
      <w:r w:rsidR="00191922" w:rsidRPr="0053598B">
        <w:rPr>
          <w:lang w:eastAsia="pl-PL"/>
        </w:rPr>
        <w:t>wykazywania</w:t>
      </w:r>
      <w:r w:rsidR="00371661" w:rsidRPr="0053598B">
        <w:rPr>
          <w:lang w:eastAsia="pl-PL"/>
        </w:rPr>
        <w:t xml:space="preserve"> </w:t>
      </w:r>
      <w:r w:rsidR="00750C61" w:rsidRPr="0053598B">
        <w:rPr>
          <w:lang w:eastAsia="pl-PL"/>
        </w:rPr>
        <w:t xml:space="preserve">dodatkowych </w:t>
      </w:r>
      <w:r w:rsidR="00371661" w:rsidRPr="0053598B">
        <w:rPr>
          <w:lang w:eastAsia="pl-PL"/>
        </w:rPr>
        <w:t>informacji w sprawozdaniu z działalności</w:t>
      </w:r>
      <w:r w:rsidR="00191922" w:rsidRPr="0053598B">
        <w:rPr>
          <w:lang w:eastAsia="pl-PL"/>
        </w:rPr>
        <w:t xml:space="preserve">, tj. </w:t>
      </w:r>
      <w:r w:rsidR="00D77BC3" w:rsidRPr="0053598B">
        <w:rPr>
          <w:lang w:eastAsia="pl-PL"/>
        </w:rPr>
        <w:t xml:space="preserve">kluczowych finansowych i niefinansowych </w:t>
      </w:r>
      <w:r w:rsidR="00371661" w:rsidRPr="0053598B">
        <w:rPr>
          <w:lang w:eastAsia="pl-PL"/>
        </w:rPr>
        <w:t>wskaźników</w:t>
      </w:r>
      <w:r w:rsidR="00D77BC3" w:rsidRPr="0053598B">
        <w:rPr>
          <w:lang w:eastAsia="pl-PL"/>
        </w:rPr>
        <w:t xml:space="preserve"> efektywności związanych z</w:t>
      </w:r>
      <w:r w:rsidRPr="0053598B">
        <w:rPr>
          <w:lang w:eastAsia="pl-PL"/>
        </w:rPr>
        <w:t xml:space="preserve"> </w:t>
      </w:r>
      <w:r w:rsidR="00D77BC3" w:rsidRPr="0053598B">
        <w:rPr>
          <w:lang w:eastAsia="pl-PL"/>
        </w:rPr>
        <w:t>działalnością jednostki</w:t>
      </w:r>
      <w:r w:rsidR="00191922" w:rsidRPr="0053598B">
        <w:rPr>
          <w:lang w:eastAsia="pl-PL"/>
        </w:rPr>
        <w:t>,</w:t>
      </w:r>
      <w:r w:rsidR="00D77BC3" w:rsidRPr="0053598B">
        <w:rPr>
          <w:lang w:eastAsia="pl-PL"/>
        </w:rPr>
        <w:t xml:space="preserve"> a także informacji dotyczących</w:t>
      </w:r>
      <w:r w:rsidR="00097AC9" w:rsidRPr="0053598B">
        <w:rPr>
          <w:lang w:eastAsia="pl-PL"/>
        </w:rPr>
        <w:t xml:space="preserve"> zagadnień pracowniczych i</w:t>
      </w:r>
      <w:r w:rsidRPr="0053598B">
        <w:rPr>
          <w:lang w:eastAsia="pl-PL"/>
        </w:rPr>
        <w:t xml:space="preserve"> </w:t>
      </w:r>
      <w:r w:rsidR="00097AC9" w:rsidRPr="0053598B">
        <w:rPr>
          <w:lang w:eastAsia="pl-PL"/>
        </w:rPr>
        <w:t>środowiska naturalnego,</w:t>
      </w:r>
      <w:r w:rsidR="00191922" w:rsidRPr="0053598B">
        <w:rPr>
          <w:lang w:eastAsia="pl-PL"/>
        </w:rPr>
        <w:t xml:space="preserve"> zgodnie</w:t>
      </w:r>
      <w:r w:rsidR="00D77BC3" w:rsidRPr="0053598B">
        <w:rPr>
          <w:lang w:eastAsia="pl-PL"/>
        </w:rPr>
        <w:t xml:space="preserve"> z</w:t>
      </w:r>
      <w:r w:rsidR="00191922" w:rsidRPr="0053598B">
        <w:rPr>
          <w:lang w:eastAsia="pl-PL"/>
        </w:rPr>
        <w:t xml:space="preserve"> art. 19 ust. 1 trzeci akapit dyrektywy 2013/34/U</w:t>
      </w:r>
      <w:r w:rsidR="006D5C9D" w:rsidRPr="0053598B">
        <w:rPr>
          <w:lang w:eastAsia="pl-PL"/>
        </w:rPr>
        <w:t>E</w:t>
      </w:r>
      <w:r w:rsidR="00191922" w:rsidRPr="0053598B">
        <w:rPr>
          <w:lang w:eastAsia="pl-PL"/>
        </w:rPr>
        <w:t>, w</w:t>
      </w:r>
      <w:r w:rsidRPr="0053598B">
        <w:rPr>
          <w:lang w:eastAsia="pl-PL"/>
        </w:rPr>
        <w:t xml:space="preserve"> </w:t>
      </w:r>
      <w:r w:rsidR="00191922" w:rsidRPr="0053598B">
        <w:rPr>
          <w:lang w:eastAsia="pl-PL"/>
        </w:rPr>
        <w:t xml:space="preserve">kontekście nowego art. 19a wprowadzonego dyrektywą 2014/95/UE. </w:t>
      </w:r>
    </w:p>
    <w:p w:rsidR="00191922" w:rsidRPr="0053598B" w:rsidRDefault="00E10BFF" w:rsidP="00E10BFF">
      <w:pPr>
        <w:spacing w:line="360" w:lineRule="auto"/>
        <w:ind w:left="426"/>
        <w:jc w:val="both"/>
        <w:rPr>
          <w:lang w:eastAsia="pl-PL"/>
        </w:rPr>
      </w:pPr>
      <w:r w:rsidRPr="0053598B">
        <w:rPr>
          <w:b/>
          <w:lang w:eastAsia="pl-PL"/>
        </w:rPr>
        <w:t>–</w:t>
      </w:r>
      <w:r w:rsidR="000A4F33" w:rsidRPr="0053598B">
        <w:rPr>
          <w:b/>
          <w:lang w:eastAsia="pl-PL"/>
        </w:rPr>
        <w:t xml:space="preserve"> w </w:t>
      </w:r>
      <w:r w:rsidR="00C7089C" w:rsidRPr="0053598B">
        <w:rPr>
          <w:b/>
          <w:lang w:eastAsia="pl-PL"/>
        </w:rPr>
        <w:t xml:space="preserve">lit. b </w:t>
      </w:r>
      <w:r w:rsidR="00C7089C" w:rsidRPr="0053598B">
        <w:rPr>
          <w:lang w:eastAsia="pl-PL"/>
        </w:rPr>
        <w:t>wprowadz</w:t>
      </w:r>
      <w:r w:rsidR="000A4F33" w:rsidRPr="0053598B">
        <w:rPr>
          <w:lang w:eastAsia="pl-PL"/>
        </w:rPr>
        <w:t>a się</w:t>
      </w:r>
      <w:r w:rsidR="00C7089C" w:rsidRPr="0053598B">
        <w:rPr>
          <w:lang w:eastAsia="pl-PL"/>
        </w:rPr>
        <w:t xml:space="preserve"> now</w:t>
      </w:r>
      <w:r w:rsidR="000A4F33" w:rsidRPr="0053598B">
        <w:rPr>
          <w:lang w:eastAsia="pl-PL"/>
        </w:rPr>
        <w:t>y</w:t>
      </w:r>
      <w:r w:rsidR="00C7089C" w:rsidRPr="0053598B">
        <w:rPr>
          <w:lang w:eastAsia="pl-PL"/>
        </w:rPr>
        <w:t xml:space="preserve"> ust. 3a w art. 49 w związku z koniecznością zachowania spójności </w:t>
      </w:r>
      <w:r w:rsidR="000C2450" w:rsidRPr="0053598B">
        <w:rPr>
          <w:lang w:eastAsia="pl-PL"/>
        </w:rPr>
        <w:t xml:space="preserve">przepisów </w:t>
      </w:r>
      <w:r w:rsidR="00C7089C" w:rsidRPr="0053598B">
        <w:rPr>
          <w:lang w:eastAsia="pl-PL"/>
        </w:rPr>
        <w:t>z nowym art. 49b ust. 4 projektu.</w:t>
      </w:r>
    </w:p>
    <w:p w:rsidR="0047545D" w:rsidRPr="0053598B" w:rsidRDefault="00E10BFF" w:rsidP="00E10BFF">
      <w:pPr>
        <w:spacing w:line="360" w:lineRule="auto"/>
        <w:ind w:left="426"/>
        <w:jc w:val="both"/>
        <w:rPr>
          <w:lang w:eastAsia="pl-PL"/>
        </w:rPr>
      </w:pPr>
      <w:r w:rsidRPr="0053598B">
        <w:rPr>
          <w:b/>
          <w:lang w:eastAsia="pl-PL"/>
        </w:rPr>
        <w:t>–</w:t>
      </w:r>
      <w:r w:rsidR="000A4F33" w:rsidRPr="0053598B">
        <w:rPr>
          <w:b/>
          <w:lang w:eastAsia="pl-PL"/>
        </w:rPr>
        <w:t xml:space="preserve"> w </w:t>
      </w:r>
      <w:r w:rsidR="00F6511F" w:rsidRPr="0053598B">
        <w:rPr>
          <w:b/>
          <w:lang w:eastAsia="pl-PL"/>
        </w:rPr>
        <w:t>lit. c</w:t>
      </w:r>
      <w:r w:rsidRPr="0053598B">
        <w:rPr>
          <w:b/>
          <w:lang w:eastAsia="pl-PL"/>
        </w:rPr>
        <w:t xml:space="preserve"> </w:t>
      </w:r>
      <w:r w:rsidR="000A4F33" w:rsidRPr="0053598B">
        <w:rPr>
          <w:lang w:eastAsia="pl-PL"/>
        </w:rPr>
        <w:t>wprowadza</w:t>
      </w:r>
      <w:r w:rsidR="007E0DDD" w:rsidRPr="0053598B">
        <w:rPr>
          <w:lang w:eastAsia="pl-PL"/>
        </w:rPr>
        <w:t xml:space="preserve"> się nowe brzmienie ust. 6 w art. 49 w związku z nowym brzmieniem</w:t>
      </w:r>
      <w:r w:rsidR="00491C99" w:rsidRPr="0053598B">
        <w:rPr>
          <w:lang w:eastAsia="pl-PL"/>
        </w:rPr>
        <w:t xml:space="preserve"> ust. 3 w art. 49 (por. lit. a) oraz koniecznością zachowania spójności przepisów co do uproszczeń w sporządzaniu sprawozdania z działalności zarówno dla mikro</w:t>
      </w:r>
      <w:r w:rsidR="006D5C9D" w:rsidRPr="0053598B">
        <w:rPr>
          <w:lang w:eastAsia="pl-PL"/>
        </w:rPr>
        <w:t>,</w:t>
      </w:r>
      <w:r w:rsidR="00491C99" w:rsidRPr="0053598B">
        <w:rPr>
          <w:lang w:eastAsia="pl-PL"/>
        </w:rPr>
        <w:t xml:space="preserve"> jak i małych jednostek.</w:t>
      </w:r>
    </w:p>
    <w:p w:rsidR="0047545D" w:rsidRPr="0053598B" w:rsidRDefault="0047545D" w:rsidP="005D7F97">
      <w:pPr>
        <w:pStyle w:val="Akapitzlist"/>
        <w:numPr>
          <w:ilvl w:val="0"/>
          <w:numId w:val="17"/>
        </w:numPr>
        <w:spacing w:before="240" w:after="120" w:line="360" w:lineRule="auto"/>
        <w:contextualSpacing w:val="0"/>
        <w:jc w:val="both"/>
        <w:rPr>
          <w:rFonts w:ascii="Times New Roman" w:hAnsi="Times New Roman" w:cs="Times New Roman"/>
          <w:sz w:val="24"/>
          <w:szCs w:val="24"/>
          <w:lang w:eastAsia="pl-PL"/>
        </w:rPr>
      </w:pPr>
      <w:r w:rsidRPr="0053598B">
        <w:rPr>
          <w:rFonts w:ascii="Times New Roman" w:hAnsi="Times New Roman" w:cs="Times New Roman"/>
          <w:b/>
          <w:sz w:val="24"/>
          <w:szCs w:val="24"/>
          <w:lang w:eastAsia="pl-PL"/>
        </w:rPr>
        <w:t xml:space="preserve">Art. 1 pkt </w:t>
      </w:r>
      <w:r w:rsidR="00A343D3" w:rsidRPr="0053598B">
        <w:rPr>
          <w:rFonts w:ascii="Times New Roman" w:hAnsi="Times New Roman" w:cs="Times New Roman"/>
          <w:b/>
          <w:sz w:val="24"/>
          <w:szCs w:val="24"/>
          <w:lang w:eastAsia="pl-PL"/>
        </w:rPr>
        <w:t xml:space="preserve">9 </w:t>
      </w:r>
      <w:r w:rsidRPr="0053598B">
        <w:rPr>
          <w:rFonts w:ascii="Times New Roman" w:hAnsi="Times New Roman" w:cs="Times New Roman"/>
          <w:b/>
          <w:sz w:val="24"/>
          <w:szCs w:val="24"/>
          <w:lang w:eastAsia="pl-PL"/>
        </w:rPr>
        <w:t>ustawy nowelizującej</w:t>
      </w:r>
      <w:r w:rsidRPr="0053598B">
        <w:rPr>
          <w:rFonts w:ascii="Times New Roman" w:hAnsi="Times New Roman" w:cs="Times New Roman"/>
          <w:sz w:val="24"/>
          <w:szCs w:val="24"/>
          <w:lang w:eastAsia="pl-PL"/>
        </w:rPr>
        <w:t xml:space="preserve"> wprowadza nowy art. 49b.</w:t>
      </w:r>
    </w:p>
    <w:p w:rsidR="006E1E65" w:rsidRPr="0053598B" w:rsidRDefault="009878A0" w:rsidP="00E10BFF">
      <w:pPr>
        <w:spacing w:line="360" w:lineRule="auto"/>
        <w:jc w:val="both"/>
        <w:rPr>
          <w:lang w:eastAsia="pl-PL"/>
        </w:rPr>
      </w:pPr>
      <w:r w:rsidRPr="0053598B">
        <w:rPr>
          <w:lang w:eastAsia="pl-PL"/>
        </w:rPr>
        <w:t>A</w:t>
      </w:r>
      <w:r w:rsidR="00AC5B95" w:rsidRPr="0053598B">
        <w:rPr>
          <w:lang w:eastAsia="pl-PL"/>
        </w:rPr>
        <w:t>rt. 49b</w:t>
      </w:r>
      <w:r w:rsidR="00047C0C" w:rsidRPr="0053598B">
        <w:rPr>
          <w:lang w:eastAsia="pl-PL"/>
        </w:rPr>
        <w:t xml:space="preserve"> wprowadza do polskiego porządku prawnego obowiązek rozbudowanego raportowania informacji niefinansowych dla określonych jednostek i stanowi transpozycję zasadniczych przepisów art. 19a dyrektywy 2013/34/UE </w:t>
      </w:r>
      <w:r w:rsidR="002C45DF" w:rsidRPr="0053598B">
        <w:rPr>
          <w:lang w:eastAsia="pl-PL"/>
        </w:rPr>
        <w:t>wprowadzonego</w:t>
      </w:r>
      <w:r w:rsidR="00E10BFF" w:rsidRPr="0053598B">
        <w:rPr>
          <w:lang w:eastAsia="pl-PL"/>
        </w:rPr>
        <w:t xml:space="preserve"> </w:t>
      </w:r>
      <w:r w:rsidR="001F2796" w:rsidRPr="0053598B">
        <w:rPr>
          <w:lang w:eastAsia="pl-PL"/>
        </w:rPr>
        <w:t>art. 1 dyrektywy</w:t>
      </w:r>
      <w:r w:rsidR="00047C0C" w:rsidRPr="0053598B">
        <w:rPr>
          <w:lang w:eastAsia="pl-PL"/>
        </w:rPr>
        <w:t xml:space="preserve"> 2014/95/UE</w:t>
      </w:r>
      <w:r w:rsidR="001F2796" w:rsidRPr="0053598B">
        <w:rPr>
          <w:lang w:eastAsia="pl-PL"/>
        </w:rPr>
        <w:t>. Jest to</w:t>
      </w:r>
      <w:r w:rsidR="00AC5B95" w:rsidRPr="0053598B">
        <w:rPr>
          <w:lang w:eastAsia="pl-PL"/>
        </w:rPr>
        <w:t xml:space="preserve"> </w:t>
      </w:r>
      <w:r w:rsidR="001F2796" w:rsidRPr="0053598B">
        <w:rPr>
          <w:lang w:eastAsia="pl-PL"/>
        </w:rPr>
        <w:t>podstawowy artykuł ustawy o rachunkowości, określający m.in. zakres jednostek oraz zasady raportowania informacji niefinansowych.</w:t>
      </w:r>
      <w:r w:rsidR="00AC5B95" w:rsidRPr="0053598B">
        <w:rPr>
          <w:lang w:eastAsia="pl-PL"/>
        </w:rPr>
        <w:t xml:space="preserve"> </w:t>
      </w:r>
    </w:p>
    <w:p w:rsidR="006E1E65" w:rsidRPr="0053598B" w:rsidRDefault="00E10BFF" w:rsidP="00E10BFF">
      <w:pPr>
        <w:spacing w:line="360" w:lineRule="auto"/>
        <w:jc w:val="both"/>
        <w:rPr>
          <w:lang w:eastAsia="pl-PL"/>
        </w:rPr>
      </w:pPr>
      <w:r w:rsidRPr="0053598B">
        <w:rPr>
          <w:b/>
          <w:lang w:eastAsia="pl-PL"/>
        </w:rPr>
        <w:t>–</w:t>
      </w:r>
      <w:r w:rsidR="009878A0" w:rsidRPr="0053598B">
        <w:rPr>
          <w:b/>
          <w:lang w:eastAsia="pl-PL"/>
        </w:rPr>
        <w:t xml:space="preserve"> w art. 49b</w:t>
      </w:r>
      <w:r w:rsidR="006E1E65" w:rsidRPr="0053598B">
        <w:rPr>
          <w:b/>
          <w:lang w:eastAsia="pl-PL"/>
        </w:rPr>
        <w:t xml:space="preserve"> ust. 1</w:t>
      </w:r>
      <w:r w:rsidR="006E1E65" w:rsidRPr="0053598B">
        <w:rPr>
          <w:lang w:eastAsia="pl-PL"/>
        </w:rPr>
        <w:t xml:space="preserve"> </w:t>
      </w:r>
      <w:r w:rsidR="008D5AC2" w:rsidRPr="0053598B">
        <w:rPr>
          <w:lang w:eastAsia="pl-PL"/>
        </w:rPr>
        <w:t>(</w:t>
      </w:r>
      <w:r w:rsidR="00B85827" w:rsidRPr="0053598B">
        <w:rPr>
          <w:lang w:eastAsia="pl-PL"/>
        </w:rPr>
        <w:t>wdrożenie</w:t>
      </w:r>
      <w:r w:rsidRPr="0053598B">
        <w:rPr>
          <w:lang w:eastAsia="pl-PL"/>
        </w:rPr>
        <w:t xml:space="preserve"> </w:t>
      </w:r>
      <w:r w:rsidR="008D5AC2" w:rsidRPr="0053598B">
        <w:rPr>
          <w:lang w:eastAsia="pl-PL"/>
        </w:rPr>
        <w:t>art. 19a ust. 1 akapit pierwszy zdanie wpr</w:t>
      </w:r>
      <w:r w:rsidR="00750C61" w:rsidRPr="0053598B">
        <w:rPr>
          <w:lang w:eastAsia="pl-PL"/>
        </w:rPr>
        <w:t>o</w:t>
      </w:r>
      <w:r w:rsidR="008D5AC2" w:rsidRPr="0053598B">
        <w:rPr>
          <w:lang w:eastAsia="pl-PL"/>
        </w:rPr>
        <w:t xml:space="preserve">wadzające dyrektywy 2013/34/UE, </w:t>
      </w:r>
      <w:r w:rsidR="002C45DF" w:rsidRPr="0053598B">
        <w:rPr>
          <w:lang w:eastAsia="pl-PL"/>
        </w:rPr>
        <w:t>wprowadzonego</w:t>
      </w:r>
      <w:r w:rsidRPr="0053598B">
        <w:rPr>
          <w:lang w:eastAsia="pl-PL"/>
        </w:rPr>
        <w:t xml:space="preserve"> </w:t>
      </w:r>
      <w:r w:rsidR="008D5AC2" w:rsidRPr="0053598B">
        <w:rPr>
          <w:lang w:eastAsia="pl-PL"/>
        </w:rPr>
        <w:t xml:space="preserve">dyrektywą 2014/95/UE) </w:t>
      </w:r>
      <w:r w:rsidR="006E1E65" w:rsidRPr="0053598B">
        <w:rPr>
          <w:lang w:eastAsia="pl-PL"/>
        </w:rPr>
        <w:t xml:space="preserve">określa się katalog </w:t>
      </w:r>
      <w:r w:rsidR="006E1E65" w:rsidRPr="0053598B">
        <w:rPr>
          <w:lang w:eastAsia="pl-PL"/>
        </w:rPr>
        <w:lastRenderedPageBreak/>
        <w:t>jednostek zobowiązanych do sporządzenia w ramach sprawozdania z działalności – jako wyodrębnioną część – oświadczenia na temat informacji niefinansowych.</w:t>
      </w:r>
    </w:p>
    <w:p w:rsidR="0047545D" w:rsidRPr="0053598B" w:rsidRDefault="006E1E65" w:rsidP="00E10BFF">
      <w:pPr>
        <w:spacing w:line="360" w:lineRule="auto"/>
        <w:jc w:val="both"/>
        <w:rPr>
          <w:lang w:eastAsia="pl-PL"/>
        </w:rPr>
      </w:pPr>
      <w:r w:rsidRPr="0053598B">
        <w:rPr>
          <w:lang w:eastAsia="pl-PL"/>
        </w:rPr>
        <w:t>W myśl projektu będą je sporządzać</w:t>
      </w:r>
      <w:r w:rsidR="00885437" w:rsidRPr="0053598B">
        <w:rPr>
          <w:lang w:eastAsia="pl-PL"/>
        </w:rPr>
        <w:t xml:space="preserve"> największe z</w:t>
      </w:r>
      <w:r w:rsidR="00AE721B" w:rsidRPr="0053598B">
        <w:rPr>
          <w:lang w:eastAsia="pl-PL"/>
        </w:rPr>
        <w:t xml:space="preserve"> katalogu</w:t>
      </w:r>
      <w:r w:rsidR="00885437" w:rsidRPr="0053598B">
        <w:rPr>
          <w:lang w:eastAsia="pl-PL"/>
        </w:rPr>
        <w:t xml:space="preserve"> dużych</w:t>
      </w:r>
      <w:r w:rsidRPr="0053598B">
        <w:rPr>
          <w:lang w:eastAsia="pl-PL"/>
        </w:rPr>
        <w:t xml:space="preserve"> jednost</w:t>
      </w:r>
      <w:r w:rsidR="00885437" w:rsidRPr="0053598B">
        <w:rPr>
          <w:lang w:eastAsia="pl-PL"/>
        </w:rPr>
        <w:t>ek</w:t>
      </w:r>
      <w:r w:rsidRPr="0053598B">
        <w:rPr>
          <w:lang w:eastAsia="pl-PL"/>
        </w:rPr>
        <w:t xml:space="preserve"> zainteresowania publicznego, tj. jednostki spełniające wymogi</w:t>
      </w:r>
      <w:r w:rsidR="00361820" w:rsidRPr="0053598B">
        <w:rPr>
          <w:lang w:eastAsia="pl-PL"/>
        </w:rPr>
        <w:t xml:space="preserve"> nowego</w:t>
      </w:r>
      <w:r w:rsidRPr="0053598B">
        <w:rPr>
          <w:lang w:eastAsia="pl-PL"/>
        </w:rPr>
        <w:t xml:space="preserve"> </w:t>
      </w:r>
      <w:r w:rsidR="00361820" w:rsidRPr="0053598B">
        <w:rPr>
          <w:lang w:eastAsia="pl-PL"/>
        </w:rPr>
        <w:t>art. 19a ust. 1 w powiązaniu z art. 2 pkt</w:t>
      </w:r>
      <w:r w:rsidR="004D5FD0">
        <w:rPr>
          <w:lang w:eastAsia="pl-PL"/>
        </w:rPr>
        <w:t> </w:t>
      </w:r>
      <w:r w:rsidR="00361820" w:rsidRPr="0053598B">
        <w:rPr>
          <w:lang w:eastAsia="pl-PL"/>
        </w:rPr>
        <w:t>1 oraz art. 3 ust. 4 i 10 dyrektywy 2013/34/UE.</w:t>
      </w:r>
    </w:p>
    <w:p w:rsidR="0010133B" w:rsidRPr="0053598B" w:rsidRDefault="0010133B" w:rsidP="00E10BFF">
      <w:pPr>
        <w:spacing w:line="360" w:lineRule="auto"/>
        <w:jc w:val="both"/>
        <w:rPr>
          <w:lang w:eastAsia="pl-PL"/>
        </w:rPr>
      </w:pPr>
    </w:p>
    <w:p w:rsidR="0010133B" w:rsidRPr="0053598B" w:rsidRDefault="0010133B" w:rsidP="00E10BFF">
      <w:pPr>
        <w:spacing w:line="360" w:lineRule="auto"/>
        <w:jc w:val="both"/>
        <w:rPr>
          <w:lang w:eastAsia="pl-PL"/>
        </w:rPr>
      </w:pPr>
      <w:r w:rsidRPr="0053598B">
        <w:rPr>
          <w:lang w:eastAsia="pl-PL"/>
        </w:rPr>
        <w:t>W</w:t>
      </w:r>
      <w:r w:rsidR="006D5C9D" w:rsidRPr="0053598B">
        <w:rPr>
          <w:lang w:eastAsia="pl-PL"/>
        </w:rPr>
        <w:t xml:space="preserve"> art. 3 ust. 1e pkt 1</w:t>
      </w:r>
      <w:r w:rsidRPr="0053598B">
        <w:rPr>
          <w:lang w:eastAsia="pl-PL"/>
        </w:rPr>
        <w:t xml:space="preserve">–6 ustawy o rachunkowości, określony został katalog jednostek traktowanych </w:t>
      </w:r>
      <w:r w:rsidR="00750C61" w:rsidRPr="0053598B">
        <w:rPr>
          <w:lang w:eastAsia="pl-PL"/>
        </w:rPr>
        <w:t xml:space="preserve">na potrzeby ustawy o rachunkowości </w:t>
      </w:r>
      <w:r w:rsidRPr="0053598B">
        <w:rPr>
          <w:lang w:eastAsia="pl-PL"/>
        </w:rPr>
        <w:t xml:space="preserve">jako jednostki zainteresowana publicznego (implementacja art. 2 pkt 1 dyrektywy 2013/34/UE), tj.: </w:t>
      </w:r>
    </w:p>
    <w:p w:rsidR="0010133B" w:rsidRPr="0053598B" w:rsidRDefault="0010133B" w:rsidP="00E10BFF">
      <w:pPr>
        <w:numPr>
          <w:ilvl w:val="0"/>
          <w:numId w:val="20"/>
        </w:numPr>
        <w:spacing w:line="360" w:lineRule="auto"/>
        <w:jc w:val="both"/>
        <w:rPr>
          <w:lang w:eastAsia="pl-PL"/>
        </w:rPr>
      </w:pPr>
      <w:r w:rsidRPr="0053598B">
        <w:rPr>
          <w:lang w:eastAsia="pl-PL"/>
        </w:rPr>
        <w:t>jednostki organizacyjne działające na podstawie Prawa bankowego, przepisów o</w:t>
      </w:r>
      <w:r w:rsidR="004D5FD0">
        <w:rPr>
          <w:lang w:eastAsia="pl-PL"/>
        </w:rPr>
        <w:t xml:space="preserve"> </w:t>
      </w:r>
      <w:r w:rsidRPr="0053598B">
        <w:rPr>
          <w:lang w:eastAsia="pl-PL"/>
        </w:rPr>
        <w:t>obrocie papierami wartościowymi, przepisów o funduszach inwestycyjnych, przepisów o</w:t>
      </w:r>
      <w:r w:rsidR="004D5FD0">
        <w:rPr>
          <w:lang w:eastAsia="pl-PL"/>
        </w:rPr>
        <w:t> </w:t>
      </w:r>
      <w:r w:rsidRPr="0053598B">
        <w:rPr>
          <w:lang w:eastAsia="pl-PL"/>
        </w:rPr>
        <w:t>działalności ubezpieczeniowej i reasekuracy</w:t>
      </w:r>
      <w:r w:rsidR="004D5FD0">
        <w:rPr>
          <w:lang w:eastAsia="pl-PL"/>
        </w:rPr>
        <w:t>jnej, przepisów o organizacji i </w:t>
      </w:r>
      <w:r w:rsidRPr="0053598B">
        <w:rPr>
          <w:lang w:eastAsia="pl-PL"/>
        </w:rPr>
        <w:t>funkcjonowaniu funduszy emerytalnych</w:t>
      </w:r>
      <w:r w:rsidR="006D5C9D" w:rsidRPr="0053598B">
        <w:rPr>
          <w:lang w:eastAsia="pl-PL"/>
        </w:rPr>
        <w:t>,</w:t>
      </w:r>
    </w:p>
    <w:p w:rsidR="0010133B" w:rsidRPr="0053598B" w:rsidRDefault="0010133B" w:rsidP="00E10BFF">
      <w:pPr>
        <w:numPr>
          <w:ilvl w:val="0"/>
          <w:numId w:val="20"/>
        </w:numPr>
        <w:spacing w:line="360" w:lineRule="auto"/>
        <w:jc w:val="both"/>
        <w:rPr>
          <w:lang w:eastAsia="pl-PL"/>
        </w:rPr>
      </w:pPr>
      <w:r w:rsidRPr="0053598B">
        <w:rPr>
          <w:lang w:eastAsia="pl-PL"/>
        </w:rPr>
        <w:t>jednostki zamierzające ubiegać się albo ubiegające się o zezwolenie na wykonywanie działalności na podstawie przepisów, o których mowa w pkt 1</w:t>
      </w:r>
      <w:r w:rsidR="006D5C9D" w:rsidRPr="0053598B">
        <w:rPr>
          <w:lang w:eastAsia="pl-PL"/>
        </w:rPr>
        <w:t>,</w:t>
      </w:r>
    </w:p>
    <w:p w:rsidR="0010133B" w:rsidRPr="0053598B" w:rsidRDefault="0010133B" w:rsidP="00E10BFF">
      <w:pPr>
        <w:numPr>
          <w:ilvl w:val="0"/>
          <w:numId w:val="20"/>
        </w:numPr>
        <w:spacing w:line="360" w:lineRule="auto"/>
        <w:jc w:val="both"/>
        <w:rPr>
          <w:lang w:eastAsia="pl-PL"/>
        </w:rPr>
      </w:pPr>
      <w:r w:rsidRPr="0053598B">
        <w:rPr>
          <w:lang w:eastAsia="pl-PL"/>
        </w:rPr>
        <w:t>emitenci papierów wartościowych dopuszczonych, zamierzających ubiegać się lub ubiegających się o ich dopuszczenie do obrotu na jednym z rynków regulowanych Europejskiego Obszaru Gospodarczego</w:t>
      </w:r>
      <w:r w:rsidR="006D5C9D" w:rsidRPr="0053598B">
        <w:rPr>
          <w:lang w:eastAsia="pl-PL"/>
        </w:rPr>
        <w:t>,</w:t>
      </w:r>
    </w:p>
    <w:p w:rsidR="0010133B" w:rsidRPr="0053598B" w:rsidRDefault="0010133B" w:rsidP="00E10BFF">
      <w:pPr>
        <w:numPr>
          <w:ilvl w:val="0"/>
          <w:numId w:val="20"/>
        </w:numPr>
        <w:spacing w:line="360" w:lineRule="auto"/>
        <w:jc w:val="both"/>
        <w:rPr>
          <w:lang w:eastAsia="pl-PL"/>
        </w:rPr>
      </w:pPr>
      <w:r w:rsidRPr="0053598B">
        <w:rPr>
          <w:lang w:eastAsia="pl-PL"/>
        </w:rPr>
        <w:t>emitenci papierów wartościowych dopuszczonych do obrotu w alternatywnym systemie obrotu</w:t>
      </w:r>
      <w:r w:rsidR="006D5C9D" w:rsidRPr="0053598B">
        <w:rPr>
          <w:lang w:eastAsia="pl-PL"/>
        </w:rPr>
        <w:t>,</w:t>
      </w:r>
    </w:p>
    <w:p w:rsidR="0010133B" w:rsidRPr="0053598B" w:rsidRDefault="0010133B" w:rsidP="00E10BFF">
      <w:pPr>
        <w:numPr>
          <w:ilvl w:val="0"/>
          <w:numId w:val="20"/>
        </w:numPr>
        <w:spacing w:line="360" w:lineRule="auto"/>
        <w:jc w:val="both"/>
        <w:rPr>
          <w:lang w:eastAsia="pl-PL"/>
        </w:rPr>
      </w:pPr>
      <w:r w:rsidRPr="0053598B">
        <w:rPr>
          <w:lang w:eastAsia="pl-PL"/>
        </w:rPr>
        <w:t>krajowe instytucje płatnicze</w:t>
      </w:r>
      <w:r w:rsidR="006D5C9D" w:rsidRPr="0053598B">
        <w:rPr>
          <w:lang w:eastAsia="pl-PL"/>
        </w:rPr>
        <w:t>,</w:t>
      </w:r>
    </w:p>
    <w:p w:rsidR="0010133B" w:rsidRPr="0053598B" w:rsidRDefault="0010133B" w:rsidP="00E10BFF">
      <w:pPr>
        <w:numPr>
          <w:ilvl w:val="0"/>
          <w:numId w:val="20"/>
        </w:numPr>
        <w:spacing w:line="360" w:lineRule="auto"/>
        <w:jc w:val="both"/>
        <w:rPr>
          <w:bCs/>
          <w:lang w:eastAsia="pl-PL"/>
        </w:rPr>
      </w:pPr>
      <w:r w:rsidRPr="0053598B">
        <w:rPr>
          <w:lang w:eastAsia="pl-PL"/>
        </w:rPr>
        <w:t>instytucje</w:t>
      </w:r>
      <w:r w:rsidRPr="0053598B">
        <w:rPr>
          <w:bCs/>
          <w:lang w:eastAsia="pl-PL"/>
        </w:rPr>
        <w:t xml:space="preserve"> pieniądza elektronicznego</w:t>
      </w:r>
    </w:p>
    <w:p w:rsidR="00E605E8" w:rsidRPr="0053598B" w:rsidRDefault="006D5C9D" w:rsidP="00E10BFF">
      <w:pPr>
        <w:spacing w:line="360" w:lineRule="auto"/>
        <w:jc w:val="both"/>
        <w:rPr>
          <w:lang w:eastAsia="pl-PL"/>
        </w:rPr>
      </w:pPr>
      <w:r w:rsidRPr="0053598B">
        <w:rPr>
          <w:lang w:eastAsia="pl-PL"/>
        </w:rPr>
        <w:t xml:space="preserve">– </w:t>
      </w:r>
      <w:r w:rsidR="00497DA3" w:rsidRPr="0053598B">
        <w:rPr>
          <w:lang w:eastAsia="pl-PL"/>
        </w:rPr>
        <w:t xml:space="preserve">które </w:t>
      </w:r>
      <w:r w:rsidR="002A4E67" w:rsidRPr="0053598B">
        <w:rPr>
          <w:lang w:eastAsia="pl-PL"/>
        </w:rPr>
        <w:t xml:space="preserve">posiadają </w:t>
      </w:r>
      <w:r w:rsidR="00E605E8" w:rsidRPr="0053598B">
        <w:rPr>
          <w:lang w:eastAsia="pl-PL"/>
        </w:rPr>
        <w:t>formę</w:t>
      </w:r>
      <w:r w:rsidR="00497DA3" w:rsidRPr="0053598B">
        <w:rPr>
          <w:lang w:eastAsia="pl-PL"/>
        </w:rPr>
        <w:t xml:space="preserve"> prawną objętą zakresem dyrektywy 2013/34/UE</w:t>
      </w:r>
      <w:r w:rsidR="00E605E8" w:rsidRPr="0053598B">
        <w:rPr>
          <w:lang w:eastAsia="pl-PL"/>
        </w:rPr>
        <w:t>, a mianowicie</w:t>
      </w:r>
      <w:r w:rsidR="00497DA3" w:rsidRPr="0053598B">
        <w:rPr>
          <w:lang w:eastAsia="pl-PL"/>
        </w:rPr>
        <w:t xml:space="preserve"> </w:t>
      </w:r>
      <w:r w:rsidR="0010133B" w:rsidRPr="0053598B">
        <w:rPr>
          <w:lang w:eastAsia="pl-PL"/>
        </w:rPr>
        <w:t>są spółkami kap</w:t>
      </w:r>
      <w:r w:rsidRPr="0053598B">
        <w:rPr>
          <w:lang w:eastAsia="pl-PL"/>
        </w:rPr>
        <w:t>itałowymi, spółkami komandytowo-</w:t>
      </w:r>
      <w:r w:rsidR="0010133B" w:rsidRPr="0053598B">
        <w:rPr>
          <w:lang w:eastAsia="pl-PL"/>
        </w:rPr>
        <w:t>akcyjnymi lub takimi spółkami jawnymi lub komandytowymi, których wszystkimi wspólnikami ponoszącymi nieograniczoną odpowiedzialność są spółki kapitałowe lub spółki komandytowo</w:t>
      </w:r>
      <w:r w:rsidRPr="0053598B">
        <w:rPr>
          <w:lang w:eastAsia="pl-PL"/>
        </w:rPr>
        <w:t>-</w:t>
      </w:r>
      <w:r w:rsidR="0010133B" w:rsidRPr="0053598B">
        <w:rPr>
          <w:lang w:eastAsia="pl-PL"/>
        </w:rPr>
        <w:t>akcyjne bądź spółki z innych państw o podobnej do tych spółek formie prawnej</w:t>
      </w:r>
      <w:r w:rsidR="00E605E8" w:rsidRPr="0053598B">
        <w:rPr>
          <w:lang w:eastAsia="pl-PL"/>
        </w:rPr>
        <w:t>.</w:t>
      </w:r>
    </w:p>
    <w:p w:rsidR="00E605E8" w:rsidRPr="0053598B" w:rsidRDefault="00E605E8" w:rsidP="00E10BFF">
      <w:pPr>
        <w:spacing w:line="360" w:lineRule="auto"/>
        <w:jc w:val="both"/>
        <w:rPr>
          <w:lang w:eastAsia="pl-PL"/>
        </w:rPr>
      </w:pPr>
    </w:p>
    <w:p w:rsidR="0010133B" w:rsidRPr="0053598B" w:rsidRDefault="00E605E8" w:rsidP="00E10BFF">
      <w:pPr>
        <w:spacing w:line="360" w:lineRule="auto"/>
        <w:jc w:val="both"/>
        <w:rPr>
          <w:lang w:eastAsia="pl-PL"/>
        </w:rPr>
      </w:pPr>
      <w:r w:rsidRPr="0053598B">
        <w:rPr>
          <w:lang w:eastAsia="pl-PL"/>
        </w:rPr>
        <w:t>Powyższe jednostki będą podlegać obowiązkowi raportowania, określonemu w</w:t>
      </w:r>
      <w:r w:rsidR="004D5FD0">
        <w:rPr>
          <w:lang w:eastAsia="pl-PL"/>
        </w:rPr>
        <w:t> </w:t>
      </w:r>
      <w:r w:rsidRPr="0053598B">
        <w:rPr>
          <w:lang w:eastAsia="pl-PL"/>
        </w:rPr>
        <w:t>projektowanym art. 49b, jeżeli</w:t>
      </w:r>
      <w:r w:rsidR="0010133B" w:rsidRPr="0053598B">
        <w:rPr>
          <w:lang w:eastAsia="pl-PL"/>
        </w:rPr>
        <w:t xml:space="preserve"> w roku obrotowym oraz w roku poprzedzającym przekroczyły następujące wartości:</w:t>
      </w:r>
    </w:p>
    <w:p w:rsidR="0010133B" w:rsidRPr="0053598B" w:rsidRDefault="0010133B" w:rsidP="00E10BFF">
      <w:pPr>
        <w:numPr>
          <w:ilvl w:val="0"/>
          <w:numId w:val="19"/>
        </w:numPr>
        <w:spacing w:line="360" w:lineRule="auto"/>
        <w:jc w:val="both"/>
        <w:rPr>
          <w:lang w:eastAsia="pl-PL"/>
        </w:rPr>
      </w:pPr>
      <w:r w:rsidRPr="0053598B">
        <w:rPr>
          <w:lang w:eastAsia="pl-PL"/>
        </w:rPr>
        <w:t>średnioroczne zatrudnienie 500 osób oraz</w:t>
      </w:r>
    </w:p>
    <w:p w:rsidR="0010133B" w:rsidRPr="0053598B" w:rsidRDefault="0010133B" w:rsidP="00E10BFF">
      <w:pPr>
        <w:numPr>
          <w:ilvl w:val="0"/>
          <w:numId w:val="19"/>
        </w:numPr>
        <w:spacing w:line="360" w:lineRule="auto"/>
        <w:jc w:val="both"/>
        <w:rPr>
          <w:lang w:eastAsia="pl-PL"/>
        </w:rPr>
      </w:pPr>
      <w:r w:rsidRPr="0053598B">
        <w:rPr>
          <w:lang w:eastAsia="pl-PL"/>
        </w:rPr>
        <w:t xml:space="preserve">suma aktywów bilansu </w:t>
      </w:r>
      <w:r w:rsidR="002A4E67" w:rsidRPr="0053598B">
        <w:rPr>
          <w:lang w:eastAsia="pl-PL"/>
        </w:rPr>
        <w:t xml:space="preserve">na koniec roku obrotowego </w:t>
      </w:r>
      <w:r w:rsidRPr="0053598B">
        <w:rPr>
          <w:lang w:eastAsia="pl-PL"/>
        </w:rPr>
        <w:t>powyżej 85 mln zł lub przychody netto ze sprzedaży</w:t>
      </w:r>
      <w:r w:rsidR="00E605E8" w:rsidRPr="0053598B">
        <w:rPr>
          <w:lang w:eastAsia="pl-PL"/>
        </w:rPr>
        <w:t xml:space="preserve"> towarów i produktów 170 mln zł,</w:t>
      </w:r>
    </w:p>
    <w:p w:rsidR="00E605E8" w:rsidRPr="0053598B" w:rsidRDefault="00E605E8" w:rsidP="006D5C9D">
      <w:pPr>
        <w:spacing w:line="360" w:lineRule="auto"/>
        <w:jc w:val="both"/>
        <w:rPr>
          <w:lang w:eastAsia="pl-PL"/>
        </w:rPr>
      </w:pPr>
      <w:r w:rsidRPr="0053598B">
        <w:rPr>
          <w:lang w:eastAsia="pl-PL"/>
        </w:rPr>
        <w:lastRenderedPageBreak/>
        <w:t xml:space="preserve">co jest zgodne z art. </w:t>
      </w:r>
      <w:r w:rsidR="003E2048" w:rsidRPr="0053598B">
        <w:rPr>
          <w:lang w:eastAsia="pl-PL"/>
        </w:rPr>
        <w:t>19a ust. 1 w powią</w:t>
      </w:r>
      <w:r w:rsidRPr="0053598B">
        <w:rPr>
          <w:lang w:eastAsia="pl-PL"/>
        </w:rPr>
        <w:t>zaniu z art. 3 ust. 4 i ust. 10 dyrektywy 2013/34/UE</w:t>
      </w:r>
      <w:r w:rsidRPr="0053598B">
        <w:rPr>
          <w:rStyle w:val="Odwoanieprzypisudolnego"/>
          <w:lang w:eastAsia="pl-PL"/>
        </w:rPr>
        <w:footnoteReference w:id="3"/>
      </w:r>
      <w:r w:rsidR="007A3322" w:rsidRPr="0053598B">
        <w:rPr>
          <w:vertAlign w:val="superscript"/>
          <w:lang w:eastAsia="pl-PL"/>
        </w:rPr>
        <w:t>)</w:t>
      </w:r>
      <w:r w:rsidRPr="0053598B">
        <w:rPr>
          <w:lang w:eastAsia="pl-PL"/>
        </w:rPr>
        <w:t>.</w:t>
      </w:r>
    </w:p>
    <w:p w:rsidR="0010133B" w:rsidRPr="0053598B" w:rsidRDefault="00E10BFF" w:rsidP="005D7F97">
      <w:pPr>
        <w:spacing w:before="240" w:line="360" w:lineRule="auto"/>
        <w:jc w:val="both"/>
        <w:rPr>
          <w:lang w:eastAsia="pl-PL"/>
        </w:rPr>
      </w:pPr>
      <w:r w:rsidRPr="0053598B">
        <w:rPr>
          <w:b/>
          <w:lang w:eastAsia="pl-PL"/>
        </w:rPr>
        <w:t>–</w:t>
      </w:r>
      <w:r w:rsidR="009878A0" w:rsidRPr="0053598B">
        <w:rPr>
          <w:b/>
          <w:lang w:eastAsia="pl-PL"/>
        </w:rPr>
        <w:t xml:space="preserve"> w art. 49b </w:t>
      </w:r>
      <w:r w:rsidR="005613DC" w:rsidRPr="0053598B">
        <w:rPr>
          <w:b/>
          <w:lang w:eastAsia="pl-PL"/>
        </w:rPr>
        <w:t>ust. 2</w:t>
      </w:r>
      <w:r w:rsidR="005613DC" w:rsidRPr="0053598B">
        <w:rPr>
          <w:lang w:eastAsia="pl-PL"/>
        </w:rPr>
        <w:t xml:space="preserve"> </w:t>
      </w:r>
      <w:r w:rsidR="008D5AC2" w:rsidRPr="0053598B">
        <w:rPr>
          <w:lang w:eastAsia="pl-PL"/>
        </w:rPr>
        <w:t>(</w:t>
      </w:r>
      <w:r w:rsidR="00AF076D" w:rsidRPr="0053598B">
        <w:rPr>
          <w:lang w:eastAsia="pl-PL"/>
        </w:rPr>
        <w:t>wdrożenie</w:t>
      </w:r>
      <w:r w:rsidRPr="0053598B">
        <w:rPr>
          <w:lang w:eastAsia="pl-PL"/>
        </w:rPr>
        <w:t xml:space="preserve"> </w:t>
      </w:r>
      <w:r w:rsidR="008D5AC2" w:rsidRPr="0053598B">
        <w:rPr>
          <w:lang w:eastAsia="pl-PL"/>
        </w:rPr>
        <w:t>art. 19a ust. 1 akapit pierwszy dyrektywy 2013/34/UE,</w:t>
      </w:r>
      <w:r w:rsidRPr="0053598B">
        <w:rPr>
          <w:lang w:eastAsia="pl-PL"/>
        </w:rPr>
        <w:t xml:space="preserve"> </w:t>
      </w:r>
      <w:r w:rsidR="002C45DF" w:rsidRPr="0053598B">
        <w:rPr>
          <w:lang w:eastAsia="pl-PL"/>
        </w:rPr>
        <w:t>wprowadzonego</w:t>
      </w:r>
      <w:r w:rsidRPr="0053598B">
        <w:rPr>
          <w:lang w:eastAsia="pl-PL"/>
        </w:rPr>
        <w:t xml:space="preserve"> </w:t>
      </w:r>
      <w:r w:rsidR="008D5AC2" w:rsidRPr="0053598B">
        <w:rPr>
          <w:lang w:eastAsia="pl-PL"/>
        </w:rPr>
        <w:t xml:space="preserve">dyrektywą 2014/95/UE) </w:t>
      </w:r>
      <w:r w:rsidR="005613DC" w:rsidRPr="0053598B">
        <w:rPr>
          <w:lang w:eastAsia="pl-PL"/>
        </w:rPr>
        <w:t>projektowane przepisy określają</w:t>
      </w:r>
      <w:r w:rsidR="006D5C9D" w:rsidRPr="0053598B">
        <w:rPr>
          <w:lang w:eastAsia="pl-PL"/>
        </w:rPr>
        <w:t>,</w:t>
      </w:r>
      <w:r w:rsidR="005613DC" w:rsidRPr="0053598B">
        <w:rPr>
          <w:lang w:eastAsia="pl-PL"/>
        </w:rPr>
        <w:t xml:space="preserve"> jaki rodzaj informacji niefinansowych jednostka powinna zawrzeć w oświadczeniu na temat informacji niefinansowych, tj.:</w:t>
      </w:r>
    </w:p>
    <w:p w:rsidR="005613DC" w:rsidRPr="0053598B" w:rsidRDefault="005613DC" w:rsidP="00E10BFF">
      <w:pPr>
        <w:spacing w:line="360" w:lineRule="auto"/>
        <w:ind w:left="476" w:hanging="476"/>
        <w:jc w:val="both"/>
        <w:rPr>
          <w:rFonts w:eastAsiaTheme="minorEastAsia"/>
          <w:bCs/>
          <w:lang w:eastAsia="pl-PL"/>
        </w:rPr>
      </w:pPr>
      <w:r w:rsidRPr="0053598B">
        <w:rPr>
          <w:rFonts w:eastAsiaTheme="minorEastAsia"/>
          <w:bCs/>
          <w:lang w:eastAsia="pl-PL"/>
        </w:rPr>
        <w:t>1)</w:t>
      </w:r>
      <w:r w:rsidRPr="0053598B">
        <w:rPr>
          <w:rFonts w:eastAsiaTheme="minorEastAsia"/>
          <w:bCs/>
          <w:lang w:eastAsia="pl-PL"/>
        </w:rPr>
        <w:tab/>
        <w:t>zwięzły opis modelu biznesowego jednostki</w:t>
      </w:r>
      <w:r w:rsidR="009878A0" w:rsidRPr="0053598B">
        <w:rPr>
          <w:rFonts w:eastAsiaTheme="minorEastAsia"/>
          <w:bCs/>
          <w:lang w:eastAsia="pl-PL"/>
        </w:rPr>
        <w:t>.</w:t>
      </w:r>
    </w:p>
    <w:p w:rsidR="00341DE8" w:rsidRPr="0053598B" w:rsidRDefault="005613DC" w:rsidP="00E10BFF">
      <w:pPr>
        <w:spacing w:line="360" w:lineRule="auto"/>
        <w:ind w:left="476" w:hanging="476"/>
        <w:jc w:val="both"/>
        <w:rPr>
          <w:rFonts w:eastAsia="Calibri"/>
        </w:rPr>
      </w:pPr>
      <w:r w:rsidRPr="0053598B">
        <w:rPr>
          <w:rFonts w:eastAsiaTheme="minorEastAsia"/>
          <w:bCs/>
          <w:lang w:eastAsia="pl-PL"/>
        </w:rPr>
        <w:tab/>
      </w:r>
      <w:r w:rsidR="00341DE8" w:rsidRPr="0053598B">
        <w:rPr>
          <w:rFonts w:eastAsia="Calibri"/>
        </w:rPr>
        <w:t>Pojęcie modelu biznesowego uznaje się za powszechnie rozumiane w praktyce gospodarczej, co powoduje, że nie ma konieczności definiowania tego pojęcia w akcie prawnym, jakim jest ustawa o rachunkowości</w:t>
      </w:r>
      <w:r w:rsidR="003B2122" w:rsidRPr="0053598B">
        <w:rPr>
          <w:rStyle w:val="Odwoanieprzypisudolnego"/>
          <w:rFonts w:eastAsia="Calibri"/>
        </w:rPr>
        <w:footnoteReference w:id="4"/>
      </w:r>
      <w:r w:rsidR="007A3322" w:rsidRPr="0053598B">
        <w:rPr>
          <w:vertAlign w:val="superscript"/>
          <w:lang w:eastAsia="pl-PL"/>
        </w:rPr>
        <w:t>)</w:t>
      </w:r>
      <w:r w:rsidR="00341DE8" w:rsidRPr="0053598B">
        <w:rPr>
          <w:rFonts w:eastAsia="Calibri"/>
        </w:rPr>
        <w:t xml:space="preserve">. </w:t>
      </w:r>
    </w:p>
    <w:p w:rsidR="00A27F08" w:rsidRPr="0053598B" w:rsidRDefault="00341DE8" w:rsidP="00E10BFF">
      <w:pPr>
        <w:spacing w:line="360" w:lineRule="auto"/>
        <w:ind w:left="476" w:hanging="476"/>
        <w:jc w:val="both"/>
        <w:rPr>
          <w:rFonts w:eastAsiaTheme="minorEastAsia"/>
          <w:bCs/>
          <w:lang w:eastAsia="pl-PL"/>
        </w:rPr>
      </w:pPr>
      <w:r w:rsidRPr="0053598B">
        <w:rPr>
          <w:rFonts w:eastAsiaTheme="minorEastAsia"/>
          <w:bCs/>
          <w:lang w:eastAsia="pl-PL"/>
        </w:rPr>
        <w:tab/>
      </w:r>
      <w:r w:rsidR="00234505" w:rsidRPr="0053598B">
        <w:rPr>
          <w:rFonts w:eastAsiaTheme="minorEastAsia"/>
          <w:bCs/>
          <w:lang w:eastAsia="pl-PL"/>
        </w:rPr>
        <w:t>N</w:t>
      </w:r>
      <w:r w:rsidR="00163516" w:rsidRPr="0053598B">
        <w:rPr>
          <w:rFonts w:eastAsiaTheme="minorEastAsia"/>
          <w:bCs/>
          <w:lang w:eastAsia="pl-PL"/>
        </w:rPr>
        <w:t xml:space="preserve">a potrzeby </w:t>
      </w:r>
      <w:r w:rsidR="00234505" w:rsidRPr="0053598B">
        <w:rPr>
          <w:rFonts w:eastAsiaTheme="minorEastAsia"/>
          <w:bCs/>
          <w:lang w:eastAsia="pl-PL"/>
        </w:rPr>
        <w:t>uzasadnienia</w:t>
      </w:r>
      <w:r w:rsidR="00163516" w:rsidRPr="0053598B">
        <w:rPr>
          <w:rFonts w:eastAsiaTheme="minorEastAsia"/>
          <w:bCs/>
          <w:lang w:eastAsia="pl-PL"/>
        </w:rPr>
        <w:t xml:space="preserve"> przyjęto, że </w:t>
      </w:r>
      <w:r w:rsidR="000D1218" w:rsidRPr="0053598B">
        <w:rPr>
          <w:rFonts w:eastAsiaTheme="minorEastAsia"/>
          <w:bCs/>
          <w:lang w:eastAsia="pl-PL"/>
        </w:rPr>
        <w:t xml:space="preserve">jest </w:t>
      </w:r>
      <w:r w:rsidR="00163516" w:rsidRPr="0053598B">
        <w:rPr>
          <w:rFonts w:eastAsiaTheme="minorEastAsia"/>
          <w:bCs/>
          <w:lang w:eastAsia="pl-PL"/>
        </w:rPr>
        <w:t xml:space="preserve">to </w:t>
      </w:r>
      <w:r w:rsidR="000D1218" w:rsidRPr="0053598B">
        <w:rPr>
          <w:rFonts w:eastAsiaTheme="minorEastAsia"/>
          <w:bCs/>
          <w:lang w:eastAsia="pl-PL"/>
        </w:rPr>
        <w:t>plan</w:t>
      </w:r>
      <w:r w:rsidR="00750C61" w:rsidRPr="0053598B">
        <w:rPr>
          <w:rFonts w:eastAsiaTheme="minorEastAsia"/>
          <w:bCs/>
          <w:lang w:eastAsia="pl-PL"/>
        </w:rPr>
        <w:t>/model</w:t>
      </w:r>
      <w:r w:rsidR="006D5C9D" w:rsidRPr="0053598B">
        <w:rPr>
          <w:rFonts w:eastAsiaTheme="minorEastAsia"/>
          <w:bCs/>
          <w:lang w:eastAsia="pl-PL"/>
        </w:rPr>
        <w:t>,</w:t>
      </w:r>
      <w:r w:rsidR="000D1218" w:rsidRPr="0053598B">
        <w:rPr>
          <w:rFonts w:eastAsiaTheme="minorEastAsia"/>
          <w:bCs/>
          <w:lang w:eastAsia="pl-PL"/>
        </w:rPr>
        <w:t xml:space="preserve"> według którego działa jednostka, aby generować przychody i maksymalizować zysk. W kompleksowym ujęciu</w:t>
      </w:r>
      <w:r w:rsidR="00124F45" w:rsidRPr="0053598B">
        <w:rPr>
          <w:rFonts w:eastAsiaTheme="minorEastAsia"/>
          <w:bCs/>
          <w:lang w:eastAsia="pl-PL"/>
        </w:rPr>
        <w:t xml:space="preserve"> model biznesowy</w:t>
      </w:r>
      <w:r w:rsidR="00283E21" w:rsidRPr="0053598B">
        <w:rPr>
          <w:rFonts w:eastAsiaTheme="minorEastAsia"/>
          <w:bCs/>
          <w:lang w:eastAsia="pl-PL"/>
        </w:rPr>
        <w:t xml:space="preserve"> określa się </w:t>
      </w:r>
      <w:r w:rsidR="00163516" w:rsidRPr="0053598B">
        <w:rPr>
          <w:rFonts w:eastAsiaTheme="minorEastAsia"/>
          <w:bCs/>
          <w:lang w:eastAsia="pl-PL"/>
        </w:rPr>
        <w:t>dodatkowo</w:t>
      </w:r>
      <w:r w:rsidR="00283E21" w:rsidRPr="0053598B">
        <w:rPr>
          <w:rFonts w:eastAsiaTheme="minorEastAsia"/>
          <w:bCs/>
          <w:lang w:eastAsia="pl-PL"/>
        </w:rPr>
        <w:t xml:space="preserve"> jako</w:t>
      </w:r>
      <w:r w:rsidR="000D1218" w:rsidRPr="0053598B">
        <w:rPr>
          <w:rFonts w:eastAsiaTheme="minorEastAsia"/>
          <w:bCs/>
          <w:lang w:eastAsia="pl-PL"/>
        </w:rPr>
        <w:t xml:space="preserve"> metod</w:t>
      </w:r>
      <w:r w:rsidR="00283E21" w:rsidRPr="0053598B">
        <w:rPr>
          <w:rFonts w:eastAsiaTheme="minorEastAsia"/>
          <w:bCs/>
          <w:lang w:eastAsia="pl-PL"/>
        </w:rPr>
        <w:t>ę</w:t>
      </w:r>
      <w:r w:rsidR="000D1218" w:rsidRPr="0053598B">
        <w:rPr>
          <w:rFonts w:eastAsiaTheme="minorEastAsia"/>
          <w:bCs/>
          <w:lang w:eastAsia="pl-PL"/>
        </w:rPr>
        <w:t xml:space="preserve"> przyjętą przez firmę, </w:t>
      </w:r>
      <w:r w:rsidR="00283E21" w:rsidRPr="0053598B">
        <w:rPr>
          <w:rFonts w:eastAsiaTheme="minorEastAsia"/>
          <w:bCs/>
          <w:lang w:eastAsia="pl-PL"/>
        </w:rPr>
        <w:t>dzięki której</w:t>
      </w:r>
      <w:r w:rsidR="000D1218" w:rsidRPr="0053598B">
        <w:rPr>
          <w:rFonts w:eastAsiaTheme="minorEastAsia"/>
          <w:bCs/>
          <w:lang w:eastAsia="pl-PL"/>
        </w:rPr>
        <w:t xml:space="preserve"> </w:t>
      </w:r>
      <w:r w:rsidR="00283E21" w:rsidRPr="0053598B">
        <w:rPr>
          <w:rFonts w:eastAsiaTheme="minorEastAsia"/>
          <w:bCs/>
          <w:lang w:eastAsia="pl-PL"/>
        </w:rPr>
        <w:t>może</w:t>
      </w:r>
      <w:r w:rsidR="000D1218" w:rsidRPr="0053598B">
        <w:rPr>
          <w:rFonts w:eastAsiaTheme="minorEastAsia"/>
          <w:bCs/>
          <w:lang w:eastAsia="pl-PL"/>
        </w:rPr>
        <w:t xml:space="preserve"> ona powiększać i wykorzystywać zasoby tak,</w:t>
      </w:r>
      <w:r w:rsidR="00283E21" w:rsidRPr="0053598B">
        <w:rPr>
          <w:rFonts w:eastAsiaTheme="minorEastAsia"/>
          <w:bCs/>
          <w:lang w:eastAsia="pl-PL"/>
        </w:rPr>
        <w:t xml:space="preserve"> </w:t>
      </w:r>
      <w:r w:rsidR="000D1218" w:rsidRPr="0053598B">
        <w:rPr>
          <w:rFonts w:eastAsiaTheme="minorEastAsia"/>
          <w:bCs/>
          <w:lang w:eastAsia="pl-PL"/>
        </w:rPr>
        <w:t xml:space="preserve">aby oferować klientom większą wartość od konkurencji. Dzięki </w:t>
      </w:r>
      <w:r w:rsidR="009878A0" w:rsidRPr="0053598B">
        <w:rPr>
          <w:rFonts w:eastAsiaTheme="minorEastAsia"/>
          <w:bCs/>
          <w:lang w:eastAsia="pl-PL"/>
        </w:rPr>
        <w:t>t</w:t>
      </w:r>
      <w:r w:rsidR="00283E21" w:rsidRPr="0053598B">
        <w:rPr>
          <w:rFonts w:eastAsiaTheme="minorEastAsia"/>
          <w:bCs/>
          <w:lang w:eastAsia="pl-PL"/>
        </w:rPr>
        <w:t>emu jednostka może</w:t>
      </w:r>
      <w:r w:rsidR="000D1218" w:rsidRPr="0053598B">
        <w:rPr>
          <w:rFonts w:eastAsiaTheme="minorEastAsia"/>
          <w:bCs/>
          <w:lang w:eastAsia="pl-PL"/>
        </w:rPr>
        <w:t xml:space="preserve"> osią</w:t>
      </w:r>
      <w:r w:rsidR="00283E21" w:rsidRPr="0053598B">
        <w:rPr>
          <w:rFonts w:eastAsiaTheme="minorEastAsia"/>
          <w:bCs/>
          <w:lang w:eastAsia="pl-PL"/>
        </w:rPr>
        <w:t>gać</w:t>
      </w:r>
      <w:r w:rsidR="000D1218" w:rsidRPr="0053598B">
        <w:rPr>
          <w:rFonts w:eastAsiaTheme="minorEastAsia"/>
          <w:bCs/>
          <w:lang w:eastAsia="pl-PL"/>
        </w:rPr>
        <w:t xml:space="preserve"> wyższe zyski, a</w:t>
      </w:r>
      <w:r w:rsidR="00283E21" w:rsidRPr="0053598B">
        <w:rPr>
          <w:rFonts w:eastAsiaTheme="minorEastAsia"/>
          <w:bCs/>
          <w:lang w:eastAsia="pl-PL"/>
        </w:rPr>
        <w:t xml:space="preserve"> </w:t>
      </w:r>
      <w:r w:rsidR="000D1218" w:rsidRPr="0053598B">
        <w:rPr>
          <w:rFonts w:eastAsiaTheme="minorEastAsia"/>
          <w:bCs/>
          <w:lang w:eastAsia="pl-PL"/>
        </w:rPr>
        <w:t>nawet uzyska</w:t>
      </w:r>
      <w:r w:rsidR="00283E21" w:rsidRPr="0053598B">
        <w:rPr>
          <w:rFonts w:eastAsiaTheme="minorEastAsia"/>
          <w:bCs/>
          <w:lang w:eastAsia="pl-PL"/>
        </w:rPr>
        <w:t>ć</w:t>
      </w:r>
      <w:r w:rsidR="000D1218" w:rsidRPr="0053598B">
        <w:rPr>
          <w:rFonts w:eastAsiaTheme="minorEastAsia"/>
          <w:bCs/>
          <w:lang w:eastAsia="pl-PL"/>
        </w:rPr>
        <w:t xml:space="preserve"> i utrzyma</w:t>
      </w:r>
      <w:r w:rsidR="00283E21" w:rsidRPr="0053598B">
        <w:rPr>
          <w:rFonts w:eastAsiaTheme="minorEastAsia"/>
          <w:bCs/>
          <w:lang w:eastAsia="pl-PL"/>
        </w:rPr>
        <w:t>ć</w:t>
      </w:r>
      <w:r w:rsidR="000D1218" w:rsidRPr="0053598B">
        <w:rPr>
          <w:rFonts w:eastAsiaTheme="minorEastAsia"/>
          <w:bCs/>
          <w:lang w:eastAsia="pl-PL"/>
        </w:rPr>
        <w:t xml:space="preserve"> trwałą przewagę konkurencyjną</w:t>
      </w:r>
      <w:r w:rsidR="009878A0" w:rsidRPr="0053598B">
        <w:rPr>
          <w:rFonts w:eastAsiaTheme="minorEastAsia"/>
          <w:bCs/>
          <w:lang w:eastAsia="pl-PL"/>
        </w:rPr>
        <w:t>;</w:t>
      </w:r>
      <w:r w:rsidR="00467BD4" w:rsidRPr="0053598B">
        <w:rPr>
          <w:rFonts w:eastAsiaTheme="minorEastAsia"/>
          <w:bCs/>
          <w:vertAlign w:val="superscript"/>
          <w:lang w:eastAsia="pl-PL"/>
        </w:rPr>
        <w:t xml:space="preserve"> </w:t>
      </w:r>
      <w:r w:rsidR="00467BD4" w:rsidRPr="0053598B">
        <w:rPr>
          <w:rFonts w:eastAsiaTheme="minorEastAsia"/>
          <w:bCs/>
          <w:vertAlign w:val="superscript"/>
          <w:lang w:eastAsia="pl-PL"/>
        </w:rPr>
        <w:footnoteReference w:id="5"/>
      </w:r>
      <w:r w:rsidR="007A3322" w:rsidRPr="0053598B">
        <w:rPr>
          <w:vertAlign w:val="superscript"/>
          <w:lang w:eastAsia="pl-PL"/>
        </w:rPr>
        <w:t>)</w:t>
      </w:r>
    </w:p>
    <w:p w:rsidR="005613DC" w:rsidRPr="0053598B" w:rsidRDefault="005613DC" w:rsidP="00E10BFF">
      <w:pPr>
        <w:pStyle w:val="Akapitzlist"/>
        <w:numPr>
          <w:ilvl w:val="0"/>
          <w:numId w:val="26"/>
        </w:numPr>
        <w:spacing w:line="360" w:lineRule="auto"/>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kluczowe niefinansowe wskaźniki efektywności związane z działalnością jednostki</w:t>
      </w:r>
      <w:r w:rsidR="009878A0" w:rsidRPr="0053598B">
        <w:rPr>
          <w:rFonts w:ascii="Times New Roman" w:eastAsiaTheme="minorEastAsia" w:hAnsi="Times New Roman" w:cs="Times New Roman"/>
          <w:bCs/>
          <w:sz w:val="24"/>
          <w:szCs w:val="24"/>
          <w:lang w:eastAsia="pl-PL"/>
        </w:rPr>
        <w:t>.</w:t>
      </w:r>
      <w:r w:rsidR="00AA7D4B" w:rsidRPr="0053598B">
        <w:rPr>
          <w:rFonts w:ascii="Times New Roman" w:eastAsiaTheme="minorEastAsia" w:hAnsi="Times New Roman" w:cs="Times New Roman"/>
          <w:bCs/>
          <w:sz w:val="24"/>
          <w:szCs w:val="24"/>
          <w:lang w:eastAsia="pl-PL"/>
        </w:rPr>
        <w:t xml:space="preserve"> Należy podkreślić, iż wskaźniki te odnoszą się do działalności jednostki, a nie wyłącznie do zagadnień społecznych, pracowniczych, środowiska naturalnego, poszanowania praw człowieka oraz przeciwdziałania korupcji i łapownictwu.</w:t>
      </w:r>
    </w:p>
    <w:p w:rsidR="00A27F08" w:rsidRPr="0053598B" w:rsidRDefault="00C72F89" w:rsidP="00E10BFF">
      <w:pPr>
        <w:pStyle w:val="Akapitzlist"/>
        <w:spacing w:line="360" w:lineRule="auto"/>
        <w:ind w:left="36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W literaturze przedmiotu k</w:t>
      </w:r>
      <w:r w:rsidR="00234505" w:rsidRPr="0053598B">
        <w:rPr>
          <w:rFonts w:ascii="Times New Roman" w:eastAsiaTheme="minorEastAsia" w:hAnsi="Times New Roman" w:cs="Times New Roman"/>
          <w:bCs/>
          <w:sz w:val="24"/>
          <w:szCs w:val="24"/>
          <w:lang w:eastAsia="pl-PL"/>
        </w:rPr>
        <w:t>luczowe wskaźniki efektywności (ang.</w:t>
      </w:r>
      <w:r w:rsidR="00234505" w:rsidRPr="0053598B">
        <w:rPr>
          <w:rFonts w:ascii="Times New Roman" w:eastAsiaTheme="minorEastAsia" w:hAnsi="Times New Roman" w:cs="Times New Roman"/>
          <w:bCs/>
          <w:i/>
          <w:sz w:val="24"/>
          <w:szCs w:val="24"/>
          <w:lang w:eastAsia="pl-PL"/>
        </w:rPr>
        <w:t xml:space="preserve"> Key Performance Indicators</w:t>
      </w:r>
      <w:r w:rsidR="00A27F08" w:rsidRPr="0053598B">
        <w:rPr>
          <w:rFonts w:ascii="Times New Roman" w:eastAsiaTheme="minorEastAsia" w:hAnsi="Times New Roman" w:cs="Times New Roman"/>
          <w:bCs/>
          <w:i/>
          <w:sz w:val="24"/>
          <w:szCs w:val="24"/>
          <w:lang w:eastAsia="pl-PL"/>
        </w:rPr>
        <w:t xml:space="preserve"> </w:t>
      </w:r>
      <w:r w:rsidR="00E10BFF" w:rsidRPr="0053598B">
        <w:rPr>
          <w:rFonts w:ascii="Times New Roman" w:eastAsiaTheme="minorEastAsia" w:hAnsi="Times New Roman" w:cs="Times New Roman"/>
          <w:bCs/>
          <w:i/>
          <w:sz w:val="24"/>
          <w:szCs w:val="24"/>
          <w:lang w:eastAsia="pl-PL"/>
        </w:rPr>
        <w:t>–</w:t>
      </w:r>
      <w:r w:rsidR="00A27F08" w:rsidRPr="0053598B">
        <w:rPr>
          <w:rFonts w:ascii="Times New Roman" w:eastAsiaTheme="minorEastAsia" w:hAnsi="Times New Roman" w:cs="Times New Roman"/>
          <w:bCs/>
          <w:i/>
          <w:sz w:val="24"/>
          <w:szCs w:val="24"/>
          <w:lang w:eastAsia="pl-PL"/>
        </w:rPr>
        <w:t xml:space="preserve"> KPI</w:t>
      </w:r>
      <w:r w:rsidRPr="0053598B">
        <w:rPr>
          <w:rFonts w:ascii="Times New Roman" w:eastAsiaTheme="minorEastAsia" w:hAnsi="Times New Roman" w:cs="Times New Roman"/>
          <w:bCs/>
          <w:i/>
          <w:sz w:val="24"/>
          <w:szCs w:val="24"/>
          <w:lang w:eastAsia="pl-PL"/>
        </w:rPr>
        <w:t>s</w:t>
      </w:r>
      <w:r w:rsidR="00234505" w:rsidRPr="0053598B">
        <w:rPr>
          <w:rFonts w:ascii="Times New Roman" w:eastAsiaTheme="minorEastAsia" w:hAnsi="Times New Roman" w:cs="Times New Roman"/>
          <w:bCs/>
          <w:sz w:val="24"/>
          <w:szCs w:val="24"/>
          <w:lang w:eastAsia="pl-PL"/>
        </w:rPr>
        <w:t>)</w:t>
      </w:r>
      <w:r w:rsidRPr="0053598B">
        <w:rPr>
          <w:rFonts w:ascii="Times New Roman" w:eastAsiaTheme="minorEastAsia" w:hAnsi="Times New Roman" w:cs="Times New Roman"/>
          <w:bCs/>
          <w:sz w:val="24"/>
          <w:szCs w:val="24"/>
          <w:lang w:eastAsia="pl-PL"/>
        </w:rPr>
        <w:t xml:space="preserve"> s</w:t>
      </w:r>
      <w:r w:rsidR="00A27F08" w:rsidRPr="0053598B">
        <w:rPr>
          <w:rFonts w:ascii="Times New Roman" w:eastAsiaTheme="minorEastAsia" w:hAnsi="Times New Roman" w:cs="Times New Roman"/>
          <w:bCs/>
          <w:sz w:val="24"/>
          <w:szCs w:val="24"/>
          <w:lang w:eastAsia="pl-PL"/>
        </w:rPr>
        <w:t>ą to wskaźniki umożliwiające jednostkom stwierdzenie, w jakim stopniu ich strategiczne cele i plany są realizowane. W związku z tym KPIs obejmują zestaw indywidualnie dobranych przez jednostkę mierników finansowych lub niefinansowych, przez co stają się narzędziem kontroli menedżerskiej umożliwiającym wykrywanie problemów we wczesnej fazie ich pojawienia się, szybkie reagowanie i</w:t>
      </w:r>
      <w:r w:rsidR="004D5FD0">
        <w:rPr>
          <w:rFonts w:ascii="Times New Roman" w:eastAsiaTheme="minorEastAsia" w:hAnsi="Times New Roman" w:cs="Times New Roman"/>
          <w:bCs/>
          <w:sz w:val="24"/>
          <w:szCs w:val="24"/>
          <w:lang w:eastAsia="pl-PL"/>
        </w:rPr>
        <w:t> </w:t>
      </w:r>
      <w:r w:rsidR="00A27F08" w:rsidRPr="0053598B">
        <w:rPr>
          <w:rFonts w:ascii="Times New Roman" w:eastAsiaTheme="minorEastAsia" w:hAnsi="Times New Roman" w:cs="Times New Roman"/>
          <w:bCs/>
          <w:sz w:val="24"/>
          <w:szCs w:val="24"/>
          <w:lang w:eastAsia="pl-PL"/>
        </w:rPr>
        <w:t>doskonalenie procesów w jednostce.</w:t>
      </w:r>
      <w:r w:rsidR="00A27F08" w:rsidRPr="0053598B">
        <w:rPr>
          <w:rFonts w:ascii="Times New Roman" w:hAnsi="Times New Roman" w:cs="Times New Roman"/>
          <w:sz w:val="24"/>
          <w:szCs w:val="24"/>
        </w:rPr>
        <w:t xml:space="preserve"> </w:t>
      </w:r>
      <w:r w:rsidR="00A27F08" w:rsidRPr="0053598B">
        <w:rPr>
          <w:rFonts w:ascii="Times New Roman" w:eastAsiaTheme="minorEastAsia" w:hAnsi="Times New Roman" w:cs="Times New Roman"/>
          <w:bCs/>
          <w:sz w:val="24"/>
          <w:szCs w:val="24"/>
          <w:lang w:eastAsia="pl-PL"/>
        </w:rPr>
        <w:t>Użyteczny zestaw KPIs w jednostce powinien spełniać</w:t>
      </w:r>
      <w:r w:rsidR="009E3277" w:rsidRPr="0053598B">
        <w:rPr>
          <w:rFonts w:ascii="Times New Roman" w:eastAsiaTheme="minorEastAsia" w:hAnsi="Times New Roman" w:cs="Times New Roman"/>
          <w:bCs/>
          <w:sz w:val="24"/>
          <w:szCs w:val="24"/>
          <w:lang w:eastAsia="pl-PL"/>
        </w:rPr>
        <w:t xml:space="preserve"> m.in.</w:t>
      </w:r>
      <w:r w:rsidR="00A27F08" w:rsidRPr="0053598B">
        <w:rPr>
          <w:rFonts w:ascii="Times New Roman" w:eastAsiaTheme="minorEastAsia" w:hAnsi="Times New Roman" w:cs="Times New Roman"/>
          <w:bCs/>
          <w:sz w:val="24"/>
          <w:szCs w:val="24"/>
          <w:lang w:eastAsia="pl-PL"/>
        </w:rPr>
        <w:t xml:space="preserve"> następujące warunki:</w:t>
      </w:r>
    </w:p>
    <w:p w:rsidR="00A27F08" w:rsidRPr="0053598B" w:rsidRDefault="00A27F08" w:rsidP="006D5C9D">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t>wskaźniki powinny dotyczyć zagadnień, które są ważne dla jednostki, to jest takich, które zostały określone w jej strategii lub bezpośrednio służą je</w:t>
      </w:r>
      <w:r w:rsidR="00186D5A" w:rsidRPr="0053598B">
        <w:rPr>
          <w:rFonts w:ascii="Times New Roman" w:hAnsi="Times New Roman" w:cs="Times New Roman"/>
          <w:sz w:val="24"/>
          <w:szCs w:val="24"/>
        </w:rPr>
        <w:t>j realizacji,</w:t>
      </w:r>
    </w:p>
    <w:p w:rsidR="00A27F08" w:rsidRPr="0053598B" w:rsidRDefault="00A27F08" w:rsidP="006D5C9D">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lastRenderedPageBreak/>
        <w:t>wskaźniki są dostosowane do sytuacji oraz specyfiki sek</w:t>
      </w:r>
      <w:r w:rsidR="00186D5A" w:rsidRPr="0053598B">
        <w:rPr>
          <w:rFonts w:ascii="Times New Roman" w:hAnsi="Times New Roman" w:cs="Times New Roman"/>
          <w:sz w:val="24"/>
          <w:szCs w:val="24"/>
        </w:rPr>
        <w:t>tora, w którym jednostka działa,</w:t>
      </w:r>
    </w:p>
    <w:p w:rsidR="00A27F08" w:rsidRPr="0053598B" w:rsidRDefault="00A27F08" w:rsidP="006D5C9D">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t>liczba wskaźników nie powinna być zbyt duża, ponieważ pomiar powinien koncentrować się na monitorowaniu kluczowych proce</w:t>
      </w:r>
      <w:r w:rsidR="00186D5A" w:rsidRPr="0053598B">
        <w:rPr>
          <w:rFonts w:ascii="Times New Roman" w:hAnsi="Times New Roman" w:cs="Times New Roman"/>
          <w:sz w:val="24"/>
          <w:szCs w:val="24"/>
        </w:rPr>
        <w:t>sów, a nie mierzeniu wszystkich,</w:t>
      </w:r>
    </w:p>
    <w:p w:rsidR="00A27F08" w:rsidRPr="0053598B" w:rsidRDefault="00A27F08" w:rsidP="006D5C9D">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t>każdy wskaźnik musi mieć określony wzorzec (normę) na dany okres badania, na przykład są to wyniki osiągnięte przez jednostkę w</w:t>
      </w:r>
      <w:r w:rsidR="00A47F15" w:rsidRPr="0053598B">
        <w:rPr>
          <w:rFonts w:ascii="Times New Roman" w:hAnsi="Times New Roman" w:cs="Times New Roman"/>
          <w:sz w:val="24"/>
          <w:szCs w:val="24"/>
        </w:rPr>
        <w:t xml:space="preserve"> </w:t>
      </w:r>
      <w:r w:rsidR="006D5C9D" w:rsidRPr="0053598B">
        <w:rPr>
          <w:rFonts w:ascii="Times New Roman" w:hAnsi="Times New Roman" w:cs="Times New Roman"/>
          <w:sz w:val="24"/>
          <w:szCs w:val="24"/>
        </w:rPr>
        <w:t>poprzednich okresach,</w:t>
      </w:r>
    </w:p>
    <w:p w:rsidR="00A27F08" w:rsidRPr="0053598B" w:rsidRDefault="00A27F08" w:rsidP="006D5C9D">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t xml:space="preserve">wzorce powinny być w kolejnych okresach korygowane (podnoszone), aby </w:t>
      </w:r>
      <w:r w:rsidR="009E3277" w:rsidRPr="0053598B">
        <w:rPr>
          <w:rFonts w:ascii="Times New Roman" w:hAnsi="Times New Roman" w:cs="Times New Roman"/>
          <w:sz w:val="24"/>
          <w:szCs w:val="24"/>
        </w:rPr>
        <w:t>pobudzały ciągłe</w:t>
      </w:r>
      <w:r w:rsidRPr="0053598B">
        <w:rPr>
          <w:rFonts w:ascii="Times New Roman" w:hAnsi="Times New Roman" w:cs="Times New Roman"/>
          <w:sz w:val="24"/>
          <w:szCs w:val="24"/>
        </w:rPr>
        <w:t xml:space="preserve"> doskonalenie</w:t>
      </w:r>
      <w:r w:rsidR="00186D5A" w:rsidRPr="0053598B">
        <w:rPr>
          <w:rFonts w:ascii="Times New Roman" w:hAnsi="Times New Roman" w:cs="Times New Roman"/>
          <w:sz w:val="24"/>
          <w:szCs w:val="24"/>
        </w:rPr>
        <w:t>,</w:t>
      </w:r>
    </w:p>
    <w:p w:rsidR="00EF1653" w:rsidRPr="005D7F97" w:rsidRDefault="00A27F08" w:rsidP="005D7F97">
      <w:pPr>
        <w:pStyle w:val="Akapitzlist"/>
        <w:numPr>
          <w:ilvl w:val="0"/>
          <w:numId w:val="21"/>
        </w:numPr>
        <w:spacing w:line="360" w:lineRule="auto"/>
        <w:jc w:val="both"/>
        <w:rPr>
          <w:rFonts w:ascii="Times New Roman" w:hAnsi="Times New Roman" w:cs="Times New Roman"/>
          <w:sz w:val="24"/>
          <w:szCs w:val="24"/>
        </w:rPr>
      </w:pPr>
      <w:r w:rsidRPr="0053598B">
        <w:rPr>
          <w:rFonts w:ascii="Times New Roman" w:hAnsi="Times New Roman" w:cs="Times New Roman"/>
          <w:sz w:val="24"/>
          <w:szCs w:val="24"/>
        </w:rPr>
        <w:t>koszty gromadzenia danych nie</w:t>
      </w:r>
      <w:r w:rsidR="00750C61" w:rsidRPr="0053598B">
        <w:rPr>
          <w:rFonts w:ascii="Times New Roman" w:hAnsi="Times New Roman" w:cs="Times New Roman"/>
          <w:sz w:val="24"/>
          <w:szCs w:val="24"/>
        </w:rPr>
        <w:t xml:space="preserve"> powinny</w:t>
      </w:r>
      <w:r w:rsidRPr="0053598B">
        <w:rPr>
          <w:rFonts w:ascii="Times New Roman" w:hAnsi="Times New Roman" w:cs="Times New Roman"/>
          <w:sz w:val="24"/>
          <w:szCs w:val="24"/>
        </w:rPr>
        <w:t xml:space="preserve"> być wyższe niż ko</w:t>
      </w:r>
      <w:r w:rsidR="00186D5A" w:rsidRPr="0053598B">
        <w:rPr>
          <w:rFonts w:ascii="Times New Roman" w:hAnsi="Times New Roman" w:cs="Times New Roman"/>
          <w:sz w:val="24"/>
          <w:szCs w:val="24"/>
        </w:rPr>
        <w:t>rzyści ze stosowania wskaźników;</w:t>
      </w:r>
      <w:r w:rsidR="00220F3B" w:rsidRPr="0053598B">
        <w:rPr>
          <w:rStyle w:val="Odwoanieprzypisudolnego"/>
          <w:rFonts w:ascii="Times New Roman" w:hAnsi="Times New Roman" w:cs="Times New Roman"/>
          <w:sz w:val="24"/>
          <w:szCs w:val="24"/>
        </w:rPr>
        <w:footnoteReference w:id="6"/>
      </w:r>
      <w:r w:rsidR="007A3322" w:rsidRPr="0053598B">
        <w:rPr>
          <w:rFonts w:ascii="Times New Roman" w:hAnsi="Times New Roman" w:cs="Times New Roman"/>
          <w:sz w:val="24"/>
          <w:szCs w:val="24"/>
          <w:vertAlign w:val="superscript"/>
          <w:lang w:eastAsia="pl-PL"/>
        </w:rPr>
        <w:t>)</w:t>
      </w:r>
    </w:p>
    <w:p w:rsidR="005613DC" w:rsidRPr="0053598B" w:rsidRDefault="005613DC" w:rsidP="006D5C9D">
      <w:pPr>
        <w:pStyle w:val="Akapitzlist"/>
        <w:numPr>
          <w:ilvl w:val="0"/>
          <w:numId w:val="26"/>
        </w:numPr>
        <w:spacing w:line="360" w:lineRule="auto"/>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opis polityk stosowanych przez jednostkę w odniesieniu do zagadnień społecznych, pracowniczych, środowiska naturalnego, poszanowania praw człowieka oraz przeciwdziałania korupcji i łapownictwu, a także opis rezultatów stosowania tych polityk</w:t>
      </w:r>
      <w:r w:rsidR="009878A0" w:rsidRPr="0053598B">
        <w:rPr>
          <w:rFonts w:ascii="Times New Roman" w:eastAsiaTheme="minorEastAsia" w:hAnsi="Times New Roman" w:cs="Times New Roman"/>
          <w:bCs/>
          <w:sz w:val="24"/>
          <w:szCs w:val="24"/>
          <w:lang w:eastAsia="pl-PL"/>
        </w:rPr>
        <w:t>.</w:t>
      </w:r>
    </w:p>
    <w:p w:rsidR="0015214C" w:rsidRPr="0053598B" w:rsidRDefault="0015214C" w:rsidP="006D5C9D">
      <w:pPr>
        <w:pStyle w:val="Akapitzlist"/>
        <w:spacing w:line="360" w:lineRule="auto"/>
        <w:ind w:left="36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W tym znaczeniu politykę można rozumieć jako</w:t>
      </w:r>
      <w:r w:rsidR="00FD26D8" w:rsidRPr="0053598B">
        <w:rPr>
          <w:rFonts w:ascii="Times New Roman" w:eastAsiaTheme="minorEastAsia" w:hAnsi="Times New Roman" w:cs="Times New Roman"/>
          <w:bCs/>
          <w:sz w:val="24"/>
          <w:szCs w:val="24"/>
          <w:lang w:eastAsia="pl-PL"/>
        </w:rPr>
        <w:t xml:space="preserve"> wdrożony i stosowany</w:t>
      </w:r>
      <w:r w:rsidRPr="0053598B">
        <w:rPr>
          <w:rFonts w:ascii="Times New Roman" w:eastAsiaTheme="minorEastAsia" w:hAnsi="Times New Roman" w:cs="Times New Roman"/>
          <w:bCs/>
          <w:sz w:val="24"/>
          <w:szCs w:val="24"/>
          <w:lang w:eastAsia="pl-PL"/>
        </w:rPr>
        <w:t xml:space="preserve"> w jednostce dokument zatwierdzony przez właściwy organ. Są to wszelkie dokumenty składające się na politykę podmiotu</w:t>
      </w:r>
      <w:r w:rsidR="00E10BFF" w:rsidRPr="0053598B">
        <w:rPr>
          <w:rFonts w:ascii="Times New Roman" w:eastAsiaTheme="minorEastAsia" w:hAnsi="Times New Roman" w:cs="Times New Roman"/>
          <w:bCs/>
          <w:sz w:val="24"/>
          <w:szCs w:val="24"/>
          <w:lang w:eastAsia="pl-PL"/>
        </w:rPr>
        <w:t xml:space="preserve"> </w:t>
      </w:r>
      <w:r w:rsidRPr="0053598B">
        <w:rPr>
          <w:rFonts w:ascii="Times New Roman" w:eastAsiaTheme="minorEastAsia" w:hAnsi="Times New Roman" w:cs="Times New Roman"/>
          <w:bCs/>
          <w:sz w:val="24"/>
          <w:szCs w:val="24"/>
          <w:lang w:eastAsia="pl-PL"/>
        </w:rPr>
        <w:t>w danym obszarze, w tym zasady, strategie, regulaminy.</w:t>
      </w:r>
    </w:p>
    <w:p w:rsidR="00186D5A" w:rsidRPr="0053598B" w:rsidRDefault="0015214C" w:rsidP="006D5C9D">
      <w:pPr>
        <w:pStyle w:val="Akapitzlist"/>
        <w:spacing w:line="360" w:lineRule="auto"/>
        <w:ind w:left="36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Przyjmuje się założenie, iż polityka wprowadzona w jednostc</w:t>
      </w:r>
      <w:r w:rsidR="00FD26D8" w:rsidRPr="0053598B">
        <w:rPr>
          <w:rFonts w:ascii="Times New Roman" w:eastAsiaTheme="minorEastAsia" w:hAnsi="Times New Roman" w:cs="Times New Roman"/>
          <w:bCs/>
          <w:sz w:val="24"/>
          <w:szCs w:val="24"/>
          <w:lang w:eastAsia="pl-PL"/>
        </w:rPr>
        <w:t xml:space="preserve">e w roku objętym </w:t>
      </w:r>
      <w:r w:rsidRPr="0053598B">
        <w:rPr>
          <w:rFonts w:ascii="Times New Roman" w:eastAsiaTheme="minorEastAsia" w:hAnsi="Times New Roman" w:cs="Times New Roman"/>
          <w:bCs/>
          <w:sz w:val="24"/>
          <w:szCs w:val="24"/>
          <w:lang w:eastAsia="pl-PL"/>
        </w:rPr>
        <w:t xml:space="preserve">niniejszą sprawozdawczością może nie być objęta obowiązkiem </w:t>
      </w:r>
      <w:r w:rsidR="00FD26D8" w:rsidRPr="0053598B">
        <w:rPr>
          <w:rFonts w:ascii="Times New Roman" w:eastAsiaTheme="minorEastAsia" w:hAnsi="Times New Roman" w:cs="Times New Roman"/>
          <w:bCs/>
          <w:sz w:val="24"/>
          <w:szCs w:val="24"/>
          <w:lang w:eastAsia="pl-PL"/>
        </w:rPr>
        <w:t>wykazania</w:t>
      </w:r>
      <w:r w:rsidRPr="0053598B">
        <w:rPr>
          <w:rFonts w:ascii="Times New Roman" w:eastAsiaTheme="minorEastAsia" w:hAnsi="Times New Roman" w:cs="Times New Roman"/>
          <w:bCs/>
          <w:sz w:val="24"/>
          <w:szCs w:val="24"/>
          <w:lang w:eastAsia="pl-PL"/>
        </w:rPr>
        <w:t xml:space="preserve"> jej rezultatów za ten rok sprawozdawczy</w:t>
      </w:r>
      <w:r w:rsidR="009878A0" w:rsidRPr="0053598B">
        <w:rPr>
          <w:rFonts w:ascii="Times New Roman" w:eastAsiaTheme="minorEastAsia" w:hAnsi="Times New Roman" w:cs="Times New Roman"/>
          <w:bCs/>
          <w:sz w:val="24"/>
          <w:szCs w:val="24"/>
          <w:lang w:eastAsia="pl-PL"/>
        </w:rPr>
        <w:t>;</w:t>
      </w:r>
    </w:p>
    <w:p w:rsidR="009A4514" w:rsidRPr="0053598B" w:rsidRDefault="005613DC" w:rsidP="005D7F97">
      <w:pPr>
        <w:pStyle w:val="Akapitzlist"/>
        <w:numPr>
          <w:ilvl w:val="0"/>
          <w:numId w:val="26"/>
        </w:numPr>
        <w:spacing w:after="0" w:line="360" w:lineRule="auto"/>
        <w:ind w:left="357" w:hanging="357"/>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 xml:space="preserve">opis procedur należytej staranności </w:t>
      </w:r>
      <w:r w:rsidR="00E10BFF" w:rsidRPr="0053598B">
        <w:rPr>
          <w:rFonts w:ascii="Times New Roman" w:eastAsiaTheme="minorEastAsia" w:hAnsi="Times New Roman" w:cs="Times New Roman"/>
          <w:bCs/>
          <w:sz w:val="24"/>
          <w:szCs w:val="24"/>
          <w:lang w:eastAsia="pl-PL"/>
        </w:rPr>
        <w:t>–</w:t>
      </w:r>
      <w:r w:rsidRPr="0053598B">
        <w:rPr>
          <w:rFonts w:ascii="Times New Roman" w:eastAsiaTheme="minorEastAsia" w:hAnsi="Times New Roman" w:cs="Times New Roman"/>
          <w:bCs/>
          <w:sz w:val="24"/>
          <w:szCs w:val="24"/>
          <w:lang w:eastAsia="pl-PL"/>
        </w:rPr>
        <w:t xml:space="preserve"> jeżeli jednostka je stosuje w ramach polityk, o</w:t>
      </w:r>
      <w:r w:rsidR="004D5FD0">
        <w:rPr>
          <w:rFonts w:ascii="Times New Roman" w:eastAsiaTheme="minorEastAsia" w:hAnsi="Times New Roman" w:cs="Times New Roman"/>
          <w:bCs/>
          <w:sz w:val="24"/>
          <w:szCs w:val="24"/>
          <w:lang w:eastAsia="pl-PL"/>
        </w:rPr>
        <w:t> </w:t>
      </w:r>
      <w:r w:rsidRPr="0053598B">
        <w:rPr>
          <w:rFonts w:ascii="Times New Roman" w:eastAsiaTheme="minorEastAsia" w:hAnsi="Times New Roman" w:cs="Times New Roman"/>
          <w:bCs/>
          <w:sz w:val="24"/>
          <w:szCs w:val="24"/>
          <w:lang w:eastAsia="pl-PL"/>
        </w:rPr>
        <w:t>których mowa w pkt 3</w:t>
      </w:r>
      <w:r w:rsidR="009878A0" w:rsidRPr="0053598B">
        <w:rPr>
          <w:rFonts w:ascii="Times New Roman" w:eastAsiaTheme="minorEastAsia" w:hAnsi="Times New Roman" w:cs="Times New Roman"/>
          <w:bCs/>
          <w:sz w:val="24"/>
          <w:szCs w:val="24"/>
          <w:lang w:eastAsia="pl-PL"/>
        </w:rPr>
        <w:t>.</w:t>
      </w:r>
      <w:r w:rsidRPr="0053598B">
        <w:rPr>
          <w:rFonts w:ascii="Times New Roman" w:eastAsiaTheme="minorEastAsia" w:hAnsi="Times New Roman" w:cs="Times New Roman"/>
          <w:bCs/>
          <w:sz w:val="24"/>
          <w:szCs w:val="24"/>
          <w:lang w:eastAsia="pl-PL"/>
        </w:rPr>
        <w:t xml:space="preserve"> </w:t>
      </w:r>
      <w:r w:rsidR="007240F2" w:rsidRPr="0053598B">
        <w:rPr>
          <w:rFonts w:ascii="Times New Roman" w:eastAsiaTheme="minorEastAsia" w:hAnsi="Times New Roman" w:cs="Times New Roman"/>
          <w:bCs/>
          <w:sz w:val="24"/>
          <w:szCs w:val="24"/>
          <w:lang w:eastAsia="pl-PL"/>
        </w:rPr>
        <w:t>Jeżeli jednostka stosuje w ramach polityk dotyczących zagadnień społecznych, pracowniczych, środowiska naturalnego, poszanowania praw człowieka oraz przeciwdziałania korupcji i łapownictwu, szczególne procedury mające na celu zachowanie odpowiednich standardów</w:t>
      </w:r>
      <w:r w:rsidR="00DF611E" w:rsidRPr="0053598B">
        <w:rPr>
          <w:rFonts w:ascii="Times New Roman" w:eastAsiaTheme="minorEastAsia" w:hAnsi="Times New Roman" w:cs="Times New Roman"/>
          <w:bCs/>
          <w:sz w:val="24"/>
          <w:szCs w:val="24"/>
          <w:lang w:eastAsia="pl-PL"/>
        </w:rPr>
        <w:t xml:space="preserve"> postępowania</w:t>
      </w:r>
      <w:r w:rsidR="007240F2" w:rsidRPr="0053598B">
        <w:rPr>
          <w:rFonts w:ascii="Times New Roman" w:eastAsiaTheme="minorEastAsia" w:hAnsi="Times New Roman" w:cs="Times New Roman"/>
          <w:bCs/>
          <w:sz w:val="24"/>
          <w:szCs w:val="24"/>
          <w:lang w:eastAsia="pl-PL"/>
        </w:rPr>
        <w:t xml:space="preserve"> oraz minimalizowanie określonych ryzyk związanych z działalnością jednostki, to powinna przedstawić opis takich procedur</w:t>
      </w:r>
      <w:r w:rsidR="009878A0" w:rsidRPr="0053598B">
        <w:rPr>
          <w:rFonts w:ascii="Times New Roman" w:eastAsiaTheme="minorEastAsia" w:hAnsi="Times New Roman" w:cs="Times New Roman"/>
          <w:bCs/>
          <w:sz w:val="24"/>
          <w:szCs w:val="24"/>
          <w:lang w:eastAsia="pl-PL"/>
        </w:rPr>
        <w:t>;</w:t>
      </w:r>
    </w:p>
    <w:p w:rsidR="005613DC" w:rsidRPr="0053598B" w:rsidRDefault="005613DC" w:rsidP="00E10BFF">
      <w:pPr>
        <w:spacing w:line="360" w:lineRule="auto"/>
        <w:ind w:left="476" w:hanging="476"/>
        <w:jc w:val="both"/>
        <w:rPr>
          <w:rFonts w:eastAsiaTheme="minorEastAsia"/>
          <w:bCs/>
          <w:lang w:eastAsia="pl-PL"/>
        </w:rPr>
      </w:pPr>
      <w:r w:rsidRPr="0053598B">
        <w:rPr>
          <w:rFonts w:eastAsiaTheme="minorEastAsia"/>
          <w:bCs/>
          <w:lang w:eastAsia="pl-PL"/>
        </w:rPr>
        <w:t>5)</w:t>
      </w:r>
      <w:r w:rsidRPr="0053598B">
        <w:rPr>
          <w:rFonts w:eastAsiaTheme="minorEastAsia"/>
          <w:bCs/>
          <w:lang w:eastAsia="pl-PL"/>
        </w:rPr>
        <w:tab/>
        <w:t xml:space="preserve">opis </w:t>
      </w:r>
      <w:r w:rsidR="003B433E" w:rsidRPr="0053598B">
        <w:rPr>
          <w:rFonts w:eastAsiaTheme="minorEastAsia"/>
          <w:bCs/>
          <w:lang w:eastAsia="pl-PL"/>
        </w:rPr>
        <w:t xml:space="preserve">istotnych ryzyk związanych z działalnością jednostki, </w:t>
      </w:r>
      <w:r w:rsidRPr="0053598B">
        <w:rPr>
          <w:rFonts w:eastAsiaTheme="minorEastAsia"/>
          <w:bCs/>
          <w:lang w:eastAsia="pl-PL"/>
        </w:rPr>
        <w:t xml:space="preserve">mogących wywierać niekorzystny wpływ </w:t>
      </w:r>
      <w:r w:rsidR="003B433E" w:rsidRPr="0053598B">
        <w:rPr>
          <w:rFonts w:eastAsiaTheme="minorEastAsia"/>
          <w:bCs/>
          <w:lang w:eastAsia="pl-PL"/>
        </w:rPr>
        <w:t>na</w:t>
      </w:r>
      <w:r w:rsidRPr="0053598B">
        <w:rPr>
          <w:rFonts w:eastAsiaTheme="minorEastAsia"/>
          <w:bCs/>
          <w:lang w:eastAsia="pl-PL"/>
        </w:rPr>
        <w:t xml:space="preserve"> zagadnie</w:t>
      </w:r>
      <w:r w:rsidR="003B433E" w:rsidRPr="0053598B">
        <w:rPr>
          <w:rFonts w:eastAsiaTheme="minorEastAsia"/>
          <w:bCs/>
          <w:lang w:eastAsia="pl-PL"/>
        </w:rPr>
        <w:t>nia</w:t>
      </w:r>
      <w:r w:rsidRPr="0053598B">
        <w:rPr>
          <w:rFonts w:eastAsiaTheme="minorEastAsia"/>
          <w:bCs/>
          <w:lang w:eastAsia="pl-PL"/>
        </w:rPr>
        <w:t xml:space="preserve">, o których mowa w pkt 3, w tym ryzyk związanych z produktami jednostki lub jej relacjami z </w:t>
      </w:r>
      <w:r w:rsidR="003403D5" w:rsidRPr="0053598B">
        <w:rPr>
          <w:rFonts w:eastAsiaTheme="minorEastAsia"/>
          <w:bCs/>
          <w:lang w:eastAsia="pl-PL"/>
        </w:rPr>
        <w:t>otoczeniem zewnętrznym, w tym z</w:t>
      </w:r>
      <w:r w:rsidR="004D5FD0">
        <w:rPr>
          <w:rFonts w:eastAsiaTheme="minorEastAsia"/>
          <w:bCs/>
          <w:lang w:eastAsia="pl-PL"/>
        </w:rPr>
        <w:t> </w:t>
      </w:r>
      <w:r w:rsidR="003403D5" w:rsidRPr="0053598B">
        <w:rPr>
          <w:rFonts w:eastAsiaTheme="minorEastAsia"/>
          <w:bCs/>
          <w:lang w:eastAsia="pl-PL"/>
        </w:rPr>
        <w:t>kontrahentami</w:t>
      </w:r>
      <w:r w:rsidRPr="0053598B">
        <w:rPr>
          <w:rFonts w:eastAsiaTheme="minorEastAsia"/>
          <w:bCs/>
          <w:lang w:eastAsia="pl-PL"/>
        </w:rPr>
        <w:t>, a także opis zarządzania tymi ryzykami.</w:t>
      </w:r>
    </w:p>
    <w:p w:rsidR="00092AD3" w:rsidRPr="0053598B" w:rsidRDefault="00092AD3" w:rsidP="00E10BFF">
      <w:pPr>
        <w:spacing w:line="360" w:lineRule="auto"/>
        <w:jc w:val="both"/>
        <w:rPr>
          <w:rFonts w:eastAsiaTheme="minorEastAsia"/>
          <w:bCs/>
          <w:lang w:eastAsia="pl-PL"/>
        </w:rPr>
      </w:pPr>
    </w:p>
    <w:p w:rsidR="00C43739" w:rsidRPr="0053598B" w:rsidRDefault="00C43739" w:rsidP="00E10BFF">
      <w:pPr>
        <w:spacing w:line="360" w:lineRule="auto"/>
        <w:jc w:val="both"/>
        <w:rPr>
          <w:rFonts w:eastAsiaTheme="minorEastAsia"/>
          <w:bCs/>
          <w:lang w:eastAsia="pl-PL"/>
        </w:rPr>
      </w:pPr>
      <w:r w:rsidRPr="0053598B">
        <w:rPr>
          <w:rFonts w:eastAsiaTheme="minorEastAsia"/>
          <w:bCs/>
          <w:lang w:eastAsia="pl-PL"/>
        </w:rPr>
        <w:t xml:space="preserve">Poniższy schemat przedstawia </w:t>
      </w:r>
      <w:r w:rsidR="004711D2" w:rsidRPr="0053598B">
        <w:rPr>
          <w:rFonts w:eastAsiaTheme="minorEastAsia"/>
          <w:bCs/>
          <w:lang w:eastAsia="pl-PL"/>
        </w:rPr>
        <w:t>przykładowy obszar</w:t>
      </w:r>
      <w:r w:rsidRPr="0053598B">
        <w:rPr>
          <w:rFonts w:eastAsiaTheme="minorEastAsia"/>
          <w:bCs/>
          <w:lang w:eastAsia="pl-PL"/>
        </w:rPr>
        <w:t xml:space="preserve"> raportowania niefinansowego</w:t>
      </w:r>
      <w:r w:rsidR="00092AD3" w:rsidRPr="0053598B">
        <w:rPr>
          <w:rFonts w:eastAsiaTheme="minorEastAsia"/>
          <w:bCs/>
          <w:lang w:eastAsia="pl-PL"/>
        </w:rPr>
        <w:t xml:space="preserve"> dotyczący zagadnienia środowiska naturalnego</w:t>
      </w:r>
      <w:r w:rsidRPr="0053598B">
        <w:rPr>
          <w:rFonts w:eastAsiaTheme="minorEastAsia"/>
          <w:bCs/>
          <w:lang w:eastAsia="pl-PL"/>
        </w:rPr>
        <w:t xml:space="preserve"> w powiązaniu z</w:t>
      </w:r>
      <w:r w:rsidR="004711D2" w:rsidRPr="0053598B">
        <w:rPr>
          <w:rFonts w:eastAsiaTheme="minorEastAsia"/>
          <w:bCs/>
          <w:lang w:eastAsia="pl-PL"/>
        </w:rPr>
        <w:t xml:space="preserve"> </w:t>
      </w:r>
      <w:r w:rsidRPr="0053598B">
        <w:rPr>
          <w:rFonts w:eastAsiaTheme="minorEastAsia"/>
          <w:bCs/>
          <w:lang w:eastAsia="pl-PL"/>
        </w:rPr>
        <w:t>aspektami takimi jak: polityka</w:t>
      </w:r>
      <w:r w:rsidR="00092AD3" w:rsidRPr="0053598B">
        <w:rPr>
          <w:rFonts w:eastAsiaTheme="minorEastAsia"/>
          <w:bCs/>
          <w:lang w:eastAsia="pl-PL"/>
        </w:rPr>
        <w:t xml:space="preserve"> jednostki</w:t>
      </w:r>
      <w:r w:rsidR="00FF65E4" w:rsidRPr="0053598B">
        <w:rPr>
          <w:rFonts w:eastAsiaTheme="minorEastAsia"/>
          <w:bCs/>
          <w:lang w:eastAsia="pl-PL"/>
        </w:rPr>
        <w:t xml:space="preserve"> w odniesieniu do</w:t>
      </w:r>
      <w:r w:rsidR="00092AD3" w:rsidRPr="0053598B">
        <w:rPr>
          <w:rFonts w:eastAsiaTheme="minorEastAsia"/>
          <w:bCs/>
          <w:lang w:eastAsia="pl-PL"/>
        </w:rPr>
        <w:t xml:space="preserve"> tego</w:t>
      </w:r>
      <w:r w:rsidR="00FF65E4" w:rsidRPr="0053598B">
        <w:rPr>
          <w:rFonts w:eastAsiaTheme="minorEastAsia"/>
          <w:bCs/>
          <w:lang w:eastAsia="pl-PL"/>
        </w:rPr>
        <w:t xml:space="preserve"> zagadnienia</w:t>
      </w:r>
      <w:r w:rsidRPr="0053598B">
        <w:rPr>
          <w:rFonts w:eastAsiaTheme="minorEastAsia"/>
          <w:bCs/>
          <w:lang w:eastAsia="pl-PL"/>
        </w:rPr>
        <w:t>, rezultaty</w:t>
      </w:r>
      <w:r w:rsidR="00FF65E4" w:rsidRPr="0053598B">
        <w:rPr>
          <w:rFonts w:eastAsiaTheme="minorEastAsia"/>
          <w:bCs/>
          <w:lang w:eastAsia="pl-PL"/>
        </w:rPr>
        <w:t xml:space="preserve"> tej polityki</w:t>
      </w:r>
      <w:r w:rsidRPr="0053598B">
        <w:rPr>
          <w:rFonts w:eastAsiaTheme="minorEastAsia"/>
          <w:bCs/>
          <w:lang w:eastAsia="pl-PL"/>
        </w:rPr>
        <w:t>, wpływ</w:t>
      </w:r>
      <w:r w:rsidR="00FF65E4" w:rsidRPr="0053598B">
        <w:rPr>
          <w:rFonts w:eastAsiaTheme="minorEastAsia"/>
          <w:bCs/>
          <w:lang w:eastAsia="pl-PL"/>
        </w:rPr>
        <w:t xml:space="preserve"> jednostki na środowisko naturalne</w:t>
      </w:r>
      <w:r w:rsidRPr="0053598B">
        <w:rPr>
          <w:rFonts w:eastAsiaTheme="minorEastAsia"/>
          <w:bCs/>
          <w:lang w:eastAsia="pl-PL"/>
        </w:rPr>
        <w:t xml:space="preserve"> i ryzyk</w:t>
      </w:r>
      <w:r w:rsidR="00FF65E4" w:rsidRPr="0053598B">
        <w:rPr>
          <w:rFonts w:eastAsiaTheme="minorEastAsia"/>
          <w:bCs/>
          <w:lang w:eastAsia="pl-PL"/>
        </w:rPr>
        <w:t>a identyfikowane przez jednostkę w zakresie oddziaływania na</w:t>
      </w:r>
      <w:r w:rsidR="00092AD3" w:rsidRPr="0053598B">
        <w:rPr>
          <w:rFonts w:eastAsiaTheme="minorEastAsia"/>
          <w:bCs/>
          <w:lang w:eastAsia="pl-PL"/>
        </w:rPr>
        <w:t xml:space="preserve"> to</w:t>
      </w:r>
      <w:r w:rsidR="00FF65E4" w:rsidRPr="0053598B">
        <w:rPr>
          <w:rFonts w:eastAsiaTheme="minorEastAsia"/>
          <w:bCs/>
          <w:lang w:eastAsia="pl-PL"/>
        </w:rPr>
        <w:t xml:space="preserve"> środowisko</w:t>
      </w:r>
      <w:r w:rsidRPr="0053598B">
        <w:rPr>
          <w:rFonts w:eastAsiaTheme="minorEastAsia"/>
          <w:bCs/>
          <w:lang w:eastAsia="pl-PL"/>
        </w:rPr>
        <w:t>.</w:t>
      </w:r>
    </w:p>
    <w:p w:rsidR="007101B3" w:rsidRPr="0053598B" w:rsidRDefault="00092AD3" w:rsidP="006D5C9D">
      <w:pPr>
        <w:spacing w:line="360" w:lineRule="auto"/>
        <w:jc w:val="center"/>
        <w:rPr>
          <w:lang w:eastAsia="pl-PL"/>
        </w:rPr>
      </w:pPr>
      <w:r w:rsidRPr="0053598B">
        <w:rPr>
          <w:noProof/>
          <w:lang w:eastAsia="pl-PL"/>
        </w:rPr>
        <w:drawing>
          <wp:inline distT="0" distB="0" distL="0" distR="0" wp14:anchorId="3BDE4CF2" wp14:editId="5A3AB7E1">
            <wp:extent cx="4572635" cy="34296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7101B3" w:rsidRPr="0053598B" w:rsidRDefault="006D5C9D" w:rsidP="00E10BFF">
      <w:pPr>
        <w:spacing w:line="360" w:lineRule="auto"/>
        <w:rPr>
          <w:lang w:eastAsia="pl-PL"/>
        </w:rPr>
      </w:pPr>
      <w:r w:rsidRPr="0053598B">
        <w:rPr>
          <w:lang w:eastAsia="pl-PL"/>
        </w:rPr>
        <w:t>Ź</w:t>
      </w:r>
      <w:r w:rsidR="00C9435F" w:rsidRPr="0053598B">
        <w:rPr>
          <w:lang w:eastAsia="pl-PL"/>
        </w:rPr>
        <w:t>ródło</w:t>
      </w:r>
      <w:r w:rsidR="001A6DAF" w:rsidRPr="0053598B">
        <w:rPr>
          <w:lang w:eastAsia="pl-PL"/>
        </w:rPr>
        <w:t>: opracowanie własne</w:t>
      </w:r>
      <w:r w:rsidRPr="0053598B">
        <w:rPr>
          <w:lang w:eastAsia="pl-PL"/>
        </w:rPr>
        <w:t>.</w:t>
      </w:r>
    </w:p>
    <w:p w:rsidR="007101B3" w:rsidRPr="0053598B" w:rsidRDefault="007101B3" w:rsidP="00E10BFF">
      <w:pPr>
        <w:spacing w:line="360" w:lineRule="auto"/>
        <w:rPr>
          <w:lang w:eastAsia="pl-PL"/>
        </w:rPr>
      </w:pPr>
    </w:p>
    <w:p w:rsidR="00D71697" w:rsidRPr="0053598B" w:rsidRDefault="00D71697" w:rsidP="00E10BFF">
      <w:pPr>
        <w:spacing w:line="360" w:lineRule="auto"/>
        <w:jc w:val="both"/>
        <w:rPr>
          <w:rFonts w:eastAsiaTheme="minorEastAsia"/>
          <w:bCs/>
          <w:lang w:eastAsia="pl-PL"/>
        </w:rPr>
      </w:pPr>
      <w:r w:rsidRPr="0053598B">
        <w:rPr>
          <w:rFonts w:eastAsiaTheme="minorEastAsia"/>
          <w:bCs/>
          <w:lang w:eastAsia="pl-PL"/>
        </w:rPr>
        <w:t xml:space="preserve">Dobrą praktyką powinno być, iż w oświadczeniu na temat informacji niefinansowych (lub odrębnym sprawozdaniu) jednostka powinna zaprezentować dane porównawcze przynajmniej za 1 rok (tj. rok ubiegły), co jest zbieżne z zapisami Krajowego Standardu Rachunkowości nr 9 pkt 5.4 „Sprawozdanie z działalności”. Prezentacja danych porównawczych umożliwia bowiem ocenę tendencji i trendów w danym obszarze oddziaływania jednostki. </w:t>
      </w:r>
    </w:p>
    <w:p w:rsidR="00BF390E"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DD2C42" w:rsidRPr="0053598B">
        <w:rPr>
          <w:rFonts w:eastAsiaTheme="minorEastAsia"/>
          <w:b/>
          <w:bCs/>
          <w:lang w:eastAsia="pl-PL"/>
        </w:rPr>
        <w:t xml:space="preserve"> ust. 3</w:t>
      </w:r>
      <w:r w:rsidR="00BF390E" w:rsidRPr="0053598B">
        <w:rPr>
          <w:rFonts w:eastAsiaTheme="minorEastAsia"/>
          <w:bCs/>
          <w:lang w:eastAsia="pl-PL"/>
        </w:rPr>
        <w:t xml:space="preserve"> (</w:t>
      </w:r>
      <w:r w:rsidR="00AF076D" w:rsidRPr="0053598B">
        <w:rPr>
          <w:lang w:eastAsia="pl-PL"/>
        </w:rPr>
        <w:t xml:space="preserve">wdrożenie </w:t>
      </w:r>
      <w:r w:rsidR="00BF390E" w:rsidRPr="0053598B">
        <w:rPr>
          <w:rFonts w:eastAsiaTheme="minorEastAsia"/>
          <w:bCs/>
          <w:lang w:eastAsia="pl-PL"/>
        </w:rPr>
        <w:t xml:space="preserve">art. 19a ust. </w:t>
      </w:r>
      <w:r w:rsidR="00DD2C42" w:rsidRPr="0053598B">
        <w:rPr>
          <w:rFonts w:eastAsiaTheme="minorEastAsia"/>
          <w:bCs/>
          <w:lang w:eastAsia="pl-PL"/>
        </w:rPr>
        <w:t>1 akapit pierwszy</w:t>
      </w:r>
      <w:r w:rsidR="008D5AC2" w:rsidRPr="0053598B">
        <w:rPr>
          <w:rFonts w:eastAsiaTheme="minorEastAsia"/>
          <w:bCs/>
          <w:lang w:eastAsia="pl-PL"/>
        </w:rPr>
        <w:t xml:space="preserve"> zdanie wprowadzające </w:t>
      </w:r>
      <w:r w:rsidR="00BF390E" w:rsidRPr="0053598B">
        <w:rPr>
          <w:rFonts w:eastAsiaTheme="minorEastAsia"/>
          <w:bCs/>
          <w:lang w:eastAsia="pl-PL"/>
        </w:rPr>
        <w:t>dyrektywy 2013/34/UE,</w:t>
      </w:r>
      <w:r w:rsidRPr="0053598B">
        <w:rPr>
          <w:rFonts w:eastAsiaTheme="minorEastAsia"/>
          <w:bCs/>
          <w:lang w:eastAsia="pl-PL"/>
        </w:rPr>
        <w:t xml:space="preserve"> </w:t>
      </w:r>
      <w:r w:rsidR="002C45DF" w:rsidRPr="0053598B">
        <w:rPr>
          <w:rFonts w:eastAsiaTheme="minorEastAsia"/>
          <w:bCs/>
          <w:lang w:eastAsia="pl-PL"/>
        </w:rPr>
        <w:t>wprowadzonego</w:t>
      </w:r>
      <w:r w:rsidRPr="0053598B">
        <w:rPr>
          <w:rFonts w:eastAsiaTheme="minorEastAsia"/>
          <w:bCs/>
          <w:lang w:eastAsia="pl-PL"/>
        </w:rPr>
        <w:t xml:space="preserve"> </w:t>
      </w:r>
      <w:r w:rsidR="00BF390E" w:rsidRPr="0053598B">
        <w:rPr>
          <w:rFonts w:eastAsiaTheme="minorEastAsia"/>
          <w:bCs/>
          <w:lang w:eastAsia="pl-PL"/>
        </w:rPr>
        <w:t xml:space="preserve">dyrektywą 2014/95/UE) projektowane przepisy </w:t>
      </w:r>
      <w:r w:rsidR="00DD2C42" w:rsidRPr="0053598B">
        <w:rPr>
          <w:rFonts w:eastAsiaTheme="minorEastAsia"/>
          <w:bCs/>
          <w:lang w:eastAsia="pl-PL"/>
        </w:rPr>
        <w:t>określają zasadę, którą jednostka po</w:t>
      </w:r>
      <w:r w:rsidR="008D5AC2" w:rsidRPr="0053598B">
        <w:rPr>
          <w:rFonts w:eastAsiaTheme="minorEastAsia"/>
          <w:bCs/>
          <w:lang w:eastAsia="pl-PL"/>
        </w:rPr>
        <w:t xml:space="preserve">winna stosować w celu ustalenia istotnych </w:t>
      </w:r>
      <w:r w:rsidR="00DD2C42" w:rsidRPr="0053598B">
        <w:rPr>
          <w:rFonts w:eastAsiaTheme="minorEastAsia"/>
          <w:bCs/>
          <w:lang w:eastAsia="pl-PL"/>
        </w:rPr>
        <w:t>informacji niefinansowych, które jednostka powinna zawrzeć w oświadczeniu na temat informacji niefinansowych.</w:t>
      </w:r>
    </w:p>
    <w:p w:rsidR="00DD2C42"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lastRenderedPageBreak/>
        <w:t>–</w:t>
      </w:r>
      <w:r w:rsidR="009878A0" w:rsidRPr="0053598B">
        <w:rPr>
          <w:rFonts w:eastAsiaTheme="minorEastAsia"/>
          <w:b/>
          <w:bCs/>
          <w:lang w:eastAsia="pl-PL"/>
        </w:rPr>
        <w:t xml:space="preserve"> w art. 49b w</w:t>
      </w:r>
      <w:r w:rsidR="00DD2C42" w:rsidRPr="0053598B">
        <w:rPr>
          <w:rFonts w:eastAsiaTheme="minorEastAsia"/>
          <w:b/>
          <w:bCs/>
          <w:lang w:eastAsia="pl-PL"/>
        </w:rPr>
        <w:t xml:space="preserve"> ust. 4</w:t>
      </w:r>
      <w:r w:rsidR="00DD2C42" w:rsidRPr="0053598B">
        <w:rPr>
          <w:rFonts w:eastAsiaTheme="minorEastAsia"/>
          <w:bCs/>
          <w:lang w:eastAsia="pl-PL"/>
        </w:rPr>
        <w:t xml:space="preserve"> (</w:t>
      </w:r>
      <w:r w:rsidR="00AF076D" w:rsidRPr="0053598B">
        <w:rPr>
          <w:lang w:eastAsia="pl-PL"/>
        </w:rPr>
        <w:t>wdrożenie</w:t>
      </w:r>
      <w:r w:rsidRPr="0053598B">
        <w:rPr>
          <w:lang w:eastAsia="pl-PL"/>
        </w:rPr>
        <w:t xml:space="preserve"> </w:t>
      </w:r>
      <w:r w:rsidR="00DD2C42" w:rsidRPr="0053598B">
        <w:rPr>
          <w:rFonts w:eastAsiaTheme="minorEastAsia"/>
          <w:bCs/>
          <w:lang w:eastAsia="pl-PL"/>
        </w:rPr>
        <w:t>art. 19a ust. 1 akapit trzeci dyrektywy 2013/34/UE,</w:t>
      </w:r>
      <w:r w:rsidRPr="0053598B">
        <w:rPr>
          <w:rFonts w:eastAsiaTheme="minorEastAsia"/>
          <w:bCs/>
          <w:lang w:eastAsia="pl-PL"/>
        </w:rPr>
        <w:t xml:space="preserve"> </w:t>
      </w:r>
      <w:r w:rsidR="002C45DF" w:rsidRPr="0053598B">
        <w:rPr>
          <w:rFonts w:eastAsiaTheme="minorEastAsia"/>
          <w:bCs/>
          <w:lang w:eastAsia="pl-PL"/>
        </w:rPr>
        <w:t>wprowadzonego</w:t>
      </w:r>
      <w:r w:rsidRPr="0053598B">
        <w:rPr>
          <w:rFonts w:eastAsiaTheme="minorEastAsia"/>
          <w:bCs/>
          <w:lang w:eastAsia="pl-PL"/>
        </w:rPr>
        <w:t xml:space="preserve"> </w:t>
      </w:r>
      <w:r w:rsidR="00DD2C42" w:rsidRPr="0053598B">
        <w:rPr>
          <w:rFonts w:eastAsiaTheme="minorEastAsia"/>
          <w:bCs/>
          <w:lang w:eastAsia="pl-PL"/>
        </w:rPr>
        <w:t xml:space="preserve">dyrektywą 2014/95/UE) projektowane przepisy nakładają obowiązek zawarcia w oświadczeniu na temat informacji niefinansowych odniesień do </w:t>
      </w:r>
      <w:r w:rsidR="005D4693" w:rsidRPr="0053598B">
        <w:rPr>
          <w:rFonts w:eastAsiaTheme="minorEastAsia"/>
          <w:bCs/>
          <w:lang w:eastAsia="pl-PL"/>
        </w:rPr>
        <w:t xml:space="preserve">kwot wykazanych w rocznym sprawozdaniu finansowym, jeżeli istnieje powiązanie pomiędzy wartościami wykazanymi w tym sprawozdaniu finansowym a informacjami w oświadczeniu na temat informacji niefinansowych. Przykładem mogą być wykazane w sprawozdaniu finansowym inwestycje, które </w:t>
      </w:r>
      <w:r w:rsidR="00750C61" w:rsidRPr="0053598B">
        <w:rPr>
          <w:rFonts w:eastAsiaTheme="minorEastAsia"/>
          <w:bCs/>
          <w:lang w:eastAsia="pl-PL"/>
        </w:rPr>
        <w:t xml:space="preserve">mają </w:t>
      </w:r>
      <w:r w:rsidR="005D4693" w:rsidRPr="0053598B">
        <w:rPr>
          <w:rFonts w:eastAsiaTheme="minorEastAsia"/>
          <w:bCs/>
          <w:lang w:eastAsia="pl-PL"/>
        </w:rPr>
        <w:t xml:space="preserve">związek z realizacją przez jednostkę jej polityki w zakresie ochrony środowiska. </w:t>
      </w:r>
    </w:p>
    <w:p w:rsidR="005D4693"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5D4693" w:rsidRPr="0053598B">
        <w:rPr>
          <w:rFonts w:eastAsiaTheme="minorEastAsia"/>
          <w:b/>
          <w:bCs/>
          <w:lang w:eastAsia="pl-PL"/>
        </w:rPr>
        <w:t xml:space="preserve"> ust. 5</w:t>
      </w:r>
      <w:r w:rsidR="005D4693" w:rsidRPr="0053598B">
        <w:rPr>
          <w:rFonts w:eastAsiaTheme="minorEastAsia"/>
          <w:bCs/>
          <w:lang w:eastAsia="pl-PL"/>
        </w:rPr>
        <w:t xml:space="preserve"> (</w:t>
      </w:r>
      <w:r w:rsidR="00AF076D" w:rsidRPr="0053598B">
        <w:rPr>
          <w:lang w:eastAsia="pl-PL"/>
        </w:rPr>
        <w:t>wdrożenie</w:t>
      </w:r>
      <w:r w:rsidRPr="0053598B">
        <w:rPr>
          <w:lang w:eastAsia="pl-PL"/>
        </w:rPr>
        <w:t xml:space="preserve"> </w:t>
      </w:r>
      <w:r w:rsidR="005D4693" w:rsidRPr="0053598B">
        <w:rPr>
          <w:rFonts w:eastAsiaTheme="minorEastAsia"/>
          <w:bCs/>
          <w:lang w:eastAsia="pl-PL"/>
        </w:rPr>
        <w:t>art. 19a ust. 1 akapit drugi dyrektywy 2013/34/UE,</w:t>
      </w:r>
      <w:r w:rsidRPr="0053598B">
        <w:rPr>
          <w:rFonts w:eastAsiaTheme="minorEastAsia"/>
          <w:bCs/>
          <w:lang w:eastAsia="pl-PL"/>
        </w:rPr>
        <w:t xml:space="preserve"> </w:t>
      </w:r>
      <w:r w:rsidR="002C45DF" w:rsidRPr="0053598B">
        <w:rPr>
          <w:rFonts w:eastAsiaTheme="minorEastAsia"/>
          <w:bCs/>
          <w:lang w:eastAsia="pl-PL"/>
        </w:rPr>
        <w:t>wprowadzonego</w:t>
      </w:r>
      <w:r w:rsidRPr="0053598B">
        <w:rPr>
          <w:rFonts w:eastAsiaTheme="minorEastAsia"/>
          <w:bCs/>
          <w:lang w:eastAsia="pl-PL"/>
        </w:rPr>
        <w:t xml:space="preserve"> </w:t>
      </w:r>
      <w:r w:rsidR="005D4693" w:rsidRPr="0053598B">
        <w:rPr>
          <w:rFonts w:eastAsiaTheme="minorEastAsia"/>
          <w:bCs/>
          <w:lang w:eastAsia="pl-PL"/>
        </w:rPr>
        <w:t xml:space="preserve">dyrektywą 2014/95/UE) projektowane przepisy określają, iż w przypadku gdy jednostka nie przyjęła polityki w zakresie jednego, kilku lub wszystkich zagadnień (społecznych, pracowniczych, środowiska naturalnego, poszanowania praw człowieka oraz przeciwdziałania korupcji i łapownictwu), to powinna przedstawić w oświadczeniu na temat informacji niefinansowych uzasadnienie braku </w:t>
      </w:r>
      <w:r w:rsidR="00702547" w:rsidRPr="0053598B">
        <w:rPr>
          <w:rFonts w:eastAsiaTheme="minorEastAsia"/>
          <w:bCs/>
          <w:lang w:eastAsia="pl-PL"/>
        </w:rPr>
        <w:t xml:space="preserve">niestosowania </w:t>
      </w:r>
      <w:r w:rsidR="005D4693" w:rsidRPr="0053598B">
        <w:rPr>
          <w:rFonts w:eastAsiaTheme="minorEastAsia"/>
          <w:bCs/>
          <w:lang w:eastAsia="pl-PL"/>
        </w:rPr>
        <w:t>danej polityki (polityk).</w:t>
      </w:r>
    </w:p>
    <w:p w:rsidR="002862F1"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5D4693" w:rsidRPr="0053598B">
        <w:rPr>
          <w:rFonts w:eastAsiaTheme="minorEastAsia"/>
          <w:b/>
          <w:bCs/>
          <w:lang w:eastAsia="pl-PL"/>
        </w:rPr>
        <w:t xml:space="preserve"> ust. 6</w:t>
      </w:r>
      <w:r w:rsidR="005D4693" w:rsidRPr="0053598B">
        <w:rPr>
          <w:rFonts w:eastAsiaTheme="minorEastAsia"/>
          <w:bCs/>
          <w:lang w:eastAsia="pl-PL"/>
        </w:rPr>
        <w:t xml:space="preserve"> (</w:t>
      </w:r>
      <w:r w:rsidR="00AF076D" w:rsidRPr="0053598B">
        <w:rPr>
          <w:lang w:eastAsia="pl-PL"/>
        </w:rPr>
        <w:t xml:space="preserve">wdrożenie </w:t>
      </w:r>
      <w:r w:rsidR="002862F1" w:rsidRPr="0053598B">
        <w:rPr>
          <w:rFonts w:eastAsiaTheme="minorEastAsia"/>
          <w:bCs/>
          <w:lang w:eastAsia="pl-PL"/>
        </w:rPr>
        <w:t>art. 19a ust. 1 akapit czwarty</w:t>
      </w:r>
      <w:r w:rsidR="005D4693" w:rsidRPr="0053598B">
        <w:rPr>
          <w:rFonts w:eastAsiaTheme="minorEastAsia"/>
          <w:bCs/>
          <w:lang w:eastAsia="pl-PL"/>
        </w:rPr>
        <w:t xml:space="preserve"> dyrektywy 2013/34/UE,</w:t>
      </w:r>
      <w:r w:rsidRPr="0053598B">
        <w:rPr>
          <w:rFonts w:eastAsiaTheme="minorEastAsia"/>
          <w:bCs/>
          <w:lang w:eastAsia="pl-PL"/>
        </w:rPr>
        <w:t xml:space="preserve"> </w:t>
      </w:r>
      <w:r w:rsidR="002C45DF" w:rsidRPr="0053598B">
        <w:rPr>
          <w:rFonts w:eastAsiaTheme="minorEastAsia"/>
          <w:bCs/>
          <w:lang w:eastAsia="pl-PL"/>
        </w:rPr>
        <w:t>wprowadzonego</w:t>
      </w:r>
      <w:r w:rsidRPr="0053598B">
        <w:rPr>
          <w:rFonts w:eastAsiaTheme="minorEastAsia"/>
          <w:bCs/>
          <w:lang w:eastAsia="pl-PL"/>
        </w:rPr>
        <w:t xml:space="preserve"> </w:t>
      </w:r>
      <w:r w:rsidR="005D4693" w:rsidRPr="0053598B">
        <w:rPr>
          <w:rFonts w:eastAsiaTheme="minorEastAsia"/>
          <w:bCs/>
          <w:lang w:eastAsia="pl-PL"/>
        </w:rPr>
        <w:t>dyrektywą 2014/95/UE)</w:t>
      </w:r>
      <w:r w:rsidR="002862F1" w:rsidRPr="0053598B">
        <w:rPr>
          <w:rFonts w:eastAsiaTheme="minorEastAsia"/>
          <w:bCs/>
          <w:lang w:eastAsia="pl-PL"/>
        </w:rPr>
        <w:t xml:space="preserve"> umożliwi</w:t>
      </w:r>
      <w:r w:rsidR="009878A0" w:rsidRPr="0053598B">
        <w:rPr>
          <w:rFonts w:eastAsiaTheme="minorEastAsia"/>
          <w:bCs/>
          <w:lang w:eastAsia="pl-PL"/>
        </w:rPr>
        <w:t>ono</w:t>
      </w:r>
      <w:r w:rsidR="002862F1" w:rsidRPr="0053598B">
        <w:rPr>
          <w:rFonts w:eastAsiaTheme="minorEastAsia"/>
          <w:bCs/>
          <w:lang w:eastAsia="pl-PL"/>
        </w:rPr>
        <w:t xml:space="preserve"> jednostce w wyjątkowych przypadkach pominięcie w oświadczeniu na temat informacji niefinansowych informacji dotyczących oczekiwanych zdarzeń lub spraw będących przedmiotem toczących się negocjacji. Taka decyzja może być podjęta przez jednostkę tylko</w:t>
      </w:r>
      <w:r w:rsidR="009878A0" w:rsidRPr="0053598B">
        <w:rPr>
          <w:rFonts w:eastAsiaTheme="minorEastAsia"/>
          <w:bCs/>
          <w:lang w:eastAsia="pl-PL"/>
        </w:rPr>
        <w:t xml:space="preserve"> wtedy</w:t>
      </w:r>
      <w:r w:rsidR="002862F1" w:rsidRPr="0053598B">
        <w:rPr>
          <w:rFonts w:eastAsiaTheme="minorEastAsia"/>
          <w:bCs/>
          <w:lang w:eastAsia="pl-PL"/>
        </w:rPr>
        <w:t>, jeśli zgodnie z</w:t>
      </w:r>
      <w:r w:rsidR="004D5FD0">
        <w:rPr>
          <w:rFonts w:eastAsiaTheme="minorEastAsia"/>
          <w:bCs/>
          <w:lang w:eastAsia="pl-PL"/>
        </w:rPr>
        <w:t> </w:t>
      </w:r>
      <w:r w:rsidR="002862F1" w:rsidRPr="0053598B">
        <w:rPr>
          <w:rFonts w:eastAsiaTheme="minorEastAsia"/>
          <w:bCs/>
          <w:lang w:eastAsia="pl-PL"/>
        </w:rPr>
        <w:t xml:space="preserve">uzasadnioną opinią kierownika jednostki oraz członków rady nadzorczej lub innego organu nadzorującego jednostki </w:t>
      </w:r>
      <w:r w:rsidR="006D5C9D" w:rsidRPr="0053598B">
        <w:rPr>
          <w:rFonts w:eastAsiaTheme="minorEastAsia"/>
          <w:bCs/>
          <w:lang w:eastAsia="pl-PL"/>
        </w:rPr>
        <w:t>–</w:t>
      </w:r>
      <w:r w:rsidR="002862F1" w:rsidRPr="0053598B">
        <w:rPr>
          <w:rFonts w:eastAsiaTheme="minorEastAsia"/>
          <w:bCs/>
          <w:lang w:eastAsia="pl-PL"/>
        </w:rPr>
        <w:t xml:space="preserve"> ujawnienie takich informacji miałoby istotnie szkodliwy wpływ na sytuację</w:t>
      </w:r>
      <w:r w:rsidRPr="0053598B">
        <w:rPr>
          <w:rFonts w:eastAsiaTheme="minorEastAsia"/>
          <w:bCs/>
          <w:lang w:eastAsia="pl-PL"/>
        </w:rPr>
        <w:t xml:space="preserve"> </w:t>
      </w:r>
      <w:r w:rsidR="002862F1" w:rsidRPr="0053598B">
        <w:rPr>
          <w:rFonts w:eastAsiaTheme="minorEastAsia"/>
          <w:bCs/>
          <w:lang w:eastAsia="pl-PL"/>
        </w:rPr>
        <w:t>rynkową jednostki. Równocześnie</w:t>
      </w:r>
      <w:r w:rsidRPr="0053598B">
        <w:rPr>
          <w:rFonts w:eastAsiaTheme="minorEastAsia"/>
          <w:bCs/>
          <w:lang w:eastAsia="pl-PL"/>
        </w:rPr>
        <w:t xml:space="preserve"> </w:t>
      </w:r>
      <w:r w:rsidR="002862F1" w:rsidRPr="0053598B">
        <w:rPr>
          <w:rFonts w:eastAsiaTheme="minorEastAsia"/>
          <w:bCs/>
          <w:lang w:eastAsia="pl-PL"/>
        </w:rPr>
        <w:t>określa się, iż jednostka nie będzie mogła pominąć tych informacji, jeżeli</w:t>
      </w:r>
      <w:r w:rsidRPr="0053598B">
        <w:rPr>
          <w:rFonts w:eastAsiaTheme="minorEastAsia"/>
          <w:bCs/>
          <w:lang w:eastAsia="pl-PL"/>
        </w:rPr>
        <w:t xml:space="preserve"> </w:t>
      </w:r>
      <w:r w:rsidR="002862F1" w:rsidRPr="0053598B">
        <w:rPr>
          <w:rFonts w:eastAsiaTheme="minorEastAsia"/>
          <w:bCs/>
          <w:lang w:eastAsia="pl-PL"/>
        </w:rPr>
        <w:t>uniemożliwi to prawidłową i obiektywną ocenę rozwoju, wyników i sytuacji jednostki oraz wpływu jej działalności w odniesieniu do zagadnień</w:t>
      </w:r>
      <w:r w:rsidR="0073465D" w:rsidRPr="0053598B">
        <w:rPr>
          <w:rFonts w:eastAsiaTheme="minorEastAsia"/>
          <w:bCs/>
          <w:lang w:eastAsia="pl-PL"/>
        </w:rPr>
        <w:t xml:space="preserve"> społecznych, pracowniczych, środowiska naturalnego, poszanowania praw człowieka oraz przeciwdziałania korupcji i łapownictwu.</w:t>
      </w:r>
    </w:p>
    <w:p w:rsidR="0073465D"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73465D" w:rsidRPr="0053598B">
        <w:rPr>
          <w:rFonts w:eastAsiaTheme="minorEastAsia"/>
          <w:b/>
          <w:bCs/>
          <w:lang w:eastAsia="pl-PL"/>
        </w:rPr>
        <w:t xml:space="preserve"> ust. 7</w:t>
      </w:r>
      <w:r w:rsidR="0073465D" w:rsidRPr="0053598B">
        <w:rPr>
          <w:rFonts w:eastAsiaTheme="minorEastAsia"/>
          <w:bCs/>
          <w:lang w:eastAsia="pl-PL"/>
        </w:rPr>
        <w:t xml:space="preserve"> projekt zakłada, że jednostka w przypadku skorzystania z możliwości pominięcia określonych informacji na podstawie ust. 6 ma obowiązek ujawnienia tego faktu w oświadczeniu na temat informacji niefinansowych. </w:t>
      </w:r>
    </w:p>
    <w:p w:rsidR="00996342" w:rsidRPr="0053598B" w:rsidRDefault="00E10BFF" w:rsidP="005D7F97">
      <w:pPr>
        <w:pStyle w:val="ZUSTzmustartykuempunktem"/>
        <w:spacing w:before="120"/>
        <w:ind w:left="0" w:firstLine="0"/>
        <w:rPr>
          <w:rFonts w:ascii="Times New Roman" w:hAnsi="Times New Roman" w:cs="Times New Roman"/>
          <w:szCs w:val="24"/>
        </w:rPr>
      </w:pPr>
      <w:r w:rsidRPr="0053598B">
        <w:rPr>
          <w:rFonts w:ascii="Times New Roman" w:hAnsi="Times New Roman" w:cs="Times New Roman"/>
          <w:b/>
          <w:bCs/>
          <w:szCs w:val="24"/>
          <w:lang w:eastAsia="pl-PL"/>
        </w:rPr>
        <w:t>–</w:t>
      </w:r>
      <w:r w:rsidR="009878A0" w:rsidRPr="0053598B">
        <w:rPr>
          <w:rFonts w:ascii="Times New Roman" w:hAnsi="Times New Roman" w:cs="Times New Roman"/>
          <w:b/>
          <w:bCs/>
          <w:szCs w:val="24"/>
          <w:lang w:eastAsia="pl-PL"/>
        </w:rPr>
        <w:t xml:space="preserve"> w art. 49b w</w:t>
      </w:r>
      <w:r w:rsidR="00AB3D82" w:rsidRPr="0053598B">
        <w:rPr>
          <w:rFonts w:ascii="Times New Roman" w:hAnsi="Times New Roman" w:cs="Times New Roman"/>
          <w:b/>
          <w:bCs/>
          <w:szCs w:val="24"/>
          <w:lang w:eastAsia="pl-PL"/>
        </w:rPr>
        <w:t xml:space="preserve"> ust. 8</w:t>
      </w:r>
      <w:r w:rsidR="00AB3D82" w:rsidRPr="0053598B">
        <w:rPr>
          <w:rFonts w:ascii="Times New Roman" w:hAnsi="Times New Roman" w:cs="Times New Roman"/>
          <w:bCs/>
          <w:szCs w:val="24"/>
          <w:lang w:eastAsia="pl-PL"/>
        </w:rPr>
        <w:t xml:space="preserve"> (</w:t>
      </w:r>
      <w:r w:rsidR="00AF076D" w:rsidRPr="0053598B">
        <w:rPr>
          <w:rFonts w:ascii="Times New Roman" w:hAnsi="Times New Roman" w:cs="Times New Roman"/>
          <w:szCs w:val="24"/>
          <w:lang w:eastAsia="pl-PL"/>
        </w:rPr>
        <w:t>wdrożenie</w:t>
      </w:r>
      <w:r w:rsidRPr="0053598B">
        <w:rPr>
          <w:rFonts w:ascii="Times New Roman" w:hAnsi="Times New Roman" w:cs="Times New Roman"/>
          <w:szCs w:val="24"/>
          <w:lang w:eastAsia="pl-PL"/>
        </w:rPr>
        <w:t xml:space="preserve"> </w:t>
      </w:r>
      <w:r w:rsidR="00AB3D82" w:rsidRPr="0053598B">
        <w:rPr>
          <w:rFonts w:ascii="Times New Roman" w:hAnsi="Times New Roman" w:cs="Times New Roman"/>
          <w:bCs/>
          <w:szCs w:val="24"/>
          <w:lang w:eastAsia="pl-PL"/>
        </w:rPr>
        <w:t>art. 19a ust. 1 akapit piąty dyrektywy 2013/34/UE,</w:t>
      </w:r>
      <w:r w:rsidRPr="0053598B">
        <w:rPr>
          <w:rFonts w:ascii="Times New Roman" w:hAnsi="Times New Roman" w:cs="Times New Roman"/>
          <w:bCs/>
          <w:szCs w:val="24"/>
          <w:lang w:eastAsia="pl-PL"/>
        </w:rPr>
        <w:t xml:space="preserve"> </w:t>
      </w:r>
      <w:r w:rsidR="00193AFD" w:rsidRPr="0053598B">
        <w:rPr>
          <w:rFonts w:ascii="Times New Roman" w:hAnsi="Times New Roman" w:cs="Times New Roman"/>
          <w:bCs/>
          <w:szCs w:val="24"/>
          <w:lang w:eastAsia="pl-PL"/>
        </w:rPr>
        <w:t>wprowadzonego</w:t>
      </w:r>
      <w:r w:rsidRPr="0053598B">
        <w:rPr>
          <w:rFonts w:ascii="Times New Roman" w:hAnsi="Times New Roman" w:cs="Times New Roman"/>
          <w:bCs/>
          <w:szCs w:val="24"/>
          <w:lang w:eastAsia="pl-PL"/>
        </w:rPr>
        <w:t xml:space="preserve"> </w:t>
      </w:r>
      <w:r w:rsidR="00AB3D82" w:rsidRPr="0053598B">
        <w:rPr>
          <w:rFonts w:ascii="Times New Roman" w:hAnsi="Times New Roman" w:cs="Times New Roman"/>
          <w:bCs/>
          <w:szCs w:val="24"/>
          <w:lang w:eastAsia="pl-PL"/>
        </w:rPr>
        <w:t>dyrektywą 2014/95/UE) projekt wskazuje, że jednostka sporządzając oświadczenie na temat informacji niefinansowych</w:t>
      </w:r>
      <w:r w:rsidR="006D5C9D" w:rsidRPr="0053598B">
        <w:rPr>
          <w:rFonts w:ascii="Times New Roman" w:hAnsi="Times New Roman" w:cs="Times New Roman"/>
          <w:bCs/>
          <w:szCs w:val="24"/>
          <w:lang w:eastAsia="pl-PL"/>
        </w:rPr>
        <w:t>,</w:t>
      </w:r>
      <w:r w:rsidR="00AB3D82" w:rsidRPr="0053598B">
        <w:rPr>
          <w:rFonts w:ascii="Times New Roman" w:hAnsi="Times New Roman" w:cs="Times New Roman"/>
          <w:bCs/>
          <w:szCs w:val="24"/>
          <w:lang w:eastAsia="pl-PL"/>
        </w:rPr>
        <w:t xml:space="preserve"> może stosować dowolne standardy</w:t>
      </w:r>
      <w:r w:rsidR="00996342" w:rsidRPr="0053598B">
        <w:rPr>
          <w:rFonts w:ascii="Times New Roman" w:hAnsi="Times New Roman" w:cs="Times New Roman"/>
          <w:bCs/>
          <w:szCs w:val="24"/>
          <w:lang w:eastAsia="pl-PL"/>
        </w:rPr>
        <w:t>, normy</w:t>
      </w:r>
      <w:r w:rsidR="0097556B" w:rsidRPr="0053598B">
        <w:rPr>
          <w:rFonts w:ascii="Times New Roman" w:hAnsi="Times New Roman" w:cs="Times New Roman"/>
          <w:bCs/>
          <w:szCs w:val="24"/>
          <w:lang w:eastAsia="pl-PL"/>
        </w:rPr>
        <w:t xml:space="preserve"> lu</w:t>
      </w:r>
      <w:r w:rsidR="00750C61" w:rsidRPr="0053598B">
        <w:rPr>
          <w:rFonts w:ascii="Times New Roman" w:hAnsi="Times New Roman" w:cs="Times New Roman"/>
          <w:bCs/>
          <w:szCs w:val="24"/>
          <w:lang w:eastAsia="pl-PL"/>
        </w:rPr>
        <w:t>b</w:t>
      </w:r>
      <w:r w:rsidR="0097556B" w:rsidRPr="0053598B">
        <w:rPr>
          <w:rFonts w:ascii="Times New Roman" w:hAnsi="Times New Roman" w:cs="Times New Roman"/>
          <w:bCs/>
          <w:szCs w:val="24"/>
          <w:lang w:eastAsia="pl-PL"/>
        </w:rPr>
        <w:t xml:space="preserve"> w</w:t>
      </w:r>
      <w:r w:rsidR="00750C61" w:rsidRPr="0053598B">
        <w:rPr>
          <w:rFonts w:ascii="Times New Roman" w:hAnsi="Times New Roman" w:cs="Times New Roman"/>
          <w:bCs/>
          <w:szCs w:val="24"/>
          <w:lang w:eastAsia="pl-PL"/>
        </w:rPr>
        <w:t>y</w:t>
      </w:r>
      <w:r w:rsidR="0097556B" w:rsidRPr="0053598B">
        <w:rPr>
          <w:rFonts w:ascii="Times New Roman" w:hAnsi="Times New Roman" w:cs="Times New Roman"/>
          <w:bCs/>
          <w:szCs w:val="24"/>
          <w:lang w:eastAsia="pl-PL"/>
        </w:rPr>
        <w:t>tyczne</w:t>
      </w:r>
      <w:r w:rsidR="00AB3D82" w:rsidRPr="0053598B">
        <w:rPr>
          <w:rFonts w:ascii="Times New Roman" w:hAnsi="Times New Roman" w:cs="Times New Roman"/>
          <w:bCs/>
          <w:szCs w:val="24"/>
          <w:lang w:eastAsia="pl-PL"/>
        </w:rPr>
        <w:t xml:space="preserve"> raportowania takich informacji. Oznacza to, że jednostka może ustalić własne </w:t>
      </w:r>
      <w:r w:rsidR="00AB3D82" w:rsidRPr="0053598B">
        <w:rPr>
          <w:rFonts w:ascii="Times New Roman" w:hAnsi="Times New Roman" w:cs="Times New Roman"/>
          <w:bCs/>
          <w:szCs w:val="24"/>
          <w:lang w:eastAsia="pl-PL"/>
        </w:rPr>
        <w:lastRenderedPageBreak/>
        <w:t>zasady i nie ma obowiązku stosowania konkretnych standardów</w:t>
      </w:r>
      <w:r w:rsidR="0097556B" w:rsidRPr="0053598B">
        <w:rPr>
          <w:rFonts w:ascii="Times New Roman" w:hAnsi="Times New Roman" w:cs="Times New Roman"/>
          <w:bCs/>
          <w:szCs w:val="24"/>
          <w:lang w:eastAsia="pl-PL"/>
        </w:rPr>
        <w:t xml:space="preserve"> (wytycznych</w:t>
      </w:r>
      <w:r w:rsidR="00996342" w:rsidRPr="0053598B">
        <w:rPr>
          <w:rFonts w:ascii="Times New Roman" w:hAnsi="Times New Roman" w:cs="Times New Roman"/>
          <w:bCs/>
          <w:szCs w:val="24"/>
          <w:lang w:eastAsia="pl-PL"/>
        </w:rPr>
        <w:t xml:space="preserve"> czy norm</w:t>
      </w:r>
      <w:r w:rsidR="0097556B" w:rsidRPr="0053598B">
        <w:rPr>
          <w:rFonts w:ascii="Times New Roman" w:hAnsi="Times New Roman" w:cs="Times New Roman"/>
          <w:bCs/>
          <w:szCs w:val="24"/>
          <w:lang w:eastAsia="pl-PL"/>
        </w:rPr>
        <w:t>)</w:t>
      </w:r>
      <w:r w:rsidR="00AB3D82" w:rsidRPr="0053598B">
        <w:rPr>
          <w:rFonts w:ascii="Times New Roman" w:hAnsi="Times New Roman" w:cs="Times New Roman"/>
          <w:bCs/>
          <w:szCs w:val="24"/>
          <w:lang w:eastAsia="pl-PL"/>
        </w:rPr>
        <w:t xml:space="preserve">. </w:t>
      </w:r>
      <w:r w:rsidR="00996342" w:rsidRPr="0053598B">
        <w:rPr>
          <w:rFonts w:ascii="Times New Roman" w:hAnsi="Times New Roman" w:cs="Times New Roman"/>
          <w:szCs w:val="24"/>
        </w:rPr>
        <w:t>W</w:t>
      </w:r>
      <w:r w:rsidR="004D5FD0">
        <w:rPr>
          <w:rFonts w:ascii="Times New Roman" w:hAnsi="Times New Roman" w:cs="Times New Roman"/>
          <w:szCs w:val="24"/>
        </w:rPr>
        <w:t> </w:t>
      </w:r>
      <w:r w:rsidR="00996342" w:rsidRPr="0053598B">
        <w:rPr>
          <w:rFonts w:ascii="Times New Roman" w:hAnsi="Times New Roman" w:cs="Times New Roman"/>
          <w:szCs w:val="24"/>
        </w:rPr>
        <w:t>oświadczeniu jednostka zawiera informację o tym, jakie zasady, normy, standardy lub wytyczne zastosowała.</w:t>
      </w:r>
    </w:p>
    <w:p w:rsidR="00AB3D82" w:rsidRPr="0053598B" w:rsidRDefault="004A1F11" w:rsidP="00E10BFF">
      <w:pPr>
        <w:spacing w:line="360" w:lineRule="auto"/>
        <w:jc w:val="both"/>
        <w:rPr>
          <w:rFonts w:eastAsiaTheme="minorEastAsia"/>
          <w:bCs/>
          <w:lang w:eastAsia="pl-PL"/>
        </w:rPr>
      </w:pPr>
      <w:r w:rsidRPr="0053598B">
        <w:rPr>
          <w:rFonts w:eastAsiaTheme="minorEastAsia"/>
          <w:bCs/>
          <w:lang w:eastAsia="pl-PL"/>
        </w:rPr>
        <w:t>W tym aspekcie dyrektywa 2014/95/UE w przesłance nr 9 podaje, iż „Udostępniając te informacje, jednostki objęte niniejszą dyrektywą mogą opierać się na krajowych zasadach ramowych, unijnych zasadach ramowych, takich jak system ekozarządzania i</w:t>
      </w:r>
      <w:r w:rsidR="004D5FD0">
        <w:rPr>
          <w:rFonts w:eastAsiaTheme="minorEastAsia"/>
          <w:bCs/>
          <w:lang w:eastAsia="pl-PL"/>
        </w:rPr>
        <w:t xml:space="preserve"> </w:t>
      </w:r>
      <w:r w:rsidRPr="0053598B">
        <w:rPr>
          <w:rFonts w:eastAsiaTheme="minorEastAsia"/>
          <w:bCs/>
          <w:lang w:eastAsia="pl-PL"/>
        </w:rPr>
        <w:t>audytu (EMAS), lub na międzynarodowych zasadach ramowych, takich jak inicjatywa ONZ Global Compact, wytyczne ONZ dotyczące biznesu i praw człowieka wdrażające ramy ONZ „Ochrona, poszanowanie i naprawa”, wytyczne Organizacji Współpracy Regionalnej i Rozwoju (OECD) dla przedsiębiorstw wielonarodowych, norma Międzynarodowej Organizacji Normalizacyjnej ISO 26000, trójstronna deklaracja zasad Międzynarodowej Organizacji Pracy dotyczących przedsiębiorstw wielonarodowych i polityki społecznej, Globalna Reporting Initiative (GRI) lub inne uznane międzynarodowe zasady ramowe.”</w:t>
      </w:r>
      <w:r w:rsidR="006D5C9D" w:rsidRPr="0053598B">
        <w:rPr>
          <w:rFonts w:eastAsiaTheme="minorEastAsia"/>
          <w:bCs/>
          <w:lang w:eastAsia="pl-PL"/>
        </w:rPr>
        <w:t>.</w:t>
      </w:r>
    </w:p>
    <w:p w:rsidR="00987B61" w:rsidRPr="0053598B" w:rsidRDefault="00E10BFF" w:rsidP="005D7F97">
      <w:pPr>
        <w:spacing w:before="120" w:line="360" w:lineRule="auto"/>
        <w:jc w:val="both"/>
        <w:rPr>
          <w:rFonts w:eastAsiaTheme="minorEastAsia"/>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97556B" w:rsidRPr="0053598B">
        <w:rPr>
          <w:rFonts w:eastAsiaTheme="minorEastAsia"/>
          <w:b/>
          <w:bCs/>
          <w:lang w:eastAsia="pl-PL"/>
        </w:rPr>
        <w:t xml:space="preserve"> ust. 9</w:t>
      </w:r>
      <w:r w:rsidR="0097556B" w:rsidRPr="0053598B">
        <w:rPr>
          <w:rFonts w:eastAsiaTheme="minorEastAsia"/>
          <w:bCs/>
          <w:lang w:eastAsia="pl-PL"/>
        </w:rPr>
        <w:t xml:space="preserve"> (</w:t>
      </w:r>
      <w:r w:rsidR="00AF076D" w:rsidRPr="0053598B">
        <w:rPr>
          <w:lang w:eastAsia="pl-PL"/>
        </w:rPr>
        <w:t>wdrożenie</w:t>
      </w:r>
      <w:r w:rsidRPr="0053598B">
        <w:rPr>
          <w:lang w:eastAsia="pl-PL"/>
        </w:rPr>
        <w:t xml:space="preserve"> </w:t>
      </w:r>
      <w:r w:rsidR="0097556B" w:rsidRPr="0053598B">
        <w:rPr>
          <w:rFonts w:eastAsiaTheme="minorEastAsia"/>
          <w:bCs/>
          <w:lang w:eastAsia="pl-PL"/>
        </w:rPr>
        <w:t>art. 19a ust. 4 zdanie wprowadzaj</w:t>
      </w:r>
      <w:r w:rsidR="00676B46" w:rsidRPr="0053598B">
        <w:rPr>
          <w:rFonts w:eastAsiaTheme="minorEastAsia"/>
          <w:bCs/>
          <w:lang w:eastAsia="pl-PL"/>
        </w:rPr>
        <w:t>ą</w:t>
      </w:r>
      <w:r w:rsidR="0097556B" w:rsidRPr="0053598B">
        <w:rPr>
          <w:rFonts w:eastAsiaTheme="minorEastAsia"/>
          <w:bCs/>
          <w:lang w:eastAsia="pl-PL"/>
        </w:rPr>
        <w:t>ce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97556B" w:rsidRPr="0053598B">
        <w:rPr>
          <w:rFonts w:eastAsiaTheme="minorEastAsia"/>
          <w:bCs/>
          <w:lang w:eastAsia="pl-PL"/>
        </w:rPr>
        <w:t>dyrektywą 2014/95/UE) umożliwi</w:t>
      </w:r>
      <w:r w:rsidR="009878A0" w:rsidRPr="0053598B">
        <w:rPr>
          <w:rFonts w:eastAsiaTheme="minorEastAsia"/>
          <w:bCs/>
          <w:lang w:eastAsia="pl-PL"/>
        </w:rPr>
        <w:t>ono</w:t>
      </w:r>
      <w:r w:rsidR="0097556B" w:rsidRPr="0053598B">
        <w:rPr>
          <w:rFonts w:eastAsiaTheme="minorEastAsia"/>
          <w:bCs/>
          <w:lang w:eastAsia="pl-PL"/>
        </w:rPr>
        <w:t xml:space="preserve"> jednostce niesporządzani</w:t>
      </w:r>
      <w:r w:rsidR="009878A0" w:rsidRPr="0053598B">
        <w:rPr>
          <w:rFonts w:eastAsiaTheme="minorEastAsia"/>
          <w:bCs/>
          <w:lang w:eastAsia="pl-PL"/>
        </w:rPr>
        <w:t>e</w:t>
      </w:r>
      <w:r w:rsidR="0097556B" w:rsidRPr="0053598B">
        <w:rPr>
          <w:rFonts w:eastAsiaTheme="minorEastAsia"/>
          <w:bCs/>
          <w:lang w:eastAsia="pl-PL"/>
        </w:rPr>
        <w:t xml:space="preserve"> oświadczenia na temat informacji niefinansowych, jeżeli jednostka </w:t>
      </w:r>
      <w:r w:rsidR="00717B7F" w:rsidRPr="0053598B">
        <w:rPr>
          <w:rFonts w:eastAsiaTheme="minorEastAsia"/>
          <w:bCs/>
          <w:lang w:eastAsia="pl-PL"/>
        </w:rPr>
        <w:t xml:space="preserve">sporządzi odrębnie </w:t>
      </w:r>
      <w:r w:rsidR="00DB0EE1" w:rsidRPr="0053598B">
        <w:rPr>
          <w:rFonts w:eastAsiaTheme="minorEastAsia"/>
          <w:bCs/>
          <w:lang w:eastAsia="pl-PL"/>
        </w:rPr>
        <w:t>„S</w:t>
      </w:r>
      <w:r w:rsidR="00717B7F" w:rsidRPr="0053598B">
        <w:rPr>
          <w:rFonts w:eastAsiaTheme="minorEastAsia"/>
          <w:bCs/>
          <w:lang w:eastAsia="pl-PL"/>
        </w:rPr>
        <w:t>prawozdanie na temat informacji niefinansowych</w:t>
      </w:r>
      <w:r w:rsidR="00DB0EE1" w:rsidRPr="0053598B">
        <w:rPr>
          <w:rFonts w:eastAsiaTheme="minorEastAsia"/>
          <w:bCs/>
          <w:lang w:eastAsia="pl-PL"/>
        </w:rPr>
        <w:t>”</w:t>
      </w:r>
      <w:r w:rsidR="00717B7F" w:rsidRPr="0053598B">
        <w:rPr>
          <w:rFonts w:eastAsiaTheme="minorEastAsia"/>
          <w:bCs/>
          <w:lang w:eastAsia="pl-PL"/>
        </w:rPr>
        <w:t xml:space="preserve">. </w:t>
      </w:r>
      <w:r w:rsidR="00DB0EE1" w:rsidRPr="0053598B">
        <w:rPr>
          <w:rFonts w:eastAsiaTheme="minorEastAsia"/>
          <w:bCs/>
          <w:lang w:eastAsia="pl-PL"/>
        </w:rPr>
        <w:t xml:space="preserve">W przypadku gdy jednostka skorzysta z tej opcji, zamieszcza w sprawozdaniu z działalności informację, że sporządziła odrębne sprawozdanie na temat informacji niefinansowych. </w:t>
      </w:r>
      <w:r w:rsidR="0015214C" w:rsidRPr="0053598B">
        <w:rPr>
          <w:rFonts w:eastAsia="Calibri"/>
        </w:rPr>
        <w:t>Sprawozdanie</w:t>
      </w:r>
      <w:r w:rsidR="00FD26D8" w:rsidRPr="0053598B">
        <w:rPr>
          <w:rFonts w:eastAsia="Calibri"/>
        </w:rPr>
        <w:t xml:space="preserve"> to może przyjąć dowolną formę (</w:t>
      </w:r>
      <w:r w:rsidR="0015214C" w:rsidRPr="0053598B">
        <w:rPr>
          <w:rFonts w:eastAsia="Calibri"/>
        </w:rPr>
        <w:t>np. raport społeczny, raport CSR, raport zrównoważonego rozwoju, raport zintegrowany etc., zawierający w swojej treści</w:t>
      </w:r>
      <w:r w:rsidR="00FD26D8" w:rsidRPr="0053598B">
        <w:rPr>
          <w:rFonts w:eastAsia="Calibri"/>
        </w:rPr>
        <w:t xml:space="preserve"> </w:t>
      </w:r>
      <w:r w:rsidR="0015214C" w:rsidRPr="0053598B">
        <w:rPr>
          <w:rFonts w:eastAsia="Calibri"/>
        </w:rPr>
        <w:t>informacje</w:t>
      </w:r>
      <w:r w:rsidR="00FD26D8" w:rsidRPr="0053598B">
        <w:rPr>
          <w:rFonts w:eastAsia="Calibri"/>
        </w:rPr>
        <w:t xml:space="preserve"> wymagane</w:t>
      </w:r>
      <w:r w:rsidR="0015214C" w:rsidRPr="0053598B">
        <w:rPr>
          <w:rFonts w:eastAsia="Calibri"/>
        </w:rPr>
        <w:t xml:space="preserve"> </w:t>
      </w:r>
      <w:r w:rsidR="00FD26D8" w:rsidRPr="0053598B">
        <w:rPr>
          <w:rFonts w:eastAsia="Calibri"/>
        </w:rPr>
        <w:t>zgodnie z art. 49b ust. 2 ustawy) i powinno być przygotowane</w:t>
      </w:r>
      <w:r w:rsidR="0015214C" w:rsidRPr="0053598B">
        <w:rPr>
          <w:rFonts w:eastAsia="Calibri"/>
        </w:rPr>
        <w:t xml:space="preserve"> i</w:t>
      </w:r>
      <w:r w:rsidR="00FD26D8" w:rsidRPr="0053598B">
        <w:rPr>
          <w:rFonts w:eastAsia="Calibri"/>
        </w:rPr>
        <w:t xml:space="preserve"> złożone</w:t>
      </w:r>
      <w:r w:rsidR="0015214C" w:rsidRPr="0053598B">
        <w:rPr>
          <w:rFonts w:eastAsia="Calibri"/>
        </w:rPr>
        <w:t xml:space="preserve"> w terminie i miejscu wskazanym przez ustawę.</w:t>
      </w:r>
      <w:r w:rsidR="0015214C" w:rsidRPr="0053598B">
        <w:rPr>
          <w:rFonts w:eastAsiaTheme="minorEastAsia"/>
          <w:bCs/>
          <w:lang w:eastAsia="pl-PL"/>
        </w:rPr>
        <w:t xml:space="preserve"> </w:t>
      </w:r>
      <w:r w:rsidR="00265FB1" w:rsidRPr="0053598B">
        <w:rPr>
          <w:rFonts w:eastAsiaTheme="minorEastAsia"/>
          <w:bCs/>
          <w:lang w:eastAsia="pl-PL"/>
        </w:rPr>
        <w:t>Dodatkowo</w:t>
      </w:r>
      <w:r w:rsidR="007E5C75" w:rsidRPr="0053598B">
        <w:rPr>
          <w:rFonts w:eastAsiaTheme="minorEastAsia"/>
          <w:bCs/>
          <w:lang w:eastAsia="pl-PL"/>
        </w:rPr>
        <w:t xml:space="preserve"> zaleca się</w:t>
      </w:r>
      <w:r w:rsidR="006D5C9D" w:rsidRPr="0053598B">
        <w:rPr>
          <w:rFonts w:eastAsiaTheme="minorEastAsia"/>
          <w:bCs/>
          <w:lang w:eastAsia="pl-PL"/>
        </w:rPr>
        <w:t>,</w:t>
      </w:r>
      <w:r w:rsidR="007E5C75" w:rsidRPr="0053598B">
        <w:rPr>
          <w:rFonts w:eastAsiaTheme="minorEastAsia"/>
          <w:bCs/>
          <w:lang w:eastAsia="pl-PL"/>
        </w:rPr>
        <w:t xml:space="preserve"> aby</w:t>
      </w:r>
      <w:r w:rsidR="00265FB1" w:rsidRPr="0053598B">
        <w:rPr>
          <w:rFonts w:eastAsiaTheme="minorEastAsia"/>
          <w:bCs/>
          <w:lang w:eastAsia="pl-PL"/>
        </w:rPr>
        <w:t xml:space="preserve"> jednostka zaw</w:t>
      </w:r>
      <w:r w:rsidR="007E5C75" w:rsidRPr="0053598B">
        <w:rPr>
          <w:rFonts w:eastAsiaTheme="minorEastAsia"/>
          <w:bCs/>
          <w:lang w:eastAsia="pl-PL"/>
        </w:rPr>
        <w:t>arła</w:t>
      </w:r>
      <w:r w:rsidR="00265FB1" w:rsidRPr="0053598B">
        <w:rPr>
          <w:rFonts w:eastAsiaTheme="minorEastAsia"/>
          <w:bCs/>
          <w:lang w:eastAsia="pl-PL"/>
        </w:rPr>
        <w:t xml:space="preserve"> w sprawozdaniu z działalności odniesienia do odrębnego sprawozdania na temat informacji niefinansowych, które </w:t>
      </w:r>
      <w:r w:rsidR="007E5C75" w:rsidRPr="0053598B">
        <w:rPr>
          <w:rFonts w:eastAsiaTheme="minorEastAsia"/>
          <w:bCs/>
          <w:lang w:eastAsia="pl-PL"/>
        </w:rPr>
        <w:t xml:space="preserve">wskażą </w:t>
      </w:r>
      <w:r w:rsidR="00265FB1" w:rsidRPr="0053598B">
        <w:rPr>
          <w:rFonts w:eastAsiaTheme="minorEastAsia"/>
          <w:bCs/>
          <w:lang w:eastAsia="pl-PL"/>
        </w:rPr>
        <w:t>jednoznacznie na kompletność zawarcia informacji niefinansowych w tym odrębnym sprawozdaniu. Jest to szczególnie ważne z punktu widzenia użytkowników informacji niefinansowych, gdy jednostka przedstawiłaby informacje niefinansowe</w:t>
      </w:r>
      <w:r w:rsidRPr="0053598B">
        <w:rPr>
          <w:rFonts w:eastAsiaTheme="minorEastAsia"/>
          <w:bCs/>
          <w:lang w:eastAsia="pl-PL"/>
        </w:rPr>
        <w:t xml:space="preserve"> </w:t>
      </w:r>
      <w:r w:rsidR="00265FB1" w:rsidRPr="0053598B">
        <w:rPr>
          <w:rFonts w:eastAsiaTheme="minorEastAsia"/>
          <w:bCs/>
          <w:lang w:eastAsia="pl-PL"/>
        </w:rPr>
        <w:t xml:space="preserve">w </w:t>
      </w:r>
      <w:r w:rsidR="00BD440F" w:rsidRPr="0053598B">
        <w:rPr>
          <w:rFonts w:eastAsiaTheme="minorEastAsia"/>
          <w:bCs/>
          <w:lang w:eastAsia="pl-PL"/>
        </w:rPr>
        <w:t xml:space="preserve">sposób rozproszony, </w:t>
      </w:r>
      <w:r w:rsidR="00265FB1" w:rsidRPr="0053598B">
        <w:rPr>
          <w:rFonts w:eastAsiaTheme="minorEastAsia"/>
          <w:bCs/>
          <w:lang w:eastAsia="pl-PL"/>
        </w:rPr>
        <w:t>np.</w:t>
      </w:r>
      <w:r w:rsidR="00BD440F" w:rsidRPr="0053598B">
        <w:rPr>
          <w:rFonts w:eastAsiaTheme="minorEastAsia"/>
          <w:bCs/>
          <w:lang w:eastAsia="pl-PL"/>
        </w:rPr>
        <w:t xml:space="preserve"> w ramach</w:t>
      </w:r>
      <w:r w:rsidR="00265FB1" w:rsidRPr="0053598B">
        <w:rPr>
          <w:rFonts w:eastAsiaTheme="minorEastAsia"/>
          <w:bCs/>
          <w:lang w:eastAsia="pl-PL"/>
        </w:rPr>
        <w:t xml:space="preserve"> tzw. raportu zintegrowanego (kompilacji raportowania finansowego i niefinansowego). </w:t>
      </w:r>
      <w:r w:rsidR="00717B7F" w:rsidRPr="0053598B">
        <w:rPr>
          <w:rFonts w:eastAsiaTheme="minorEastAsia"/>
          <w:bCs/>
          <w:lang w:eastAsia="pl-PL"/>
        </w:rPr>
        <w:t>Niezależnie od formy raportowania informacji niefinansowych, wprowadza się takie same terminy sporządzenia oświadczenia i</w:t>
      </w:r>
      <w:r w:rsidR="004D5FD0">
        <w:rPr>
          <w:rFonts w:eastAsiaTheme="minorEastAsia"/>
          <w:bCs/>
          <w:lang w:eastAsia="pl-PL"/>
        </w:rPr>
        <w:t> </w:t>
      </w:r>
      <w:r w:rsidR="00717B7F" w:rsidRPr="0053598B">
        <w:rPr>
          <w:rFonts w:eastAsiaTheme="minorEastAsia"/>
          <w:bCs/>
          <w:lang w:eastAsia="pl-PL"/>
        </w:rPr>
        <w:t>sprawozdania na temat informacji niefinansowyc</w:t>
      </w:r>
      <w:r w:rsidR="004D5FD0">
        <w:rPr>
          <w:rFonts w:eastAsiaTheme="minorEastAsia"/>
          <w:bCs/>
          <w:lang w:eastAsia="pl-PL"/>
        </w:rPr>
        <w:t>h [„(…) wraz ze sprawozdaniem z </w:t>
      </w:r>
      <w:r w:rsidR="00717B7F" w:rsidRPr="0053598B">
        <w:rPr>
          <w:rFonts w:eastAsiaTheme="minorEastAsia"/>
          <w:bCs/>
          <w:lang w:eastAsia="pl-PL"/>
        </w:rPr>
        <w:t>działalności sporządzi (…)”]</w:t>
      </w:r>
      <w:r w:rsidR="006D5C9D" w:rsidRPr="0053598B">
        <w:rPr>
          <w:rFonts w:eastAsiaTheme="minorEastAsia"/>
          <w:bCs/>
          <w:lang w:eastAsia="pl-PL"/>
        </w:rPr>
        <w:t>.</w:t>
      </w:r>
      <w:r w:rsidR="00A343D3" w:rsidRPr="0053598B">
        <w:rPr>
          <w:rFonts w:eastAsiaTheme="minorEastAsia"/>
          <w:bCs/>
          <w:lang w:eastAsia="pl-PL"/>
        </w:rPr>
        <w:t xml:space="preserve"> W pierwotnej wersji projekt zakładał</w:t>
      </w:r>
      <w:r w:rsidR="00E30F9B" w:rsidRPr="0053598B">
        <w:rPr>
          <w:rFonts w:eastAsiaTheme="minorEastAsia"/>
          <w:bCs/>
          <w:lang w:eastAsia="pl-PL"/>
        </w:rPr>
        <w:t xml:space="preserve"> </w:t>
      </w:r>
      <w:r w:rsidR="008D168A" w:rsidRPr="0053598B">
        <w:rPr>
          <w:rFonts w:eastAsiaTheme="minorEastAsia"/>
          <w:bCs/>
          <w:lang w:eastAsia="pl-PL"/>
        </w:rPr>
        <w:t>jedno miejsce ogłaszania tych informacji</w:t>
      </w:r>
      <w:r w:rsidR="00056B46" w:rsidRPr="0053598B">
        <w:rPr>
          <w:rFonts w:eastAsiaTheme="minorEastAsia"/>
          <w:bCs/>
          <w:lang w:eastAsia="pl-PL"/>
        </w:rPr>
        <w:t xml:space="preserve"> (przyjęcie opcji dyrektywnej z art. 19a ust.</w:t>
      </w:r>
      <w:r w:rsidRPr="0053598B">
        <w:rPr>
          <w:rFonts w:eastAsiaTheme="minorEastAsia"/>
          <w:bCs/>
          <w:lang w:eastAsia="pl-PL"/>
        </w:rPr>
        <w:t xml:space="preserve"> </w:t>
      </w:r>
      <w:r w:rsidR="00056B46" w:rsidRPr="0053598B">
        <w:rPr>
          <w:rFonts w:eastAsiaTheme="minorEastAsia"/>
          <w:bCs/>
          <w:lang w:eastAsia="pl-PL"/>
        </w:rPr>
        <w:t>4 lit. a)</w:t>
      </w:r>
      <w:r w:rsidR="008D168A" w:rsidRPr="0053598B">
        <w:rPr>
          <w:rFonts w:eastAsiaTheme="minorEastAsia"/>
          <w:bCs/>
          <w:lang w:eastAsia="pl-PL"/>
        </w:rPr>
        <w:t xml:space="preserve">, </w:t>
      </w:r>
      <w:r w:rsidR="00A343D3" w:rsidRPr="0053598B">
        <w:rPr>
          <w:rFonts w:eastAsiaTheme="minorEastAsia"/>
          <w:bCs/>
          <w:lang w:eastAsia="pl-PL"/>
        </w:rPr>
        <w:t xml:space="preserve">co oznaczało, </w:t>
      </w:r>
      <w:r w:rsidR="00A343D3" w:rsidRPr="0053598B">
        <w:rPr>
          <w:rFonts w:eastAsiaTheme="minorEastAsia"/>
          <w:bCs/>
          <w:lang w:eastAsia="pl-PL"/>
        </w:rPr>
        <w:lastRenderedPageBreak/>
        <w:t>że</w:t>
      </w:r>
      <w:r w:rsidR="008D168A" w:rsidRPr="0053598B">
        <w:rPr>
          <w:rFonts w:eastAsiaTheme="minorEastAsia"/>
          <w:bCs/>
          <w:lang w:eastAsia="pl-PL"/>
        </w:rPr>
        <w:t xml:space="preserve"> </w:t>
      </w:r>
      <w:r w:rsidR="00A343D3" w:rsidRPr="0053598B">
        <w:rPr>
          <w:rFonts w:eastAsiaTheme="minorEastAsia"/>
          <w:bCs/>
          <w:lang w:eastAsia="pl-PL"/>
        </w:rPr>
        <w:t xml:space="preserve">sprawozdanie na temat informacji niefinansowych miało być </w:t>
      </w:r>
      <w:r w:rsidR="008D168A" w:rsidRPr="0053598B">
        <w:rPr>
          <w:rFonts w:eastAsiaTheme="minorEastAsia"/>
          <w:bCs/>
          <w:lang w:eastAsia="pl-PL"/>
        </w:rPr>
        <w:t>ujawni</w:t>
      </w:r>
      <w:r w:rsidR="00A343D3" w:rsidRPr="0053598B">
        <w:rPr>
          <w:rFonts w:eastAsiaTheme="minorEastAsia"/>
          <w:bCs/>
          <w:lang w:eastAsia="pl-PL"/>
        </w:rPr>
        <w:t>a</w:t>
      </w:r>
      <w:r w:rsidR="008D168A" w:rsidRPr="0053598B">
        <w:rPr>
          <w:rFonts w:eastAsiaTheme="minorEastAsia"/>
          <w:bCs/>
          <w:lang w:eastAsia="pl-PL"/>
        </w:rPr>
        <w:t>n</w:t>
      </w:r>
      <w:r w:rsidR="00A343D3" w:rsidRPr="0053598B">
        <w:rPr>
          <w:rFonts w:eastAsiaTheme="minorEastAsia"/>
          <w:bCs/>
          <w:lang w:eastAsia="pl-PL"/>
        </w:rPr>
        <w:t>e</w:t>
      </w:r>
      <w:r w:rsidR="008D168A" w:rsidRPr="0053598B">
        <w:rPr>
          <w:rFonts w:eastAsiaTheme="minorEastAsia"/>
          <w:bCs/>
          <w:lang w:eastAsia="pl-PL"/>
        </w:rPr>
        <w:t xml:space="preserve"> w KRS</w:t>
      </w:r>
      <w:r w:rsidR="00574974" w:rsidRPr="0053598B">
        <w:rPr>
          <w:rFonts w:eastAsiaTheme="minorEastAsia"/>
          <w:bCs/>
          <w:lang w:eastAsia="pl-PL"/>
        </w:rPr>
        <w:t>, jak sprawozdanie z działalności</w:t>
      </w:r>
      <w:r w:rsidR="008D168A" w:rsidRPr="0053598B">
        <w:rPr>
          <w:rFonts w:eastAsiaTheme="minorEastAsia"/>
          <w:bCs/>
          <w:lang w:eastAsia="pl-PL"/>
        </w:rPr>
        <w:t xml:space="preserve"> (zasada „jednego okienka”).</w:t>
      </w:r>
      <w:r w:rsidR="00717B7F" w:rsidRPr="0053598B">
        <w:rPr>
          <w:rFonts w:eastAsiaTheme="minorEastAsia"/>
          <w:bCs/>
          <w:lang w:eastAsia="pl-PL"/>
        </w:rPr>
        <w:t xml:space="preserve"> </w:t>
      </w:r>
      <w:r w:rsidR="00574974" w:rsidRPr="0053598B">
        <w:rPr>
          <w:rFonts w:eastAsiaTheme="minorEastAsia"/>
          <w:bCs/>
          <w:lang w:eastAsia="pl-PL"/>
        </w:rPr>
        <w:t>Jednakże</w:t>
      </w:r>
      <w:r w:rsidR="00056B46" w:rsidRPr="0053598B">
        <w:rPr>
          <w:rFonts w:eastAsiaTheme="minorEastAsia"/>
          <w:bCs/>
          <w:lang w:eastAsia="pl-PL"/>
        </w:rPr>
        <w:t xml:space="preserve"> na dalszym etapie prac legislacyjnych</w:t>
      </w:r>
      <w:r w:rsidR="00574974" w:rsidRPr="0053598B">
        <w:rPr>
          <w:rFonts w:eastAsiaTheme="minorEastAsia"/>
          <w:bCs/>
          <w:lang w:eastAsia="pl-PL"/>
        </w:rPr>
        <w:t xml:space="preserve"> </w:t>
      </w:r>
      <w:r w:rsidR="00703ED0" w:rsidRPr="0053598B">
        <w:rPr>
          <w:rFonts w:eastAsiaTheme="minorEastAsia"/>
          <w:bCs/>
          <w:lang w:eastAsia="pl-PL"/>
        </w:rPr>
        <w:t>przyjęto rozwiązanie postulowane w</w:t>
      </w:r>
      <w:r w:rsidR="008D168A" w:rsidRPr="0053598B">
        <w:rPr>
          <w:rFonts w:eastAsiaTheme="minorEastAsia"/>
          <w:bCs/>
          <w:lang w:eastAsia="pl-PL"/>
        </w:rPr>
        <w:t xml:space="preserve"> </w:t>
      </w:r>
      <w:r w:rsidR="00703ED0" w:rsidRPr="0053598B">
        <w:rPr>
          <w:rFonts w:eastAsiaTheme="minorEastAsia"/>
          <w:bCs/>
          <w:lang w:eastAsia="pl-PL"/>
        </w:rPr>
        <w:t>stanowisku prezentowanym</w:t>
      </w:r>
      <w:r w:rsidR="00056B46" w:rsidRPr="0053598B">
        <w:rPr>
          <w:rFonts w:eastAsiaTheme="minorEastAsia"/>
          <w:bCs/>
          <w:lang w:eastAsia="pl-PL"/>
        </w:rPr>
        <w:t xml:space="preserve"> </w:t>
      </w:r>
      <w:r w:rsidR="00574974" w:rsidRPr="0053598B">
        <w:rPr>
          <w:rFonts w:eastAsiaTheme="minorEastAsia"/>
          <w:bCs/>
          <w:lang w:eastAsia="pl-PL"/>
        </w:rPr>
        <w:t xml:space="preserve">w tej kwestii przez Ministra Sprawiedliwości, </w:t>
      </w:r>
      <w:r w:rsidR="00056B46" w:rsidRPr="0053598B">
        <w:rPr>
          <w:rFonts w:eastAsiaTheme="minorEastAsia"/>
          <w:bCs/>
          <w:lang w:eastAsia="pl-PL"/>
        </w:rPr>
        <w:t>polegające na skorzystaniu z innej opcji dyrektywnej</w:t>
      </w:r>
      <w:r w:rsidR="00056B46" w:rsidRPr="0053598B">
        <w:rPr>
          <w:rFonts w:eastAsiaTheme="minorEastAsia"/>
          <w:lang w:eastAsia="pl-PL"/>
        </w:rPr>
        <w:t xml:space="preserve"> (</w:t>
      </w:r>
      <w:r w:rsidR="004D5FD0">
        <w:rPr>
          <w:rFonts w:eastAsiaTheme="minorEastAsia"/>
          <w:bCs/>
          <w:lang w:eastAsia="pl-PL"/>
        </w:rPr>
        <w:t>art. </w:t>
      </w:r>
      <w:r w:rsidR="00056B46" w:rsidRPr="0053598B">
        <w:rPr>
          <w:rFonts w:eastAsiaTheme="minorEastAsia"/>
          <w:bCs/>
          <w:lang w:eastAsia="pl-PL"/>
        </w:rPr>
        <w:t>19a ust. 4 lit. b), na podstawie której odrębne sprawozdanie na temat informacji niefinansowych byłoby podawane do publicznej wiadomości tylko na stronie internetowej danej jednostki</w:t>
      </w:r>
      <w:r w:rsidR="007E3F24" w:rsidRPr="0053598B">
        <w:rPr>
          <w:rFonts w:eastAsiaTheme="minorEastAsia"/>
          <w:bCs/>
          <w:lang w:eastAsia="pl-PL"/>
        </w:rPr>
        <w:t>. Pozwoliłoby to uniknąć zgłoszonych</w:t>
      </w:r>
      <w:r w:rsidR="007E3F24" w:rsidRPr="0053598B">
        <w:rPr>
          <w:rFonts w:eastAsiaTheme="minorEastAsia"/>
          <w:lang w:eastAsia="pl-PL"/>
        </w:rPr>
        <w:t xml:space="preserve"> </w:t>
      </w:r>
      <w:r w:rsidR="00987B61" w:rsidRPr="0053598B">
        <w:rPr>
          <w:rFonts w:eastAsiaTheme="minorEastAsia"/>
          <w:lang w:eastAsia="pl-PL"/>
        </w:rPr>
        <w:t xml:space="preserve">przez </w:t>
      </w:r>
      <w:r w:rsidR="007E3F24" w:rsidRPr="0053598B">
        <w:rPr>
          <w:rFonts w:eastAsiaTheme="minorEastAsia"/>
          <w:lang w:eastAsia="pl-PL"/>
        </w:rPr>
        <w:t>Ministra</w:t>
      </w:r>
      <w:r w:rsidR="00987B61" w:rsidRPr="0053598B">
        <w:rPr>
          <w:rFonts w:eastAsiaTheme="minorEastAsia"/>
          <w:lang w:eastAsia="pl-PL"/>
        </w:rPr>
        <w:t xml:space="preserve"> </w:t>
      </w:r>
      <w:r w:rsidR="007E3F24" w:rsidRPr="0053598B">
        <w:rPr>
          <w:rFonts w:eastAsiaTheme="minorEastAsia"/>
          <w:lang w:eastAsia="pl-PL"/>
        </w:rPr>
        <w:t>Sprawiedliwości</w:t>
      </w:r>
      <w:r w:rsidR="00987B61" w:rsidRPr="0053598B">
        <w:rPr>
          <w:rFonts w:eastAsiaTheme="minorEastAsia"/>
          <w:lang w:eastAsia="pl-PL"/>
        </w:rPr>
        <w:t xml:space="preserve"> trudności </w:t>
      </w:r>
      <w:r w:rsidR="007E3F24" w:rsidRPr="0053598B">
        <w:rPr>
          <w:rFonts w:eastAsiaTheme="minorEastAsia"/>
          <w:lang w:eastAsia="pl-PL"/>
        </w:rPr>
        <w:t>związanych m.in. z konieczną modernizacją</w:t>
      </w:r>
      <w:r w:rsidR="00987B61" w:rsidRPr="0053598B">
        <w:rPr>
          <w:rFonts w:eastAsiaTheme="minorEastAsia"/>
          <w:lang w:eastAsia="pl-PL"/>
        </w:rPr>
        <w:t xml:space="preserve"> systemów rejestro</w:t>
      </w:r>
      <w:r w:rsidR="004D5FD0">
        <w:rPr>
          <w:rFonts w:eastAsiaTheme="minorEastAsia"/>
          <w:lang w:eastAsia="pl-PL"/>
        </w:rPr>
        <w:t>wych wraz z </w:t>
      </w:r>
      <w:r w:rsidR="007E3F24" w:rsidRPr="0053598B">
        <w:rPr>
          <w:rFonts w:eastAsiaTheme="minorEastAsia"/>
          <w:lang w:eastAsia="pl-PL"/>
        </w:rPr>
        <w:t>poniesieniem znaczących kosztów.</w:t>
      </w:r>
    </w:p>
    <w:p w:rsidR="00987B61" w:rsidRPr="0053598B" w:rsidRDefault="00056B46" w:rsidP="00E10BFF">
      <w:pPr>
        <w:spacing w:line="360" w:lineRule="auto"/>
        <w:jc w:val="both"/>
        <w:rPr>
          <w:rFonts w:eastAsiaTheme="minorEastAsia"/>
          <w:lang w:eastAsia="pl-PL"/>
        </w:rPr>
      </w:pPr>
      <w:r w:rsidRPr="0053598B">
        <w:rPr>
          <w:rFonts w:eastAsiaTheme="minorEastAsia"/>
          <w:lang w:eastAsia="pl-PL"/>
        </w:rPr>
        <w:t xml:space="preserve">A zatem </w:t>
      </w:r>
      <w:r w:rsidR="00987B61" w:rsidRPr="0053598B">
        <w:rPr>
          <w:rFonts w:eastAsiaTheme="minorEastAsia"/>
          <w:lang w:eastAsia="pl-PL"/>
        </w:rPr>
        <w:t xml:space="preserve">takie </w:t>
      </w:r>
      <w:r w:rsidR="00574974" w:rsidRPr="0053598B">
        <w:rPr>
          <w:rFonts w:eastAsiaTheme="minorEastAsia"/>
          <w:lang w:eastAsia="pl-PL"/>
        </w:rPr>
        <w:t xml:space="preserve">sprawozdania nie będą składane do Krajowego Rejestru Sądowego, zaś jednostki obowiązane będą do ich publikowania w terminie sześciu miesięcy od dnia bilansowego na swojej stronie internetowej. </w:t>
      </w:r>
    </w:p>
    <w:p w:rsidR="0097556B"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196794" w:rsidRPr="0053598B">
        <w:rPr>
          <w:rFonts w:eastAsiaTheme="minorEastAsia"/>
          <w:b/>
          <w:bCs/>
          <w:lang w:eastAsia="pl-PL"/>
        </w:rPr>
        <w:t xml:space="preserve"> ust. </w:t>
      </w:r>
      <w:r w:rsidR="002B3DA8" w:rsidRPr="0053598B">
        <w:rPr>
          <w:rFonts w:eastAsiaTheme="minorEastAsia"/>
          <w:b/>
          <w:bCs/>
          <w:lang w:eastAsia="pl-PL"/>
        </w:rPr>
        <w:t>10</w:t>
      </w:r>
      <w:r w:rsidR="00196794" w:rsidRPr="0053598B">
        <w:rPr>
          <w:rFonts w:eastAsiaTheme="minorEastAsia"/>
          <w:bCs/>
          <w:lang w:eastAsia="pl-PL"/>
        </w:rPr>
        <w:t xml:space="preserve"> (</w:t>
      </w:r>
      <w:r w:rsidR="00AF076D" w:rsidRPr="0053598B">
        <w:rPr>
          <w:lang w:eastAsia="pl-PL"/>
        </w:rPr>
        <w:t xml:space="preserve">wdrożenie </w:t>
      </w:r>
      <w:r w:rsidR="00196794" w:rsidRPr="0053598B">
        <w:rPr>
          <w:rFonts w:eastAsiaTheme="minorEastAsia"/>
          <w:bCs/>
          <w:lang w:eastAsia="pl-PL"/>
        </w:rPr>
        <w:t>art. 19a ust. 2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196794" w:rsidRPr="0053598B">
        <w:rPr>
          <w:rFonts w:eastAsiaTheme="minorEastAsia"/>
          <w:bCs/>
          <w:lang w:eastAsia="pl-PL"/>
        </w:rPr>
        <w:t>dyrektywą 2014/95/UE) wprowadza się przepis uznający, iż sporządzenie przez jednostkę oświadczenia na temat informacji niefinansowych lub sprawozdania</w:t>
      </w:r>
      <w:r w:rsidRPr="0053598B">
        <w:rPr>
          <w:rFonts w:eastAsiaTheme="minorEastAsia"/>
          <w:bCs/>
          <w:lang w:eastAsia="pl-PL"/>
        </w:rPr>
        <w:t xml:space="preserve"> </w:t>
      </w:r>
      <w:r w:rsidR="00196794" w:rsidRPr="0053598B">
        <w:rPr>
          <w:rFonts w:eastAsiaTheme="minorEastAsia"/>
          <w:bCs/>
          <w:lang w:eastAsia="pl-PL"/>
        </w:rPr>
        <w:t xml:space="preserve">na temat informacji niefinansowych jest równoznaczne ze spełnieniem przez nią minimalnych obowiązków sprawozdawczych określonych w art. 49 ust. 3 pkt 2 nałożonych na jednostki, które nie zostaną objęte obowiązkiem rozbudowanego raportowania informacji niefinansowych. </w:t>
      </w:r>
    </w:p>
    <w:p w:rsidR="00F34EA7"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art. 49b w</w:t>
      </w:r>
      <w:r w:rsidR="00196794" w:rsidRPr="0053598B">
        <w:rPr>
          <w:rFonts w:eastAsiaTheme="minorEastAsia"/>
          <w:b/>
          <w:bCs/>
          <w:lang w:eastAsia="pl-PL"/>
        </w:rPr>
        <w:t xml:space="preserve"> ust. 1</w:t>
      </w:r>
      <w:r w:rsidR="002B3DA8" w:rsidRPr="0053598B">
        <w:rPr>
          <w:rFonts w:eastAsiaTheme="minorEastAsia"/>
          <w:b/>
          <w:bCs/>
          <w:lang w:eastAsia="pl-PL"/>
        </w:rPr>
        <w:t>1</w:t>
      </w:r>
      <w:r w:rsidR="00196794" w:rsidRPr="0053598B">
        <w:rPr>
          <w:rFonts w:eastAsiaTheme="minorEastAsia"/>
          <w:bCs/>
          <w:lang w:eastAsia="pl-PL"/>
        </w:rPr>
        <w:t xml:space="preserve"> (</w:t>
      </w:r>
      <w:r w:rsidR="00AF076D" w:rsidRPr="0053598B">
        <w:rPr>
          <w:lang w:eastAsia="pl-PL"/>
        </w:rPr>
        <w:t>wdrożenie</w:t>
      </w:r>
      <w:r w:rsidRPr="0053598B">
        <w:rPr>
          <w:lang w:eastAsia="pl-PL"/>
        </w:rPr>
        <w:t xml:space="preserve"> </w:t>
      </w:r>
      <w:r w:rsidR="00196794" w:rsidRPr="0053598B">
        <w:rPr>
          <w:rFonts w:eastAsiaTheme="minorEastAsia"/>
          <w:bCs/>
          <w:lang w:eastAsia="pl-PL"/>
        </w:rPr>
        <w:t>art. 19a ust. 3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196794" w:rsidRPr="0053598B">
        <w:rPr>
          <w:rFonts w:eastAsiaTheme="minorEastAsia"/>
          <w:bCs/>
          <w:lang w:eastAsia="pl-PL"/>
        </w:rPr>
        <w:t xml:space="preserve">dyrektywą 2014/95/UE) </w:t>
      </w:r>
      <w:r w:rsidR="00561DA6" w:rsidRPr="0053598B">
        <w:rPr>
          <w:rFonts w:eastAsiaTheme="minorEastAsia"/>
          <w:bCs/>
          <w:lang w:eastAsia="pl-PL"/>
        </w:rPr>
        <w:t>określa się przypadek, w którym jednostka może nie sporządzać oświadczenia na temat informacji niefinansowych lub sprawozdania na temat informacji niefinansowych. Zwolnienie to dotyczy jednostki zależnej, w tym jednostki dominującej niższego szczebla, jeżeli jednostka dominująca</w:t>
      </w:r>
      <w:r w:rsidR="00F34EA7" w:rsidRPr="0053598B">
        <w:rPr>
          <w:rFonts w:eastAsiaTheme="minorEastAsia"/>
          <w:bCs/>
          <w:lang w:eastAsia="pl-PL"/>
        </w:rPr>
        <w:t xml:space="preserve"> wyższego szczebla</w:t>
      </w:r>
      <w:r w:rsidR="00561DA6" w:rsidRPr="0053598B">
        <w:rPr>
          <w:rFonts w:eastAsiaTheme="minorEastAsia"/>
          <w:bCs/>
          <w:lang w:eastAsia="pl-PL"/>
        </w:rPr>
        <w:t xml:space="preserve"> mająca siedzibę lub miejsce sprawowania zarządu na terytorium Europejskiego Obszaru Gospodarczego sporządzi oświadczenie grupy kapitałowej na temat informacji niefinansowych lub sprawozdanie grupy kapitałowej na temat informacji niefinansowych, zgodnie z przepisami prawa państwa członkowskiego, któremu podlega, i którym to oświadczeniem lub sprawozdaniem obejmie tę jednostkę i jej jednostki zależne każdego szczebla. </w:t>
      </w:r>
      <w:r w:rsidR="00F34EA7" w:rsidRPr="0053598B">
        <w:rPr>
          <w:rFonts w:eastAsiaTheme="minorEastAsia"/>
          <w:bCs/>
          <w:lang w:eastAsia="pl-PL"/>
        </w:rPr>
        <w:t>W przypadku skorzysta</w:t>
      </w:r>
      <w:r w:rsidR="00511349" w:rsidRPr="0053598B">
        <w:rPr>
          <w:rFonts w:eastAsiaTheme="minorEastAsia"/>
          <w:bCs/>
          <w:lang w:eastAsia="pl-PL"/>
        </w:rPr>
        <w:t xml:space="preserve">nia z powyższego zwolnienia, </w:t>
      </w:r>
      <w:r w:rsidR="00F34EA7" w:rsidRPr="0053598B">
        <w:rPr>
          <w:rFonts w:eastAsiaTheme="minorEastAsia"/>
          <w:bCs/>
          <w:lang w:eastAsia="pl-PL"/>
        </w:rPr>
        <w:t>jednostka ujawnia w sprawozdaniu z działalności nazwę i siedzibę jednostki dominującej wyższego szczebla, sporządzającej oświadczenie lub sprawozdanie grupy kapitałowej na temat informacji niefinansowych, które obejmie t</w:t>
      </w:r>
      <w:r w:rsidR="0025457A" w:rsidRPr="0053598B">
        <w:rPr>
          <w:rFonts w:eastAsiaTheme="minorEastAsia"/>
          <w:bCs/>
          <w:lang w:eastAsia="pl-PL"/>
        </w:rPr>
        <w:t>ę</w:t>
      </w:r>
      <w:r w:rsidR="00F34EA7" w:rsidRPr="0053598B">
        <w:rPr>
          <w:rFonts w:eastAsiaTheme="minorEastAsia"/>
          <w:bCs/>
          <w:lang w:eastAsia="pl-PL"/>
        </w:rPr>
        <w:t xml:space="preserve"> jednostkę i jej jednostki zależne każdego szczebla.</w:t>
      </w:r>
    </w:p>
    <w:p w:rsidR="002015AF" w:rsidRPr="0053598B" w:rsidRDefault="002015AF" w:rsidP="005D7F97">
      <w:pPr>
        <w:numPr>
          <w:ilvl w:val="0"/>
          <w:numId w:val="17"/>
        </w:numPr>
        <w:spacing w:before="120" w:line="360" w:lineRule="auto"/>
        <w:jc w:val="both"/>
        <w:rPr>
          <w:rFonts w:eastAsiaTheme="minorEastAsia"/>
          <w:bCs/>
          <w:lang w:eastAsia="pl-PL"/>
        </w:rPr>
      </w:pPr>
      <w:r w:rsidRPr="0053598B">
        <w:rPr>
          <w:rFonts w:eastAsiaTheme="minorEastAsia"/>
          <w:b/>
          <w:bCs/>
          <w:lang w:eastAsia="pl-PL"/>
        </w:rPr>
        <w:lastRenderedPageBreak/>
        <w:t xml:space="preserve">Art. 1 pkt </w:t>
      </w:r>
      <w:r w:rsidR="009F6EA3" w:rsidRPr="0053598B">
        <w:rPr>
          <w:rFonts w:eastAsiaTheme="minorEastAsia"/>
          <w:b/>
          <w:bCs/>
          <w:lang w:eastAsia="pl-PL"/>
        </w:rPr>
        <w:t xml:space="preserve">10 </w:t>
      </w:r>
      <w:r w:rsidRPr="0053598B">
        <w:rPr>
          <w:rFonts w:eastAsiaTheme="minorEastAsia"/>
          <w:b/>
          <w:bCs/>
          <w:lang w:eastAsia="pl-PL"/>
        </w:rPr>
        <w:t>ustawy nowelizującej</w:t>
      </w:r>
      <w:r w:rsidR="001C0F5B" w:rsidRPr="0053598B">
        <w:rPr>
          <w:rFonts w:eastAsiaTheme="minorEastAsia"/>
          <w:bCs/>
          <w:lang w:eastAsia="pl-PL"/>
        </w:rPr>
        <w:t xml:space="preserve"> w art. 55 ustawy o rachunkowości </w:t>
      </w:r>
      <w:r w:rsidR="00E62006" w:rsidRPr="0053598B">
        <w:rPr>
          <w:rFonts w:eastAsiaTheme="minorEastAsia"/>
          <w:bCs/>
          <w:lang w:eastAsia="pl-PL"/>
        </w:rPr>
        <w:t xml:space="preserve">wprowadza </w:t>
      </w:r>
      <w:r w:rsidRPr="0053598B">
        <w:rPr>
          <w:rFonts w:eastAsiaTheme="minorEastAsia"/>
          <w:bCs/>
          <w:lang w:eastAsia="pl-PL"/>
        </w:rPr>
        <w:t>nowe</w:t>
      </w:r>
      <w:r w:rsidR="001C0F5B" w:rsidRPr="0053598B">
        <w:rPr>
          <w:rFonts w:eastAsiaTheme="minorEastAsia"/>
          <w:bCs/>
          <w:lang w:eastAsia="pl-PL"/>
        </w:rPr>
        <w:t xml:space="preserve"> brzmienie zdania pierwszego w ust. 2a oraz nowe</w:t>
      </w:r>
      <w:r w:rsidR="006D5C9D" w:rsidRPr="0053598B">
        <w:rPr>
          <w:rFonts w:eastAsiaTheme="minorEastAsia"/>
          <w:bCs/>
          <w:lang w:eastAsia="pl-PL"/>
        </w:rPr>
        <w:t xml:space="preserve"> ust. 2b–</w:t>
      </w:r>
      <w:r w:rsidR="0015214C" w:rsidRPr="0053598B">
        <w:rPr>
          <w:rFonts w:eastAsiaTheme="minorEastAsia"/>
          <w:bCs/>
          <w:lang w:eastAsia="pl-PL"/>
        </w:rPr>
        <w:t>2e</w:t>
      </w:r>
      <w:r w:rsidRPr="0053598B">
        <w:rPr>
          <w:rFonts w:eastAsiaTheme="minorEastAsia"/>
          <w:bCs/>
          <w:lang w:eastAsia="pl-PL"/>
        </w:rPr>
        <w:t>.</w:t>
      </w:r>
    </w:p>
    <w:p w:rsidR="001C0F5B" w:rsidRPr="0053598B" w:rsidRDefault="00E10BFF" w:rsidP="00E10BFF">
      <w:pPr>
        <w:spacing w:line="360" w:lineRule="auto"/>
        <w:jc w:val="both"/>
        <w:rPr>
          <w:rFonts w:eastAsiaTheme="minorEastAsia"/>
          <w:bCs/>
          <w:lang w:eastAsia="pl-PL"/>
        </w:rPr>
      </w:pPr>
      <w:r w:rsidRPr="0053598B">
        <w:rPr>
          <w:rFonts w:eastAsiaTheme="minorEastAsia"/>
          <w:b/>
          <w:bCs/>
          <w:lang w:eastAsia="pl-PL"/>
        </w:rPr>
        <w:t>–</w:t>
      </w:r>
      <w:r w:rsidR="009878A0" w:rsidRPr="0053598B">
        <w:rPr>
          <w:rFonts w:eastAsiaTheme="minorEastAsia"/>
          <w:b/>
          <w:bCs/>
          <w:lang w:eastAsia="pl-PL"/>
        </w:rPr>
        <w:t xml:space="preserve"> w lit. a </w:t>
      </w:r>
      <w:r w:rsidR="009878A0" w:rsidRPr="0053598B">
        <w:rPr>
          <w:rFonts w:eastAsiaTheme="minorEastAsia"/>
          <w:bCs/>
          <w:lang w:eastAsia="pl-PL"/>
        </w:rPr>
        <w:t>wprowadza się n</w:t>
      </w:r>
      <w:r w:rsidR="001C0F5B" w:rsidRPr="0053598B">
        <w:rPr>
          <w:rFonts w:eastAsiaTheme="minorEastAsia"/>
          <w:bCs/>
          <w:lang w:eastAsia="pl-PL"/>
        </w:rPr>
        <w:t>owe brzmienie</w:t>
      </w:r>
      <w:r w:rsidR="001C0F5B" w:rsidRPr="0053598B">
        <w:rPr>
          <w:rFonts w:eastAsiaTheme="minorEastAsia"/>
          <w:b/>
          <w:bCs/>
          <w:lang w:eastAsia="pl-PL"/>
        </w:rPr>
        <w:t xml:space="preserve"> </w:t>
      </w:r>
      <w:r w:rsidR="001C0F5B" w:rsidRPr="0053598B">
        <w:rPr>
          <w:rFonts w:eastAsiaTheme="minorEastAsia"/>
          <w:bCs/>
          <w:lang w:eastAsia="pl-PL"/>
        </w:rPr>
        <w:t xml:space="preserve">ust. 2a </w:t>
      </w:r>
      <w:r w:rsidR="009878A0" w:rsidRPr="0053598B">
        <w:rPr>
          <w:rFonts w:eastAsiaTheme="minorEastAsia"/>
          <w:bCs/>
          <w:lang w:eastAsia="pl-PL"/>
        </w:rPr>
        <w:t>w art. 55</w:t>
      </w:r>
      <w:r w:rsidR="00623E57" w:rsidRPr="0053598B">
        <w:rPr>
          <w:rFonts w:eastAsiaTheme="minorEastAsia"/>
          <w:bCs/>
          <w:lang w:eastAsia="pl-PL"/>
        </w:rPr>
        <w:t xml:space="preserve">, co </w:t>
      </w:r>
      <w:r w:rsidR="001C0F5B" w:rsidRPr="0053598B">
        <w:rPr>
          <w:rFonts w:eastAsiaTheme="minorEastAsia"/>
          <w:bCs/>
          <w:lang w:eastAsia="pl-PL"/>
        </w:rPr>
        <w:t>jest konsekwencj</w:t>
      </w:r>
      <w:r w:rsidR="00A77AB4" w:rsidRPr="0053598B">
        <w:rPr>
          <w:rFonts w:eastAsiaTheme="minorEastAsia"/>
          <w:bCs/>
          <w:lang w:eastAsia="pl-PL"/>
        </w:rPr>
        <w:t>ą</w:t>
      </w:r>
      <w:r w:rsidR="001C0F5B" w:rsidRPr="0053598B">
        <w:rPr>
          <w:rFonts w:eastAsiaTheme="minorEastAsia"/>
          <w:bCs/>
          <w:lang w:eastAsia="pl-PL"/>
        </w:rPr>
        <w:t xml:space="preserve"> </w:t>
      </w:r>
      <w:r w:rsidR="00A77AB4" w:rsidRPr="0053598B">
        <w:rPr>
          <w:rFonts w:eastAsiaTheme="minorEastAsia"/>
          <w:bCs/>
          <w:lang w:eastAsia="pl-PL"/>
        </w:rPr>
        <w:t>zmiany brzmienia ust. 3 i wprowadzenia nowego ust. 3a</w:t>
      </w:r>
      <w:r w:rsidR="001C0F5B" w:rsidRPr="0053598B">
        <w:rPr>
          <w:rFonts w:eastAsiaTheme="minorEastAsia"/>
          <w:bCs/>
          <w:lang w:eastAsia="pl-PL"/>
        </w:rPr>
        <w:t xml:space="preserve"> w art. </w:t>
      </w:r>
      <w:r w:rsidR="00A77AB4" w:rsidRPr="0053598B">
        <w:rPr>
          <w:rFonts w:eastAsiaTheme="minorEastAsia"/>
          <w:bCs/>
          <w:lang w:eastAsia="pl-PL"/>
        </w:rPr>
        <w:t>49 ustawy o rachunkowości.</w:t>
      </w:r>
    </w:p>
    <w:p w:rsidR="002015AF" w:rsidRPr="0053598B" w:rsidRDefault="00E10BFF" w:rsidP="00E10BFF">
      <w:pPr>
        <w:spacing w:line="360" w:lineRule="auto"/>
        <w:jc w:val="both"/>
        <w:rPr>
          <w:rFonts w:eastAsiaTheme="minorEastAsia"/>
          <w:bCs/>
          <w:lang w:eastAsia="pl-PL"/>
        </w:rPr>
      </w:pPr>
      <w:r w:rsidRPr="0053598B">
        <w:rPr>
          <w:rFonts w:eastAsiaTheme="minorEastAsia"/>
          <w:b/>
          <w:bCs/>
          <w:lang w:eastAsia="pl-PL"/>
        </w:rPr>
        <w:t>–</w:t>
      </w:r>
      <w:r w:rsidR="00623E57" w:rsidRPr="0053598B">
        <w:rPr>
          <w:rFonts w:eastAsiaTheme="minorEastAsia"/>
          <w:b/>
          <w:bCs/>
          <w:lang w:eastAsia="pl-PL"/>
        </w:rPr>
        <w:t xml:space="preserve"> w lit. b </w:t>
      </w:r>
      <w:r w:rsidR="00623E57" w:rsidRPr="0053598B">
        <w:rPr>
          <w:rFonts w:eastAsiaTheme="minorEastAsia"/>
          <w:bCs/>
          <w:lang w:eastAsia="pl-PL"/>
        </w:rPr>
        <w:t>wprowadza się</w:t>
      </w:r>
      <w:r w:rsidR="00623E57" w:rsidRPr="0053598B">
        <w:rPr>
          <w:rFonts w:eastAsiaTheme="minorEastAsia"/>
          <w:b/>
          <w:bCs/>
          <w:lang w:eastAsia="pl-PL"/>
        </w:rPr>
        <w:t xml:space="preserve"> </w:t>
      </w:r>
      <w:r w:rsidR="00623E57" w:rsidRPr="0053598B">
        <w:rPr>
          <w:rFonts w:eastAsiaTheme="minorEastAsia"/>
          <w:bCs/>
          <w:lang w:eastAsia="pl-PL"/>
        </w:rPr>
        <w:t>n</w:t>
      </w:r>
      <w:r w:rsidR="002015AF" w:rsidRPr="0053598B">
        <w:rPr>
          <w:rFonts w:eastAsiaTheme="minorEastAsia"/>
          <w:bCs/>
          <w:lang w:eastAsia="pl-PL"/>
        </w:rPr>
        <w:t xml:space="preserve">owy ust. 2b </w:t>
      </w:r>
      <w:r w:rsidR="00623E57" w:rsidRPr="0053598B">
        <w:rPr>
          <w:rFonts w:eastAsiaTheme="minorEastAsia"/>
          <w:bCs/>
          <w:lang w:eastAsia="pl-PL"/>
        </w:rPr>
        <w:t>w art. 55</w:t>
      </w:r>
      <w:r w:rsidR="00E62006" w:rsidRPr="0053598B">
        <w:rPr>
          <w:rFonts w:eastAsiaTheme="minorEastAsia"/>
          <w:bCs/>
          <w:lang w:eastAsia="pl-PL"/>
        </w:rPr>
        <w:t xml:space="preserve">. </w:t>
      </w:r>
      <w:r w:rsidR="00623E57" w:rsidRPr="0053598B">
        <w:rPr>
          <w:rFonts w:eastAsiaTheme="minorEastAsia"/>
          <w:bCs/>
          <w:lang w:eastAsia="pl-PL"/>
        </w:rPr>
        <w:t xml:space="preserve">Przepis ten wprowadza </w:t>
      </w:r>
      <w:r w:rsidR="002015AF" w:rsidRPr="0053598B">
        <w:rPr>
          <w:rFonts w:eastAsiaTheme="minorEastAsia"/>
          <w:bCs/>
          <w:lang w:eastAsia="pl-PL"/>
        </w:rPr>
        <w:t>obowiązek rozbudowanego raportowania informacji niefinansowych dla określonych grup kapitałowych i</w:t>
      </w:r>
      <w:r w:rsidR="004D5FD0">
        <w:rPr>
          <w:rFonts w:eastAsiaTheme="minorEastAsia"/>
          <w:bCs/>
          <w:lang w:eastAsia="pl-PL"/>
        </w:rPr>
        <w:t> </w:t>
      </w:r>
      <w:r w:rsidR="002015AF" w:rsidRPr="0053598B">
        <w:rPr>
          <w:rFonts w:eastAsiaTheme="minorEastAsia"/>
          <w:bCs/>
          <w:lang w:eastAsia="pl-PL"/>
        </w:rPr>
        <w:t xml:space="preserve">stanowi transpozycję przepisów art. 29a akapit pierwszy zdanie wprowadzające dyrektywy 2013/34/UE wprowadzonego ww. art. 1 dyrektywy 2014/95/UE. </w:t>
      </w:r>
    </w:p>
    <w:p w:rsidR="002015AF" w:rsidRPr="0053598B" w:rsidRDefault="002015AF" w:rsidP="00E10BFF">
      <w:pPr>
        <w:spacing w:line="360" w:lineRule="auto"/>
        <w:jc w:val="both"/>
        <w:rPr>
          <w:rFonts w:eastAsiaTheme="minorEastAsia"/>
          <w:bCs/>
          <w:lang w:eastAsia="pl-PL"/>
        </w:rPr>
      </w:pPr>
      <w:r w:rsidRPr="0053598B">
        <w:rPr>
          <w:rFonts w:eastAsiaTheme="minorEastAsia"/>
          <w:bCs/>
          <w:lang w:eastAsia="pl-PL"/>
        </w:rPr>
        <w:t xml:space="preserve">Ustęp </w:t>
      </w:r>
      <w:r w:rsidR="00623E57" w:rsidRPr="0053598B">
        <w:rPr>
          <w:rFonts w:eastAsiaTheme="minorEastAsia"/>
          <w:bCs/>
          <w:lang w:eastAsia="pl-PL"/>
        </w:rPr>
        <w:t>2b</w:t>
      </w:r>
      <w:r w:rsidR="00E10BFF" w:rsidRPr="0053598B">
        <w:rPr>
          <w:rFonts w:eastAsiaTheme="minorEastAsia"/>
          <w:b/>
          <w:bCs/>
          <w:lang w:eastAsia="pl-PL"/>
        </w:rPr>
        <w:t xml:space="preserve"> </w:t>
      </w:r>
      <w:r w:rsidRPr="0053598B">
        <w:rPr>
          <w:rFonts w:eastAsiaTheme="minorEastAsia"/>
          <w:bCs/>
          <w:lang w:eastAsia="pl-PL"/>
        </w:rPr>
        <w:t xml:space="preserve">określa katalog </w:t>
      </w:r>
      <w:r w:rsidR="0041220B" w:rsidRPr="0053598B">
        <w:rPr>
          <w:rFonts w:eastAsiaTheme="minorEastAsia"/>
          <w:bCs/>
          <w:lang w:eastAsia="pl-PL"/>
        </w:rPr>
        <w:t>grup kapitałowych</w:t>
      </w:r>
      <w:r w:rsidRPr="0053598B">
        <w:rPr>
          <w:rFonts w:eastAsiaTheme="minorEastAsia"/>
          <w:bCs/>
          <w:lang w:eastAsia="pl-PL"/>
        </w:rPr>
        <w:t xml:space="preserve"> zobowiązanych do sporządzenia w ramach sprawozdania z działalności</w:t>
      </w:r>
      <w:r w:rsidR="0041220B" w:rsidRPr="0053598B">
        <w:rPr>
          <w:rFonts w:eastAsiaTheme="minorEastAsia"/>
          <w:bCs/>
          <w:lang w:eastAsia="pl-PL"/>
        </w:rPr>
        <w:t xml:space="preserve"> </w:t>
      </w:r>
      <w:r w:rsidRPr="0053598B">
        <w:rPr>
          <w:rFonts w:eastAsiaTheme="minorEastAsia"/>
          <w:bCs/>
          <w:lang w:eastAsia="pl-PL"/>
        </w:rPr>
        <w:t>– jako wyodrębnionej częś</w:t>
      </w:r>
      <w:r w:rsidR="006D5C9D" w:rsidRPr="0053598B">
        <w:rPr>
          <w:rFonts w:eastAsiaTheme="minorEastAsia"/>
          <w:bCs/>
          <w:lang w:eastAsia="pl-PL"/>
        </w:rPr>
        <w:t>ci</w:t>
      </w:r>
      <w:r w:rsidRPr="0053598B">
        <w:rPr>
          <w:rFonts w:eastAsiaTheme="minorEastAsia"/>
          <w:bCs/>
          <w:lang w:eastAsia="pl-PL"/>
        </w:rPr>
        <w:t xml:space="preserve"> – oświadczenia grupy kapitałowej na temat informacji niefinansowych.</w:t>
      </w:r>
    </w:p>
    <w:p w:rsidR="002015AF" w:rsidRPr="0053598B" w:rsidRDefault="002015AF" w:rsidP="00E10BFF">
      <w:pPr>
        <w:spacing w:line="360" w:lineRule="auto"/>
        <w:jc w:val="both"/>
        <w:rPr>
          <w:rFonts w:eastAsiaTheme="minorEastAsia"/>
          <w:bCs/>
          <w:lang w:eastAsia="pl-PL"/>
        </w:rPr>
      </w:pPr>
      <w:r w:rsidRPr="0053598B">
        <w:rPr>
          <w:rFonts w:eastAsiaTheme="minorEastAsia"/>
          <w:bCs/>
          <w:lang w:eastAsia="pl-PL"/>
        </w:rPr>
        <w:t xml:space="preserve">W myśl projektu będą je sporządzać </w:t>
      </w:r>
      <w:r w:rsidR="002034A2" w:rsidRPr="0053598B">
        <w:rPr>
          <w:rFonts w:eastAsiaTheme="minorEastAsia"/>
          <w:bCs/>
          <w:lang w:eastAsia="pl-PL"/>
        </w:rPr>
        <w:t xml:space="preserve">największe z </w:t>
      </w:r>
      <w:r w:rsidRPr="0053598B">
        <w:rPr>
          <w:rFonts w:eastAsiaTheme="minorEastAsia"/>
          <w:bCs/>
          <w:lang w:eastAsia="pl-PL"/>
        </w:rPr>
        <w:t>duż</w:t>
      </w:r>
      <w:r w:rsidR="002034A2" w:rsidRPr="0053598B">
        <w:rPr>
          <w:rFonts w:eastAsiaTheme="minorEastAsia"/>
          <w:bCs/>
          <w:lang w:eastAsia="pl-PL"/>
        </w:rPr>
        <w:t>ych</w:t>
      </w:r>
      <w:r w:rsidRPr="0053598B">
        <w:rPr>
          <w:rFonts w:eastAsiaTheme="minorEastAsia"/>
          <w:bCs/>
          <w:lang w:eastAsia="pl-PL"/>
        </w:rPr>
        <w:t xml:space="preserve"> </w:t>
      </w:r>
      <w:r w:rsidR="0041220B" w:rsidRPr="0053598B">
        <w:rPr>
          <w:rFonts w:eastAsiaTheme="minorEastAsia"/>
          <w:bCs/>
          <w:lang w:eastAsia="pl-PL"/>
        </w:rPr>
        <w:t>grup kapitałow</w:t>
      </w:r>
      <w:r w:rsidR="002034A2" w:rsidRPr="0053598B">
        <w:rPr>
          <w:rFonts w:eastAsiaTheme="minorEastAsia"/>
          <w:bCs/>
          <w:lang w:eastAsia="pl-PL"/>
        </w:rPr>
        <w:t>ych</w:t>
      </w:r>
      <w:r w:rsidR="0041220B" w:rsidRPr="0053598B">
        <w:rPr>
          <w:rFonts w:eastAsiaTheme="minorEastAsia"/>
          <w:bCs/>
          <w:lang w:eastAsia="pl-PL"/>
        </w:rPr>
        <w:t>,</w:t>
      </w:r>
      <w:r w:rsidR="002034A2" w:rsidRPr="0053598B">
        <w:rPr>
          <w:rFonts w:eastAsiaTheme="minorEastAsia"/>
          <w:bCs/>
          <w:lang w:eastAsia="pl-PL"/>
        </w:rPr>
        <w:t xml:space="preserve"> w</w:t>
      </w:r>
      <w:r w:rsidR="0041220B" w:rsidRPr="0053598B">
        <w:rPr>
          <w:rFonts w:eastAsiaTheme="minorEastAsia"/>
          <w:bCs/>
          <w:lang w:eastAsia="pl-PL"/>
        </w:rPr>
        <w:t xml:space="preserve"> których jednostka dominująca jest </w:t>
      </w:r>
      <w:r w:rsidRPr="0053598B">
        <w:rPr>
          <w:rFonts w:eastAsiaTheme="minorEastAsia"/>
          <w:bCs/>
          <w:lang w:eastAsia="pl-PL"/>
        </w:rPr>
        <w:t>jednostk</w:t>
      </w:r>
      <w:r w:rsidR="0041220B" w:rsidRPr="0053598B">
        <w:rPr>
          <w:rFonts w:eastAsiaTheme="minorEastAsia"/>
          <w:bCs/>
          <w:lang w:eastAsia="pl-PL"/>
        </w:rPr>
        <w:t>ą</w:t>
      </w:r>
      <w:r w:rsidRPr="0053598B">
        <w:rPr>
          <w:rFonts w:eastAsiaTheme="minorEastAsia"/>
          <w:bCs/>
          <w:lang w:eastAsia="pl-PL"/>
        </w:rPr>
        <w:t xml:space="preserve"> zaintereso</w:t>
      </w:r>
      <w:r w:rsidR="0041220B" w:rsidRPr="0053598B">
        <w:rPr>
          <w:rFonts w:eastAsiaTheme="minorEastAsia"/>
          <w:bCs/>
          <w:lang w:eastAsia="pl-PL"/>
        </w:rPr>
        <w:t>wania publicznego, tj. jednostk</w:t>
      </w:r>
      <w:r w:rsidR="0046379C" w:rsidRPr="0053598B">
        <w:rPr>
          <w:rFonts w:eastAsiaTheme="minorEastAsia"/>
          <w:bCs/>
          <w:lang w:eastAsia="pl-PL"/>
        </w:rPr>
        <w:t>ą</w:t>
      </w:r>
      <w:r w:rsidR="0041220B" w:rsidRPr="0053598B">
        <w:rPr>
          <w:rFonts w:eastAsiaTheme="minorEastAsia"/>
          <w:bCs/>
          <w:lang w:eastAsia="pl-PL"/>
        </w:rPr>
        <w:t xml:space="preserve"> spełniając</w:t>
      </w:r>
      <w:r w:rsidR="0046379C" w:rsidRPr="0053598B">
        <w:rPr>
          <w:rFonts w:eastAsiaTheme="minorEastAsia"/>
          <w:bCs/>
          <w:lang w:eastAsia="pl-PL"/>
        </w:rPr>
        <w:t>ą</w:t>
      </w:r>
      <w:r w:rsidRPr="0053598B">
        <w:rPr>
          <w:rFonts w:eastAsiaTheme="minorEastAsia"/>
          <w:bCs/>
          <w:lang w:eastAsia="pl-PL"/>
        </w:rPr>
        <w:t xml:space="preserve"> wymogi nowego </w:t>
      </w:r>
      <w:r w:rsidR="0041220B" w:rsidRPr="0053598B">
        <w:rPr>
          <w:rFonts w:eastAsiaTheme="minorEastAsia"/>
          <w:bCs/>
          <w:lang w:eastAsia="pl-PL"/>
        </w:rPr>
        <w:t>art. 2</w:t>
      </w:r>
      <w:r w:rsidRPr="0053598B">
        <w:rPr>
          <w:rFonts w:eastAsiaTheme="minorEastAsia"/>
          <w:bCs/>
          <w:lang w:eastAsia="pl-PL"/>
        </w:rPr>
        <w:t>9a ust. 1 w powiązaniu z art. 2 pkt</w:t>
      </w:r>
      <w:r w:rsidR="00E10BFF" w:rsidRPr="0053598B">
        <w:rPr>
          <w:rFonts w:eastAsiaTheme="minorEastAsia"/>
          <w:bCs/>
          <w:lang w:eastAsia="pl-PL"/>
        </w:rPr>
        <w:t xml:space="preserve"> </w:t>
      </w:r>
      <w:r w:rsidRPr="0053598B">
        <w:rPr>
          <w:rFonts w:eastAsiaTheme="minorEastAsia"/>
          <w:bCs/>
          <w:lang w:eastAsia="pl-PL"/>
        </w:rPr>
        <w:t xml:space="preserve">1 oraz art. 3 ust. </w:t>
      </w:r>
      <w:r w:rsidR="0041220B" w:rsidRPr="0053598B">
        <w:rPr>
          <w:rFonts w:eastAsiaTheme="minorEastAsia"/>
          <w:bCs/>
          <w:lang w:eastAsia="pl-PL"/>
        </w:rPr>
        <w:t xml:space="preserve">7, 8 </w:t>
      </w:r>
      <w:r w:rsidR="006D5C9D" w:rsidRPr="0053598B">
        <w:rPr>
          <w:rFonts w:eastAsiaTheme="minorEastAsia"/>
          <w:bCs/>
          <w:lang w:eastAsia="pl-PL"/>
        </w:rPr>
        <w:t>i</w:t>
      </w:r>
      <w:r w:rsidRPr="0053598B">
        <w:rPr>
          <w:rFonts w:eastAsiaTheme="minorEastAsia"/>
          <w:bCs/>
          <w:lang w:eastAsia="pl-PL"/>
        </w:rPr>
        <w:t xml:space="preserve"> 10 dyrektywy 2013/34/UE.</w:t>
      </w:r>
    </w:p>
    <w:p w:rsidR="002015AF" w:rsidRPr="0053598B" w:rsidRDefault="002015AF" w:rsidP="005D7F97">
      <w:pPr>
        <w:spacing w:before="120" w:line="360" w:lineRule="auto"/>
        <w:jc w:val="both"/>
        <w:rPr>
          <w:rFonts w:eastAsiaTheme="minorEastAsia"/>
          <w:bCs/>
          <w:lang w:eastAsia="pl-PL"/>
        </w:rPr>
      </w:pPr>
      <w:r w:rsidRPr="0053598B">
        <w:rPr>
          <w:rFonts w:eastAsiaTheme="minorEastAsia"/>
          <w:bCs/>
          <w:lang w:eastAsia="pl-PL"/>
        </w:rPr>
        <w:t>W art. 3 ust. 1e pkt 1</w:t>
      </w:r>
      <w:r w:rsidR="006D5C9D" w:rsidRPr="0053598B">
        <w:rPr>
          <w:rFonts w:eastAsiaTheme="minorEastAsia"/>
          <w:bCs/>
          <w:lang w:eastAsia="pl-PL"/>
        </w:rPr>
        <w:t>–</w:t>
      </w:r>
      <w:r w:rsidRPr="0053598B">
        <w:rPr>
          <w:rFonts w:eastAsiaTheme="minorEastAsia"/>
          <w:bCs/>
          <w:lang w:eastAsia="pl-PL"/>
        </w:rPr>
        <w:t>6 ustawy o rachunkowości, określony został katalog jednostek traktowanych jako jednostki zainteresowan</w:t>
      </w:r>
      <w:r w:rsidR="006D5C9D" w:rsidRPr="0053598B">
        <w:rPr>
          <w:rFonts w:eastAsiaTheme="minorEastAsia"/>
          <w:bCs/>
          <w:lang w:eastAsia="pl-PL"/>
        </w:rPr>
        <w:t>i</w:t>
      </w:r>
      <w:r w:rsidRPr="0053598B">
        <w:rPr>
          <w:rFonts w:eastAsiaTheme="minorEastAsia"/>
          <w:bCs/>
          <w:lang w:eastAsia="pl-PL"/>
        </w:rPr>
        <w:t>a publicznego (implementacja art. 2 pkt 1 dyrektywy 2013/34/UE)</w:t>
      </w:r>
      <w:r w:rsidR="00006038" w:rsidRPr="0053598B">
        <w:rPr>
          <w:rFonts w:eastAsiaTheme="minorEastAsia"/>
          <w:bCs/>
          <w:lang w:eastAsia="pl-PL"/>
        </w:rPr>
        <w:t xml:space="preserve"> </w:t>
      </w:r>
      <w:r w:rsidR="0046379C" w:rsidRPr="0053598B">
        <w:rPr>
          <w:rFonts w:eastAsiaTheme="minorEastAsia"/>
          <w:bCs/>
          <w:lang w:eastAsia="pl-PL"/>
        </w:rPr>
        <w:t>–</w:t>
      </w:r>
      <w:r w:rsidR="0041220B" w:rsidRPr="0053598B">
        <w:rPr>
          <w:rFonts w:eastAsiaTheme="minorEastAsia"/>
          <w:bCs/>
          <w:lang w:eastAsia="pl-PL"/>
        </w:rPr>
        <w:t xml:space="preserve"> </w:t>
      </w:r>
      <w:r w:rsidR="0046379C" w:rsidRPr="0053598B">
        <w:rPr>
          <w:rFonts w:eastAsiaTheme="minorEastAsia"/>
          <w:bCs/>
          <w:lang w:eastAsia="pl-PL"/>
        </w:rPr>
        <w:t>omówione w</w:t>
      </w:r>
      <w:r w:rsidR="00E10BFF" w:rsidRPr="0053598B">
        <w:rPr>
          <w:rFonts w:eastAsiaTheme="minorEastAsia"/>
          <w:bCs/>
          <w:lang w:eastAsia="pl-PL"/>
        </w:rPr>
        <w:t xml:space="preserve"> </w:t>
      </w:r>
      <w:r w:rsidR="00E15219" w:rsidRPr="0053598B">
        <w:rPr>
          <w:rFonts w:eastAsiaTheme="minorEastAsia"/>
          <w:bCs/>
          <w:lang w:eastAsia="pl-PL"/>
        </w:rPr>
        <w:t>punkcie</w:t>
      </w:r>
      <w:r w:rsidR="0041220B" w:rsidRPr="0053598B">
        <w:rPr>
          <w:rFonts w:eastAsiaTheme="minorEastAsia"/>
          <w:bCs/>
          <w:lang w:eastAsia="pl-PL"/>
        </w:rPr>
        <w:t xml:space="preserve"> </w:t>
      </w:r>
      <w:r w:rsidR="00623E57" w:rsidRPr="0053598B">
        <w:rPr>
          <w:rFonts w:eastAsiaTheme="minorEastAsia"/>
          <w:bCs/>
          <w:lang w:eastAsia="pl-PL"/>
        </w:rPr>
        <w:t>7</w:t>
      </w:r>
      <w:r w:rsidR="00E15219" w:rsidRPr="0053598B">
        <w:rPr>
          <w:rFonts w:eastAsiaTheme="minorEastAsia"/>
          <w:bCs/>
          <w:lang w:eastAsia="pl-PL"/>
        </w:rPr>
        <w:t xml:space="preserve"> tej części</w:t>
      </w:r>
      <w:r w:rsidR="0041220B" w:rsidRPr="0053598B">
        <w:rPr>
          <w:rFonts w:eastAsiaTheme="minorEastAsia"/>
          <w:bCs/>
          <w:lang w:eastAsia="pl-PL"/>
        </w:rPr>
        <w:t xml:space="preserve"> uzasadnienia.</w:t>
      </w:r>
    </w:p>
    <w:p w:rsidR="002015AF" w:rsidRPr="0053598B" w:rsidRDefault="00D84DFD" w:rsidP="00E10BFF">
      <w:pPr>
        <w:spacing w:line="360" w:lineRule="auto"/>
        <w:jc w:val="both"/>
        <w:rPr>
          <w:rFonts w:eastAsiaTheme="minorEastAsia"/>
          <w:bCs/>
          <w:lang w:eastAsia="pl-PL"/>
        </w:rPr>
      </w:pPr>
      <w:r w:rsidRPr="0053598B">
        <w:rPr>
          <w:rFonts w:eastAsiaTheme="minorEastAsia"/>
          <w:bCs/>
          <w:lang w:eastAsia="pl-PL"/>
        </w:rPr>
        <w:t>Określone</w:t>
      </w:r>
      <w:r w:rsidR="0046379C" w:rsidRPr="0053598B">
        <w:rPr>
          <w:rFonts w:eastAsiaTheme="minorEastAsia"/>
          <w:bCs/>
          <w:lang w:eastAsia="pl-PL"/>
        </w:rPr>
        <w:t xml:space="preserve"> w tych przepisach</w:t>
      </w:r>
      <w:r w:rsidR="0041220B" w:rsidRPr="0053598B">
        <w:rPr>
          <w:rFonts w:eastAsiaTheme="minorEastAsia"/>
          <w:bCs/>
          <w:lang w:eastAsia="pl-PL"/>
        </w:rPr>
        <w:t xml:space="preserve"> grupy kapitałowe będą podlegać </w:t>
      </w:r>
      <w:r w:rsidR="002015AF" w:rsidRPr="0053598B">
        <w:rPr>
          <w:rFonts w:eastAsiaTheme="minorEastAsia"/>
          <w:bCs/>
          <w:lang w:eastAsia="pl-PL"/>
        </w:rPr>
        <w:t>obowiązkowi</w:t>
      </w:r>
      <w:r w:rsidR="00D63103" w:rsidRPr="0053598B">
        <w:rPr>
          <w:rFonts w:eastAsiaTheme="minorEastAsia"/>
          <w:bCs/>
          <w:lang w:eastAsia="pl-PL"/>
        </w:rPr>
        <w:t xml:space="preserve"> ww.</w:t>
      </w:r>
      <w:r w:rsidR="002015AF" w:rsidRPr="0053598B">
        <w:rPr>
          <w:rFonts w:eastAsiaTheme="minorEastAsia"/>
          <w:bCs/>
          <w:lang w:eastAsia="pl-PL"/>
        </w:rPr>
        <w:t xml:space="preserve"> raportowania</w:t>
      </w:r>
      <w:r w:rsidR="0041220B" w:rsidRPr="0053598B">
        <w:rPr>
          <w:rFonts w:eastAsiaTheme="minorEastAsia"/>
          <w:bCs/>
          <w:lang w:eastAsia="pl-PL"/>
        </w:rPr>
        <w:t xml:space="preserve"> niefinansowego</w:t>
      </w:r>
      <w:r w:rsidR="0046379C" w:rsidRPr="0053598B">
        <w:rPr>
          <w:rFonts w:eastAsiaTheme="minorEastAsia"/>
          <w:bCs/>
          <w:lang w:eastAsia="pl-PL"/>
        </w:rPr>
        <w:t>,</w:t>
      </w:r>
      <w:r w:rsidR="002015AF" w:rsidRPr="0053598B">
        <w:rPr>
          <w:rFonts w:eastAsiaTheme="minorEastAsia"/>
          <w:bCs/>
          <w:lang w:eastAsia="pl-PL"/>
        </w:rPr>
        <w:t xml:space="preserve"> jeżeli w roku obrotowym oraz w roku poprzedzającym </w:t>
      </w:r>
      <w:r w:rsidR="0041220B" w:rsidRPr="0053598B">
        <w:rPr>
          <w:rFonts w:eastAsiaTheme="minorEastAsia"/>
          <w:bCs/>
          <w:lang w:eastAsia="pl-PL"/>
        </w:rPr>
        <w:t xml:space="preserve">grupa </w:t>
      </w:r>
      <w:r w:rsidR="0046379C" w:rsidRPr="0053598B">
        <w:rPr>
          <w:rFonts w:eastAsiaTheme="minorEastAsia"/>
          <w:bCs/>
          <w:lang w:eastAsia="pl-PL"/>
        </w:rPr>
        <w:t xml:space="preserve">ta </w:t>
      </w:r>
      <w:r w:rsidR="0041220B" w:rsidRPr="0053598B">
        <w:rPr>
          <w:rFonts w:eastAsiaTheme="minorEastAsia"/>
          <w:bCs/>
          <w:lang w:eastAsia="pl-PL"/>
        </w:rPr>
        <w:t>przekroczyła</w:t>
      </w:r>
      <w:r w:rsidR="002015AF" w:rsidRPr="0053598B">
        <w:rPr>
          <w:rFonts w:eastAsiaTheme="minorEastAsia"/>
          <w:bCs/>
          <w:lang w:eastAsia="pl-PL"/>
        </w:rPr>
        <w:t xml:space="preserve"> następujące wartości:</w:t>
      </w:r>
    </w:p>
    <w:p w:rsidR="00D63103" w:rsidRPr="0053598B" w:rsidRDefault="00E10BFF" w:rsidP="00E10BFF">
      <w:pPr>
        <w:spacing w:line="360" w:lineRule="auto"/>
        <w:jc w:val="both"/>
        <w:rPr>
          <w:rFonts w:eastAsiaTheme="minorEastAsia"/>
          <w:bCs/>
          <w:lang w:eastAsia="pl-PL"/>
        </w:rPr>
      </w:pPr>
      <w:r w:rsidRPr="0053598B">
        <w:rPr>
          <w:rFonts w:eastAsiaTheme="minorEastAsia"/>
          <w:bCs/>
          <w:lang w:eastAsia="pl-PL"/>
        </w:rPr>
        <w:t>–</w:t>
      </w:r>
      <w:r w:rsidR="00D63103" w:rsidRPr="0053598B">
        <w:rPr>
          <w:rFonts w:eastAsiaTheme="minorEastAsia"/>
          <w:bCs/>
          <w:lang w:eastAsia="pl-PL"/>
        </w:rPr>
        <w:t xml:space="preserve"> po dokonaniu wyłączeń konsolidacyjnych (transpozycja art. 29a ust. 1 w powiązaniu z</w:t>
      </w:r>
      <w:r w:rsidR="004D5FD0">
        <w:rPr>
          <w:rFonts w:eastAsiaTheme="minorEastAsia"/>
          <w:bCs/>
          <w:lang w:eastAsia="pl-PL"/>
        </w:rPr>
        <w:t> </w:t>
      </w:r>
      <w:r w:rsidR="00D63103" w:rsidRPr="0053598B">
        <w:rPr>
          <w:rFonts w:eastAsiaTheme="minorEastAsia"/>
          <w:bCs/>
          <w:lang w:eastAsia="pl-PL"/>
        </w:rPr>
        <w:t>art.</w:t>
      </w:r>
      <w:r w:rsidR="004D5FD0">
        <w:rPr>
          <w:rFonts w:eastAsiaTheme="minorEastAsia"/>
          <w:bCs/>
          <w:lang w:eastAsia="pl-PL"/>
        </w:rPr>
        <w:t> </w:t>
      </w:r>
      <w:r w:rsidR="00D63103" w:rsidRPr="0053598B">
        <w:rPr>
          <w:rFonts w:eastAsiaTheme="minorEastAsia"/>
          <w:bCs/>
          <w:lang w:eastAsia="pl-PL"/>
        </w:rPr>
        <w:t>3 ust. 7 i 10 dyrektywy 2013/34/UE</w:t>
      </w:r>
      <w:r w:rsidR="00D63103" w:rsidRPr="0053598B">
        <w:rPr>
          <w:rFonts w:eastAsiaTheme="minorEastAsia"/>
          <w:bCs/>
          <w:vertAlign w:val="superscript"/>
          <w:lang w:eastAsia="pl-PL"/>
        </w:rPr>
        <w:footnoteReference w:id="7"/>
      </w:r>
      <w:r w:rsidR="007A3322" w:rsidRPr="0053598B">
        <w:rPr>
          <w:vertAlign w:val="superscript"/>
          <w:lang w:eastAsia="pl-PL"/>
        </w:rPr>
        <w:t>)</w:t>
      </w:r>
      <w:r w:rsidR="00D63103" w:rsidRPr="0053598B">
        <w:rPr>
          <w:rFonts w:eastAsiaTheme="minorEastAsia"/>
          <w:bCs/>
          <w:lang w:eastAsia="pl-PL"/>
        </w:rPr>
        <w:t>)</w:t>
      </w:r>
      <w:r w:rsidR="00E62D03" w:rsidRPr="0053598B">
        <w:rPr>
          <w:rFonts w:eastAsiaTheme="minorEastAsia"/>
          <w:bCs/>
          <w:lang w:eastAsia="pl-PL"/>
        </w:rPr>
        <w:t xml:space="preserve"> </w:t>
      </w:r>
      <w:r w:rsidRPr="0053598B">
        <w:rPr>
          <w:rFonts w:eastAsiaTheme="minorEastAsia"/>
          <w:bCs/>
          <w:lang w:eastAsia="pl-PL"/>
        </w:rPr>
        <w:t>–</w:t>
      </w:r>
    </w:p>
    <w:p w:rsidR="00D63103" w:rsidRPr="0053598B" w:rsidRDefault="00D63103" w:rsidP="00E10BFF">
      <w:pPr>
        <w:spacing w:line="360" w:lineRule="auto"/>
        <w:ind w:left="426" w:hanging="142"/>
        <w:jc w:val="both"/>
        <w:rPr>
          <w:rFonts w:eastAsiaTheme="minorEastAsia"/>
          <w:bCs/>
          <w:lang w:eastAsia="pl-PL"/>
        </w:rPr>
      </w:pPr>
      <w:r w:rsidRPr="0053598B">
        <w:rPr>
          <w:rFonts w:eastAsiaTheme="minorEastAsia"/>
          <w:bCs/>
          <w:lang w:eastAsia="pl-PL"/>
        </w:rPr>
        <w:t xml:space="preserve">1) </w:t>
      </w:r>
      <w:r w:rsidR="002015AF" w:rsidRPr="0053598B">
        <w:rPr>
          <w:rFonts w:eastAsiaTheme="minorEastAsia"/>
          <w:bCs/>
          <w:lang w:eastAsia="pl-PL"/>
        </w:rPr>
        <w:t>średnioroczne</w:t>
      </w:r>
      <w:r w:rsidR="00E62D03" w:rsidRPr="0053598B">
        <w:rPr>
          <w:rFonts w:eastAsiaTheme="minorEastAsia"/>
          <w:bCs/>
          <w:lang w:eastAsia="pl-PL"/>
        </w:rPr>
        <w:t>go zatrudnienia powyżej</w:t>
      </w:r>
      <w:r w:rsidR="002015AF" w:rsidRPr="0053598B">
        <w:rPr>
          <w:rFonts w:eastAsiaTheme="minorEastAsia"/>
          <w:bCs/>
          <w:lang w:eastAsia="pl-PL"/>
        </w:rPr>
        <w:t xml:space="preserve"> 500 osób oraz</w:t>
      </w:r>
    </w:p>
    <w:p w:rsidR="002015AF" w:rsidRPr="0053598B" w:rsidRDefault="00D63103" w:rsidP="00E10BFF">
      <w:pPr>
        <w:spacing w:line="360" w:lineRule="auto"/>
        <w:ind w:left="426" w:hanging="142"/>
        <w:jc w:val="both"/>
        <w:rPr>
          <w:rFonts w:eastAsiaTheme="minorEastAsia"/>
          <w:bCs/>
          <w:lang w:eastAsia="pl-PL"/>
        </w:rPr>
      </w:pPr>
      <w:r w:rsidRPr="0053598B">
        <w:rPr>
          <w:rFonts w:eastAsiaTheme="minorEastAsia"/>
          <w:bCs/>
          <w:lang w:eastAsia="pl-PL"/>
        </w:rPr>
        <w:t xml:space="preserve">2) </w:t>
      </w:r>
      <w:r w:rsidR="00E62D03" w:rsidRPr="0053598B">
        <w:rPr>
          <w:rFonts w:eastAsiaTheme="minorEastAsia"/>
          <w:bCs/>
          <w:lang w:eastAsia="pl-PL"/>
        </w:rPr>
        <w:t>sumy</w:t>
      </w:r>
      <w:r w:rsidR="002015AF" w:rsidRPr="0053598B">
        <w:rPr>
          <w:rFonts w:eastAsiaTheme="minorEastAsia"/>
          <w:bCs/>
          <w:lang w:eastAsia="pl-PL"/>
        </w:rPr>
        <w:t xml:space="preserve"> aktywów bilansu powyżej 85 mln zł lub przychody netto ze sprzedaży towarów i</w:t>
      </w:r>
      <w:r w:rsidR="004D5FD0">
        <w:rPr>
          <w:rFonts w:eastAsiaTheme="minorEastAsia"/>
          <w:bCs/>
          <w:lang w:eastAsia="pl-PL"/>
        </w:rPr>
        <w:t> </w:t>
      </w:r>
      <w:r w:rsidR="002015AF" w:rsidRPr="0053598B">
        <w:rPr>
          <w:rFonts w:eastAsiaTheme="minorEastAsia"/>
          <w:bCs/>
          <w:lang w:eastAsia="pl-PL"/>
        </w:rPr>
        <w:t>produktów 170 mln zł,</w:t>
      </w:r>
    </w:p>
    <w:p w:rsidR="00EF5A60" w:rsidRPr="0053598B" w:rsidRDefault="001F33EF" w:rsidP="00E10BFF">
      <w:pPr>
        <w:spacing w:line="360" w:lineRule="auto"/>
        <w:jc w:val="both"/>
        <w:rPr>
          <w:rFonts w:eastAsiaTheme="minorEastAsia"/>
          <w:bCs/>
          <w:lang w:eastAsia="pl-PL"/>
        </w:rPr>
      </w:pPr>
      <w:r>
        <w:rPr>
          <w:rFonts w:eastAsiaTheme="minorEastAsia"/>
          <w:bCs/>
          <w:lang w:eastAsia="pl-PL"/>
        </w:rPr>
        <w:t>–</w:t>
      </w:r>
      <w:r w:rsidR="00912CA1" w:rsidRPr="0053598B">
        <w:rPr>
          <w:rFonts w:eastAsiaTheme="minorEastAsia"/>
          <w:bCs/>
          <w:lang w:eastAsia="pl-PL"/>
        </w:rPr>
        <w:t xml:space="preserve"> przed dokonaniem</w:t>
      </w:r>
      <w:r w:rsidR="008479E8" w:rsidRPr="0053598B">
        <w:rPr>
          <w:rFonts w:eastAsiaTheme="minorEastAsia"/>
          <w:bCs/>
          <w:lang w:eastAsia="pl-PL"/>
        </w:rPr>
        <w:t xml:space="preserve"> wyłączeń konsolidacyjnych (transpozycja art. 29a ust. 1 w powiązaniu z</w:t>
      </w:r>
      <w:r w:rsidR="004D5FD0">
        <w:rPr>
          <w:rFonts w:eastAsiaTheme="minorEastAsia"/>
          <w:bCs/>
          <w:lang w:eastAsia="pl-PL"/>
        </w:rPr>
        <w:t> </w:t>
      </w:r>
      <w:r w:rsidR="008479E8" w:rsidRPr="0053598B">
        <w:rPr>
          <w:rFonts w:eastAsiaTheme="minorEastAsia"/>
          <w:bCs/>
          <w:lang w:eastAsia="pl-PL"/>
        </w:rPr>
        <w:t>art. 3 ust. 7</w:t>
      </w:r>
      <w:r w:rsidR="00E62D03" w:rsidRPr="0053598B">
        <w:rPr>
          <w:rFonts w:eastAsiaTheme="minorEastAsia"/>
          <w:bCs/>
          <w:lang w:eastAsia="pl-PL"/>
        </w:rPr>
        <w:t xml:space="preserve"> i 8 oraz</w:t>
      </w:r>
      <w:r w:rsidR="008479E8" w:rsidRPr="0053598B">
        <w:rPr>
          <w:rFonts w:eastAsiaTheme="minorEastAsia"/>
          <w:bCs/>
          <w:lang w:eastAsia="pl-PL"/>
        </w:rPr>
        <w:t xml:space="preserve"> ust. 10 dyrektywy 2013/34/UE</w:t>
      </w:r>
      <w:r w:rsidR="00E62D03" w:rsidRPr="0053598B">
        <w:rPr>
          <w:rFonts w:eastAsiaTheme="minorEastAsia"/>
          <w:bCs/>
          <w:lang w:eastAsia="pl-PL"/>
        </w:rPr>
        <w:t>) – powyższe limity kwoty sumy aktywów bilansu oraz przychodów netto ze sprzedaży towarów i produktów zwiększa się o</w:t>
      </w:r>
      <w:r w:rsidR="004D5FD0">
        <w:rPr>
          <w:rFonts w:eastAsiaTheme="minorEastAsia"/>
          <w:bCs/>
          <w:lang w:eastAsia="pl-PL"/>
        </w:rPr>
        <w:t> </w:t>
      </w:r>
      <w:r w:rsidR="00E62D03" w:rsidRPr="0053598B">
        <w:rPr>
          <w:rFonts w:eastAsiaTheme="minorEastAsia"/>
          <w:bCs/>
          <w:lang w:eastAsia="pl-PL"/>
        </w:rPr>
        <w:t>20%</w:t>
      </w:r>
      <w:r w:rsidR="002034A2" w:rsidRPr="0053598B">
        <w:rPr>
          <w:rFonts w:eastAsiaTheme="minorEastAsia"/>
          <w:bCs/>
          <w:lang w:eastAsia="pl-PL"/>
        </w:rPr>
        <w:t xml:space="preserve"> (zgodnie z art. 3 ust. 8 dyrektywy 2013/34/UE)</w:t>
      </w:r>
      <w:r w:rsidR="00E62D03" w:rsidRPr="0053598B">
        <w:rPr>
          <w:rFonts w:eastAsiaTheme="minorEastAsia"/>
          <w:bCs/>
          <w:lang w:eastAsia="pl-PL"/>
        </w:rPr>
        <w:t>.</w:t>
      </w:r>
    </w:p>
    <w:p w:rsidR="00A77AB4" w:rsidRPr="0053598B" w:rsidRDefault="00A77AB4" w:rsidP="00E10BFF">
      <w:pPr>
        <w:spacing w:line="360" w:lineRule="auto"/>
        <w:jc w:val="both"/>
        <w:rPr>
          <w:rFonts w:eastAsiaTheme="minorEastAsia"/>
          <w:bCs/>
          <w:lang w:eastAsia="pl-PL"/>
        </w:rPr>
      </w:pPr>
      <w:r w:rsidRPr="0053598B">
        <w:rPr>
          <w:rFonts w:eastAsiaTheme="minorEastAsia"/>
          <w:bCs/>
          <w:lang w:eastAsia="pl-PL"/>
        </w:rPr>
        <w:lastRenderedPageBreak/>
        <w:t>Jednostki dominujące będą sporządzać oświadczenie grupy kapitałowej na temat informacji niefinansowych według wymogów określonych dla oświadczenia na temat informacji niefinansowych jednostki, określonych w art. 49b ust. 2</w:t>
      </w:r>
      <w:r w:rsidR="006D5C9D" w:rsidRPr="0053598B">
        <w:rPr>
          <w:rFonts w:eastAsiaTheme="minorEastAsia"/>
          <w:bCs/>
          <w:lang w:eastAsia="pl-PL"/>
        </w:rPr>
        <w:t>–</w:t>
      </w:r>
      <w:r w:rsidRPr="0053598B">
        <w:rPr>
          <w:rFonts w:eastAsiaTheme="minorEastAsia"/>
          <w:bCs/>
          <w:lang w:eastAsia="pl-PL"/>
        </w:rPr>
        <w:t>8.</w:t>
      </w:r>
    </w:p>
    <w:p w:rsidR="00274FE1"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623E57" w:rsidRPr="0053598B">
        <w:rPr>
          <w:rFonts w:eastAsiaTheme="minorEastAsia"/>
          <w:b/>
          <w:bCs/>
          <w:lang w:eastAsia="pl-PL"/>
        </w:rPr>
        <w:t xml:space="preserve"> w lit. b </w:t>
      </w:r>
      <w:r w:rsidR="00623E57" w:rsidRPr="0053598B">
        <w:rPr>
          <w:rFonts w:eastAsiaTheme="minorEastAsia"/>
          <w:bCs/>
          <w:lang w:eastAsia="pl-PL"/>
        </w:rPr>
        <w:t>w</w:t>
      </w:r>
      <w:r w:rsidR="00274FE1" w:rsidRPr="0053598B">
        <w:rPr>
          <w:rFonts w:eastAsiaTheme="minorEastAsia"/>
          <w:bCs/>
          <w:lang w:eastAsia="pl-PL"/>
        </w:rPr>
        <w:t xml:space="preserve"> ust. 2c </w:t>
      </w:r>
      <w:r w:rsidR="00623E57" w:rsidRPr="0053598B">
        <w:rPr>
          <w:rFonts w:eastAsiaTheme="minorEastAsia"/>
          <w:bCs/>
          <w:lang w:eastAsia="pl-PL"/>
        </w:rPr>
        <w:t xml:space="preserve">w art. 55 </w:t>
      </w:r>
      <w:r w:rsidR="006D5C9D" w:rsidRPr="0053598B">
        <w:rPr>
          <w:rFonts w:eastAsiaTheme="minorEastAsia"/>
          <w:bCs/>
          <w:lang w:eastAsia="pl-PL"/>
        </w:rPr>
        <w:t>(</w:t>
      </w:r>
      <w:r w:rsidR="00AF076D" w:rsidRPr="0053598B">
        <w:rPr>
          <w:lang w:eastAsia="pl-PL"/>
        </w:rPr>
        <w:t>wdrożenie</w:t>
      </w:r>
      <w:r w:rsidRPr="0053598B">
        <w:rPr>
          <w:lang w:eastAsia="pl-PL"/>
        </w:rPr>
        <w:t xml:space="preserve"> </w:t>
      </w:r>
      <w:r w:rsidR="00274FE1" w:rsidRPr="0053598B">
        <w:rPr>
          <w:rFonts w:eastAsiaTheme="minorEastAsia"/>
          <w:bCs/>
          <w:lang w:eastAsia="pl-PL"/>
        </w:rPr>
        <w:t>art. 29a ust. 4 zdanie wprowadzające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274FE1" w:rsidRPr="0053598B">
        <w:rPr>
          <w:rFonts w:eastAsiaTheme="minorEastAsia"/>
          <w:bCs/>
          <w:lang w:eastAsia="pl-PL"/>
        </w:rPr>
        <w:t>dyrektywą 2014/95/UE) umożliwi</w:t>
      </w:r>
      <w:r w:rsidR="00623E57" w:rsidRPr="0053598B">
        <w:rPr>
          <w:rFonts w:eastAsiaTheme="minorEastAsia"/>
          <w:bCs/>
          <w:lang w:eastAsia="pl-PL"/>
        </w:rPr>
        <w:t>ono</w:t>
      </w:r>
      <w:r w:rsidR="00274FE1" w:rsidRPr="0053598B">
        <w:rPr>
          <w:rFonts w:eastAsiaTheme="minorEastAsia"/>
          <w:bCs/>
          <w:lang w:eastAsia="pl-PL"/>
        </w:rPr>
        <w:t xml:space="preserve"> jednostce niesporządzani</w:t>
      </w:r>
      <w:r w:rsidR="00623E57" w:rsidRPr="0053598B">
        <w:rPr>
          <w:rFonts w:eastAsiaTheme="minorEastAsia"/>
          <w:bCs/>
          <w:lang w:eastAsia="pl-PL"/>
        </w:rPr>
        <w:t>e</w:t>
      </w:r>
      <w:r w:rsidR="00274FE1" w:rsidRPr="0053598B">
        <w:rPr>
          <w:rFonts w:eastAsiaTheme="minorEastAsia"/>
          <w:bCs/>
          <w:lang w:eastAsia="pl-PL"/>
        </w:rPr>
        <w:t xml:space="preserve"> oświadczenia grupy </w:t>
      </w:r>
      <w:r w:rsidR="00A97F3F" w:rsidRPr="0053598B">
        <w:rPr>
          <w:rFonts w:eastAsiaTheme="minorEastAsia"/>
          <w:bCs/>
          <w:lang w:eastAsia="pl-PL"/>
        </w:rPr>
        <w:t>kapitałowej</w:t>
      </w:r>
      <w:r w:rsidR="00274FE1" w:rsidRPr="0053598B">
        <w:rPr>
          <w:rFonts w:eastAsiaTheme="minorEastAsia"/>
          <w:bCs/>
          <w:lang w:eastAsia="pl-PL"/>
        </w:rPr>
        <w:t xml:space="preserve"> na temat informacji niefinansowych, jeżeli jednostka dominująca sporządzi odrębnie sprawozdanie grupy kapitałowej na temat informacji niefinansowych. Niezależnie od formy raportowania informacji niefinansowych, wprowadza się takie same terminy sporządzenia oświadczenia i sprawozdania grupy kapitałowej na temat informacji niefinansowych [„(…) wraz ze sprawozdaniem z działalności grupy </w:t>
      </w:r>
      <w:r w:rsidR="00243A20" w:rsidRPr="0053598B">
        <w:rPr>
          <w:rFonts w:eastAsiaTheme="minorEastAsia"/>
          <w:bCs/>
          <w:lang w:eastAsia="pl-PL"/>
        </w:rPr>
        <w:t>kapitałowej</w:t>
      </w:r>
      <w:r w:rsidR="00274FE1" w:rsidRPr="0053598B">
        <w:rPr>
          <w:rFonts w:eastAsiaTheme="minorEastAsia"/>
          <w:bCs/>
          <w:lang w:eastAsia="pl-PL"/>
        </w:rPr>
        <w:t xml:space="preserve"> sporządzi (…)”]</w:t>
      </w:r>
      <w:r w:rsidR="006D5C9D" w:rsidRPr="0053598B">
        <w:rPr>
          <w:rFonts w:eastAsiaTheme="minorEastAsia"/>
          <w:bCs/>
          <w:lang w:eastAsia="pl-PL"/>
        </w:rPr>
        <w:t>.</w:t>
      </w:r>
      <w:r w:rsidRPr="0053598B">
        <w:rPr>
          <w:rFonts w:eastAsiaTheme="minorEastAsia"/>
          <w:bCs/>
          <w:lang w:eastAsia="pl-PL"/>
        </w:rPr>
        <w:t xml:space="preserve"> </w:t>
      </w:r>
      <w:r w:rsidR="00274FE1" w:rsidRPr="0053598B">
        <w:rPr>
          <w:rFonts w:eastAsiaTheme="minorEastAsia"/>
          <w:bCs/>
          <w:lang w:eastAsia="pl-PL"/>
        </w:rPr>
        <w:t xml:space="preserve">Odrębne sprawozdanie grupy kapitałowej jednostka </w:t>
      </w:r>
      <w:r w:rsidR="004D45D2" w:rsidRPr="0053598B">
        <w:rPr>
          <w:rFonts w:eastAsiaTheme="minorEastAsia"/>
          <w:bCs/>
          <w:lang w:eastAsia="pl-PL"/>
        </w:rPr>
        <w:t>dominująca</w:t>
      </w:r>
      <w:r w:rsidR="00274FE1" w:rsidRPr="0053598B">
        <w:rPr>
          <w:rFonts w:eastAsiaTheme="minorEastAsia"/>
          <w:bCs/>
          <w:lang w:eastAsia="pl-PL"/>
        </w:rPr>
        <w:t xml:space="preserve"> sporządza</w:t>
      </w:r>
      <w:r w:rsidR="006D5C9D" w:rsidRPr="0053598B">
        <w:rPr>
          <w:rFonts w:eastAsiaTheme="minorEastAsia"/>
          <w:bCs/>
          <w:lang w:eastAsia="pl-PL"/>
        </w:rPr>
        <w:t>,</w:t>
      </w:r>
      <w:r w:rsidR="00274FE1" w:rsidRPr="0053598B">
        <w:rPr>
          <w:rFonts w:eastAsiaTheme="minorEastAsia"/>
          <w:bCs/>
          <w:lang w:eastAsia="pl-PL"/>
        </w:rPr>
        <w:t xml:space="preserve"> stosując odpowiednio przepisy dotyczące zasad sporządzania oświadczenia grupy kapitałowej na temat informacji niefinansowych, które zostały określone w projektowanym art. 49b ust. 2</w:t>
      </w:r>
      <w:r w:rsidRPr="0053598B">
        <w:rPr>
          <w:rFonts w:eastAsiaTheme="minorEastAsia"/>
          <w:bCs/>
          <w:lang w:eastAsia="pl-PL"/>
        </w:rPr>
        <w:t>–</w:t>
      </w:r>
      <w:r w:rsidR="00274FE1" w:rsidRPr="0053598B">
        <w:rPr>
          <w:rFonts w:eastAsiaTheme="minorEastAsia"/>
          <w:bCs/>
          <w:lang w:eastAsia="pl-PL"/>
        </w:rPr>
        <w:t xml:space="preserve">8. </w:t>
      </w:r>
    </w:p>
    <w:p w:rsidR="00CF749A" w:rsidRPr="0053598B" w:rsidRDefault="00CF749A" w:rsidP="00E10BFF">
      <w:pPr>
        <w:spacing w:line="360" w:lineRule="auto"/>
        <w:jc w:val="both"/>
        <w:rPr>
          <w:rFonts w:eastAsiaTheme="minorEastAsia"/>
          <w:bCs/>
          <w:lang w:eastAsia="pl-PL"/>
        </w:rPr>
      </w:pPr>
      <w:r w:rsidRPr="0053598B">
        <w:rPr>
          <w:rFonts w:eastAsiaTheme="minorEastAsia"/>
          <w:bCs/>
          <w:lang w:eastAsia="pl-PL"/>
        </w:rPr>
        <w:t>Sprawozdanie grupy kapitałowej na temat informacji niefinansowych</w:t>
      </w:r>
      <w:r w:rsidR="00FD0B68" w:rsidRPr="0053598B">
        <w:rPr>
          <w:rFonts w:eastAsiaTheme="minorEastAsia"/>
          <w:bCs/>
          <w:lang w:eastAsia="pl-PL"/>
        </w:rPr>
        <w:t>, analogicznie jak w</w:t>
      </w:r>
      <w:r w:rsidR="004D5FD0">
        <w:rPr>
          <w:rFonts w:eastAsiaTheme="minorEastAsia"/>
          <w:bCs/>
          <w:lang w:eastAsia="pl-PL"/>
        </w:rPr>
        <w:t> </w:t>
      </w:r>
      <w:r w:rsidR="00FD0B68" w:rsidRPr="0053598B">
        <w:rPr>
          <w:rFonts w:eastAsiaTheme="minorEastAsia"/>
          <w:bCs/>
          <w:lang w:eastAsia="pl-PL"/>
        </w:rPr>
        <w:t>przypadku</w:t>
      </w:r>
      <w:r w:rsidRPr="0053598B">
        <w:rPr>
          <w:rFonts w:eastAsiaTheme="minorEastAsia"/>
          <w:bCs/>
          <w:lang w:eastAsia="pl-PL"/>
        </w:rPr>
        <w:t xml:space="preserve"> jednostkowego sprawozdania na temat informacji niefinansowych</w:t>
      </w:r>
      <w:r w:rsidR="00754D27" w:rsidRPr="0053598B">
        <w:rPr>
          <w:rFonts w:eastAsiaTheme="minorEastAsia"/>
          <w:bCs/>
          <w:lang w:eastAsia="pl-PL"/>
        </w:rPr>
        <w:t xml:space="preserve"> (por.</w:t>
      </w:r>
      <w:r w:rsidR="00E10BFF" w:rsidRPr="0053598B">
        <w:rPr>
          <w:rFonts w:eastAsiaTheme="minorEastAsia"/>
          <w:bCs/>
          <w:lang w:eastAsia="pl-PL"/>
        </w:rPr>
        <w:t xml:space="preserve"> </w:t>
      </w:r>
      <w:r w:rsidR="00754D27" w:rsidRPr="0053598B">
        <w:rPr>
          <w:rFonts w:eastAsiaTheme="minorEastAsia"/>
          <w:bCs/>
          <w:lang w:eastAsia="pl-PL"/>
        </w:rPr>
        <w:t xml:space="preserve">pkt 7 tej części uzasadnienia </w:t>
      </w:r>
      <w:r w:rsidR="00E10BFF" w:rsidRPr="0053598B">
        <w:rPr>
          <w:rFonts w:eastAsiaTheme="minorEastAsia"/>
          <w:bCs/>
          <w:lang w:eastAsia="pl-PL"/>
        </w:rPr>
        <w:t>–</w:t>
      </w:r>
      <w:r w:rsidR="00754D27" w:rsidRPr="0053598B">
        <w:rPr>
          <w:rFonts w:eastAsiaTheme="minorEastAsia"/>
          <w:bCs/>
          <w:lang w:eastAsia="pl-PL"/>
        </w:rPr>
        <w:t xml:space="preserve"> dot. ust. 9 w art. 55)</w:t>
      </w:r>
      <w:r w:rsidRPr="0053598B">
        <w:rPr>
          <w:rFonts w:eastAsiaTheme="minorEastAsia"/>
          <w:bCs/>
          <w:lang w:eastAsia="pl-PL"/>
        </w:rPr>
        <w:t xml:space="preserve">, będzie podlegało zamieszczeniu na stronie internetowej jednostki dominującej w terminie sześciu miesięcy od dnia bilansowego, jako transpozycja </w:t>
      </w:r>
      <w:r w:rsidRPr="0053598B">
        <w:rPr>
          <w:bCs/>
        </w:rPr>
        <w:t xml:space="preserve">art. 29a ust. 4 lit. b dyrektywy </w:t>
      </w:r>
      <w:r w:rsidRPr="0053598B">
        <w:rPr>
          <w:rFonts w:eastAsiaTheme="minorEastAsia"/>
          <w:bCs/>
          <w:lang w:eastAsia="pl-PL"/>
        </w:rPr>
        <w:t>2014/95/UE, co oznacza że nie będzie składane do rejestru sądowego (KRS).</w:t>
      </w:r>
      <w:r w:rsidR="00754D27" w:rsidRPr="0053598B">
        <w:rPr>
          <w:rFonts w:eastAsiaTheme="minorEastAsia"/>
          <w:bCs/>
          <w:lang w:eastAsia="pl-PL"/>
        </w:rPr>
        <w:t xml:space="preserve"> </w:t>
      </w:r>
    </w:p>
    <w:p w:rsidR="00B4176B" w:rsidRPr="0053598B" w:rsidRDefault="00B4176B" w:rsidP="00E10BFF">
      <w:pPr>
        <w:spacing w:line="360" w:lineRule="auto"/>
        <w:jc w:val="both"/>
        <w:rPr>
          <w:rFonts w:eastAsiaTheme="minorEastAsia"/>
          <w:bCs/>
          <w:lang w:eastAsia="pl-PL"/>
        </w:rPr>
      </w:pPr>
      <w:r w:rsidRPr="0053598B">
        <w:rPr>
          <w:rFonts w:eastAsiaTheme="minorEastAsia"/>
          <w:bCs/>
          <w:lang w:eastAsia="pl-PL"/>
        </w:rPr>
        <w:t xml:space="preserve">W kwestii zawarcia dodatkowych odniesień obowiązują analogiczne zasady jak w przypadku jednostkowego odrębnego sprawozdania na temat informacji niefinansowych (por. pkt </w:t>
      </w:r>
      <w:r w:rsidR="00CF749A" w:rsidRPr="0053598B">
        <w:rPr>
          <w:rFonts w:eastAsiaTheme="minorEastAsia"/>
          <w:bCs/>
          <w:lang w:eastAsia="pl-PL"/>
        </w:rPr>
        <w:t xml:space="preserve">7 </w:t>
      </w:r>
      <w:r w:rsidRPr="0053598B">
        <w:rPr>
          <w:rFonts w:eastAsiaTheme="minorEastAsia"/>
          <w:bCs/>
          <w:lang w:eastAsia="pl-PL"/>
        </w:rPr>
        <w:t>tej części uzasadnienia).</w:t>
      </w:r>
    </w:p>
    <w:p w:rsidR="00930FB6"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623E57" w:rsidRPr="0053598B">
        <w:rPr>
          <w:rFonts w:eastAsiaTheme="minorEastAsia"/>
          <w:b/>
          <w:bCs/>
          <w:lang w:eastAsia="pl-PL"/>
        </w:rPr>
        <w:t xml:space="preserve"> w lit. b </w:t>
      </w:r>
      <w:r w:rsidR="00623E57" w:rsidRPr="0053598B">
        <w:rPr>
          <w:rFonts w:eastAsiaTheme="minorEastAsia"/>
          <w:bCs/>
          <w:lang w:eastAsia="pl-PL"/>
        </w:rPr>
        <w:t>w</w:t>
      </w:r>
      <w:r w:rsidR="00930FB6" w:rsidRPr="0053598B">
        <w:rPr>
          <w:rFonts w:eastAsiaTheme="minorEastAsia"/>
          <w:bCs/>
          <w:lang w:eastAsia="pl-PL"/>
        </w:rPr>
        <w:t xml:space="preserve"> ust. 2</w:t>
      </w:r>
      <w:r w:rsidR="002B3DA8" w:rsidRPr="0053598B">
        <w:rPr>
          <w:rFonts w:eastAsiaTheme="minorEastAsia"/>
          <w:bCs/>
          <w:lang w:eastAsia="pl-PL"/>
        </w:rPr>
        <w:t>d</w:t>
      </w:r>
      <w:r w:rsidR="00623E57" w:rsidRPr="0053598B">
        <w:rPr>
          <w:rFonts w:eastAsiaTheme="minorEastAsia"/>
          <w:bCs/>
          <w:lang w:eastAsia="pl-PL"/>
        </w:rPr>
        <w:t xml:space="preserve"> w art. 55</w:t>
      </w:r>
      <w:r w:rsidR="00930FB6" w:rsidRPr="0053598B">
        <w:rPr>
          <w:rFonts w:eastAsiaTheme="minorEastAsia"/>
          <w:bCs/>
          <w:lang w:eastAsia="pl-PL"/>
        </w:rPr>
        <w:t xml:space="preserve"> (</w:t>
      </w:r>
      <w:r w:rsidR="00AF076D" w:rsidRPr="0053598B">
        <w:rPr>
          <w:lang w:eastAsia="pl-PL"/>
        </w:rPr>
        <w:t>wdrożenie</w:t>
      </w:r>
      <w:r w:rsidRPr="0053598B">
        <w:rPr>
          <w:lang w:eastAsia="pl-PL"/>
        </w:rPr>
        <w:t xml:space="preserve"> </w:t>
      </w:r>
      <w:r w:rsidR="00930FB6" w:rsidRPr="0053598B">
        <w:rPr>
          <w:rFonts w:eastAsiaTheme="minorEastAsia"/>
          <w:bCs/>
          <w:lang w:eastAsia="pl-PL"/>
        </w:rPr>
        <w:t>art. 29a ust. 2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930FB6" w:rsidRPr="0053598B">
        <w:rPr>
          <w:rFonts w:eastAsiaTheme="minorEastAsia"/>
          <w:bCs/>
          <w:lang w:eastAsia="pl-PL"/>
        </w:rPr>
        <w:t>dyrektywą 2014/95/UE) wprowadza się przepis uznający, iż sporządzenie przez jednostkę oświadczenia grupy kapitałowej na temat informacji niefinansowych lub sprawozdania grupy kapitałowej na temat informacji niefinansowych jest równoznaczne ze spełnieniem przez nią minimalnych obowiązków sprawozdawczych określonych w art. 49 ust.</w:t>
      </w:r>
      <w:r w:rsidR="004D5FD0">
        <w:rPr>
          <w:rFonts w:eastAsiaTheme="minorEastAsia"/>
          <w:bCs/>
          <w:lang w:eastAsia="pl-PL"/>
        </w:rPr>
        <w:t> </w:t>
      </w:r>
      <w:r w:rsidR="00930FB6" w:rsidRPr="0053598B">
        <w:rPr>
          <w:rFonts w:eastAsiaTheme="minorEastAsia"/>
          <w:bCs/>
          <w:lang w:eastAsia="pl-PL"/>
        </w:rPr>
        <w:t xml:space="preserve">3 pkt 2 nałożonych na jednostki zgodnie z art. 55 ust. 2a, które nie zostaną objęte obowiązkiem rozbudowanego raportowania informacji niefinansowych. </w:t>
      </w:r>
    </w:p>
    <w:p w:rsidR="003755AF" w:rsidRPr="0053598B" w:rsidRDefault="00E10BFF" w:rsidP="005D7F97">
      <w:pPr>
        <w:spacing w:before="120" w:line="360" w:lineRule="auto"/>
        <w:jc w:val="both"/>
        <w:rPr>
          <w:rFonts w:eastAsiaTheme="minorEastAsia"/>
          <w:bCs/>
          <w:lang w:eastAsia="pl-PL"/>
        </w:rPr>
      </w:pPr>
      <w:r w:rsidRPr="0053598B">
        <w:rPr>
          <w:rFonts w:eastAsiaTheme="minorEastAsia"/>
          <w:b/>
          <w:bCs/>
          <w:lang w:eastAsia="pl-PL"/>
        </w:rPr>
        <w:t>–</w:t>
      </w:r>
      <w:r w:rsidR="00623E57" w:rsidRPr="0053598B">
        <w:rPr>
          <w:rFonts w:eastAsiaTheme="minorEastAsia"/>
          <w:b/>
          <w:bCs/>
          <w:lang w:eastAsia="pl-PL"/>
        </w:rPr>
        <w:t xml:space="preserve"> w lit. b </w:t>
      </w:r>
      <w:r w:rsidR="00623E57" w:rsidRPr="0053598B">
        <w:rPr>
          <w:rFonts w:eastAsiaTheme="minorEastAsia"/>
          <w:bCs/>
          <w:lang w:eastAsia="pl-PL"/>
        </w:rPr>
        <w:t>w</w:t>
      </w:r>
      <w:r w:rsidR="006B2D66" w:rsidRPr="0053598B">
        <w:rPr>
          <w:rFonts w:eastAsiaTheme="minorEastAsia"/>
          <w:bCs/>
          <w:lang w:eastAsia="pl-PL"/>
        </w:rPr>
        <w:t xml:space="preserve"> ust. 2</w:t>
      </w:r>
      <w:r w:rsidR="002B3DA8" w:rsidRPr="0053598B">
        <w:rPr>
          <w:rFonts w:eastAsiaTheme="minorEastAsia"/>
          <w:bCs/>
          <w:lang w:eastAsia="pl-PL"/>
        </w:rPr>
        <w:t>e</w:t>
      </w:r>
      <w:r w:rsidR="006B2D66" w:rsidRPr="0053598B">
        <w:rPr>
          <w:rFonts w:eastAsiaTheme="minorEastAsia"/>
          <w:bCs/>
          <w:lang w:eastAsia="pl-PL"/>
        </w:rPr>
        <w:t xml:space="preserve"> </w:t>
      </w:r>
      <w:r w:rsidR="00623E57" w:rsidRPr="0053598B">
        <w:rPr>
          <w:rFonts w:eastAsiaTheme="minorEastAsia"/>
          <w:bCs/>
          <w:lang w:eastAsia="pl-PL"/>
        </w:rPr>
        <w:t xml:space="preserve">w art. 55 </w:t>
      </w:r>
      <w:r w:rsidR="006B2D66" w:rsidRPr="0053598B">
        <w:rPr>
          <w:rFonts w:eastAsiaTheme="minorEastAsia"/>
          <w:bCs/>
          <w:lang w:eastAsia="pl-PL"/>
        </w:rPr>
        <w:t>(</w:t>
      </w:r>
      <w:r w:rsidR="00AF076D" w:rsidRPr="0053598B">
        <w:rPr>
          <w:lang w:eastAsia="pl-PL"/>
        </w:rPr>
        <w:t>wdrożenie</w:t>
      </w:r>
      <w:r w:rsidRPr="0053598B">
        <w:rPr>
          <w:lang w:eastAsia="pl-PL"/>
        </w:rPr>
        <w:t xml:space="preserve"> </w:t>
      </w:r>
      <w:r w:rsidR="006B2D66" w:rsidRPr="0053598B">
        <w:rPr>
          <w:rFonts w:eastAsiaTheme="minorEastAsia"/>
          <w:bCs/>
          <w:lang w:eastAsia="pl-PL"/>
        </w:rPr>
        <w:t>art. 29a ust. 3 dyrektywy 2013/34/UE,</w:t>
      </w:r>
      <w:r w:rsidRPr="0053598B">
        <w:rPr>
          <w:rFonts w:eastAsiaTheme="minorEastAsia"/>
          <w:bCs/>
          <w:lang w:eastAsia="pl-PL"/>
        </w:rPr>
        <w:t xml:space="preserve"> </w:t>
      </w:r>
      <w:r w:rsidR="00193AFD" w:rsidRPr="0053598B">
        <w:rPr>
          <w:rFonts w:eastAsiaTheme="minorEastAsia"/>
          <w:bCs/>
          <w:lang w:eastAsia="pl-PL"/>
        </w:rPr>
        <w:t>wprowadzonego</w:t>
      </w:r>
      <w:r w:rsidRPr="0053598B">
        <w:rPr>
          <w:rFonts w:eastAsiaTheme="minorEastAsia"/>
          <w:bCs/>
          <w:lang w:eastAsia="pl-PL"/>
        </w:rPr>
        <w:t xml:space="preserve"> </w:t>
      </w:r>
      <w:r w:rsidR="006B2D66" w:rsidRPr="0053598B">
        <w:rPr>
          <w:rFonts w:eastAsiaTheme="minorEastAsia"/>
          <w:bCs/>
          <w:lang w:eastAsia="pl-PL"/>
        </w:rPr>
        <w:t>dyrektywą 2014/95/UE) określa się przypadek, w którym jednostka</w:t>
      </w:r>
      <w:r w:rsidRPr="0053598B">
        <w:rPr>
          <w:rFonts w:eastAsiaTheme="minorEastAsia"/>
          <w:bCs/>
          <w:lang w:eastAsia="pl-PL"/>
        </w:rPr>
        <w:t xml:space="preserve"> </w:t>
      </w:r>
      <w:r w:rsidR="006B2D66" w:rsidRPr="0053598B">
        <w:rPr>
          <w:rFonts w:eastAsiaTheme="minorEastAsia"/>
          <w:bCs/>
          <w:lang w:eastAsia="pl-PL"/>
        </w:rPr>
        <w:t xml:space="preserve">dominująca może nie sporządzać oświadczenia grupy kapitałowej na temat informacji </w:t>
      </w:r>
      <w:r w:rsidR="006B2D66" w:rsidRPr="0053598B">
        <w:rPr>
          <w:rFonts w:eastAsiaTheme="minorEastAsia"/>
          <w:bCs/>
          <w:lang w:eastAsia="pl-PL"/>
        </w:rPr>
        <w:lastRenderedPageBreak/>
        <w:t xml:space="preserve">niefinansowych lub sprawozdania grupy kapitałowej na temat informacji niefinansowych. Zwolnienie to dotyczy jednostki dominującej niższego szczebla, jeżeli inna jednostka dominująca mająca siedzibę lub miejsce sprawowania zarządu na terytorium Europejskiego Obszaru Gospodarczego sporządzi oświadczenie grupy kapitałowej na temat informacji niefinansowych lub sprawozdanie grupy kapitałowej na temat informacji niefinansowych, zgodnie z przepisami prawa państwa członkowskiego, któremu podlega, i którym to oświadczeniem lub sprawozdaniem obejmie tę jednostkę i jej jednostki zależne każdego szczebla. </w:t>
      </w:r>
    </w:p>
    <w:p w:rsidR="00E62D03" w:rsidRPr="0053598B" w:rsidRDefault="00BE50DC" w:rsidP="005D7F97">
      <w:pPr>
        <w:pStyle w:val="Akapitzlist"/>
        <w:numPr>
          <w:ilvl w:val="0"/>
          <w:numId w:val="17"/>
        </w:numPr>
        <w:spacing w:before="120" w:after="0" w:line="360" w:lineRule="auto"/>
        <w:contextualSpacing w:val="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
          <w:bCs/>
          <w:sz w:val="24"/>
          <w:szCs w:val="24"/>
          <w:lang w:eastAsia="pl-PL"/>
        </w:rPr>
        <w:t xml:space="preserve">Art. 1 pkt </w:t>
      </w:r>
      <w:r w:rsidR="00AB4F5C" w:rsidRPr="0053598B">
        <w:rPr>
          <w:rFonts w:ascii="Times New Roman" w:eastAsiaTheme="minorEastAsia" w:hAnsi="Times New Roman" w:cs="Times New Roman"/>
          <w:b/>
          <w:bCs/>
          <w:sz w:val="24"/>
          <w:szCs w:val="24"/>
          <w:lang w:eastAsia="pl-PL"/>
        </w:rPr>
        <w:t xml:space="preserve">11 </w:t>
      </w:r>
      <w:r w:rsidRPr="0053598B">
        <w:rPr>
          <w:rFonts w:ascii="Times New Roman" w:eastAsiaTheme="minorEastAsia" w:hAnsi="Times New Roman" w:cs="Times New Roman"/>
          <w:b/>
          <w:bCs/>
          <w:sz w:val="24"/>
          <w:szCs w:val="24"/>
          <w:lang w:eastAsia="pl-PL"/>
        </w:rPr>
        <w:t>ustawy nowelizującej</w:t>
      </w:r>
      <w:r w:rsidRPr="0053598B">
        <w:rPr>
          <w:rFonts w:ascii="Times New Roman" w:eastAsiaTheme="minorEastAsia" w:hAnsi="Times New Roman" w:cs="Times New Roman"/>
          <w:bCs/>
          <w:sz w:val="24"/>
          <w:szCs w:val="24"/>
          <w:lang w:eastAsia="pl-PL"/>
        </w:rPr>
        <w:t xml:space="preserve"> wprowadza nowe brzmienie pkt 3 w art. 56 </w:t>
      </w:r>
      <w:r w:rsidR="004D5FD0">
        <w:rPr>
          <w:rFonts w:ascii="Times New Roman" w:eastAsiaTheme="minorEastAsia" w:hAnsi="Times New Roman" w:cs="Times New Roman"/>
          <w:bCs/>
          <w:sz w:val="24"/>
          <w:szCs w:val="24"/>
          <w:lang w:eastAsia="pl-PL"/>
        </w:rPr>
        <w:t>w </w:t>
      </w:r>
      <w:r w:rsidRPr="0053598B">
        <w:rPr>
          <w:rFonts w:ascii="Times New Roman" w:eastAsiaTheme="minorEastAsia" w:hAnsi="Times New Roman" w:cs="Times New Roman"/>
          <w:bCs/>
          <w:sz w:val="24"/>
          <w:szCs w:val="24"/>
          <w:lang w:eastAsia="pl-PL"/>
        </w:rPr>
        <w:t>ust.</w:t>
      </w:r>
      <w:r w:rsidR="004D5FD0">
        <w:rPr>
          <w:rFonts w:ascii="Times New Roman" w:eastAsiaTheme="minorEastAsia" w:hAnsi="Times New Roman" w:cs="Times New Roman"/>
          <w:bCs/>
          <w:sz w:val="24"/>
          <w:szCs w:val="24"/>
          <w:lang w:eastAsia="pl-PL"/>
        </w:rPr>
        <w:t> </w:t>
      </w:r>
      <w:r w:rsidRPr="0053598B">
        <w:rPr>
          <w:rFonts w:ascii="Times New Roman" w:eastAsiaTheme="minorEastAsia" w:hAnsi="Times New Roman" w:cs="Times New Roman"/>
          <w:bCs/>
          <w:sz w:val="24"/>
          <w:szCs w:val="24"/>
          <w:lang w:eastAsia="pl-PL"/>
        </w:rPr>
        <w:t>2a.</w:t>
      </w:r>
    </w:p>
    <w:p w:rsidR="00730EA4" w:rsidRPr="0053598B" w:rsidRDefault="00BE50DC"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 xml:space="preserve">Proponowana zmiana ma charakter porządkujący, polegający na ujawnianiu przez </w:t>
      </w:r>
      <w:r w:rsidR="003755AF" w:rsidRPr="0053598B">
        <w:rPr>
          <w:rFonts w:ascii="Times New Roman" w:eastAsiaTheme="minorEastAsia" w:hAnsi="Times New Roman" w:cs="Times New Roman"/>
          <w:bCs/>
          <w:sz w:val="24"/>
          <w:szCs w:val="24"/>
          <w:lang w:eastAsia="pl-PL"/>
        </w:rPr>
        <w:t>jednostkę</w:t>
      </w:r>
      <w:r w:rsidRPr="0053598B">
        <w:rPr>
          <w:rFonts w:ascii="Times New Roman" w:eastAsiaTheme="minorEastAsia" w:hAnsi="Times New Roman" w:cs="Times New Roman"/>
          <w:bCs/>
          <w:sz w:val="24"/>
          <w:szCs w:val="24"/>
          <w:lang w:eastAsia="pl-PL"/>
        </w:rPr>
        <w:t xml:space="preserve"> dominując</w:t>
      </w:r>
      <w:r w:rsidR="003755AF" w:rsidRPr="0053598B">
        <w:rPr>
          <w:rFonts w:ascii="Times New Roman" w:eastAsiaTheme="minorEastAsia" w:hAnsi="Times New Roman" w:cs="Times New Roman"/>
          <w:bCs/>
          <w:sz w:val="24"/>
          <w:szCs w:val="24"/>
          <w:lang w:eastAsia="pl-PL"/>
        </w:rPr>
        <w:t>ą</w:t>
      </w:r>
      <w:r w:rsidRPr="0053598B">
        <w:rPr>
          <w:rFonts w:ascii="Times New Roman" w:eastAsiaTheme="minorEastAsia" w:hAnsi="Times New Roman" w:cs="Times New Roman"/>
          <w:bCs/>
          <w:sz w:val="24"/>
          <w:szCs w:val="24"/>
          <w:lang w:eastAsia="pl-PL"/>
        </w:rPr>
        <w:t xml:space="preserve"> we </w:t>
      </w:r>
      <w:r w:rsidR="003755AF" w:rsidRPr="0053598B">
        <w:rPr>
          <w:rFonts w:ascii="Times New Roman" w:eastAsiaTheme="minorEastAsia" w:hAnsi="Times New Roman" w:cs="Times New Roman"/>
          <w:bCs/>
          <w:sz w:val="24"/>
          <w:szCs w:val="24"/>
          <w:lang w:eastAsia="pl-PL"/>
        </w:rPr>
        <w:t>właściwych</w:t>
      </w:r>
      <w:r w:rsidRPr="0053598B">
        <w:rPr>
          <w:rFonts w:ascii="Times New Roman" w:eastAsiaTheme="minorEastAsia" w:hAnsi="Times New Roman" w:cs="Times New Roman"/>
          <w:bCs/>
          <w:sz w:val="24"/>
          <w:szCs w:val="24"/>
          <w:lang w:eastAsia="pl-PL"/>
        </w:rPr>
        <w:t xml:space="preserve"> pozycjach </w:t>
      </w:r>
      <w:r w:rsidR="003755AF" w:rsidRPr="0053598B">
        <w:rPr>
          <w:rFonts w:ascii="Times New Roman" w:eastAsiaTheme="minorEastAsia" w:hAnsi="Times New Roman" w:cs="Times New Roman"/>
          <w:bCs/>
          <w:sz w:val="24"/>
          <w:szCs w:val="24"/>
          <w:lang w:eastAsia="pl-PL"/>
        </w:rPr>
        <w:t>informacji dodatkowej</w:t>
      </w:r>
      <w:r w:rsidR="00A77AB4" w:rsidRPr="0053598B">
        <w:rPr>
          <w:rFonts w:ascii="Times New Roman" w:eastAsiaTheme="minorEastAsia" w:hAnsi="Times New Roman" w:cs="Times New Roman"/>
          <w:bCs/>
          <w:sz w:val="24"/>
          <w:szCs w:val="24"/>
          <w:lang w:eastAsia="pl-PL"/>
        </w:rPr>
        <w:t xml:space="preserve"> (w części „Dodatkowe informacje i objaśnienia”) </w:t>
      </w:r>
      <w:r w:rsidRPr="0053598B">
        <w:rPr>
          <w:rFonts w:ascii="Times New Roman" w:eastAsiaTheme="minorEastAsia" w:hAnsi="Times New Roman" w:cs="Times New Roman"/>
          <w:bCs/>
          <w:sz w:val="24"/>
          <w:szCs w:val="24"/>
          <w:lang w:eastAsia="pl-PL"/>
        </w:rPr>
        <w:t xml:space="preserve">informacji na temat </w:t>
      </w:r>
      <w:r w:rsidR="003755AF" w:rsidRPr="0053598B">
        <w:rPr>
          <w:rFonts w:ascii="Times New Roman" w:eastAsiaTheme="minorEastAsia" w:hAnsi="Times New Roman" w:cs="Times New Roman"/>
          <w:bCs/>
          <w:sz w:val="24"/>
          <w:szCs w:val="24"/>
          <w:lang w:eastAsia="pl-PL"/>
        </w:rPr>
        <w:t xml:space="preserve">niesporządzania </w:t>
      </w:r>
      <w:r w:rsidR="00A77AB4" w:rsidRPr="0053598B">
        <w:rPr>
          <w:rFonts w:ascii="Times New Roman" w:eastAsiaTheme="minorEastAsia" w:hAnsi="Times New Roman" w:cs="Times New Roman"/>
          <w:bCs/>
          <w:sz w:val="24"/>
          <w:szCs w:val="24"/>
          <w:lang w:eastAsia="pl-PL"/>
        </w:rPr>
        <w:t xml:space="preserve">przez jednostkę dominującą </w:t>
      </w:r>
      <w:r w:rsidR="003755AF" w:rsidRPr="0053598B">
        <w:rPr>
          <w:rFonts w:ascii="Times New Roman" w:eastAsiaTheme="minorEastAsia" w:hAnsi="Times New Roman" w:cs="Times New Roman"/>
          <w:bCs/>
          <w:sz w:val="24"/>
          <w:szCs w:val="24"/>
          <w:lang w:eastAsia="pl-PL"/>
        </w:rPr>
        <w:t>skonsolidowanego sprawozdania finansowego co najmniej ze szczegółowością</w:t>
      </w:r>
      <w:r w:rsidR="00E10BFF" w:rsidRPr="0053598B">
        <w:rPr>
          <w:rFonts w:ascii="Times New Roman" w:eastAsiaTheme="minorEastAsia" w:hAnsi="Times New Roman" w:cs="Times New Roman"/>
          <w:bCs/>
          <w:sz w:val="24"/>
          <w:szCs w:val="24"/>
          <w:lang w:eastAsia="pl-PL"/>
        </w:rPr>
        <w:t xml:space="preserve"> </w:t>
      </w:r>
      <w:r w:rsidR="003755AF" w:rsidRPr="0053598B">
        <w:rPr>
          <w:rFonts w:ascii="Times New Roman" w:eastAsiaTheme="minorEastAsia" w:hAnsi="Times New Roman" w:cs="Times New Roman"/>
          <w:bCs/>
          <w:sz w:val="24"/>
          <w:szCs w:val="24"/>
          <w:lang w:eastAsia="pl-PL"/>
        </w:rPr>
        <w:t>wskazan</w:t>
      </w:r>
      <w:r w:rsidR="00C27C00" w:rsidRPr="0053598B">
        <w:rPr>
          <w:rFonts w:ascii="Times New Roman" w:eastAsiaTheme="minorEastAsia" w:hAnsi="Times New Roman" w:cs="Times New Roman"/>
          <w:bCs/>
          <w:sz w:val="24"/>
          <w:szCs w:val="24"/>
          <w:lang w:eastAsia="pl-PL"/>
        </w:rPr>
        <w:t>ą</w:t>
      </w:r>
      <w:r w:rsidR="003755AF" w:rsidRPr="0053598B">
        <w:rPr>
          <w:rFonts w:ascii="Times New Roman" w:eastAsiaTheme="minorEastAsia" w:hAnsi="Times New Roman" w:cs="Times New Roman"/>
          <w:bCs/>
          <w:sz w:val="24"/>
          <w:szCs w:val="24"/>
          <w:lang w:eastAsia="pl-PL"/>
        </w:rPr>
        <w:t xml:space="preserve"> w ust. 7 pkt 4 informacji dodatkowej</w:t>
      </w:r>
      <w:r w:rsidR="00A77AB4" w:rsidRPr="0053598B">
        <w:rPr>
          <w:rFonts w:ascii="Times New Roman" w:eastAsiaTheme="minorEastAsia" w:hAnsi="Times New Roman" w:cs="Times New Roman"/>
          <w:bCs/>
          <w:sz w:val="24"/>
          <w:szCs w:val="24"/>
          <w:lang w:eastAsia="pl-PL"/>
        </w:rPr>
        <w:t>.</w:t>
      </w:r>
    </w:p>
    <w:p w:rsidR="00C822D4" w:rsidRPr="0053598B" w:rsidRDefault="00243A20" w:rsidP="004D5FD0">
      <w:pPr>
        <w:pStyle w:val="Akapitzlist"/>
        <w:keepNext/>
        <w:numPr>
          <w:ilvl w:val="0"/>
          <w:numId w:val="17"/>
        </w:numPr>
        <w:spacing w:line="360" w:lineRule="auto"/>
        <w:jc w:val="both"/>
        <w:rPr>
          <w:rFonts w:ascii="Times New Roman" w:eastAsiaTheme="minorEastAsia" w:hAnsi="Times New Roman" w:cs="Times New Roman"/>
          <w:b/>
          <w:bCs/>
          <w:sz w:val="24"/>
          <w:szCs w:val="24"/>
          <w:lang w:eastAsia="pl-PL"/>
        </w:rPr>
      </w:pPr>
      <w:r w:rsidRPr="0053598B">
        <w:rPr>
          <w:rFonts w:ascii="Times New Roman" w:eastAsiaTheme="minorEastAsia" w:hAnsi="Times New Roman" w:cs="Times New Roman"/>
          <w:b/>
          <w:bCs/>
          <w:sz w:val="24"/>
          <w:szCs w:val="24"/>
          <w:lang w:eastAsia="pl-PL"/>
        </w:rPr>
        <w:t xml:space="preserve">Art. 1 pkt </w:t>
      </w:r>
      <w:r w:rsidR="00AB4F5C" w:rsidRPr="0053598B">
        <w:rPr>
          <w:rFonts w:ascii="Times New Roman" w:eastAsiaTheme="minorEastAsia" w:hAnsi="Times New Roman" w:cs="Times New Roman"/>
          <w:b/>
          <w:bCs/>
          <w:sz w:val="24"/>
          <w:szCs w:val="24"/>
          <w:lang w:eastAsia="pl-PL"/>
        </w:rPr>
        <w:t xml:space="preserve">12 </w:t>
      </w:r>
      <w:r w:rsidRPr="0053598B">
        <w:rPr>
          <w:rFonts w:ascii="Times New Roman" w:eastAsiaTheme="minorEastAsia" w:hAnsi="Times New Roman" w:cs="Times New Roman"/>
          <w:b/>
          <w:bCs/>
          <w:sz w:val="24"/>
          <w:szCs w:val="24"/>
          <w:lang w:eastAsia="pl-PL"/>
        </w:rPr>
        <w:t>ustawy nowelizującej</w:t>
      </w:r>
      <w:r w:rsidR="00C822D4" w:rsidRPr="0053598B">
        <w:rPr>
          <w:rFonts w:ascii="Times New Roman" w:eastAsiaTheme="minorEastAsia" w:hAnsi="Times New Roman" w:cs="Times New Roman"/>
          <w:b/>
          <w:bCs/>
          <w:sz w:val="24"/>
          <w:szCs w:val="24"/>
          <w:lang w:eastAsia="pl-PL"/>
        </w:rPr>
        <w:t>:</w:t>
      </w:r>
    </w:p>
    <w:p w:rsidR="00730EA4" w:rsidRPr="0053598B" w:rsidRDefault="00E10BFF"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w:t>
      </w:r>
      <w:r w:rsidR="0025457A" w:rsidRPr="0053598B">
        <w:rPr>
          <w:rFonts w:ascii="Times New Roman" w:eastAsiaTheme="minorEastAsia" w:hAnsi="Times New Roman" w:cs="Times New Roman"/>
          <w:bCs/>
          <w:sz w:val="24"/>
          <w:szCs w:val="24"/>
          <w:lang w:eastAsia="pl-PL"/>
        </w:rPr>
        <w:t xml:space="preserve"> </w:t>
      </w:r>
      <w:r w:rsidR="002B3DA8" w:rsidRPr="0053598B">
        <w:rPr>
          <w:rFonts w:ascii="Times New Roman" w:eastAsiaTheme="minorEastAsia" w:hAnsi="Times New Roman" w:cs="Times New Roman"/>
          <w:b/>
          <w:bCs/>
          <w:sz w:val="24"/>
          <w:szCs w:val="24"/>
          <w:lang w:eastAsia="pl-PL"/>
        </w:rPr>
        <w:t>w</w:t>
      </w:r>
      <w:r w:rsidR="006872A9" w:rsidRPr="0053598B">
        <w:rPr>
          <w:rFonts w:ascii="Times New Roman" w:eastAsiaTheme="minorEastAsia" w:hAnsi="Times New Roman" w:cs="Times New Roman"/>
          <w:b/>
          <w:bCs/>
          <w:sz w:val="24"/>
          <w:szCs w:val="24"/>
          <w:lang w:eastAsia="pl-PL"/>
        </w:rPr>
        <w:t xml:space="preserve"> </w:t>
      </w:r>
      <w:r w:rsidR="002B3DA8" w:rsidRPr="0053598B">
        <w:rPr>
          <w:rFonts w:ascii="Times New Roman" w:eastAsiaTheme="minorEastAsia" w:hAnsi="Times New Roman" w:cs="Times New Roman"/>
          <w:b/>
          <w:bCs/>
          <w:sz w:val="24"/>
          <w:szCs w:val="24"/>
          <w:lang w:eastAsia="pl-PL"/>
        </w:rPr>
        <w:t>lit. a</w:t>
      </w:r>
      <w:r w:rsidR="002B3DA8" w:rsidRPr="0053598B">
        <w:rPr>
          <w:rFonts w:ascii="Times New Roman" w:eastAsiaTheme="minorEastAsia" w:hAnsi="Times New Roman" w:cs="Times New Roman"/>
          <w:bCs/>
          <w:sz w:val="24"/>
          <w:szCs w:val="24"/>
          <w:lang w:eastAsia="pl-PL"/>
        </w:rPr>
        <w:t xml:space="preserve"> </w:t>
      </w:r>
      <w:r w:rsidR="006D5C9D" w:rsidRPr="0053598B">
        <w:rPr>
          <w:rFonts w:ascii="Times New Roman" w:eastAsiaTheme="minorEastAsia" w:hAnsi="Times New Roman" w:cs="Times New Roman"/>
          <w:bCs/>
          <w:sz w:val="24"/>
          <w:szCs w:val="24"/>
          <w:lang w:eastAsia="pl-PL"/>
        </w:rPr>
        <w:t>(</w:t>
      </w:r>
      <w:r w:rsidR="00AF076D" w:rsidRPr="0053598B">
        <w:rPr>
          <w:rFonts w:ascii="Times New Roman" w:eastAsiaTheme="minorEastAsia" w:hAnsi="Times New Roman" w:cs="Times New Roman"/>
          <w:bCs/>
          <w:sz w:val="24"/>
          <w:szCs w:val="24"/>
          <w:lang w:eastAsia="pl-PL"/>
        </w:rPr>
        <w:t>wdrożenie</w:t>
      </w:r>
      <w:r w:rsidRPr="0053598B">
        <w:rPr>
          <w:rFonts w:ascii="Times New Roman" w:eastAsiaTheme="minorEastAsia" w:hAnsi="Times New Roman" w:cs="Times New Roman"/>
          <w:bCs/>
          <w:sz w:val="24"/>
          <w:szCs w:val="24"/>
          <w:lang w:eastAsia="pl-PL"/>
        </w:rPr>
        <w:t xml:space="preserve"> </w:t>
      </w:r>
      <w:r w:rsidR="00C822D4" w:rsidRPr="0053598B">
        <w:rPr>
          <w:rFonts w:ascii="Times New Roman" w:eastAsiaTheme="minorEastAsia" w:hAnsi="Times New Roman" w:cs="Times New Roman"/>
          <w:bCs/>
          <w:sz w:val="24"/>
          <w:szCs w:val="24"/>
          <w:lang w:eastAsia="pl-PL"/>
        </w:rPr>
        <w:t>art. 19a ust. 5 oraz 29a ust. 5 dyrektywy 2013/34/UE,</w:t>
      </w:r>
      <w:r w:rsidRPr="0053598B">
        <w:rPr>
          <w:rFonts w:ascii="Times New Roman" w:eastAsiaTheme="minorEastAsia" w:hAnsi="Times New Roman" w:cs="Times New Roman"/>
          <w:bCs/>
          <w:sz w:val="24"/>
          <w:szCs w:val="24"/>
          <w:lang w:eastAsia="pl-PL"/>
        </w:rPr>
        <w:t xml:space="preserve"> </w:t>
      </w:r>
      <w:r w:rsidR="00193AFD" w:rsidRPr="0053598B">
        <w:rPr>
          <w:rFonts w:ascii="Times New Roman" w:eastAsiaTheme="minorEastAsia" w:hAnsi="Times New Roman" w:cs="Times New Roman"/>
          <w:bCs/>
          <w:sz w:val="24"/>
          <w:szCs w:val="24"/>
          <w:lang w:eastAsia="pl-PL"/>
        </w:rPr>
        <w:t>wprowadzonego</w:t>
      </w:r>
      <w:r w:rsidRPr="0053598B">
        <w:rPr>
          <w:rFonts w:ascii="Times New Roman" w:eastAsiaTheme="minorEastAsia" w:hAnsi="Times New Roman" w:cs="Times New Roman"/>
          <w:bCs/>
          <w:sz w:val="24"/>
          <w:szCs w:val="24"/>
          <w:lang w:eastAsia="pl-PL"/>
        </w:rPr>
        <w:t xml:space="preserve"> </w:t>
      </w:r>
      <w:r w:rsidR="002B3DA8" w:rsidRPr="0053598B">
        <w:rPr>
          <w:rFonts w:ascii="Times New Roman" w:eastAsiaTheme="minorEastAsia" w:hAnsi="Times New Roman" w:cs="Times New Roman"/>
          <w:bCs/>
          <w:sz w:val="24"/>
          <w:szCs w:val="24"/>
          <w:lang w:eastAsia="pl-PL"/>
        </w:rPr>
        <w:t>dyrektywą 2014/95/UE</w:t>
      </w:r>
      <w:r w:rsidR="006D5C9D" w:rsidRPr="0053598B">
        <w:rPr>
          <w:rFonts w:ascii="Times New Roman" w:eastAsiaTheme="minorEastAsia" w:hAnsi="Times New Roman" w:cs="Times New Roman"/>
          <w:bCs/>
          <w:sz w:val="24"/>
          <w:szCs w:val="24"/>
          <w:lang w:eastAsia="pl-PL"/>
        </w:rPr>
        <w:t>)</w:t>
      </w:r>
      <w:r w:rsidR="006872A9" w:rsidRPr="0053598B">
        <w:rPr>
          <w:rFonts w:ascii="Times New Roman" w:eastAsiaTheme="minorEastAsia" w:hAnsi="Times New Roman" w:cs="Times New Roman"/>
          <w:bCs/>
          <w:sz w:val="24"/>
          <w:szCs w:val="24"/>
          <w:lang w:eastAsia="pl-PL"/>
        </w:rPr>
        <w:t xml:space="preserve"> </w:t>
      </w:r>
      <w:r w:rsidR="00821287" w:rsidRPr="0053598B">
        <w:rPr>
          <w:rFonts w:ascii="Times New Roman" w:eastAsiaTheme="minorEastAsia" w:hAnsi="Times New Roman" w:cs="Times New Roman"/>
          <w:bCs/>
          <w:sz w:val="24"/>
          <w:szCs w:val="24"/>
          <w:lang w:eastAsia="pl-PL"/>
        </w:rPr>
        <w:t>wprowadza</w:t>
      </w:r>
      <w:r w:rsidRPr="0053598B">
        <w:rPr>
          <w:rFonts w:ascii="Times New Roman" w:eastAsiaTheme="minorEastAsia" w:hAnsi="Times New Roman" w:cs="Times New Roman"/>
          <w:bCs/>
          <w:sz w:val="24"/>
          <w:szCs w:val="24"/>
          <w:lang w:eastAsia="pl-PL"/>
        </w:rPr>
        <w:t xml:space="preserve"> </w:t>
      </w:r>
      <w:r w:rsidR="00821287" w:rsidRPr="0053598B">
        <w:rPr>
          <w:rFonts w:ascii="Times New Roman" w:eastAsiaTheme="minorEastAsia" w:hAnsi="Times New Roman" w:cs="Times New Roman"/>
          <w:bCs/>
          <w:sz w:val="24"/>
          <w:szCs w:val="24"/>
          <w:lang w:eastAsia="pl-PL"/>
        </w:rPr>
        <w:t>obowiązek</w:t>
      </w:r>
      <w:r w:rsidR="00E16F3D" w:rsidRPr="0053598B">
        <w:rPr>
          <w:rFonts w:ascii="Times New Roman" w:eastAsiaTheme="minorEastAsia" w:hAnsi="Times New Roman" w:cs="Times New Roman"/>
          <w:bCs/>
          <w:sz w:val="24"/>
          <w:szCs w:val="24"/>
          <w:lang w:eastAsia="pl-PL"/>
        </w:rPr>
        <w:t xml:space="preserve"> poinformowania </w:t>
      </w:r>
      <w:r w:rsidR="002C48B0" w:rsidRPr="0053598B">
        <w:rPr>
          <w:rFonts w:ascii="Times New Roman" w:eastAsiaTheme="minorEastAsia" w:hAnsi="Times New Roman" w:cs="Times New Roman"/>
          <w:bCs/>
          <w:sz w:val="24"/>
          <w:szCs w:val="24"/>
          <w:lang w:eastAsia="pl-PL"/>
        </w:rPr>
        <w:t>w</w:t>
      </w:r>
      <w:r w:rsidR="004D5FD0">
        <w:rPr>
          <w:rFonts w:ascii="Times New Roman" w:eastAsiaTheme="minorEastAsia" w:hAnsi="Times New Roman" w:cs="Times New Roman"/>
          <w:bCs/>
          <w:sz w:val="24"/>
          <w:szCs w:val="24"/>
          <w:lang w:eastAsia="pl-PL"/>
        </w:rPr>
        <w:t> </w:t>
      </w:r>
      <w:r w:rsidR="002C48B0" w:rsidRPr="0053598B">
        <w:rPr>
          <w:rFonts w:ascii="Times New Roman" w:eastAsiaTheme="minorEastAsia" w:hAnsi="Times New Roman" w:cs="Times New Roman"/>
          <w:bCs/>
          <w:sz w:val="24"/>
          <w:szCs w:val="24"/>
          <w:lang w:eastAsia="pl-PL"/>
        </w:rPr>
        <w:t>opinii z badania</w:t>
      </w:r>
      <w:r w:rsidR="00E16F3D" w:rsidRPr="0053598B">
        <w:rPr>
          <w:rFonts w:ascii="Times New Roman" w:eastAsiaTheme="minorEastAsia" w:hAnsi="Times New Roman" w:cs="Times New Roman"/>
          <w:bCs/>
          <w:sz w:val="24"/>
          <w:szCs w:val="24"/>
          <w:lang w:eastAsia="pl-PL"/>
        </w:rPr>
        <w:t xml:space="preserve"> </w:t>
      </w:r>
      <w:r w:rsidR="002C48B0" w:rsidRPr="0053598B">
        <w:rPr>
          <w:rFonts w:ascii="Times New Roman" w:eastAsiaTheme="minorEastAsia" w:hAnsi="Times New Roman" w:cs="Times New Roman"/>
          <w:bCs/>
          <w:sz w:val="24"/>
          <w:szCs w:val="24"/>
          <w:lang w:eastAsia="pl-PL"/>
        </w:rPr>
        <w:t>sprawozdania</w:t>
      </w:r>
      <w:r w:rsidR="00E16F3D" w:rsidRPr="0053598B">
        <w:rPr>
          <w:rFonts w:ascii="Times New Roman" w:eastAsiaTheme="minorEastAsia" w:hAnsi="Times New Roman" w:cs="Times New Roman"/>
          <w:bCs/>
          <w:sz w:val="24"/>
          <w:szCs w:val="24"/>
          <w:lang w:eastAsia="pl-PL"/>
        </w:rPr>
        <w:t xml:space="preserve"> </w:t>
      </w:r>
      <w:r w:rsidR="002C48B0" w:rsidRPr="0053598B">
        <w:rPr>
          <w:rFonts w:ascii="Times New Roman" w:eastAsiaTheme="minorEastAsia" w:hAnsi="Times New Roman" w:cs="Times New Roman"/>
          <w:bCs/>
          <w:sz w:val="24"/>
          <w:szCs w:val="24"/>
          <w:lang w:eastAsia="pl-PL"/>
        </w:rPr>
        <w:t>finansowego</w:t>
      </w:r>
      <w:r w:rsidR="00A97F3F" w:rsidRPr="0053598B">
        <w:rPr>
          <w:rFonts w:ascii="Times New Roman" w:eastAsiaTheme="minorEastAsia" w:hAnsi="Times New Roman" w:cs="Times New Roman"/>
          <w:bCs/>
          <w:sz w:val="24"/>
          <w:szCs w:val="24"/>
          <w:lang w:eastAsia="pl-PL"/>
        </w:rPr>
        <w:t xml:space="preserve"> </w:t>
      </w:r>
      <w:r w:rsidRPr="0053598B">
        <w:rPr>
          <w:rFonts w:ascii="Times New Roman" w:eastAsiaTheme="minorEastAsia" w:hAnsi="Times New Roman" w:cs="Times New Roman"/>
          <w:bCs/>
          <w:sz w:val="24"/>
          <w:szCs w:val="24"/>
          <w:lang w:eastAsia="pl-PL"/>
        </w:rPr>
        <w:t>–</w:t>
      </w:r>
      <w:r w:rsidR="00E16F3D" w:rsidRPr="0053598B">
        <w:rPr>
          <w:rFonts w:ascii="Times New Roman" w:eastAsiaTheme="minorEastAsia" w:hAnsi="Times New Roman" w:cs="Times New Roman"/>
          <w:bCs/>
          <w:sz w:val="24"/>
          <w:szCs w:val="24"/>
          <w:lang w:eastAsia="pl-PL"/>
        </w:rPr>
        <w:t xml:space="preserve"> </w:t>
      </w:r>
      <w:r w:rsidR="00821287" w:rsidRPr="0053598B">
        <w:rPr>
          <w:rFonts w:ascii="Times New Roman" w:eastAsiaTheme="minorEastAsia" w:hAnsi="Times New Roman" w:cs="Times New Roman"/>
          <w:bCs/>
          <w:sz w:val="24"/>
          <w:szCs w:val="24"/>
          <w:lang w:eastAsia="pl-PL"/>
        </w:rPr>
        <w:t xml:space="preserve">przez </w:t>
      </w:r>
      <w:r w:rsidR="00EF46C8" w:rsidRPr="0053598B">
        <w:rPr>
          <w:rFonts w:ascii="Times New Roman" w:eastAsiaTheme="minorEastAsia" w:hAnsi="Times New Roman" w:cs="Times New Roman"/>
          <w:bCs/>
          <w:sz w:val="24"/>
          <w:szCs w:val="24"/>
          <w:lang w:eastAsia="pl-PL"/>
        </w:rPr>
        <w:t>biegłego rewidenta</w:t>
      </w:r>
      <w:r w:rsidR="00C822D4" w:rsidRPr="0053598B">
        <w:rPr>
          <w:rFonts w:ascii="Times New Roman" w:eastAsiaTheme="minorEastAsia" w:hAnsi="Times New Roman" w:cs="Times New Roman"/>
          <w:bCs/>
          <w:sz w:val="24"/>
          <w:szCs w:val="24"/>
          <w:lang w:eastAsia="pl-PL"/>
        </w:rPr>
        <w:t>,</w:t>
      </w:r>
      <w:r w:rsidR="00821287" w:rsidRPr="0053598B">
        <w:rPr>
          <w:rFonts w:ascii="Times New Roman" w:eastAsiaTheme="minorEastAsia" w:hAnsi="Times New Roman" w:cs="Times New Roman"/>
          <w:bCs/>
          <w:sz w:val="24"/>
          <w:szCs w:val="24"/>
          <w:lang w:eastAsia="pl-PL"/>
        </w:rPr>
        <w:t xml:space="preserve"> </w:t>
      </w:r>
      <w:r w:rsidR="00E16F3D" w:rsidRPr="0053598B">
        <w:rPr>
          <w:rFonts w:ascii="Times New Roman" w:eastAsiaTheme="minorEastAsia" w:hAnsi="Times New Roman" w:cs="Times New Roman"/>
          <w:bCs/>
          <w:sz w:val="24"/>
          <w:szCs w:val="24"/>
          <w:lang w:eastAsia="pl-PL"/>
        </w:rPr>
        <w:t>czy jednostka zobowiązana do sporządzenia oświadczenia na temat informacji niefinansowych dopełniła tego obowiązku.</w:t>
      </w:r>
      <w:r w:rsidR="007D405D" w:rsidRPr="0053598B">
        <w:rPr>
          <w:rFonts w:ascii="Times New Roman" w:eastAsiaTheme="minorEastAsia" w:hAnsi="Times New Roman" w:cs="Times New Roman"/>
          <w:bCs/>
          <w:sz w:val="24"/>
          <w:szCs w:val="24"/>
          <w:lang w:eastAsia="pl-PL"/>
        </w:rPr>
        <w:t xml:space="preserve"> </w:t>
      </w:r>
      <w:r w:rsidR="00E16F3D" w:rsidRPr="0053598B">
        <w:rPr>
          <w:rFonts w:ascii="Times New Roman" w:eastAsiaTheme="minorEastAsia" w:hAnsi="Times New Roman" w:cs="Times New Roman"/>
          <w:bCs/>
          <w:sz w:val="24"/>
          <w:szCs w:val="24"/>
          <w:lang w:eastAsia="pl-PL"/>
        </w:rPr>
        <w:t>Jeżeli jednostka</w:t>
      </w:r>
      <w:r w:rsidR="00C822D4" w:rsidRPr="0053598B">
        <w:rPr>
          <w:rFonts w:ascii="Times New Roman" w:eastAsiaTheme="minorEastAsia" w:hAnsi="Times New Roman" w:cs="Times New Roman"/>
          <w:bCs/>
          <w:sz w:val="24"/>
          <w:szCs w:val="24"/>
          <w:lang w:eastAsia="pl-PL"/>
        </w:rPr>
        <w:t>,</w:t>
      </w:r>
      <w:r w:rsidR="00E16F3D" w:rsidRPr="0053598B">
        <w:rPr>
          <w:rFonts w:ascii="Times New Roman" w:eastAsiaTheme="minorEastAsia" w:hAnsi="Times New Roman" w:cs="Times New Roman"/>
          <w:bCs/>
          <w:sz w:val="24"/>
          <w:szCs w:val="24"/>
          <w:lang w:eastAsia="pl-PL"/>
        </w:rPr>
        <w:t xml:space="preserve"> zamiast sporządzenia oświadczenia</w:t>
      </w:r>
      <w:r w:rsidR="00C822D4" w:rsidRPr="0053598B">
        <w:rPr>
          <w:rFonts w:ascii="Times New Roman" w:eastAsiaTheme="minorEastAsia" w:hAnsi="Times New Roman" w:cs="Times New Roman"/>
          <w:bCs/>
          <w:sz w:val="24"/>
          <w:szCs w:val="24"/>
          <w:lang w:eastAsia="pl-PL"/>
        </w:rPr>
        <w:t>,</w:t>
      </w:r>
      <w:r w:rsidR="00E16F3D" w:rsidRPr="0053598B">
        <w:rPr>
          <w:rFonts w:ascii="Times New Roman" w:eastAsiaTheme="minorEastAsia" w:hAnsi="Times New Roman" w:cs="Times New Roman"/>
          <w:bCs/>
          <w:sz w:val="24"/>
          <w:szCs w:val="24"/>
          <w:lang w:eastAsia="pl-PL"/>
        </w:rPr>
        <w:t xml:space="preserve"> sporządziła odrębnie sprawozdanie na temat informacji niefinansowych, to projektowany przepis w</w:t>
      </w:r>
      <w:r w:rsidR="004D5FD0">
        <w:rPr>
          <w:rFonts w:ascii="Times New Roman" w:eastAsiaTheme="minorEastAsia" w:hAnsi="Times New Roman" w:cs="Times New Roman"/>
          <w:bCs/>
          <w:sz w:val="24"/>
          <w:szCs w:val="24"/>
          <w:lang w:eastAsia="pl-PL"/>
        </w:rPr>
        <w:t> </w:t>
      </w:r>
      <w:r w:rsidR="00E16F3D" w:rsidRPr="0053598B">
        <w:rPr>
          <w:rFonts w:ascii="Times New Roman" w:eastAsiaTheme="minorEastAsia" w:hAnsi="Times New Roman" w:cs="Times New Roman"/>
          <w:bCs/>
          <w:sz w:val="24"/>
          <w:szCs w:val="24"/>
          <w:lang w:eastAsia="pl-PL"/>
        </w:rPr>
        <w:t xml:space="preserve">zakresie obowiązku </w:t>
      </w:r>
      <w:r w:rsidR="002C48B0" w:rsidRPr="0053598B">
        <w:rPr>
          <w:rFonts w:ascii="Times New Roman" w:eastAsiaTheme="minorEastAsia" w:hAnsi="Times New Roman" w:cs="Times New Roman"/>
          <w:bCs/>
          <w:sz w:val="24"/>
          <w:szCs w:val="24"/>
          <w:lang w:eastAsia="pl-PL"/>
        </w:rPr>
        <w:t xml:space="preserve">informacyjnego </w:t>
      </w:r>
      <w:r w:rsidR="00E16F3D" w:rsidRPr="0053598B">
        <w:rPr>
          <w:rFonts w:ascii="Times New Roman" w:eastAsiaTheme="minorEastAsia" w:hAnsi="Times New Roman" w:cs="Times New Roman"/>
          <w:bCs/>
          <w:sz w:val="24"/>
          <w:szCs w:val="24"/>
          <w:lang w:eastAsia="pl-PL"/>
        </w:rPr>
        <w:t>w opinii</w:t>
      </w:r>
      <w:r w:rsidR="002C48B0" w:rsidRPr="0053598B">
        <w:rPr>
          <w:rFonts w:ascii="Times New Roman" w:eastAsiaTheme="minorEastAsia" w:hAnsi="Times New Roman" w:cs="Times New Roman"/>
          <w:bCs/>
          <w:sz w:val="24"/>
          <w:szCs w:val="24"/>
          <w:lang w:eastAsia="pl-PL"/>
        </w:rPr>
        <w:t xml:space="preserve"> </w:t>
      </w:r>
      <w:r w:rsidR="00E16F3D" w:rsidRPr="0053598B">
        <w:rPr>
          <w:rFonts w:ascii="Times New Roman" w:eastAsiaTheme="minorEastAsia" w:hAnsi="Times New Roman" w:cs="Times New Roman"/>
          <w:bCs/>
          <w:sz w:val="24"/>
          <w:szCs w:val="24"/>
          <w:lang w:eastAsia="pl-PL"/>
        </w:rPr>
        <w:t xml:space="preserve">odnosi </w:t>
      </w:r>
      <w:r w:rsidR="002C48B0" w:rsidRPr="0053598B">
        <w:rPr>
          <w:rFonts w:ascii="Times New Roman" w:eastAsiaTheme="minorEastAsia" w:hAnsi="Times New Roman" w:cs="Times New Roman"/>
          <w:bCs/>
          <w:sz w:val="24"/>
          <w:szCs w:val="24"/>
          <w:lang w:eastAsia="pl-PL"/>
        </w:rPr>
        <w:t>się</w:t>
      </w:r>
      <w:r w:rsidR="00E16F3D" w:rsidRPr="0053598B">
        <w:rPr>
          <w:rFonts w:ascii="Times New Roman" w:eastAsiaTheme="minorEastAsia" w:hAnsi="Times New Roman" w:cs="Times New Roman"/>
          <w:bCs/>
          <w:sz w:val="24"/>
          <w:szCs w:val="24"/>
          <w:lang w:eastAsia="pl-PL"/>
        </w:rPr>
        <w:t xml:space="preserve"> </w:t>
      </w:r>
      <w:r w:rsidR="002C48B0" w:rsidRPr="0053598B">
        <w:rPr>
          <w:rFonts w:ascii="Times New Roman" w:eastAsiaTheme="minorEastAsia" w:hAnsi="Times New Roman" w:cs="Times New Roman"/>
          <w:bCs/>
          <w:sz w:val="24"/>
          <w:szCs w:val="24"/>
          <w:lang w:eastAsia="pl-PL"/>
        </w:rPr>
        <w:t xml:space="preserve">również </w:t>
      </w:r>
      <w:r w:rsidR="00E16F3D" w:rsidRPr="0053598B">
        <w:rPr>
          <w:rFonts w:ascii="Times New Roman" w:eastAsiaTheme="minorEastAsia" w:hAnsi="Times New Roman" w:cs="Times New Roman"/>
          <w:bCs/>
          <w:sz w:val="24"/>
          <w:szCs w:val="24"/>
          <w:lang w:eastAsia="pl-PL"/>
        </w:rPr>
        <w:t xml:space="preserve">do tego odrębnego </w:t>
      </w:r>
      <w:r w:rsidR="002C48B0" w:rsidRPr="0053598B">
        <w:rPr>
          <w:rFonts w:ascii="Times New Roman" w:eastAsiaTheme="minorEastAsia" w:hAnsi="Times New Roman" w:cs="Times New Roman"/>
          <w:bCs/>
          <w:sz w:val="24"/>
          <w:szCs w:val="24"/>
          <w:lang w:eastAsia="pl-PL"/>
        </w:rPr>
        <w:t>sprawozdania</w:t>
      </w:r>
      <w:r w:rsidR="00E16F3D" w:rsidRPr="0053598B">
        <w:rPr>
          <w:rFonts w:ascii="Times New Roman" w:eastAsiaTheme="minorEastAsia" w:hAnsi="Times New Roman" w:cs="Times New Roman"/>
          <w:bCs/>
          <w:sz w:val="24"/>
          <w:szCs w:val="24"/>
          <w:lang w:eastAsia="pl-PL"/>
        </w:rPr>
        <w:t xml:space="preserve">. </w:t>
      </w:r>
      <w:r w:rsidR="002C48B0" w:rsidRPr="0053598B">
        <w:rPr>
          <w:rFonts w:ascii="Times New Roman" w:eastAsiaTheme="minorEastAsia" w:hAnsi="Times New Roman" w:cs="Times New Roman"/>
          <w:bCs/>
          <w:sz w:val="24"/>
          <w:szCs w:val="24"/>
          <w:lang w:eastAsia="pl-PL"/>
        </w:rPr>
        <w:t xml:space="preserve">W odniesieniu do oświadczenia grupy kapitałowej oraz sprawozdania grupy kapitałowej na temat informacji finansowych ma odpowiednio </w:t>
      </w:r>
      <w:r w:rsidR="00C822D4" w:rsidRPr="0053598B">
        <w:rPr>
          <w:rFonts w:ascii="Times New Roman" w:eastAsiaTheme="minorEastAsia" w:hAnsi="Times New Roman" w:cs="Times New Roman"/>
          <w:bCs/>
          <w:sz w:val="24"/>
          <w:szCs w:val="24"/>
          <w:lang w:eastAsia="pl-PL"/>
        </w:rPr>
        <w:t>zastosowanie</w:t>
      </w:r>
      <w:r w:rsidR="002C48B0" w:rsidRPr="0053598B">
        <w:rPr>
          <w:rFonts w:ascii="Times New Roman" w:eastAsiaTheme="minorEastAsia" w:hAnsi="Times New Roman" w:cs="Times New Roman"/>
          <w:bCs/>
          <w:sz w:val="24"/>
          <w:szCs w:val="24"/>
          <w:lang w:eastAsia="pl-PL"/>
        </w:rPr>
        <w:t xml:space="preserve"> przepis art. 65 ust. 8 ustawy o rachunkowości</w:t>
      </w:r>
      <w:r w:rsidR="006D5C9D" w:rsidRPr="0053598B">
        <w:rPr>
          <w:rFonts w:ascii="Times New Roman" w:eastAsiaTheme="minorEastAsia" w:hAnsi="Times New Roman" w:cs="Times New Roman"/>
          <w:bCs/>
          <w:sz w:val="24"/>
          <w:szCs w:val="24"/>
          <w:lang w:eastAsia="pl-PL"/>
        </w:rPr>
        <w:t>.</w:t>
      </w:r>
    </w:p>
    <w:p w:rsidR="002B3DA8" w:rsidRPr="0053598B" w:rsidRDefault="002B3DA8"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Przepisy art. 65 ust. 3 pkt 4 ustawy o rachunkowości, dotyczące obowiązku złożenia przez biegłego rewidenta oświadczenia (w opinii) na temat</w:t>
      </w:r>
      <w:r w:rsidRPr="0053598B">
        <w:rPr>
          <w:rFonts w:ascii="Times New Roman" w:hAnsi="Times New Roman" w:cs="Times New Roman"/>
          <w:sz w:val="24"/>
          <w:szCs w:val="24"/>
        </w:rPr>
        <w:t xml:space="preserve"> ewentualnego </w:t>
      </w:r>
      <w:r w:rsidRPr="0053598B">
        <w:rPr>
          <w:rFonts w:ascii="Times New Roman" w:eastAsiaTheme="minorEastAsia" w:hAnsi="Times New Roman" w:cs="Times New Roman"/>
          <w:bCs/>
          <w:sz w:val="24"/>
          <w:szCs w:val="24"/>
          <w:lang w:eastAsia="pl-PL"/>
        </w:rPr>
        <w:t>stwierdzenia w</w:t>
      </w:r>
      <w:r w:rsidR="004D5FD0">
        <w:rPr>
          <w:rFonts w:ascii="Times New Roman" w:eastAsiaTheme="minorEastAsia" w:hAnsi="Times New Roman" w:cs="Times New Roman"/>
          <w:bCs/>
          <w:sz w:val="24"/>
          <w:szCs w:val="24"/>
          <w:lang w:eastAsia="pl-PL"/>
        </w:rPr>
        <w:t> </w:t>
      </w:r>
      <w:r w:rsidRPr="0053598B">
        <w:rPr>
          <w:rFonts w:ascii="Times New Roman" w:eastAsiaTheme="minorEastAsia" w:hAnsi="Times New Roman" w:cs="Times New Roman"/>
          <w:bCs/>
          <w:sz w:val="24"/>
          <w:szCs w:val="24"/>
          <w:lang w:eastAsia="pl-PL"/>
        </w:rPr>
        <w:t>sprawozdaniu z działalności istotnych zniekształceń, nie mają zastosowania do oświadczenia na temat informacji niefinansowych</w:t>
      </w:r>
      <w:r w:rsidR="00E10BFF" w:rsidRPr="0053598B">
        <w:rPr>
          <w:rFonts w:ascii="Times New Roman" w:eastAsiaTheme="minorEastAsia" w:hAnsi="Times New Roman" w:cs="Times New Roman"/>
          <w:bCs/>
          <w:sz w:val="24"/>
          <w:szCs w:val="24"/>
          <w:lang w:eastAsia="pl-PL"/>
        </w:rPr>
        <w:t xml:space="preserve"> </w:t>
      </w:r>
      <w:r w:rsidRPr="0053598B">
        <w:rPr>
          <w:rFonts w:ascii="Times New Roman" w:eastAsiaTheme="minorEastAsia" w:hAnsi="Times New Roman" w:cs="Times New Roman"/>
          <w:bCs/>
          <w:sz w:val="24"/>
          <w:szCs w:val="24"/>
          <w:lang w:eastAsia="pl-PL"/>
        </w:rPr>
        <w:t>(jako transpozycja art. 19a ust. 5 oraz 29a ust. 5 dyrektywy 2013/34/UE, który został wdrożony dyrektywą 2014/95/UE).</w:t>
      </w:r>
    </w:p>
    <w:p w:rsidR="00774E6A" w:rsidRPr="0053598B" w:rsidRDefault="007D405D"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Jak wynika z powyższego,</w:t>
      </w:r>
      <w:r w:rsidR="00E10BFF" w:rsidRPr="0053598B">
        <w:rPr>
          <w:rFonts w:ascii="Times New Roman" w:eastAsiaTheme="minorEastAsia" w:hAnsi="Times New Roman" w:cs="Times New Roman"/>
          <w:bCs/>
          <w:sz w:val="24"/>
          <w:szCs w:val="24"/>
          <w:lang w:eastAsia="pl-PL"/>
        </w:rPr>
        <w:t xml:space="preserve"> </w:t>
      </w:r>
      <w:r w:rsidR="001A07F1" w:rsidRPr="0053598B">
        <w:rPr>
          <w:rFonts w:ascii="Times New Roman" w:eastAsiaTheme="minorEastAsia" w:hAnsi="Times New Roman" w:cs="Times New Roman"/>
          <w:bCs/>
          <w:sz w:val="24"/>
          <w:szCs w:val="24"/>
          <w:lang w:eastAsia="pl-PL"/>
        </w:rPr>
        <w:t xml:space="preserve">projekt nakłada </w:t>
      </w:r>
      <w:r w:rsidRPr="0053598B">
        <w:rPr>
          <w:rFonts w:ascii="Times New Roman" w:eastAsiaTheme="minorEastAsia" w:hAnsi="Times New Roman" w:cs="Times New Roman"/>
          <w:bCs/>
          <w:sz w:val="24"/>
          <w:szCs w:val="24"/>
          <w:lang w:eastAsia="pl-PL"/>
        </w:rPr>
        <w:t>na biegłego rewidenta jedynie obowiązek potwierdzenia faktu, czy jednostka sporządziła oświadczenie lub odrębne sprawozdanie.</w:t>
      </w:r>
    </w:p>
    <w:p w:rsidR="005053B8" w:rsidRPr="0053598B" w:rsidRDefault="00E10BFF" w:rsidP="005D7F97">
      <w:pPr>
        <w:pStyle w:val="Akapitzlist"/>
        <w:spacing w:before="240" w:after="0" w:line="360" w:lineRule="auto"/>
        <w:ind w:left="340"/>
        <w:contextualSpacing w:val="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lastRenderedPageBreak/>
        <w:t>–</w:t>
      </w:r>
      <w:r w:rsidR="002B3DA8" w:rsidRPr="0053598B">
        <w:rPr>
          <w:rFonts w:ascii="Times New Roman" w:eastAsiaTheme="minorEastAsia" w:hAnsi="Times New Roman" w:cs="Times New Roman"/>
          <w:bCs/>
          <w:sz w:val="24"/>
          <w:szCs w:val="24"/>
          <w:lang w:eastAsia="pl-PL"/>
        </w:rPr>
        <w:t xml:space="preserve"> </w:t>
      </w:r>
      <w:r w:rsidR="002B3DA8" w:rsidRPr="0053598B">
        <w:rPr>
          <w:rFonts w:ascii="Times New Roman" w:eastAsiaTheme="minorEastAsia" w:hAnsi="Times New Roman" w:cs="Times New Roman"/>
          <w:b/>
          <w:bCs/>
          <w:sz w:val="24"/>
          <w:szCs w:val="24"/>
          <w:lang w:eastAsia="pl-PL"/>
        </w:rPr>
        <w:t>w lit. b</w:t>
      </w:r>
      <w:r w:rsidR="006872A9" w:rsidRPr="0053598B">
        <w:rPr>
          <w:rFonts w:ascii="Times New Roman" w:eastAsiaTheme="minorEastAsia" w:hAnsi="Times New Roman" w:cs="Times New Roman"/>
          <w:bCs/>
          <w:sz w:val="24"/>
          <w:szCs w:val="24"/>
          <w:lang w:eastAsia="pl-PL"/>
        </w:rPr>
        <w:t xml:space="preserve">, </w:t>
      </w:r>
      <w:r w:rsidR="00AF076D" w:rsidRPr="0053598B">
        <w:rPr>
          <w:rFonts w:ascii="Times New Roman" w:eastAsiaTheme="minorEastAsia" w:hAnsi="Times New Roman" w:cs="Times New Roman"/>
          <w:bCs/>
          <w:sz w:val="24"/>
          <w:szCs w:val="24"/>
          <w:lang w:eastAsia="pl-PL"/>
        </w:rPr>
        <w:t xml:space="preserve">wdrożenie zmiany </w:t>
      </w:r>
      <w:r w:rsidR="005053B8" w:rsidRPr="0053598B">
        <w:rPr>
          <w:rFonts w:ascii="Times New Roman" w:eastAsiaTheme="minorEastAsia" w:hAnsi="Times New Roman" w:cs="Times New Roman"/>
          <w:bCs/>
          <w:sz w:val="24"/>
          <w:szCs w:val="24"/>
          <w:lang w:eastAsia="pl-PL"/>
        </w:rPr>
        <w:t xml:space="preserve">w aktualnie proponowanym zakresie ma </w:t>
      </w:r>
      <w:r w:rsidR="006D5C9D" w:rsidRPr="0053598B">
        <w:rPr>
          <w:rFonts w:ascii="Times New Roman" w:eastAsiaTheme="minorEastAsia" w:hAnsi="Times New Roman" w:cs="Times New Roman"/>
          <w:bCs/>
          <w:sz w:val="24"/>
          <w:szCs w:val="24"/>
          <w:lang w:eastAsia="pl-PL"/>
        </w:rPr>
        <w:t xml:space="preserve">na </w:t>
      </w:r>
      <w:r w:rsidR="005053B8" w:rsidRPr="0053598B">
        <w:rPr>
          <w:rFonts w:ascii="Times New Roman" w:eastAsiaTheme="minorEastAsia" w:hAnsi="Times New Roman" w:cs="Times New Roman"/>
          <w:bCs/>
          <w:sz w:val="24"/>
          <w:szCs w:val="24"/>
          <w:lang w:eastAsia="pl-PL"/>
        </w:rPr>
        <w:t>celu dostosowanie się do interpretacji Komisji Europejskiej, która na zapytanie Polski z dnia 18 lipca 2016</w:t>
      </w:r>
      <w:r w:rsidR="006D5C9D" w:rsidRPr="0053598B">
        <w:rPr>
          <w:rFonts w:ascii="Times New Roman" w:eastAsiaTheme="minorEastAsia" w:hAnsi="Times New Roman" w:cs="Times New Roman"/>
          <w:bCs/>
          <w:sz w:val="24"/>
          <w:szCs w:val="24"/>
          <w:lang w:eastAsia="pl-PL"/>
        </w:rPr>
        <w:t xml:space="preserve"> </w:t>
      </w:r>
      <w:r w:rsidR="005053B8" w:rsidRPr="0053598B">
        <w:rPr>
          <w:rFonts w:ascii="Times New Roman" w:eastAsiaTheme="minorEastAsia" w:hAnsi="Times New Roman" w:cs="Times New Roman"/>
          <w:bCs/>
          <w:sz w:val="24"/>
          <w:szCs w:val="24"/>
          <w:lang w:eastAsia="pl-PL"/>
        </w:rPr>
        <w:t xml:space="preserve">r. udzieliła odpowiedzi w ramach dokumentu na warsztaty transpozycyjne dotyczące implementacji dyrektywy 2014/95/UE i </w:t>
      </w:r>
      <w:r w:rsidR="002E4953" w:rsidRPr="0053598B">
        <w:rPr>
          <w:rFonts w:ascii="Times New Roman" w:eastAsiaTheme="minorEastAsia" w:hAnsi="Times New Roman" w:cs="Times New Roman"/>
          <w:bCs/>
          <w:sz w:val="24"/>
          <w:szCs w:val="24"/>
          <w:lang w:eastAsia="pl-PL"/>
        </w:rPr>
        <w:t xml:space="preserve">w </w:t>
      </w:r>
      <w:r w:rsidR="005053B8" w:rsidRPr="0053598B">
        <w:rPr>
          <w:rFonts w:ascii="Times New Roman" w:eastAsiaTheme="minorEastAsia" w:hAnsi="Times New Roman" w:cs="Times New Roman"/>
          <w:bCs/>
          <w:sz w:val="24"/>
          <w:szCs w:val="24"/>
          <w:lang w:eastAsia="pl-PL"/>
        </w:rPr>
        <w:t xml:space="preserve">której to odpowiedzi Komisja potwierdziła, że zakres obowiązków biegłego rewidenta w stosunku do dotychczasowych informacji niefinansowych raportowanych w tzw. wąskim zakresie (art. 19 dyrektywy 2013/34/UE, który był transponowany do </w:t>
      </w:r>
      <w:r w:rsidR="00E62006" w:rsidRPr="0053598B">
        <w:rPr>
          <w:rFonts w:ascii="Times New Roman" w:eastAsiaTheme="minorEastAsia" w:hAnsi="Times New Roman" w:cs="Times New Roman"/>
          <w:bCs/>
          <w:sz w:val="24"/>
          <w:szCs w:val="24"/>
          <w:lang w:eastAsia="pl-PL"/>
        </w:rPr>
        <w:t>ustawy o rachunkowości</w:t>
      </w:r>
      <w:r w:rsidR="005053B8" w:rsidRPr="0053598B">
        <w:rPr>
          <w:rFonts w:ascii="Times New Roman" w:eastAsiaTheme="minorEastAsia" w:hAnsi="Times New Roman" w:cs="Times New Roman"/>
          <w:bCs/>
          <w:sz w:val="24"/>
          <w:szCs w:val="24"/>
          <w:lang w:eastAsia="pl-PL"/>
        </w:rPr>
        <w:t xml:space="preserve"> w ramach art. 49) nie uległ zmianie. </w:t>
      </w:r>
    </w:p>
    <w:p w:rsidR="005053B8" w:rsidRPr="0053598B" w:rsidRDefault="005053B8"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Ponadto w odniesieniu do raportowania rozszerzonych informacji niefinansowych konieczne jest doprecyzowanie, że biegły rewident nie stosuje do nich art. 34 dyrektywy 2013/34/UE, a zatem należy wyłączyć stosowanie</w:t>
      </w:r>
      <w:r w:rsidR="00E10BFF" w:rsidRPr="0053598B">
        <w:rPr>
          <w:rFonts w:ascii="Times New Roman" w:eastAsiaTheme="minorEastAsia" w:hAnsi="Times New Roman" w:cs="Times New Roman"/>
          <w:bCs/>
          <w:sz w:val="24"/>
          <w:szCs w:val="24"/>
          <w:lang w:eastAsia="pl-PL"/>
        </w:rPr>
        <w:t xml:space="preserve"> </w:t>
      </w:r>
      <w:r w:rsidRPr="0053598B">
        <w:rPr>
          <w:rFonts w:ascii="Times New Roman" w:eastAsiaTheme="minorEastAsia" w:hAnsi="Times New Roman" w:cs="Times New Roman"/>
          <w:bCs/>
          <w:sz w:val="24"/>
          <w:szCs w:val="24"/>
          <w:lang w:eastAsia="pl-PL"/>
        </w:rPr>
        <w:t>zarówno pkt 3</w:t>
      </w:r>
      <w:r w:rsidR="006D5C9D" w:rsidRPr="0053598B">
        <w:rPr>
          <w:rFonts w:ascii="Times New Roman" w:eastAsiaTheme="minorEastAsia" w:hAnsi="Times New Roman" w:cs="Times New Roman"/>
          <w:bCs/>
          <w:sz w:val="24"/>
          <w:szCs w:val="24"/>
          <w:lang w:eastAsia="pl-PL"/>
        </w:rPr>
        <w:t>,</w:t>
      </w:r>
      <w:r w:rsidRPr="0053598B">
        <w:rPr>
          <w:rFonts w:ascii="Times New Roman" w:eastAsiaTheme="minorEastAsia" w:hAnsi="Times New Roman" w:cs="Times New Roman"/>
          <w:bCs/>
          <w:sz w:val="24"/>
          <w:szCs w:val="24"/>
          <w:lang w:eastAsia="pl-PL"/>
        </w:rPr>
        <w:t xml:space="preserve"> jak i pkt 4 ust. 3 art. 65</w:t>
      </w:r>
      <w:r w:rsidR="00E10BFF" w:rsidRPr="0053598B">
        <w:rPr>
          <w:rFonts w:ascii="Times New Roman" w:eastAsiaTheme="minorEastAsia" w:hAnsi="Times New Roman" w:cs="Times New Roman"/>
          <w:bCs/>
          <w:sz w:val="24"/>
          <w:szCs w:val="24"/>
          <w:lang w:eastAsia="pl-PL"/>
        </w:rPr>
        <w:t xml:space="preserve"> </w:t>
      </w:r>
      <w:r w:rsidRPr="0053598B">
        <w:rPr>
          <w:rFonts w:ascii="Times New Roman" w:eastAsiaTheme="minorEastAsia" w:hAnsi="Times New Roman" w:cs="Times New Roman"/>
          <w:bCs/>
          <w:sz w:val="24"/>
          <w:szCs w:val="24"/>
          <w:lang w:eastAsia="pl-PL"/>
        </w:rPr>
        <w:t>do oświadczenia na temat informacji niefinansowych oraz sprawozdania na temat informacji niefinansowych (transpozycja ust. 3 w art. 34 dyrektywy 2013/34/UE wprowadzonego dyrektywą 2014/95/UE).</w:t>
      </w:r>
    </w:p>
    <w:p w:rsidR="00774E6A" w:rsidRPr="0053598B" w:rsidRDefault="00206A9A"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Aktualnie procedowane jest także nowe brzmienie zakresu art. 65 – w projekcie ustawy o</w:t>
      </w:r>
      <w:r w:rsidR="004D5FD0">
        <w:rPr>
          <w:rFonts w:ascii="Times New Roman" w:eastAsiaTheme="minorEastAsia" w:hAnsi="Times New Roman" w:cs="Times New Roman"/>
          <w:bCs/>
          <w:sz w:val="24"/>
          <w:szCs w:val="24"/>
          <w:lang w:eastAsia="pl-PL"/>
        </w:rPr>
        <w:t> </w:t>
      </w:r>
      <w:r w:rsidRPr="0053598B">
        <w:rPr>
          <w:rFonts w:ascii="Times New Roman" w:eastAsiaTheme="minorEastAsia" w:hAnsi="Times New Roman" w:cs="Times New Roman"/>
          <w:bCs/>
          <w:sz w:val="24"/>
          <w:szCs w:val="24"/>
          <w:lang w:eastAsia="pl-PL"/>
        </w:rPr>
        <w:t>biegłych rewidentach i ich samorządzie, firmach audytorskich oraz o nadzorze publicznym. W jej wyniku regulacja zawarta w tej j</w:t>
      </w:r>
      <w:r w:rsidR="004D5FD0">
        <w:rPr>
          <w:rFonts w:ascii="Times New Roman" w:eastAsiaTheme="minorEastAsia" w:hAnsi="Times New Roman" w:cs="Times New Roman"/>
          <w:bCs/>
          <w:sz w:val="24"/>
          <w:szCs w:val="24"/>
          <w:lang w:eastAsia="pl-PL"/>
        </w:rPr>
        <w:t>ednostce redakcyjnej zostanie w </w:t>
      </w:r>
      <w:r w:rsidRPr="0053598B">
        <w:rPr>
          <w:rFonts w:ascii="Times New Roman" w:eastAsiaTheme="minorEastAsia" w:hAnsi="Times New Roman" w:cs="Times New Roman"/>
          <w:bCs/>
          <w:sz w:val="24"/>
          <w:szCs w:val="24"/>
          <w:lang w:eastAsia="pl-PL"/>
        </w:rPr>
        <w:t xml:space="preserve">całości przeniesiona do ustawy o biegłych rewidentach </w:t>
      </w:r>
      <w:r w:rsidR="00E62006" w:rsidRPr="0053598B">
        <w:rPr>
          <w:rFonts w:ascii="Times New Roman" w:eastAsiaTheme="minorEastAsia" w:hAnsi="Times New Roman" w:cs="Times New Roman"/>
          <w:bCs/>
          <w:sz w:val="24"/>
          <w:szCs w:val="24"/>
          <w:lang w:eastAsia="pl-PL"/>
        </w:rPr>
        <w:t>(</w:t>
      </w:r>
      <w:r w:rsidRPr="0053598B">
        <w:rPr>
          <w:rFonts w:ascii="Times New Roman" w:eastAsiaTheme="minorEastAsia" w:hAnsi="Times New Roman" w:cs="Times New Roman"/>
          <w:bCs/>
          <w:sz w:val="24"/>
          <w:szCs w:val="24"/>
          <w:lang w:eastAsia="pl-PL"/>
        </w:rPr>
        <w:t>…</w:t>
      </w:r>
      <w:r w:rsidR="00E62006" w:rsidRPr="0053598B">
        <w:rPr>
          <w:rFonts w:ascii="Times New Roman" w:eastAsiaTheme="minorEastAsia" w:hAnsi="Times New Roman" w:cs="Times New Roman"/>
          <w:bCs/>
          <w:sz w:val="24"/>
          <w:szCs w:val="24"/>
          <w:lang w:eastAsia="pl-PL"/>
        </w:rPr>
        <w:t>).</w:t>
      </w:r>
    </w:p>
    <w:p w:rsidR="00417EC1" w:rsidRPr="0053598B" w:rsidRDefault="00CD590B" w:rsidP="00E10BFF">
      <w:pPr>
        <w:pStyle w:val="Akapitzlist"/>
        <w:numPr>
          <w:ilvl w:val="0"/>
          <w:numId w:val="17"/>
        </w:numPr>
        <w:spacing w:line="360" w:lineRule="auto"/>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
          <w:bCs/>
          <w:sz w:val="24"/>
          <w:szCs w:val="24"/>
          <w:lang w:eastAsia="pl-PL"/>
        </w:rPr>
        <w:t xml:space="preserve">Art. 1 pkt </w:t>
      </w:r>
      <w:r w:rsidR="00AB4F5C" w:rsidRPr="0053598B">
        <w:rPr>
          <w:rFonts w:ascii="Times New Roman" w:eastAsiaTheme="minorEastAsia" w:hAnsi="Times New Roman" w:cs="Times New Roman"/>
          <w:b/>
          <w:bCs/>
          <w:sz w:val="24"/>
          <w:szCs w:val="24"/>
          <w:lang w:eastAsia="pl-PL"/>
        </w:rPr>
        <w:t xml:space="preserve">13 </w:t>
      </w:r>
      <w:r w:rsidRPr="0053598B">
        <w:rPr>
          <w:rFonts w:ascii="Times New Roman" w:eastAsiaTheme="minorEastAsia" w:hAnsi="Times New Roman" w:cs="Times New Roman"/>
          <w:b/>
          <w:bCs/>
          <w:sz w:val="24"/>
          <w:szCs w:val="24"/>
          <w:lang w:eastAsia="pl-PL"/>
        </w:rPr>
        <w:t>ustawy nowelizującej</w:t>
      </w:r>
      <w:r w:rsidR="00A311DD" w:rsidRPr="0053598B">
        <w:rPr>
          <w:rFonts w:ascii="Times New Roman" w:eastAsiaTheme="minorEastAsia" w:hAnsi="Times New Roman" w:cs="Times New Roman"/>
          <w:bCs/>
          <w:sz w:val="24"/>
          <w:szCs w:val="24"/>
          <w:lang w:eastAsia="pl-PL"/>
        </w:rPr>
        <w:t xml:space="preserve"> </w:t>
      </w:r>
      <w:r w:rsidR="00417EC1" w:rsidRPr="0053598B">
        <w:rPr>
          <w:rFonts w:ascii="Times New Roman" w:eastAsiaTheme="minorEastAsia" w:hAnsi="Times New Roman" w:cs="Times New Roman"/>
          <w:bCs/>
          <w:sz w:val="24"/>
          <w:szCs w:val="24"/>
          <w:lang w:eastAsia="pl-PL"/>
        </w:rPr>
        <w:t>wprowadza w art. 69 now</w:t>
      </w:r>
      <w:r w:rsidR="00E62006" w:rsidRPr="0053598B">
        <w:rPr>
          <w:rFonts w:ascii="Times New Roman" w:eastAsiaTheme="minorEastAsia" w:hAnsi="Times New Roman" w:cs="Times New Roman"/>
          <w:bCs/>
          <w:sz w:val="24"/>
          <w:szCs w:val="24"/>
          <w:lang w:eastAsia="pl-PL"/>
        </w:rPr>
        <w:t>y</w:t>
      </w:r>
      <w:r w:rsidR="00417EC1" w:rsidRPr="0053598B">
        <w:rPr>
          <w:rFonts w:ascii="Times New Roman" w:eastAsiaTheme="minorEastAsia" w:hAnsi="Times New Roman" w:cs="Times New Roman"/>
          <w:bCs/>
          <w:sz w:val="24"/>
          <w:szCs w:val="24"/>
          <w:lang w:eastAsia="pl-PL"/>
        </w:rPr>
        <w:t xml:space="preserve"> ust. 5, któr</w:t>
      </w:r>
      <w:r w:rsidR="00E62006" w:rsidRPr="0053598B">
        <w:rPr>
          <w:rFonts w:ascii="Times New Roman" w:eastAsiaTheme="minorEastAsia" w:hAnsi="Times New Roman" w:cs="Times New Roman"/>
          <w:bCs/>
          <w:sz w:val="24"/>
          <w:szCs w:val="24"/>
          <w:lang w:eastAsia="pl-PL"/>
        </w:rPr>
        <w:t>y</w:t>
      </w:r>
      <w:r w:rsidR="00417EC1" w:rsidRPr="0053598B">
        <w:rPr>
          <w:rFonts w:ascii="Times New Roman" w:eastAsiaTheme="minorEastAsia" w:hAnsi="Times New Roman" w:cs="Times New Roman"/>
          <w:bCs/>
          <w:sz w:val="24"/>
          <w:szCs w:val="24"/>
          <w:lang w:eastAsia="pl-PL"/>
        </w:rPr>
        <w:t xml:space="preserve"> odnos</w:t>
      </w:r>
      <w:r w:rsidR="00E62006" w:rsidRPr="0053598B">
        <w:rPr>
          <w:rFonts w:ascii="Times New Roman" w:eastAsiaTheme="minorEastAsia" w:hAnsi="Times New Roman" w:cs="Times New Roman"/>
          <w:bCs/>
          <w:sz w:val="24"/>
          <w:szCs w:val="24"/>
          <w:lang w:eastAsia="pl-PL"/>
        </w:rPr>
        <w:t>i</w:t>
      </w:r>
      <w:r w:rsidR="00417EC1" w:rsidRPr="0053598B">
        <w:rPr>
          <w:rFonts w:ascii="Times New Roman" w:eastAsiaTheme="minorEastAsia" w:hAnsi="Times New Roman" w:cs="Times New Roman"/>
          <w:bCs/>
          <w:sz w:val="24"/>
          <w:szCs w:val="24"/>
          <w:lang w:eastAsia="pl-PL"/>
        </w:rPr>
        <w:t xml:space="preserve"> się do obowiązku </w:t>
      </w:r>
      <w:r w:rsidR="00AB4F5C" w:rsidRPr="0053598B">
        <w:rPr>
          <w:rFonts w:ascii="Times New Roman" w:eastAsiaTheme="minorEastAsia" w:hAnsi="Times New Roman" w:cs="Times New Roman"/>
          <w:bCs/>
          <w:sz w:val="24"/>
          <w:szCs w:val="24"/>
          <w:lang w:eastAsia="pl-PL"/>
        </w:rPr>
        <w:t xml:space="preserve">zamieszczenia na stronie internetowej </w:t>
      </w:r>
      <w:r w:rsidR="00886AF9" w:rsidRPr="0053598B">
        <w:rPr>
          <w:rFonts w:ascii="Times New Roman" w:eastAsiaTheme="minorEastAsia" w:hAnsi="Times New Roman" w:cs="Times New Roman"/>
          <w:bCs/>
          <w:sz w:val="24"/>
          <w:szCs w:val="24"/>
          <w:lang w:eastAsia="pl-PL"/>
        </w:rPr>
        <w:t>jednostki przez</w:t>
      </w:r>
      <w:r w:rsidR="00417EC1" w:rsidRPr="0053598B">
        <w:rPr>
          <w:rFonts w:ascii="Times New Roman" w:eastAsiaTheme="minorEastAsia" w:hAnsi="Times New Roman" w:cs="Times New Roman"/>
          <w:bCs/>
          <w:sz w:val="24"/>
          <w:szCs w:val="24"/>
          <w:lang w:eastAsia="pl-PL"/>
        </w:rPr>
        <w:t xml:space="preserve"> kierownika jednostki niesporządzającej oświadczenia na temat informacji niefinansowych lub sprawozdania na temat informacji niefinansowych zgodnie z art. 49b ust. 1</w:t>
      </w:r>
      <w:r w:rsidR="004376BD" w:rsidRPr="0053598B">
        <w:rPr>
          <w:rFonts w:ascii="Times New Roman" w:eastAsiaTheme="minorEastAsia" w:hAnsi="Times New Roman" w:cs="Times New Roman"/>
          <w:bCs/>
          <w:sz w:val="24"/>
          <w:szCs w:val="24"/>
          <w:lang w:eastAsia="pl-PL"/>
        </w:rPr>
        <w:t>1</w:t>
      </w:r>
      <w:r w:rsidR="00417EC1" w:rsidRPr="0053598B">
        <w:rPr>
          <w:rFonts w:ascii="Times New Roman" w:eastAsiaTheme="minorEastAsia" w:hAnsi="Times New Roman" w:cs="Times New Roman"/>
          <w:bCs/>
          <w:sz w:val="24"/>
          <w:szCs w:val="24"/>
          <w:lang w:eastAsia="pl-PL"/>
        </w:rPr>
        <w:t xml:space="preserve"> </w:t>
      </w:r>
      <w:r w:rsidR="00E10BFF" w:rsidRPr="0053598B">
        <w:rPr>
          <w:rFonts w:ascii="Times New Roman" w:eastAsiaTheme="minorEastAsia" w:hAnsi="Times New Roman" w:cs="Times New Roman"/>
          <w:bCs/>
          <w:sz w:val="24"/>
          <w:szCs w:val="24"/>
          <w:lang w:eastAsia="pl-PL"/>
        </w:rPr>
        <w:t>–</w:t>
      </w:r>
      <w:r w:rsidR="00417EC1" w:rsidRPr="0053598B">
        <w:rPr>
          <w:rFonts w:ascii="Times New Roman" w:eastAsiaTheme="minorEastAsia" w:hAnsi="Times New Roman" w:cs="Times New Roman"/>
          <w:bCs/>
          <w:sz w:val="24"/>
          <w:szCs w:val="24"/>
          <w:lang w:eastAsia="pl-PL"/>
        </w:rPr>
        <w:t xml:space="preserve"> przetłumaczonego na język polski przez tłumacza przysięgłego </w:t>
      </w:r>
      <w:r w:rsidR="00E10BFF" w:rsidRPr="0053598B">
        <w:rPr>
          <w:rFonts w:ascii="Times New Roman" w:eastAsiaTheme="minorEastAsia" w:hAnsi="Times New Roman" w:cs="Times New Roman"/>
          <w:bCs/>
          <w:sz w:val="24"/>
          <w:szCs w:val="24"/>
          <w:lang w:eastAsia="pl-PL"/>
        </w:rPr>
        <w:t>–</w:t>
      </w:r>
      <w:r w:rsidR="00417EC1" w:rsidRPr="0053598B">
        <w:rPr>
          <w:rFonts w:ascii="Times New Roman" w:eastAsiaTheme="minorEastAsia" w:hAnsi="Times New Roman" w:cs="Times New Roman"/>
          <w:bCs/>
          <w:sz w:val="24"/>
          <w:szCs w:val="24"/>
          <w:lang w:eastAsia="pl-PL"/>
        </w:rPr>
        <w:t xml:space="preserve"> oświadczenia grupy kapitałowej na temat informacji niefinansowych lub sprawozdani</w:t>
      </w:r>
      <w:r w:rsidR="001A07F1" w:rsidRPr="0053598B">
        <w:rPr>
          <w:rFonts w:ascii="Times New Roman" w:eastAsiaTheme="minorEastAsia" w:hAnsi="Times New Roman" w:cs="Times New Roman"/>
          <w:bCs/>
          <w:sz w:val="24"/>
          <w:szCs w:val="24"/>
          <w:lang w:eastAsia="pl-PL"/>
        </w:rPr>
        <w:t>a</w:t>
      </w:r>
      <w:r w:rsidR="00417EC1" w:rsidRPr="0053598B">
        <w:rPr>
          <w:rFonts w:ascii="Times New Roman" w:eastAsiaTheme="minorEastAsia" w:hAnsi="Times New Roman" w:cs="Times New Roman"/>
          <w:bCs/>
          <w:sz w:val="24"/>
          <w:szCs w:val="24"/>
          <w:lang w:eastAsia="pl-PL"/>
        </w:rPr>
        <w:t xml:space="preserve"> grupy kapitałowej na temat informacji niefinansowych sporządzone przez inną jednostkę dominującą, w ciągu 30 dni od dnia jego zatwierdzenia, nie później niż w ciągu 12 miesięcy od dnia bilansowego tej jednostki dominującej.</w:t>
      </w:r>
    </w:p>
    <w:p w:rsidR="00886AF9" w:rsidRPr="0053598B" w:rsidRDefault="00312DC3"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Proponowane przepisy</w:t>
      </w:r>
      <w:r w:rsidR="00417EC1" w:rsidRPr="0053598B">
        <w:rPr>
          <w:rFonts w:ascii="Times New Roman" w:eastAsiaTheme="minorEastAsia" w:hAnsi="Times New Roman" w:cs="Times New Roman"/>
          <w:bCs/>
          <w:sz w:val="24"/>
          <w:szCs w:val="24"/>
          <w:lang w:eastAsia="pl-PL"/>
        </w:rPr>
        <w:t xml:space="preserve"> stosuje się odpowiednio do kierownika jednostki dominującej niesporządzającej oświadczenia grupy kapitałowej na temat informacji niefinansowych, lub sprawozdania grupy kapitałowej na temat informacji niefinansowych zgodnie z art. 55 ust. 2e</w:t>
      </w:r>
      <w:r w:rsidR="006365CE" w:rsidRPr="0053598B">
        <w:rPr>
          <w:rFonts w:ascii="Times New Roman" w:eastAsiaTheme="minorEastAsia" w:hAnsi="Times New Roman" w:cs="Times New Roman"/>
          <w:bCs/>
          <w:sz w:val="24"/>
          <w:szCs w:val="24"/>
          <w:lang w:eastAsia="pl-PL"/>
        </w:rPr>
        <w:t>.</w:t>
      </w:r>
      <w:r w:rsidR="00886AF9" w:rsidRPr="0053598B">
        <w:rPr>
          <w:rFonts w:ascii="Times New Roman" w:eastAsiaTheme="minorEastAsia" w:hAnsi="Times New Roman" w:cs="Times New Roman"/>
          <w:bCs/>
          <w:sz w:val="24"/>
          <w:szCs w:val="24"/>
          <w:lang w:eastAsia="pl-PL"/>
        </w:rPr>
        <w:t xml:space="preserve"> </w:t>
      </w:r>
    </w:p>
    <w:p w:rsidR="00417EC1" w:rsidRPr="0053598B" w:rsidRDefault="00886AF9" w:rsidP="00E10BFF">
      <w:pPr>
        <w:pStyle w:val="Akapitzlist"/>
        <w:spacing w:line="360" w:lineRule="auto"/>
        <w:ind w:left="340"/>
        <w:jc w:val="both"/>
        <w:rPr>
          <w:rFonts w:ascii="Times New Roman" w:eastAsiaTheme="minorEastAsia" w:hAnsi="Times New Roman" w:cs="Times New Roman"/>
          <w:bCs/>
          <w:sz w:val="24"/>
          <w:szCs w:val="24"/>
          <w:lang w:eastAsia="pl-PL"/>
        </w:rPr>
      </w:pPr>
      <w:r w:rsidRPr="0053598B">
        <w:rPr>
          <w:rFonts w:ascii="Times New Roman" w:eastAsiaTheme="minorEastAsia" w:hAnsi="Times New Roman" w:cs="Times New Roman"/>
          <w:bCs/>
          <w:sz w:val="24"/>
          <w:szCs w:val="24"/>
          <w:lang w:eastAsia="pl-PL"/>
        </w:rPr>
        <w:t>Przyjęte rozwiązanie, polegające na zamieszczeniu na stronie internetowej, a nie złożeniu do rejestru sądowego powyższych dokumentów jest analogiczne jak w projektowanym art.</w:t>
      </w:r>
      <w:r w:rsidR="004D5FD0">
        <w:rPr>
          <w:rFonts w:ascii="Times New Roman" w:eastAsiaTheme="minorEastAsia" w:hAnsi="Times New Roman" w:cs="Times New Roman"/>
          <w:bCs/>
          <w:sz w:val="24"/>
          <w:szCs w:val="24"/>
          <w:lang w:eastAsia="pl-PL"/>
        </w:rPr>
        <w:t> </w:t>
      </w:r>
      <w:r w:rsidRPr="0053598B">
        <w:rPr>
          <w:rFonts w:ascii="Times New Roman" w:eastAsiaTheme="minorEastAsia" w:hAnsi="Times New Roman" w:cs="Times New Roman"/>
          <w:bCs/>
          <w:sz w:val="24"/>
          <w:szCs w:val="24"/>
          <w:lang w:eastAsia="pl-PL"/>
        </w:rPr>
        <w:t>49b ust. 11 oraz art. 55 ust. 2c.</w:t>
      </w:r>
    </w:p>
    <w:p w:rsidR="0029416A" w:rsidRPr="0053598B" w:rsidRDefault="007450DE" w:rsidP="00E10BFF">
      <w:pPr>
        <w:pStyle w:val="Akapitzlist"/>
        <w:numPr>
          <w:ilvl w:val="0"/>
          <w:numId w:val="17"/>
        </w:numPr>
        <w:spacing w:line="360" w:lineRule="auto"/>
        <w:jc w:val="both"/>
        <w:rPr>
          <w:rFonts w:ascii="Times New Roman" w:hAnsi="Times New Roman" w:cs="Times New Roman"/>
          <w:sz w:val="24"/>
          <w:szCs w:val="24"/>
          <w:lang w:eastAsia="pl-PL"/>
        </w:rPr>
      </w:pPr>
      <w:r w:rsidRPr="0053598B">
        <w:rPr>
          <w:rFonts w:ascii="Times New Roman" w:eastAsiaTheme="minorEastAsia" w:hAnsi="Times New Roman" w:cs="Times New Roman"/>
          <w:b/>
          <w:bCs/>
          <w:sz w:val="24"/>
          <w:szCs w:val="24"/>
          <w:lang w:eastAsia="pl-PL"/>
        </w:rPr>
        <w:lastRenderedPageBreak/>
        <w:t xml:space="preserve">Art. 1 pkt </w:t>
      </w:r>
      <w:r w:rsidR="00886AF9" w:rsidRPr="0053598B">
        <w:rPr>
          <w:rFonts w:ascii="Times New Roman" w:eastAsiaTheme="minorEastAsia" w:hAnsi="Times New Roman" w:cs="Times New Roman"/>
          <w:b/>
          <w:bCs/>
          <w:sz w:val="24"/>
          <w:szCs w:val="24"/>
          <w:lang w:eastAsia="pl-PL"/>
        </w:rPr>
        <w:t xml:space="preserve">14 </w:t>
      </w:r>
      <w:r w:rsidRPr="0053598B">
        <w:rPr>
          <w:rFonts w:ascii="Times New Roman" w:eastAsiaTheme="minorEastAsia" w:hAnsi="Times New Roman" w:cs="Times New Roman"/>
          <w:b/>
          <w:bCs/>
          <w:sz w:val="24"/>
          <w:szCs w:val="24"/>
          <w:lang w:eastAsia="pl-PL"/>
        </w:rPr>
        <w:t>ustawy nowelizującej</w:t>
      </w:r>
      <w:r w:rsidRPr="0053598B">
        <w:rPr>
          <w:rFonts w:ascii="Times New Roman" w:eastAsiaTheme="minorEastAsia" w:hAnsi="Times New Roman" w:cs="Times New Roman"/>
          <w:bCs/>
          <w:sz w:val="24"/>
          <w:szCs w:val="24"/>
          <w:lang w:eastAsia="pl-PL"/>
        </w:rPr>
        <w:t xml:space="preserve"> wprowadza</w:t>
      </w:r>
      <w:r w:rsidR="0029416A" w:rsidRPr="0053598B">
        <w:rPr>
          <w:rFonts w:ascii="Times New Roman" w:hAnsi="Times New Roman" w:cs="Times New Roman"/>
          <w:sz w:val="24"/>
          <w:szCs w:val="24"/>
          <w:lang w:eastAsia="pl-PL"/>
        </w:rPr>
        <w:t xml:space="preserve"> nowe brzmienie ust. 2 w art. 73, </w:t>
      </w:r>
      <w:r w:rsidR="00A97F3F" w:rsidRPr="0053598B">
        <w:rPr>
          <w:rFonts w:ascii="Times New Roman" w:hAnsi="Times New Roman" w:cs="Times New Roman"/>
          <w:sz w:val="24"/>
          <w:szCs w:val="24"/>
          <w:lang w:eastAsia="pl-PL"/>
        </w:rPr>
        <w:t>zgodnie</w:t>
      </w:r>
      <w:r w:rsidR="0029416A" w:rsidRPr="0053598B">
        <w:rPr>
          <w:rFonts w:ascii="Times New Roman" w:hAnsi="Times New Roman" w:cs="Times New Roman"/>
          <w:sz w:val="24"/>
          <w:szCs w:val="24"/>
          <w:lang w:eastAsia="pl-PL"/>
        </w:rPr>
        <w:t xml:space="preserve"> z którym jednostkom </w:t>
      </w:r>
      <w:r w:rsidR="00A97F3F" w:rsidRPr="0053598B">
        <w:rPr>
          <w:rFonts w:ascii="Times New Roman" w:hAnsi="Times New Roman" w:cs="Times New Roman"/>
          <w:sz w:val="24"/>
          <w:szCs w:val="24"/>
          <w:lang w:eastAsia="pl-PL"/>
        </w:rPr>
        <w:t>umożliwia</w:t>
      </w:r>
      <w:r w:rsidR="0029416A" w:rsidRPr="0053598B">
        <w:rPr>
          <w:rFonts w:ascii="Times New Roman" w:hAnsi="Times New Roman" w:cs="Times New Roman"/>
          <w:sz w:val="24"/>
          <w:szCs w:val="24"/>
          <w:lang w:eastAsia="pl-PL"/>
        </w:rPr>
        <w:t xml:space="preserve"> się przeniesienie określonych dowodów księgowych przed zatwierdzeniem sprawozdania finansowego na informatyczne nośniki danych, pozwalające zachować w trwałej postaci zawartość tych dowodów, jako rozwiązanie ujednolicające przepisy z zakresu rachunkowości z przepisami podatkowymi dotyczącymi podatku od towarów i usług oraz dostosowujące do nowoczesnych rozwiązań umożliwiających digitalizowanie danych.</w:t>
      </w:r>
    </w:p>
    <w:p w:rsidR="00B87E85" w:rsidRPr="0053598B" w:rsidRDefault="001C6F07" w:rsidP="00E10BFF">
      <w:pPr>
        <w:pStyle w:val="Akapitzlist"/>
        <w:numPr>
          <w:ilvl w:val="0"/>
          <w:numId w:val="17"/>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 xml:space="preserve"> </w:t>
      </w:r>
      <w:r w:rsidR="006B673F" w:rsidRPr="0053598B">
        <w:rPr>
          <w:rFonts w:ascii="Times New Roman" w:hAnsi="Times New Roman" w:cs="Times New Roman"/>
          <w:b/>
          <w:bCs/>
          <w:sz w:val="24"/>
          <w:szCs w:val="24"/>
          <w:lang w:eastAsia="pl-PL"/>
        </w:rPr>
        <w:t xml:space="preserve">Art. 1 pkt </w:t>
      </w:r>
      <w:r w:rsidR="00B87E85" w:rsidRPr="0053598B">
        <w:rPr>
          <w:rFonts w:ascii="Times New Roman" w:hAnsi="Times New Roman" w:cs="Times New Roman"/>
          <w:b/>
          <w:bCs/>
          <w:sz w:val="24"/>
          <w:szCs w:val="24"/>
          <w:lang w:eastAsia="pl-PL"/>
        </w:rPr>
        <w:t>15</w:t>
      </w:r>
      <w:r w:rsidR="00701B2C" w:rsidRPr="0053598B">
        <w:rPr>
          <w:rFonts w:ascii="Times New Roman" w:hAnsi="Times New Roman" w:cs="Times New Roman"/>
          <w:b/>
          <w:bCs/>
          <w:sz w:val="24"/>
          <w:szCs w:val="24"/>
          <w:lang w:eastAsia="pl-PL"/>
        </w:rPr>
        <w:t xml:space="preserve"> </w:t>
      </w:r>
      <w:r w:rsidR="006B673F" w:rsidRPr="0053598B">
        <w:rPr>
          <w:rFonts w:ascii="Times New Roman" w:hAnsi="Times New Roman" w:cs="Times New Roman"/>
          <w:b/>
          <w:bCs/>
          <w:sz w:val="24"/>
          <w:szCs w:val="24"/>
          <w:lang w:eastAsia="pl-PL"/>
        </w:rPr>
        <w:t xml:space="preserve">ustawy nowelizującej </w:t>
      </w:r>
      <w:r w:rsidR="006B673F" w:rsidRPr="0053598B">
        <w:rPr>
          <w:rFonts w:ascii="Times New Roman" w:hAnsi="Times New Roman" w:cs="Times New Roman"/>
          <w:sz w:val="24"/>
          <w:szCs w:val="24"/>
          <w:lang w:eastAsia="pl-PL"/>
        </w:rPr>
        <w:t xml:space="preserve">wprowadza </w:t>
      </w:r>
      <w:r w:rsidR="00B87E85" w:rsidRPr="0053598B">
        <w:rPr>
          <w:rFonts w:ascii="Times New Roman" w:hAnsi="Times New Roman" w:cs="Times New Roman"/>
          <w:sz w:val="24"/>
          <w:szCs w:val="24"/>
          <w:lang w:eastAsia="pl-PL"/>
        </w:rPr>
        <w:t xml:space="preserve">nowy </w:t>
      </w:r>
      <w:r w:rsidR="006B673F" w:rsidRPr="0053598B">
        <w:rPr>
          <w:rFonts w:ascii="Times New Roman" w:hAnsi="Times New Roman" w:cs="Times New Roman"/>
          <w:sz w:val="24"/>
          <w:szCs w:val="24"/>
          <w:lang w:eastAsia="pl-PL"/>
        </w:rPr>
        <w:t>pkt 4</w:t>
      </w:r>
      <w:r w:rsidR="00B87E85" w:rsidRPr="0053598B">
        <w:rPr>
          <w:rFonts w:ascii="Times New Roman" w:hAnsi="Times New Roman" w:cs="Times New Roman"/>
          <w:sz w:val="24"/>
          <w:szCs w:val="24"/>
          <w:lang w:eastAsia="pl-PL"/>
        </w:rPr>
        <w:t>a</w:t>
      </w:r>
      <w:r w:rsidR="006B673F" w:rsidRPr="0053598B">
        <w:rPr>
          <w:rFonts w:ascii="Times New Roman" w:hAnsi="Times New Roman" w:cs="Times New Roman"/>
          <w:sz w:val="24"/>
          <w:szCs w:val="24"/>
          <w:lang w:eastAsia="pl-PL"/>
        </w:rPr>
        <w:t xml:space="preserve"> w art. 79, zgodnie z którym wprowadza się odpowiedzialność karną za</w:t>
      </w:r>
      <w:r w:rsidR="00751F01" w:rsidRPr="0053598B">
        <w:rPr>
          <w:rFonts w:ascii="Times New Roman" w:hAnsi="Times New Roman" w:cs="Times New Roman"/>
          <w:sz w:val="24"/>
          <w:szCs w:val="24"/>
          <w:lang w:eastAsia="pl-PL"/>
        </w:rPr>
        <w:t xml:space="preserve"> </w:t>
      </w:r>
      <w:r w:rsidR="00B87E85" w:rsidRPr="0053598B">
        <w:rPr>
          <w:rFonts w:ascii="Times New Roman" w:hAnsi="Times New Roman" w:cs="Times New Roman"/>
          <w:sz w:val="24"/>
          <w:szCs w:val="24"/>
          <w:lang w:eastAsia="pl-PL"/>
        </w:rPr>
        <w:t>niezamieszczenie na stronie internetowej:</w:t>
      </w:r>
    </w:p>
    <w:p w:rsidR="00B87E85" w:rsidRPr="0053598B" w:rsidRDefault="00E10BFF" w:rsidP="0053598B">
      <w:pPr>
        <w:pStyle w:val="Akapitzlist"/>
        <w:spacing w:line="360" w:lineRule="auto"/>
        <w:ind w:left="567" w:hanging="227"/>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w:t>
      </w:r>
      <w:r w:rsidR="00B87E85" w:rsidRPr="0053598B">
        <w:rPr>
          <w:rFonts w:ascii="Times New Roman" w:hAnsi="Times New Roman" w:cs="Times New Roman"/>
          <w:sz w:val="24"/>
          <w:szCs w:val="24"/>
          <w:lang w:eastAsia="pl-PL"/>
        </w:rPr>
        <w:t xml:space="preserve"> </w:t>
      </w:r>
      <w:r w:rsidR="00751F01" w:rsidRPr="0053598B">
        <w:rPr>
          <w:rFonts w:ascii="Times New Roman" w:hAnsi="Times New Roman" w:cs="Times New Roman"/>
          <w:sz w:val="24"/>
          <w:szCs w:val="24"/>
          <w:lang w:eastAsia="pl-PL"/>
        </w:rPr>
        <w:t>odrębnego sprawozdania na temat informacji niefinansowych</w:t>
      </w:r>
      <w:r w:rsidR="004D5FD0">
        <w:rPr>
          <w:rFonts w:ascii="Times New Roman" w:hAnsi="Times New Roman" w:cs="Times New Roman"/>
          <w:sz w:val="24"/>
          <w:szCs w:val="24"/>
          <w:lang w:eastAsia="pl-PL"/>
        </w:rPr>
        <w:t xml:space="preserve"> (jednostkowego i </w:t>
      </w:r>
      <w:r w:rsidR="00B87E85" w:rsidRPr="0053598B">
        <w:rPr>
          <w:rFonts w:ascii="Times New Roman" w:hAnsi="Times New Roman" w:cs="Times New Roman"/>
          <w:sz w:val="24"/>
          <w:szCs w:val="24"/>
          <w:lang w:eastAsia="pl-PL"/>
        </w:rPr>
        <w:t>skonsolidowanego)</w:t>
      </w:r>
      <w:r w:rsidR="00751F01" w:rsidRPr="0053598B">
        <w:rPr>
          <w:rFonts w:ascii="Times New Roman" w:hAnsi="Times New Roman" w:cs="Times New Roman"/>
          <w:sz w:val="24"/>
          <w:szCs w:val="24"/>
          <w:lang w:eastAsia="pl-PL"/>
        </w:rPr>
        <w:t xml:space="preserve">, </w:t>
      </w:r>
      <w:r w:rsidR="008653D9" w:rsidRPr="0053598B">
        <w:rPr>
          <w:rFonts w:ascii="Times New Roman" w:hAnsi="Times New Roman" w:cs="Times New Roman"/>
          <w:sz w:val="24"/>
          <w:szCs w:val="24"/>
          <w:lang w:eastAsia="pl-PL"/>
        </w:rPr>
        <w:t xml:space="preserve">które jest alternatywną formą spełnienia obowiązku </w:t>
      </w:r>
      <w:r w:rsidR="00751F01" w:rsidRPr="0053598B">
        <w:rPr>
          <w:rFonts w:ascii="Times New Roman" w:hAnsi="Times New Roman" w:cs="Times New Roman"/>
          <w:sz w:val="24"/>
          <w:szCs w:val="24"/>
          <w:lang w:eastAsia="pl-PL"/>
        </w:rPr>
        <w:t>sporządzenia oświadczenia na temat informacji niefinanso</w:t>
      </w:r>
      <w:r w:rsidR="004D5FD0">
        <w:rPr>
          <w:rFonts w:ascii="Times New Roman" w:hAnsi="Times New Roman" w:cs="Times New Roman"/>
          <w:sz w:val="24"/>
          <w:szCs w:val="24"/>
          <w:lang w:eastAsia="pl-PL"/>
        </w:rPr>
        <w:t>wych zawartego w sprawozdaniu z </w:t>
      </w:r>
      <w:r w:rsidR="00751F01" w:rsidRPr="0053598B">
        <w:rPr>
          <w:rFonts w:ascii="Times New Roman" w:hAnsi="Times New Roman" w:cs="Times New Roman"/>
          <w:sz w:val="24"/>
          <w:szCs w:val="24"/>
          <w:lang w:eastAsia="pl-PL"/>
        </w:rPr>
        <w:t>działalności</w:t>
      </w:r>
      <w:r w:rsidR="0053598B" w:rsidRPr="0053598B">
        <w:rPr>
          <w:rFonts w:ascii="Times New Roman" w:hAnsi="Times New Roman" w:cs="Times New Roman"/>
          <w:sz w:val="24"/>
          <w:szCs w:val="24"/>
          <w:lang w:eastAsia="pl-PL"/>
        </w:rPr>
        <w:t>,</w:t>
      </w:r>
    </w:p>
    <w:p w:rsidR="00774E6A" w:rsidRPr="0053598B" w:rsidRDefault="00E10BFF" w:rsidP="0053598B">
      <w:pPr>
        <w:pStyle w:val="Akapitzlist"/>
        <w:spacing w:line="360" w:lineRule="auto"/>
        <w:ind w:left="567" w:hanging="227"/>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w:t>
      </w:r>
      <w:r w:rsidR="00B87E85" w:rsidRPr="0053598B">
        <w:rPr>
          <w:rFonts w:ascii="Times New Roman" w:hAnsi="Times New Roman" w:cs="Times New Roman"/>
          <w:sz w:val="24"/>
          <w:szCs w:val="24"/>
          <w:lang w:eastAsia="pl-PL"/>
        </w:rPr>
        <w:t xml:space="preserve"> dokumentów, o których mowa w projektowanych ust. 5 i 6 w art. 69 ustawy</w:t>
      </w:r>
      <w:r w:rsidR="004D5FD0">
        <w:rPr>
          <w:rFonts w:ascii="Times New Roman" w:hAnsi="Times New Roman" w:cs="Times New Roman"/>
          <w:bCs/>
          <w:sz w:val="24"/>
          <w:szCs w:val="24"/>
          <w:lang w:eastAsia="pl-PL"/>
        </w:rPr>
        <w:t xml:space="preserve"> o </w:t>
      </w:r>
      <w:r w:rsidR="001A07F1" w:rsidRPr="0053598B">
        <w:rPr>
          <w:rFonts w:ascii="Times New Roman" w:hAnsi="Times New Roman" w:cs="Times New Roman"/>
          <w:bCs/>
          <w:sz w:val="24"/>
          <w:szCs w:val="24"/>
          <w:lang w:eastAsia="pl-PL"/>
        </w:rPr>
        <w:t>rachunkowości</w:t>
      </w:r>
      <w:r w:rsidR="00B87E85" w:rsidRPr="0053598B">
        <w:rPr>
          <w:rFonts w:ascii="Times New Roman" w:hAnsi="Times New Roman" w:cs="Times New Roman"/>
          <w:sz w:val="24"/>
          <w:szCs w:val="24"/>
          <w:lang w:eastAsia="pl-PL"/>
        </w:rPr>
        <w:t>.</w:t>
      </w:r>
    </w:p>
    <w:p w:rsidR="00774E6A" w:rsidRPr="0053598B" w:rsidRDefault="00942C6D" w:rsidP="00E10BFF">
      <w:pPr>
        <w:pStyle w:val="Akapitzlist"/>
        <w:numPr>
          <w:ilvl w:val="0"/>
          <w:numId w:val="17"/>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b/>
          <w:bCs/>
          <w:sz w:val="24"/>
          <w:szCs w:val="24"/>
          <w:lang w:eastAsia="pl-PL"/>
        </w:rPr>
        <w:t xml:space="preserve">Art. 1 pkt </w:t>
      </w:r>
      <w:r w:rsidR="00B87E85" w:rsidRPr="0053598B">
        <w:rPr>
          <w:rFonts w:ascii="Times New Roman" w:hAnsi="Times New Roman" w:cs="Times New Roman"/>
          <w:b/>
          <w:bCs/>
          <w:sz w:val="24"/>
          <w:szCs w:val="24"/>
          <w:lang w:eastAsia="pl-PL"/>
        </w:rPr>
        <w:t xml:space="preserve">16 </w:t>
      </w:r>
      <w:r w:rsidRPr="0053598B">
        <w:rPr>
          <w:rFonts w:ascii="Times New Roman" w:hAnsi="Times New Roman" w:cs="Times New Roman"/>
          <w:b/>
          <w:bCs/>
          <w:sz w:val="24"/>
          <w:szCs w:val="24"/>
          <w:lang w:eastAsia="pl-PL"/>
        </w:rPr>
        <w:t xml:space="preserve">ustawy nowelizującej </w:t>
      </w:r>
      <w:r w:rsidRPr="0053598B">
        <w:rPr>
          <w:rFonts w:ascii="Times New Roman" w:hAnsi="Times New Roman" w:cs="Times New Roman"/>
          <w:bCs/>
          <w:sz w:val="24"/>
          <w:szCs w:val="24"/>
          <w:lang w:eastAsia="pl-PL"/>
        </w:rPr>
        <w:t>wprowadza zmiany w załączniku nr 2 do ustawy o</w:t>
      </w:r>
      <w:r w:rsidR="004D5FD0">
        <w:rPr>
          <w:rFonts w:ascii="Times New Roman" w:hAnsi="Times New Roman" w:cs="Times New Roman"/>
          <w:bCs/>
          <w:sz w:val="24"/>
          <w:szCs w:val="24"/>
          <w:lang w:eastAsia="pl-PL"/>
        </w:rPr>
        <w:t> </w:t>
      </w:r>
      <w:r w:rsidRPr="0053598B">
        <w:rPr>
          <w:rFonts w:ascii="Times New Roman" w:hAnsi="Times New Roman" w:cs="Times New Roman"/>
          <w:bCs/>
          <w:sz w:val="24"/>
          <w:szCs w:val="24"/>
          <w:lang w:eastAsia="pl-PL"/>
        </w:rPr>
        <w:t xml:space="preserve">rachunkowości. Wyjaśnienie wprowadzanej modyfikacji znajduje się w punkcie </w:t>
      </w:r>
      <w:r w:rsidR="00AA6ACE" w:rsidRPr="0053598B">
        <w:rPr>
          <w:rFonts w:ascii="Times New Roman" w:hAnsi="Times New Roman" w:cs="Times New Roman"/>
          <w:bCs/>
          <w:sz w:val="24"/>
          <w:szCs w:val="24"/>
          <w:lang w:eastAsia="pl-PL"/>
        </w:rPr>
        <w:t xml:space="preserve">3 </w:t>
      </w:r>
      <w:r w:rsidRPr="0053598B">
        <w:rPr>
          <w:rFonts w:ascii="Times New Roman" w:hAnsi="Times New Roman" w:cs="Times New Roman"/>
          <w:bCs/>
          <w:sz w:val="24"/>
          <w:szCs w:val="24"/>
          <w:lang w:eastAsia="pl-PL"/>
        </w:rPr>
        <w:t>tej części uzasadnienia.</w:t>
      </w:r>
    </w:p>
    <w:p w:rsidR="00AC24CC" w:rsidRPr="0053598B" w:rsidRDefault="00A35E60" w:rsidP="00E10BFF">
      <w:pPr>
        <w:pStyle w:val="Akapitzlist"/>
        <w:numPr>
          <w:ilvl w:val="0"/>
          <w:numId w:val="17"/>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sz w:val="24"/>
          <w:szCs w:val="24"/>
          <w:lang w:eastAsia="pl-PL"/>
        </w:rPr>
        <w:t xml:space="preserve"> </w:t>
      </w:r>
      <w:r w:rsidR="00942C6D" w:rsidRPr="0053598B">
        <w:rPr>
          <w:rFonts w:ascii="Times New Roman" w:hAnsi="Times New Roman" w:cs="Times New Roman"/>
          <w:b/>
          <w:bCs/>
          <w:sz w:val="24"/>
          <w:szCs w:val="24"/>
          <w:lang w:eastAsia="pl-PL"/>
        </w:rPr>
        <w:t xml:space="preserve">Art. 1 pkt </w:t>
      </w:r>
      <w:r w:rsidR="00B87E85" w:rsidRPr="0053598B">
        <w:rPr>
          <w:rFonts w:ascii="Times New Roman" w:hAnsi="Times New Roman" w:cs="Times New Roman"/>
          <w:b/>
          <w:bCs/>
          <w:sz w:val="24"/>
          <w:szCs w:val="24"/>
          <w:lang w:eastAsia="pl-PL"/>
        </w:rPr>
        <w:t>17</w:t>
      </w:r>
      <w:r w:rsidR="00942C6D" w:rsidRPr="0053598B">
        <w:rPr>
          <w:rFonts w:ascii="Times New Roman" w:hAnsi="Times New Roman" w:cs="Times New Roman"/>
          <w:b/>
          <w:bCs/>
          <w:sz w:val="24"/>
          <w:szCs w:val="24"/>
          <w:lang w:eastAsia="pl-PL"/>
        </w:rPr>
        <w:t xml:space="preserve"> ustawy nowelizującej</w:t>
      </w:r>
      <w:r w:rsidR="00942C6D" w:rsidRPr="0053598B">
        <w:rPr>
          <w:rFonts w:ascii="Times New Roman" w:hAnsi="Times New Roman" w:cs="Times New Roman"/>
          <w:bCs/>
          <w:sz w:val="24"/>
          <w:szCs w:val="24"/>
          <w:lang w:eastAsia="pl-PL"/>
        </w:rPr>
        <w:t xml:space="preserve"> wprowadza nowy załącznik</w:t>
      </w:r>
      <w:r w:rsidR="00701B2C" w:rsidRPr="0053598B">
        <w:rPr>
          <w:rFonts w:ascii="Times New Roman" w:hAnsi="Times New Roman" w:cs="Times New Roman"/>
          <w:bCs/>
          <w:sz w:val="24"/>
          <w:szCs w:val="24"/>
          <w:lang w:eastAsia="pl-PL"/>
        </w:rPr>
        <w:t xml:space="preserve"> nr 6 określający zakres sprawozdania finansowego </w:t>
      </w:r>
      <w:r w:rsidR="00C86A09" w:rsidRPr="0053598B">
        <w:rPr>
          <w:rFonts w:ascii="Times New Roman" w:hAnsi="Times New Roman" w:cs="Times New Roman"/>
          <w:sz w:val="24"/>
          <w:szCs w:val="24"/>
          <w:lang w:eastAsia="pl-PL"/>
        </w:rPr>
        <w:t xml:space="preserve">dla </w:t>
      </w:r>
      <w:r w:rsidR="00805088" w:rsidRPr="0053598B">
        <w:rPr>
          <w:rFonts w:ascii="Times New Roman" w:hAnsi="Times New Roman" w:cs="Times New Roman"/>
          <w:sz w:val="24"/>
          <w:szCs w:val="24"/>
          <w:lang w:eastAsia="pl-PL"/>
        </w:rPr>
        <w:t xml:space="preserve">organizacji pozarządowych. </w:t>
      </w:r>
      <w:r w:rsidR="00942C6D" w:rsidRPr="0053598B">
        <w:rPr>
          <w:rFonts w:ascii="Times New Roman" w:hAnsi="Times New Roman" w:cs="Times New Roman"/>
          <w:bCs/>
          <w:sz w:val="24"/>
          <w:szCs w:val="24"/>
          <w:lang w:eastAsia="pl-PL"/>
        </w:rPr>
        <w:t xml:space="preserve">Wyjaśnienie wprowadzanej modyfikacji znajduje się w punkcie </w:t>
      </w:r>
      <w:r w:rsidR="00AA6ACE" w:rsidRPr="0053598B">
        <w:rPr>
          <w:rFonts w:ascii="Times New Roman" w:hAnsi="Times New Roman" w:cs="Times New Roman"/>
          <w:bCs/>
          <w:sz w:val="24"/>
          <w:szCs w:val="24"/>
          <w:lang w:eastAsia="pl-PL"/>
        </w:rPr>
        <w:t xml:space="preserve">5 </w:t>
      </w:r>
      <w:r w:rsidR="00942C6D" w:rsidRPr="0053598B">
        <w:rPr>
          <w:rFonts w:ascii="Times New Roman" w:hAnsi="Times New Roman" w:cs="Times New Roman"/>
          <w:bCs/>
          <w:sz w:val="24"/>
          <w:szCs w:val="24"/>
          <w:lang w:eastAsia="pl-PL"/>
        </w:rPr>
        <w:t>tej części uzasadnienia.</w:t>
      </w:r>
      <w:r w:rsidR="00AA6ACE" w:rsidRPr="0053598B">
        <w:rPr>
          <w:rFonts w:ascii="Times New Roman" w:hAnsi="Times New Roman" w:cs="Times New Roman"/>
          <w:bCs/>
          <w:sz w:val="24"/>
          <w:szCs w:val="24"/>
          <w:lang w:eastAsia="pl-PL"/>
        </w:rPr>
        <w:t xml:space="preserve"> </w:t>
      </w:r>
      <w:r w:rsidR="00522A76" w:rsidRPr="0053598B">
        <w:rPr>
          <w:rFonts w:ascii="Times New Roman" w:hAnsi="Times New Roman" w:cs="Times New Roman"/>
          <w:bCs/>
          <w:sz w:val="24"/>
          <w:szCs w:val="24"/>
          <w:lang w:eastAsia="pl-PL"/>
        </w:rPr>
        <w:t xml:space="preserve">Obecnie </w:t>
      </w:r>
      <w:r w:rsidR="00AA6ACE" w:rsidRPr="0053598B">
        <w:rPr>
          <w:rFonts w:ascii="Times New Roman" w:hAnsi="Times New Roman" w:cs="Times New Roman"/>
          <w:bCs/>
          <w:sz w:val="24"/>
          <w:szCs w:val="24"/>
          <w:lang w:eastAsia="pl-PL"/>
        </w:rPr>
        <w:t xml:space="preserve">jednostki te </w:t>
      </w:r>
      <w:r w:rsidR="00522A76" w:rsidRPr="0053598B">
        <w:rPr>
          <w:rFonts w:ascii="Times New Roman" w:hAnsi="Times New Roman" w:cs="Times New Roman"/>
          <w:bCs/>
          <w:sz w:val="24"/>
          <w:szCs w:val="24"/>
          <w:lang w:eastAsia="pl-PL"/>
        </w:rPr>
        <w:t>sporządzają</w:t>
      </w:r>
      <w:r w:rsidR="00AA6ACE" w:rsidRPr="0053598B">
        <w:rPr>
          <w:rFonts w:ascii="Times New Roman" w:hAnsi="Times New Roman" w:cs="Times New Roman"/>
          <w:bCs/>
          <w:sz w:val="24"/>
          <w:szCs w:val="24"/>
          <w:lang w:eastAsia="pl-PL"/>
        </w:rPr>
        <w:t xml:space="preserve"> sprawozdanie finansowe na podstawie załącznika nr 1,</w:t>
      </w:r>
      <w:r w:rsidR="00522A76" w:rsidRPr="0053598B">
        <w:rPr>
          <w:rFonts w:ascii="Times New Roman" w:hAnsi="Times New Roman" w:cs="Times New Roman"/>
          <w:bCs/>
          <w:sz w:val="24"/>
          <w:szCs w:val="24"/>
          <w:lang w:eastAsia="pl-PL"/>
        </w:rPr>
        <w:t xml:space="preserve"> </w:t>
      </w:r>
      <w:r w:rsidR="004D5FD0">
        <w:rPr>
          <w:rFonts w:ascii="Times New Roman" w:hAnsi="Times New Roman" w:cs="Times New Roman"/>
          <w:bCs/>
          <w:sz w:val="24"/>
          <w:szCs w:val="24"/>
          <w:lang w:eastAsia="pl-PL"/>
        </w:rPr>
        <w:t>4 lub 5 do ustawy o </w:t>
      </w:r>
      <w:r w:rsidR="00AA6ACE" w:rsidRPr="0053598B">
        <w:rPr>
          <w:rFonts w:ascii="Times New Roman" w:hAnsi="Times New Roman" w:cs="Times New Roman"/>
          <w:bCs/>
          <w:sz w:val="24"/>
          <w:szCs w:val="24"/>
          <w:lang w:eastAsia="pl-PL"/>
        </w:rPr>
        <w:t>rachunkowości</w:t>
      </w:r>
      <w:r w:rsidR="00522A76" w:rsidRPr="0053598B">
        <w:rPr>
          <w:rFonts w:ascii="Times New Roman" w:hAnsi="Times New Roman" w:cs="Times New Roman"/>
          <w:bCs/>
          <w:sz w:val="24"/>
          <w:szCs w:val="24"/>
          <w:lang w:eastAsia="pl-PL"/>
        </w:rPr>
        <w:t>. Zgodnie z uwagami Ministra Rodziny, Pracy i Polityki Społecznej oraz na podstawie konsultacji publicznych w tym zakresie, zak</w:t>
      </w:r>
      <w:r w:rsidR="004D5FD0">
        <w:rPr>
          <w:rFonts w:ascii="Times New Roman" w:hAnsi="Times New Roman" w:cs="Times New Roman"/>
          <w:bCs/>
          <w:sz w:val="24"/>
          <w:szCs w:val="24"/>
          <w:lang w:eastAsia="pl-PL"/>
        </w:rPr>
        <w:t>resy informacyjne załącznika nr </w:t>
      </w:r>
      <w:r w:rsidR="00522A76" w:rsidRPr="0053598B">
        <w:rPr>
          <w:rFonts w:ascii="Times New Roman" w:hAnsi="Times New Roman" w:cs="Times New Roman"/>
          <w:bCs/>
          <w:sz w:val="24"/>
          <w:szCs w:val="24"/>
          <w:lang w:eastAsia="pl-PL"/>
        </w:rPr>
        <w:t xml:space="preserve">4 (dla jednostek mikro) oraz załącznika nr 5 (dla jednostek małych) nie odzwierciedlają specyfiki prowadzonej przez nie działalności oraz utrudniają obowiązki sprawozdawcze </w:t>
      </w:r>
      <w:r w:rsidR="004F6FDB" w:rsidRPr="0053598B">
        <w:rPr>
          <w:rFonts w:ascii="Times New Roman" w:hAnsi="Times New Roman" w:cs="Times New Roman"/>
          <w:bCs/>
          <w:sz w:val="24"/>
          <w:szCs w:val="24"/>
          <w:lang w:eastAsia="pl-PL"/>
        </w:rPr>
        <w:t>tychże podmiotów.</w:t>
      </w:r>
    </w:p>
    <w:p w:rsidR="00F75455" w:rsidRPr="0053598B" w:rsidRDefault="00F75455" w:rsidP="00E10BFF">
      <w:pPr>
        <w:pStyle w:val="Akapitzlist"/>
        <w:numPr>
          <w:ilvl w:val="0"/>
          <w:numId w:val="17"/>
        </w:numPr>
        <w:spacing w:line="360" w:lineRule="auto"/>
        <w:jc w:val="both"/>
        <w:rPr>
          <w:rFonts w:ascii="Times New Roman" w:hAnsi="Times New Roman" w:cs="Times New Roman"/>
          <w:sz w:val="24"/>
          <w:szCs w:val="24"/>
          <w:lang w:eastAsia="pl-PL"/>
        </w:rPr>
      </w:pPr>
      <w:r w:rsidRPr="0053598B">
        <w:rPr>
          <w:rFonts w:ascii="Times New Roman" w:hAnsi="Times New Roman" w:cs="Times New Roman"/>
          <w:b/>
          <w:sz w:val="24"/>
          <w:szCs w:val="24"/>
          <w:lang w:eastAsia="pl-PL"/>
        </w:rPr>
        <w:t>Art. 2</w:t>
      </w:r>
      <w:r w:rsidRPr="0053598B">
        <w:rPr>
          <w:rFonts w:ascii="Times New Roman" w:hAnsi="Times New Roman" w:cs="Times New Roman"/>
          <w:sz w:val="24"/>
          <w:szCs w:val="24"/>
          <w:lang w:eastAsia="pl-PL"/>
        </w:rPr>
        <w:t xml:space="preserve"> wprowadza regulacje dotyczące tzw. „reguły </w:t>
      </w:r>
      <w:r w:rsidR="004D5FD0">
        <w:rPr>
          <w:rFonts w:ascii="Times New Roman" w:hAnsi="Times New Roman" w:cs="Times New Roman"/>
          <w:sz w:val="24"/>
          <w:szCs w:val="24"/>
          <w:lang w:eastAsia="pl-PL"/>
        </w:rPr>
        <w:t>wydatkowej” – jest to kwota 0,1 </w:t>
      </w:r>
      <w:r w:rsidRPr="0053598B">
        <w:rPr>
          <w:rFonts w:ascii="Times New Roman" w:hAnsi="Times New Roman" w:cs="Times New Roman"/>
          <w:sz w:val="24"/>
          <w:szCs w:val="24"/>
          <w:lang w:eastAsia="pl-PL"/>
        </w:rPr>
        <w:t>mln</w:t>
      </w:r>
      <w:r w:rsidR="004D5FD0">
        <w:rPr>
          <w:rFonts w:ascii="Times New Roman" w:hAnsi="Times New Roman" w:cs="Times New Roman"/>
          <w:sz w:val="24"/>
          <w:szCs w:val="24"/>
          <w:lang w:eastAsia="pl-PL"/>
        </w:rPr>
        <w:t> </w:t>
      </w:r>
      <w:r w:rsidRPr="0053598B">
        <w:rPr>
          <w:rFonts w:ascii="Times New Roman" w:hAnsi="Times New Roman" w:cs="Times New Roman"/>
          <w:sz w:val="24"/>
          <w:szCs w:val="24"/>
          <w:lang w:eastAsia="pl-PL"/>
        </w:rPr>
        <w:t>złotych, pokryta z limitu wydatków ministra właściwego do spraw zabezpieczenia społecznego na przebudowę systemu sprawozdań finansowych i merytorycznych organizacji pożytku publicznego.</w:t>
      </w:r>
    </w:p>
    <w:p w:rsidR="00A35E60" w:rsidRPr="0053598B" w:rsidRDefault="00587840" w:rsidP="00E10BFF">
      <w:pPr>
        <w:pStyle w:val="Akapitzlist"/>
        <w:numPr>
          <w:ilvl w:val="0"/>
          <w:numId w:val="17"/>
        </w:numPr>
        <w:spacing w:line="360" w:lineRule="auto"/>
        <w:jc w:val="both"/>
        <w:rPr>
          <w:rFonts w:ascii="Times New Roman" w:hAnsi="Times New Roman" w:cs="Times New Roman"/>
          <w:color w:val="000000"/>
          <w:sz w:val="24"/>
          <w:szCs w:val="24"/>
          <w:lang w:eastAsia="pl-PL"/>
        </w:rPr>
      </w:pPr>
      <w:r>
        <w:rPr>
          <w:rFonts w:ascii="Times New Roman" w:hAnsi="Times New Roman" w:cs="Times New Roman"/>
          <w:b/>
          <w:sz w:val="24"/>
          <w:szCs w:val="24"/>
          <w:lang w:eastAsia="pl-PL"/>
        </w:rPr>
        <w:t xml:space="preserve">Art. 3 </w:t>
      </w:r>
      <w:r w:rsidR="00A35E60" w:rsidRPr="0053598B">
        <w:rPr>
          <w:rFonts w:ascii="Times New Roman" w:hAnsi="Times New Roman" w:cs="Times New Roman"/>
          <w:b/>
          <w:sz w:val="24"/>
          <w:szCs w:val="24"/>
          <w:lang w:eastAsia="pl-PL"/>
        </w:rPr>
        <w:t>ustawy nowelizującej</w:t>
      </w:r>
      <w:r w:rsidR="00A35E60" w:rsidRPr="0053598B">
        <w:rPr>
          <w:rFonts w:ascii="Times New Roman" w:hAnsi="Times New Roman" w:cs="Times New Roman"/>
          <w:sz w:val="24"/>
          <w:szCs w:val="24"/>
          <w:lang w:eastAsia="pl-PL"/>
        </w:rPr>
        <w:t xml:space="preserve"> określa, że ustawa ma zastosowanie po raz pierwszy do sprawozdań sporządzonych za rok obrotowy rozpoczynający się 1 stycznia 2017 r. lub po tej dacie.</w:t>
      </w:r>
    </w:p>
    <w:p w:rsidR="00A35E60" w:rsidRPr="0053598B" w:rsidRDefault="00A35E60" w:rsidP="00E10BFF">
      <w:pPr>
        <w:pStyle w:val="Akapitzlist"/>
        <w:numPr>
          <w:ilvl w:val="0"/>
          <w:numId w:val="17"/>
        </w:numPr>
        <w:spacing w:line="360" w:lineRule="auto"/>
        <w:jc w:val="both"/>
        <w:rPr>
          <w:rFonts w:ascii="Times New Roman" w:hAnsi="Times New Roman" w:cs="Times New Roman"/>
          <w:color w:val="000000"/>
          <w:sz w:val="24"/>
          <w:szCs w:val="24"/>
          <w:lang w:eastAsia="pl-PL"/>
        </w:rPr>
      </w:pPr>
      <w:r w:rsidRPr="0053598B">
        <w:rPr>
          <w:rFonts w:ascii="Times New Roman" w:eastAsia="Times New Roman" w:hAnsi="Times New Roman" w:cs="Times New Roman"/>
          <w:b/>
          <w:color w:val="000000"/>
          <w:sz w:val="24"/>
          <w:szCs w:val="24"/>
          <w:lang w:eastAsia="pl-PL"/>
        </w:rPr>
        <w:lastRenderedPageBreak/>
        <w:t>Art. 4 ustawy nowelizującej</w:t>
      </w:r>
      <w:r w:rsidRPr="0053598B">
        <w:rPr>
          <w:rFonts w:ascii="Times New Roman" w:eastAsia="Times New Roman" w:hAnsi="Times New Roman" w:cs="Times New Roman"/>
          <w:color w:val="000000"/>
          <w:sz w:val="24"/>
          <w:szCs w:val="24"/>
          <w:lang w:eastAsia="pl-PL"/>
        </w:rPr>
        <w:t xml:space="preserve"> określa datę wejścia w życie ustawy po upływie 14 dni od dnia ogłoszenia.</w:t>
      </w:r>
    </w:p>
    <w:p w:rsidR="00A35E60" w:rsidRPr="005D7F97" w:rsidRDefault="00A35E60" w:rsidP="005D7F97">
      <w:pPr>
        <w:spacing w:line="360" w:lineRule="auto"/>
        <w:rPr>
          <w:color w:val="000000"/>
          <w:lang w:eastAsia="pl-PL"/>
        </w:rPr>
      </w:pPr>
    </w:p>
    <w:p w:rsidR="0092259C" w:rsidRPr="0053598B" w:rsidRDefault="0092259C" w:rsidP="00E10BFF">
      <w:pPr>
        <w:spacing w:before="120" w:line="360" w:lineRule="auto"/>
        <w:jc w:val="both"/>
      </w:pPr>
      <w:r w:rsidRPr="0053598B">
        <w:t>Zawarte w projekcie regulacje nie stanowią przepisów technicznych w rozumieniu rozporządzenia Rady Ministrów z dnia 23 grudnia 2002 r. w sprawie funkcjonowania krajowego systemu notyfikacji norm i aktów prawnych (Dz. U. poz. 2039</w:t>
      </w:r>
      <w:r w:rsidR="0025457A" w:rsidRPr="0053598B">
        <w:t>, z późn. zm.</w:t>
      </w:r>
      <w:r w:rsidRPr="0053598B">
        <w:t>), dlatego też projekt nie podlega procedurze notyfikacji.</w:t>
      </w:r>
    </w:p>
    <w:p w:rsidR="0092259C" w:rsidRPr="0053598B" w:rsidRDefault="0092259C" w:rsidP="00E10BFF">
      <w:pPr>
        <w:spacing w:before="120" w:line="360" w:lineRule="auto"/>
        <w:jc w:val="both"/>
      </w:pPr>
      <w:r w:rsidRPr="0053598B">
        <w:t>Zgodnie z art. 5 ustawy z dnia 7 lipca 2005 r. o działalności lobbingowej w procesie stanowienia prawa (Dz. U. poz. 1414, z późn. zm.) oraz § 4 i § 52 uchwały nr 190 Rady Ministrów z dnia 29 października 2013 r. – Regulamin pracy Rady Ministrów (M.P. </w:t>
      </w:r>
      <w:r w:rsidR="0053598B" w:rsidRPr="0053598B">
        <w:t xml:space="preserve">z 2016 r. </w:t>
      </w:r>
      <w:r w:rsidRPr="0053598B">
        <w:t xml:space="preserve">poz. </w:t>
      </w:r>
      <w:r w:rsidR="0053598B" w:rsidRPr="0053598B">
        <w:t>1006</w:t>
      </w:r>
      <w:r w:rsidRPr="0053598B">
        <w:t xml:space="preserve">), projekt ustawy został </w:t>
      </w:r>
      <w:r w:rsidR="0025457A" w:rsidRPr="0053598B">
        <w:t xml:space="preserve">udostępniony </w:t>
      </w:r>
      <w:r w:rsidRPr="0053598B">
        <w:t>w Biuletynie Informacji Publicznej Rządowego Centrum Legislacji na stronie podmiotowej Rządowego Centrum Legislacji, w serwisie Rządowy Proces Legislacyjny.</w:t>
      </w:r>
    </w:p>
    <w:p w:rsidR="0092259C" w:rsidRPr="0053598B" w:rsidRDefault="0092259C" w:rsidP="00E10BFF">
      <w:pPr>
        <w:spacing w:before="120" w:line="360" w:lineRule="auto"/>
        <w:jc w:val="both"/>
      </w:pPr>
      <w:r w:rsidRPr="0053598B">
        <w:t>Projektowana ustawa jest zgodna z prawem Unii Europejskiej.</w:t>
      </w:r>
    </w:p>
    <w:p w:rsidR="00E62006" w:rsidRPr="0053598B" w:rsidRDefault="00E62006" w:rsidP="00E10BFF">
      <w:pPr>
        <w:spacing w:before="120" w:line="360" w:lineRule="auto"/>
        <w:jc w:val="both"/>
      </w:pPr>
      <w:r w:rsidRPr="0053598B">
        <w:t>Projektowana ustawa nie zawiera regulacji podlegających opiniowaniu, dokonaniu powiadomienia, konsultacji albo uzgodnieniu z organami i instytucjami UE, w tym EBC.</w:t>
      </w:r>
    </w:p>
    <w:p w:rsidR="00BA5AE8" w:rsidRPr="005D7F97" w:rsidRDefault="0092259C" w:rsidP="005D7F97">
      <w:pPr>
        <w:spacing w:before="120" w:line="360" w:lineRule="auto"/>
        <w:jc w:val="both"/>
      </w:pPr>
      <w:r w:rsidRPr="0053598B">
        <w:t>Projekt ustawy został ujęty w Wykazie prac legislacyjnych Rady Ministrów pod</w:t>
      </w:r>
      <w:r w:rsidR="00505C16">
        <w:t xml:space="preserve"> </w:t>
      </w:r>
      <w:r w:rsidRPr="0053598B">
        <w:t>nr</w:t>
      </w:r>
      <w:r w:rsidR="00505C16">
        <w:t xml:space="preserve"> </w:t>
      </w:r>
      <w:r w:rsidR="005D7F97">
        <w:t>UC46.</w:t>
      </w:r>
    </w:p>
    <w:sectPr w:rsidR="00BA5AE8" w:rsidRPr="005D7F97" w:rsidSect="00E10BFF">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9D" w:rsidRDefault="006D5C9D" w:rsidP="005E5A55">
      <w:r>
        <w:separator/>
      </w:r>
    </w:p>
  </w:endnote>
  <w:endnote w:type="continuationSeparator" w:id="0">
    <w:p w:rsidR="006D5C9D" w:rsidRDefault="006D5C9D" w:rsidP="005E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857005"/>
      <w:docPartObj>
        <w:docPartGallery w:val="Page Numbers (Bottom of Page)"/>
        <w:docPartUnique/>
      </w:docPartObj>
    </w:sdtPr>
    <w:sdtEndPr/>
    <w:sdtContent>
      <w:p w:rsidR="006D5C9D" w:rsidRPr="00E10BFF" w:rsidRDefault="006D5C9D" w:rsidP="00E10BFF">
        <w:pPr>
          <w:pStyle w:val="Stopka"/>
          <w:jc w:val="center"/>
        </w:pPr>
        <w:r>
          <w:fldChar w:fldCharType="begin"/>
        </w:r>
        <w:r>
          <w:instrText>PAGE   \* MERGEFORMAT</w:instrText>
        </w:r>
        <w:r>
          <w:fldChar w:fldCharType="separate"/>
        </w:r>
        <w:r w:rsidR="00615177">
          <w:rPr>
            <w:noProof/>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9D" w:rsidRDefault="006D5C9D" w:rsidP="005E5A55">
      <w:r>
        <w:separator/>
      </w:r>
    </w:p>
  </w:footnote>
  <w:footnote w:type="continuationSeparator" w:id="0">
    <w:p w:rsidR="006D5C9D" w:rsidRDefault="006D5C9D" w:rsidP="005E5A55">
      <w:r>
        <w:continuationSeparator/>
      </w:r>
    </w:p>
  </w:footnote>
  <w:footnote w:id="1">
    <w:p w:rsidR="006D5C9D" w:rsidRDefault="006D5C9D" w:rsidP="0053598B">
      <w:pPr>
        <w:pStyle w:val="Tekstprzypisudolnego"/>
        <w:ind w:left="142" w:hanging="142"/>
        <w:jc w:val="both"/>
      </w:pPr>
      <w:r>
        <w:rPr>
          <w:rStyle w:val="Odwoanieprzypisudolnego"/>
        </w:rPr>
        <w:footnoteRef/>
      </w:r>
      <w:r w:rsidRPr="007A3322">
        <w:rPr>
          <w:vertAlign w:val="superscript"/>
        </w:rPr>
        <w:t>)</w:t>
      </w:r>
      <w:r>
        <w:t xml:space="preserve"> </w:t>
      </w:r>
      <w:r w:rsidRPr="00A67615">
        <w:t>Ministerstw</w:t>
      </w:r>
      <w:r>
        <w:t>a</w:t>
      </w:r>
      <w:r w:rsidRPr="00A67615">
        <w:t xml:space="preserve"> Gospodarki, Ministerstwa Infrastruktury i Rozwoju, Ministerstw</w:t>
      </w:r>
      <w:r>
        <w:t>a</w:t>
      </w:r>
      <w:r w:rsidRPr="00A67615">
        <w:t xml:space="preserve"> Skarbu Państwa, Komisji Nadzoru Finansowego, Narodowego Banku Polskiego, Krajowej Rady Biegłych Rewidentów, Stowarzyszenia Księgowych w Polsce, Izby Gospodarczej Towarzystw Emerytalnych, Izby Domów Maklerskich, Zarządu Związku Maklerów i Doradców, Izby Zarządzających Funduszami i Aktywami, Stowarzyszenia Emitentów Giełdowych, Związku Banków Polskich, Giełdy Papierów Wartościowych w Warszawie SA, BondSpot SA oraz Polskiego Stowarzyszeni</w:t>
      </w:r>
      <w:r>
        <w:t>a</w:t>
      </w:r>
      <w:r w:rsidRPr="00A67615">
        <w:t xml:space="preserve"> Inwestorów Kapitałowych</w:t>
      </w:r>
      <w:r w:rsidR="0053598B">
        <w:t>.</w:t>
      </w:r>
    </w:p>
  </w:footnote>
  <w:footnote w:id="2">
    <w:p w:rsidR="006D5C9D" w:rsidRDefault="006D5C9D" w:rsidP="0053598B">
      <w:pPr>
        <w:pStyle w:val="Tekstprzypisudolnego"/>
        <w:ind w:left="142" w:hanging="142"/>
      </w:pPr>
      <w:r>
        <w:rPr>
          <w:rStyle w:val="Odwoanieprzypisudolnego"/>
        </w:rPr>
        <w:footnoteRef/>
      </w:r>
      <w:r w:rsidRPr="007A3322">
        <w:rPr>
          <w:vertAlign w:val="superscript"/>
        </w:rPr>
        <w:t>)</w:t>
      </w:r>
      <w:r>
        <w:t xml:space="preserve"> </w:t>
      </w:r>
      <w:r w:rsidR="0053598B">
        <w:t>W</w:t>
      </w:r>
      <w:r>
        <w:t>yniki prekonsulatcji dostępne są na stronie internetowej MF w zakładce Działalność/Rachunkowość/Aktualności</w:t>
      </w:r>
      <w:r w:rsidR="0053598B">
        <w:t>.</w:t>
      </w:r>
    </w:p>
  </w:footnote>
  <w:footnote w:id="3">
    <w:p w:rsidR="006D5C9D" w:rsidRPr="001173C4" w:rsidRDefault="006D5C9D" w:rsidP="004D5FD0">
      <w:pPr>
        <w:pStyle w:val="Tekstprzypisudolnego"/>
        <w:ind w:left="142" w:hanging="142"/>
        <w:jc w:val="both"/>
      </w:pPr>
      <w:r>
        <w:rPr>
          <w:rStyle w:val="Odwoanieprzypisudolnego"/>
        </w:rPr>
        <w:footnoteRef/>
      </w:r>
      <w:r w:rsidRPr="007A3322">
        <w:rPr>
          <w:vertAlign w:val="superscript"/>
        </w:rPr>
        <w:t>)</w:t>
      </w:r>
      <w:r>
        <w:t xml:space="preserve"> </w:t>
      </w:r>
      <w:r w:rsidR="004D5FD0">
        <w:t>P</w:t>
      </w:r>
      <w:r w:rsidRPr="001173C4">
        <w:t>rzeliczenia na walutę polską dokonano wg kursu 1 euro = 4,2468 zł (opublikowanego w Dzienniku Urzędowym Unii Europejskiej w dniu wejścia w życie dyrektywy 2013/34, tj. na dzień 19 lipca 2013 r., tabela 2013/C 206/03) oraz zaokrąglono w górę, na podstawie art. 3 ust. 9 dyrektywy 2013/34/UE.</w:t>
      </w:r>
    </w:p>
  </w:footnote>
  <w:footnote w:id="4">
    <w:p w:rsidR="006D5C9D" w:rsidRDefault="006D5C9D" w:rsidP="004D5FD0">
      <w:pPr>
        <w:pStyle w:val="Tekstprzypisudolnego"/>
        <w:ind w:left="142" w:hanging="142"/>
        <w:jc w:val="both"/>
      </w:pPr>
      <w:r>
        <w:rPr>
          <w:rStyle w:val="Odwoanieprzypisudolnego"/>
        </w:rPr>
        <w:footnoteRef/>
      </w:r>
      <w:r w:rsidRPr="007A3322">
        <w:rPr>
          <w:vertAlign w:val="superscript"/>
        </w:rPr>
        <w:t>)</w:t>
      </w:r>
      <w:r>
        <w:t xml:space="preserve"> </w:t>
      </w:r>
      <w:r w:rsidR="004D5FD0">
        <w:t>T</w:t>
      </w:r>
      <w:r>
        <w:t>o samo podejście przyjęto do użytych w projekcie pojęć: niefinansowe wskaźniki efektywności oraz procedury należytej staranności.</w:t>
      </w:r>
    </w:p>
  </w:footnote>
  <w:footnote w:id="5">
    <w:p w:rsidR="006D5C9D" w:rsidRPr="001173C4" w:rsidRDefault="006D5C9D" w:rsidP="004D5FD0">
      <w:pPr>
        <w:pStyle w:val="Tekstprzypisudolnego"/>
        <w:ind w:left="142" w:hanging="142"/>
        <w:jc w:val="both"/>
      </w:pPr>
      <w:r w:rsidRPr="001173C4">
        <w:rPr>
          <w:rStyle w:val="Odwoanieprzypisudolnego"/>
        </w:rPr>
        <w:footnoteRef/>
      </w:r>
      <w:r w:rsidRPr="007A3322">
        <w:rPr>
          <w:vertAlign w:val="superscript"/>
        </w:rPr>
        <w:t>)</w:t>
      </w:r>
      <w:r w:rsidR="004D5FD0">
        <w:t xml:space="preserve"> P</w:t>
      </w:r>
      <w:r w:rsidRPr="001173C4">
        <w:t>or. Bogdan Rogoda, Katedra Przedsiębiorczości i Innowacji, Modele biznesu małych i średnich przedsiębiorstw, Zeszyty Naukowe Uniwersytetu Ekonomicznego w Krakowie nr 866 z 2011 r., s. 75</w:t>
      </w:r>
      <w:r w:rsidR="004D5FD0">
        <w:t>.</w:t>
      </w:r>
    </w:p>
  </w:footnote>
  <w:footnote w:id="6">
    <w:p w:rsidR="006D5C9D" w:rsidRDefault="006D5C9D" w:rsidP="004D5FD0">
      <w:pPr>
        <w:pStyle w:val="Tekstprzypisudolnego"/>
        <w:ind w:left="142" w:hanging="142"/>
        <w:jc w:val="both"/>
      </w:pPr>
      <w:r>
        <w:rPr>
          <w:rStyle w:val="Odwoanieprzypisudolnego"/>
        </w:rPr>
        <w:footnoteRef/>
      </w:r>
      <w:r w:rsidRPr="007A3322">
        <w:rPr>
          <w:vertAlign w:val="superscript"/>
        </w:rPr>
        <w:t>)</w:t>
      </w:r>
      <w:r>
        <w:t xml:space="preserve"> Marzena Rydzewska-Włodarczyk, Marcin Sobieraj, Pomiar efektywności procesów za pomocą kluczowych wskaźników efektywności, Zeszyty Naukowe Uniwersytetu Szczecińskiego nr 864, Finanse, Rynki finansowe, ubezpieczenia nr 76, t.2 (2015), s. 333–347</w:t>
      </w:r>
      <w:r w:rsidR="004D5FD0">
        <w:t>.</w:t>
      </w:r>
    </w:p>
  </w:footnote>
  <w:footnote w:id="7">
    <w:p w:rsidR="006D5C9D" w:rsidRDefault="006D5C9D" w:rsidP="004D5FD0">
      <w:pPr>
        <w:pStyle w:val="Tekstprzypisudolnego"/>
        <w:ind w:left="142" w:hanging="142"/>
        <w:jc w:val="both"/>
      </w:pPr>
      <w:r>
        <w:rPr>
          <w:rStyle w:val="Odwoanieprzypisudolnego"/>
        </w:rPr>
        <w:footnoteRef/>
      </w:r>
      <w:r w:rsidRPr="007A3322">
        <w:rPr>
          <w:vertAlign w:val="superscript"/>
        </w:rPr>
        <w:t>)</w:t>
      </w:r>
      <w:r>
        <w:t xml:space="preserve"> </w:t>
      </w:r>
      <w:r w:rsidR="004D5FD0">
        <w:t>P</w:t>
      </w:r>
      <w:r w:rsidRPr="00E605E8">
        <w:t>rzeliczenia na walutę</w:t>
      </w:r>
      <w:r>
        <w:t xml:space="preserve"> </w:t>
      </w:r>
      <w:r w:rsidRPr="00E605E8">
        <w:t>polską</w:t>
      </w:r>
      <w:r>
        <w:t xml:space="preserve"> dokonano</w:t>
      </w:r>
      <w:r w:rsidRPr="00E605E8">
        <w:t xml:space="preserve"> wg kursu 1 euro = 4,2468 zł (opublikowanego w Dzienniku Urzędowym Unii Europejskiej w dniu wejścia w życie dyrektywy 2013/34, tj. na dzień 19 lipca 2013 r., tabela 2013/C 206/03) oraz zaokrąglono w górę, na podstawie art. 3 ust. 9 dyrektywy</w:t>
      </w:r>
      <w:r>
        <w:t xml:space="preserve"> 2013/34/UE</w:t>
      </w:r>
      <w:r w:rsidRPr="00E605E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E7E"/>
    <w:multiLevelType w:val="hybridMultilevel"/>
    <w:tmpl w:val="D180A8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D0426F"/>
    <w:multiLevelType w:val="hybridMultilevel"/>
    <w:tmpl w:val="A6AEED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4B33A9"/>
    <w:multiLevelType w:val="hybridMultilevel"/>
    <w:tmpl w:val="275E8C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5D719F"/>
    <w:multiLevelType w:val="hybridMultilevel"/>
    <w:tmpl w:val="43EE9870"/>
    <w:lvl w:ilvl="0" w:tplc="3280AA42">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nsid w:val="09787D1D"/>
    <w:multiLevelType w:val="hybridMultilevel"/>
    <w:tmpl w:val="3684EFB0"/>
    <w:lvl w:ilvl="0" w:tplc="6632E9A0">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E755384"/>
    <w:multiLevelType w:val="hybridMultilevel"/>
    <w:tmpl w:val="95D0EC9A"/>
    <w:lvl w:ilvl="0" w:tplc="04150013">
      <w:start w:val="1"/>
      <w:numFmt w:val="upperRoman"/>
      <w:lvlText w:val="%1."/>
      <w:lvlJc w:val="right"/>
      <w:pPr>
        <w:ind w:left="720" w:hanging="360"/>
      </w:pPr>
      <w:rPr>
        <w:rFonts w:hint="default"/>
      </w:rPr>
    </w:lvl>
    <w:lvl w:ilvl="1" w:tplc="88A0EFF8">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8676A36"/>
    <w:multiLevelType w:val="hybridMultilevel"/>
    <w:tmpl w:val="92343840"/>
    <w:lvl w:ilvl="0" w:tplc="14A44E6A">
      <w:start w:val="1"/>
      <w:numFmt w:val="upperRoman"/>
      <w:lvlText w:val="%1."/>
      <w:lvlJc w:val="left"/>
      <w:pPr>
        <w:ind w:left="1430" w:hanging="72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DD14C3"/>
    <w:multiLevelType w:val="hybridMultilevel"/>
    <w:tmpl w:val="7F8C7B9E"/>
    <w:lvl w:ilvl="0" w:tplc="09B014D4">
      <w:start w:val="1"/>
      <w:numFmt w:val="decimal"/>
      <w:lvlText w:val="%1)"/>
      <w:lvlJc w:val="left"/>
      <w:pPr>
        <w:ind w:left="1060" w:hanging="360"/>
      </w:pPr>
      <w:rPr>
        <w:rFonts w:hint="default"/>
        <w:b/>
        <w:i w:val="0"/>
        <w:sz w:val="24"/>
        <w:szCs w:val="24"/>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nsid w:val="1D1444E7"/>
    <w:multiLevelType w:val="hybridMultilevel"/>
    <w:tmpl w:val="570E059A"/>
    <w:lvl w:ilvl="0" w:tplc="7D1E654C">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B44DFB"/>
    <w:multiLevelType w:val="hybridMultilevel"/>
    <w:tmpl w:val="CC5A27F0"/>
    <w:lvl w:ilvl="0" w:tplc="19122408">
      <w:start w:val="19"/>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A27F43"/>
    <w:multiLevelType w:val="hybridMultilevel"/>
    <w:tmpl w:val="EBE8E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DF6642"/>
    <w:multiLevelType w:val="hybridMultilevel"/>
    <w:tmpl w:val="6A5CE7E8"/>
    <w:lvl w:ilvl="0" w:tplc="D9B2219C">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0A2E00"/>
    <w:multiLevelType w:val="hybridMultilevel"/>
    <w:tmpl w:val="95D0EC9A"/>
    <w:lvl w:ilvl="0" w:tplc="04150013">
      <w:start w:val="1"/>
      <w:numFmt w:val="upperRoman"/>
      <w:lvlText w:val="%1."/>
      <w:lvlJc w:val="right"/>
      <w:pPr>
        <w:ind w:left="720" w:hanging="360"/>
      </w:pPr>
      <w:rPr>
        <w:rFonts w:hint="default"/>
      </w:rPr>
    </w:lvl>
    <w:lvl w:ilvl="1" w:tplc="88A0EFF8">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A362368"/>
    <w:multiLevelType w:val="hybridMultilevel"/>
    <w:tmpl w:val="6A1652E0"/>
    <w:lvl w:ilvl="0" w:tplc="F572B22A">
      <w:start w:val="1"/>
      <w:numFmt w:val="lowerLetter"/>
      <w:lvlText w:val="%1)"/>
      <w:lvlJc w:val="left"/>
      <w:pPr>
        <w:ind w:left="720" w:hanging="360"/>
      </w:pPr>
      <w:rPr>
        <w:rFonts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120713"/>
    <w:multiLevelType w:val="hybridMultilevel"/>
    <w:tmpl w:val="F86AB490"/>
    <w:lvl w:ilvl="0" w:tplc="09B014D4">
      <w:start w:val="1"/>
      <w:numFmt w:val="decimal"/>
      <w:lvlText w:val="%1)"/>
      <w:lvlJc w:val="left"/>
      <w:pPr>
        <w:tabs>
          <w:tab w:val="num" w:pos="113"/>
        </w:tabs>
        <w:ind w:left="340" w:hanging="340"/>
      </w:pPr>
      <w:rPr>
        <w:rFonts w:hint="default"/>
        <w:b/>
        <w:i w:val="0"/>
        <w:sz w:val="24"/>
        <w:szCs w:val="24"/>
      </w:rPr>
    </w:lvl>
    <w:lvl w:ilvl="1" w:tplc="F1CA7A1C">
      <w:start w:val="1"/>
      <w:numFmt w:val="bullet"/>
      <w:lvlText w:val="-"/>
      <w:lvlJc w:val="left"/>
      <w:pPr>
        <w:tabs>
          <w:tab w:val="num" w:pos="881"/>
        </w:tabs>
        <w:ind w:left="881" w:hanging="284"/>
      </w:pPr>
      <w:rPr>
        <w:rFonts w:ascii="Microsoft JhengHei" w:eastAsia="Microsoft JhengHei" w:hAnsi="Microsoft JhengHei" w:cs="Microsoft JhengHei" w:hint="eastAsia"/>
        <w:b/>
        <w:i w:val="0"/>
        <w:color w:val="auto"/>
      </w:rPr>
    </w:lvl>
    <w:lvl w:ilvl="2" w:tplc="3280AA42">
      <w:start w:val="1"/>
      <w:numFmt w:val="lowerLetter"/>
      <w:lvlText w:val="%3)"/>
      <w:lvlJc w:val="left"/>
      <w:pPr>
        <w:ind w:left="1857" w:hanging="360"/>
      </w:pPr>
      <w:rPr>
        <w:rFonts w:hint="default"/>
      </w:rPr>
    </w:lvl>
    <w:lvl w:ilvl="3" w:tplc="0415000F" w:tentative="1">
      <w:start w:val="1"/>
      <w:numFmt w:val="decimal"/>
      <w:lvlText w:val="%4."/>
      <w:lvlJc w:val="left"/>
      <w:pPr>
        <w:tabs>
          <w:tab w:val="num" w:pos="2397"/>
        </w:tabs>
        <w:ind w:left="2397" w:hanging="360"/>
      </w:pPr>
    </w:lvl>
    <w:lvl w:ilvl="4" w:tplc="04150019" w:tentative="1">
      <w:start w:val="1"/>
      <w:numFmt w:val="lowerLetter"/>
      <w:lvlText w:val="%5."/>
      <w:lvlJc w:val="left"/>
      <w:pPr>
        <w:tabs>
          <w:tab w:val="num" w:pos="3117"/>
        </w:tabs>
        <w:ind w:left="3117" w:hanging="360"/>
      </w:pPr>
    </w:lvl>
    <w:lvl w:ilvl="5" w:tplc="0415001B" w:tentative="1">
      <w:start w:val="1"/>
      <w:numFmt w:val="lowerRoman"/>
      <w:lvlText w:val="%6."/>
      <w:lvlJc w:val="right"/>
      <w:pPr>
        <w:tabs>
          <w:tab w:val="num" w:pos="3837"/>
        </w:tabs>
        <w:ind w:left="3837" w:hanging="180"/>
      </w:pPr>
    </w:lvl>
    <w:lvl w:ilvl="6" w:tplc="0415000F" w:tentative="1">
      <w:start w:val="1"/>
      <w:numFmt w:val="decimal"/>
      <w:lvlText w:val="%7."/>
      <w:lvlJc w:val="left"/>
      <w:pPr>
        <w:tabs>
          <w:tab w:val="num" w:pos="4557"/>
        </w:tabs>
        <w:ind w:left="4557" w:hanging="360"/>
      </w:pPr>
    </w:lvl>
    <w:lvl w:ilvl="7" w:tplc="04150019" w:tentative="1">
      <w:start w:val="1"/>
      <w:numFmt w:val="lowerLetter"/>
      <w:lvlText w:val="%8."/>
      <w:lvlJc w:val="left"/>
      <w:pPr>
        <w:tabs>
          <w:tab w:val="num" w:pos="5277"/>
        </w:tabs>
        <w:ind w:left="5277" w:hanging="360"/>
      </w:pPr>
    </w:lvl>
    <w:lvl w:ilvl="8" w:tplc="0415001B" w:tentative="1">
      <w:start w:val="1"/>
      <w:numFmt w:val="lowerRoman"/>
      <w:lvlText w:val="%9."/>
      <w:lvlJc w:val="right"/>
      <w:pPr>
        <w:tabs>
          <w:tab w:val="num" w:pos="5997"/>
        </w:tabs>
        <w:ind w:left="5997" w:hanging="180"/>
      </w:pPr>
    </w:lvl>
  </w:abstractNum>
  <w:abstractNum w:abstractNumId="15">
    <w:nsid w:val="2FC2516D"/>
    <w:multiLevelType w:val="hybridMultilevel"/>
    <w:tmpl w:val="37042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7A7D0C"/>
    <w:multiLevelType w:val="hybridMultilevel"/>
    <w:tmpl w:val="1DF0D5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1E3215F"/>
    <w:multiLevelType w:val="hybridMultilevel"/>
    <w:tmpl w:val="D854A33A"/>
    <w:lvl w:ilvl="0" w:tplc="8224475C">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C85DE3"/>
    <w:multiLevelType w:val="hybridMultilevel"/>
    <w:tmpl w:val="59B02FD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6B8749C"/>
    <w:multiLevelType w:val="hybridMultilevel"/>
    <w:tmpl w:val="B596DD72"/>
    <w:lvl w:ilvl="0" w:tplc="D9B2219C">
      <w:start w:val="1"/>
      <w:numFmt w:val="bullet"/>
      <w:lvlText w:val="-"/>
      <w:lvlJc w:val="left"/>
      <w:pPr>
        <w:ind w:left="1353" w:hanging="360"/>
      </w:pPr>
      <w:rPr>
        <w:rFonts w:ascii="Sylfaen" w:hAnsi="Sylfae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0">
    <w:nsid w:val="38721990"/>
    <w:multiLevelType w:val="hybridMultilevel"/>
    <w:tmpl w:val="3B1E7E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9412000"/>
    <w:multiLevelType w:val="hybridMultilevel"/>
    <w:tmpl w:val="9B5A6376"/>
    <w:lvl w:ilvl="0" w:tplc="8224475C">
      <w:start w:val="1"/>
      <w:numFmt w:val="decimal"/>
      <w:lvlText w:val="%1)"/>
      <w:lvlJc w:val="left"/>
      <w:pPr>
        <w:tabs>
          <w:tab w:val="num" w:pos="113"/>
        </w:tabs>
        <w:ind w:left="340" w:hanging="340"/>
      </w:pPr>
      <w:rPr>
        <w:rFonts w:hint="default"/>
        <w:b/>
        <w:i w:val="0"/>
        <w:sz w:val="24"/>
        <w:szCs w:val="24"/>
      </w:rPr>
    </w:lvl>
    <w:lvl w:ilvl="1" w:tplc="F1CA7A1C">
      <w:start w:val="1"/>
      <w:numFmt w:val="bullet"/>
      <w:lvlText w:val="-"/>
      <w:lvlJc w:val="left"/>
      <w:pPr>
        <w:tabs>
          <w:tab w:val="num" w:pos="1307"/>
        </w:tabs>
        <w:ind w:left="1307" w:hanging="284"/>
      </w:pPr>
      <w:rPr>
        <w:rFonts w:ascii="Microsoft JhengHei" w:eastAsia="Microsoft JhengHei" w:hAnsi="Microsoft JhengHei" w:cs="Microsoft JhengHei" w:hint="eastAsia"/>
        <w:b/>
        <w:i w:val="0"/>
        <w:color w:val="auto"/>
      </w:rPr>
    </w:lvl>
    <w:lvl w:ilvl="2" w:tplc="3280AA42">
      <w:start w:val="1"/>
      <w:numFmt w:val="lowerLetter"/>
      <w:lvlText w:val="%3)"/>
      <w:lvlJc w:val="left"/>
      <w:pPr>
        <w:ind w:left="2283" w:hanging="360"/>
      </w:pPr>
      <w:rPr>
        <w:rFonts w:hint="default"/>
      </w:r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22">
    <w:nsid w:val="3B6A1C21"/>
    <w:multiLevelType w:val="hybridMultilevel"/>
    <w:tmpl w:val="FFDE92E0"/>
    <w:lvl w:ilvl="0" w:tplc="821CE40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F184208"/>
    <w:multiLevelType w:val="hybridMultilevel"/>
    <w:tmpl w:val="EC6C8B7C"/>
    <w:lvl w:ilvl="0" w:tplc="D9B2219C">
      <w:start w:val="1"/>
      <w:numFmt w:val="bullet"/>
      <w:lvlText w:val="-"/>
      <w:lvlJc w:val="left"/>
      <w:pPr>
        <w:ind w:left="1776" w:hanging="360"/>
      </w:pPr>
      <w:rPr>
        <w:rFonts w:ascii="Sylfaen" w:hAnsi="Sylfae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nsid w:val="414B0FF1"/>
    <w:multiLevelType w:val="hybridMultilevel"/>
    <w:tmpl w:val="7A78CB12"/>
    <w:lvl w:ilvl="0" w:tplc="B0A43238">
      <w:start w:val="1"/>
      <w:numFmt w:val="decimal"/>
      <w:lvlText w:val="%1)"/>
      <w:lvlJc w:val="left"/>
      <w:pPr>
        <w:ind w:left="1060" w:hanging="360"/>
      </w:pPr>
      <w:rPr>
        <w:rFonts w:hint="default"/>
        <w:color w:val="00000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nsid w:val="41E70616"/>
    <w:multiLevelType w:val="hybridMultilevel"/>
    <w:tmpl w:val="9B5A6376"/>
    <w:lvl w:ilvl="0" w:tplc="8224475C">
      <w:start w:val="1"/>
      <w:numFmt w:val="decimal"/>
      <w:lvlText w:val="%1)"/>
      <w:lvlJc w:val="left"/>
      <w:pPr>
        <w:tabs>
          <w:tab w:val="num" w:pos="113"/>
        </w:tabs>
        <w:ind w:left="340" w:hanging="340"/>
      </w:pPr>
      <w:rPr>
        <w:rFonts w:hint="default"/>
        <w:b/>
        <w:i w:val="0"/>
        <w:sz w:val="24"/>
        <w:szCs w:val="24"/>
      </w:rPr>
    </w:lvl>
    <w:lvl w:ilvl="1" w:tplc="F1CA7A1C">
      <w:start w:val="1"/>
      <w:numFmt w:val="bullet"/>
      <w:lvlText w:val="-"/>
      <w:lvlJc w:val="left"/>
      <w:pPr>
        <w:tabs>
          <w:tab w:val="num" w:pos="1307"/>
        </w:tabs>
        <w:ind w:left="1307" w:hanging="284"/>
      </w:pPr>
      <w:rPr>
        <w:rFonts w:ascii="Microsoft JhengHei" w:eastAsia="Microsoft JhengHei" w:hAnsi="Microsoft JhengHei" w:cs="Microsoft JhengHei" w:hint="eastAsia"/>
        <w:b/>
        <w:i w:val="0"/>
        <w:color w:val="auto"/>
      </w:rPr>
    </w:lvl>
    <w:lvl w:ilvl="2" w:tplc="3280AA42">
      <w:start w:val="1"/>
      <w:numFmt w:val="lowerLetter"/>
      <w:lvlText w:val="%3)"/>
      <w:lvlJc w:val="left"/>
      <w:pPr>
        <w:ind w:left="2283" w:hanging="360"/>
      </w:pPr>
      <w:rPr>
        <w:rFonts w:hint="default"/>
      </w:r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26">
    <w:nsid w:val="46532133"/>
    <w:multiLevelType w:val="hybridMultilevel"/>
    <w:tmpl w:val="FA2E8212"/>
    <w:lvl w:ilvl="0" w:tplc="7D1E65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nsid w:val="4A7F24EC"/>
    <w:multiLevelType w:val="hybridMultilevel"/>
    <w:tmpl w:val="87F65AC0"/>
    <w:lvl w:ilvl="0" w:tplc="0748BF32">
      <w:start w:val="1"/>
      <w:numFmt w:val="decimal"/>
      <w:lvlText w:val="%1)"/>
      <w:lvlJc w:val="left"/>
      <w:pPr>
        <w:tabs>
          <w:tab w:val="num" w:pos="113"/>
        </w:tabs>
        <w:ind w:left="340" w:hanging="340"/>
      </w:pPr>
      <w:rPr>
        <w:rFonts w:hint="default"/>
        <w:b/>
        <w:i w:val="0"/>
        <w:sz w:val="24"/>
        <w:szCs w:val="24"/>
      </w:rPr>
    </w:lvl>
    <w:lvl w:ilvl="1" w:tplc="F1CA7A1C">
      <w:start w:val="1"/>
      <w:numFmt w:val="bullet"/>
      <w:lvlText w:val="-"/>
      <w:lvlJc w:val="left"/>
      <w:pPr>
        <w:tabs>
          <w:tab w:val="num" w:pos="881"/>
        </w:tabs>
        <w:ind w:left="881" w:hanging="284"/>
      </w:pPr>
      <w:rPr>
        <w:rFonts w:ascii="Microsoft JhengHei" w:eastAsia="Microsoft JhengHei" w:hAnsi="Microsoft JhengHei" w:cs="Microsoft JhengHei" w:hint="eastAsia"/>
        <w:b/>
        <w:i w:val="0"/>
        <w:color w:val="auto"/>
      </w:rPr>
    </w:lvl>
    <w:lvl w:ilvl="2" w:tplc="3280AA42">
      <w:start w:val="1"/>
      <w:numFmt w:val="lowerLetter"/>
      <w:lvlText w:val="%3)"/>
      <w:lvlJc w:val="left"/>
      <w:pPr>
        <w:ind w:left="1857" w:hanging="360"/>
      </w:pPr>
      <w:rPr>
        <w:rFonts w:hint="default"/>
      </w:rPr>
    </w:lvl>
    <w:lvl w:ilvl="3" w:tplc="0415000F" w:tentative="1">
      <w:start w:val="1"/>
      <w:numFmt w:val="decimal"/>
      <w:lvlText w:val="%4."/>
      <w:lvlJc w:val="left"/>
      <w:pPr>
        <w:tabs>
          <w:tab w:val="num" w:pos="2397"/>
        </w:tabs>
        <w:ind w:left="2397" w:hanging="360"/>
      </w:pPr>
    </w:lvl>
    <w:lvl w:ilvl="4" w:tplc="04150019" w:tentative="1">
      <w:start w:val="1"/>
      <w:numFmt w:val="lowerLetter"/>
      <w:lvlText w:val="%5."/>
      <w:lvlJc w:val="left"/>
      <w:pPr>
        <w:tabs>
          <w:tab w:val="num" w:pos="3117"/>
        </w:tabs>
        <w:ind w:left="3117" w:hanging="360"/>
      </w:pPr>
    </w:lvl>
    <w:lvl w:ilvl="5" w:tplc="0415001B" w:tentative="1">
      <w:start w:val="1"/>
      <w:numFmt w:val="lowerRoman"/>
      <w:lvlText w:val="%6."/>
      <w:lvlJc w:val="right"/>
      <w:pPr>
        <w:tabs>
          <w:tab w:val="num" w:pos="3837"/>
        </w:tabs>
        <w:ind w:left="3837" w:hanging="180"/>
      </w:pPr>
    </w:lvl>
    <w:lvl w:ilvl="6" w:tplc="0415000F" w:tentative="1">
      <w:start w:val="1"/>
      <w:numFmt w:val="decimal"/>
      <w:lvlText w:val="%7."/>
      <w:lvlJc w:val="left"/>
      <w:pPr>
        <w:tabs>
          <w:tab w:val="num" w:pos="4557"/>
        </w:tabs>
        <w:ind w:left="4557" w:hanging="360"/>
      </w:pPr>
    </w:lvl>
    <w:lvl w:ilvl="7" w:tplc="04150019" w:tentative="1">
      <w:start w:val="1"/>
      <w:numFmt w:val="lowerLetter"/>
      <w:lvlText w:val="%8."/>
      <w:lvlJc w:val="left"/>
      <w:pPr>
        <w:tabs>
          <w:tab w:val="num" w:pos="5277"/>
        </w:tabs>
        <w:ind w:left="5277" w:hanging="360"/>
      </w:pPr>
    </w:lvl>
    <w:lvl w:ilvl="8" w:tplc="0415001B" w:tentative="1">
      <w:start w:val="1"/>
      <w:numFmt w:val="lowerRoman"/>
      <w:lvlText w:val="%9."/>
      <w:lvlJc w:val="right"/>
      <w:pPr>
        <w:tabs>
          <w:tab w:val="num" w:pos="5997"/>
        </w:tabs>
        <w:ind w:left="5997" w:hanging="180"/>
      </w:pPr>
    </w:lvl>
  </w:abstractNum>
  <w:abstractNum w:abstractNumId="28">
    <w:nsid w:val="4B636CB6"/>
    <w:multiLevelType w:val="hybridMultilevel"/>
    <w:tmpl w:val="8C60B84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51C07A3B"/>
    <w:multiLevelType w:val="hybridMultilevel"/>
    <w:tmpl w:val="112077EC"/>
    <w:lvl w:ilvl="0" w:tplc="8B38534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501D49"/>
    <w:multiLevelType w:val="hybridMultilevel"/>
    <w:tmpl w:val="6DEEBAAC"/>
    <w:lvl w:ilvl="0" w:tplc="0748BF3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33441"/>
    <w:multiLevelType w:val="hybridMultilevel"/>
    <w:tmpl w:val="A97A5910"/>
    <w:lvl w:ilvl="0" w:tplc="D9B2219C">
      <w:start w:val="1"/>
      <w:numFmt w:val="bullet"/>
      <w:lvlText w:val="-"/>
      <w:lvlJc w:val="left"/>
      <w:pPr>
        <w:ind w:left="644" w:hanging="360"/>
      </w:pPr>
      <w:rPr>
        <w:rFonts w:ascii="Sylfaen" w:hAnsi="Sylfae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nsid w:val="638121E6"/>
    <w:multiLevelType w:val="hybridMultilevel"/>
    <w:tmpl w:val="6C72B5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3977425"/>
    <w:multiLevelType w:val="hybridMultilevel"/>
    <w:tmpl w:val="1DB4E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B13561"/>
    <w:multiLevelType w:val="hybridMultilevel"/>
    <w:tmpl w:val="24701E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336FD8"/>
    <w:multiLevelType w:val="hybridMultilevel"/>
    <w:tmpl w:val="F81E568E"/>
    <w:lvl w:ilvl="0" w:tplc="5F441C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BE9075A"/>
    <w:multiLevelType w:val="hybridMultilevel"/>
    <w:tmpl w:val="71765FE8"/>
    <w:lvl w:ilvl="0" w:tplc="5B6E05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F2CCC"/>
    <w:multiLevelType w:val="hybridMultilevel"/>
    <w:tmpl w:val="71A4FC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EDC43E0"/>
    <w:multiLevelType w:val="hybridMultilevel"/>
    <w:tmpl w:val="593E03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25874B2"/>
    <w:multiLevelType w:val="hybridMultilevel"/>
    <w:tmpl w:val="1090E552"/>
    <w:lvl w:ilvl="0" w:tplc="D9B2219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34D2C48"/>
    <w:multiLevelType w:val="hybridMultilevel"/>
    <w:tmpl w:val="3B1E7E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7BA74DF"/>
    <w:multiLevelType w:val="hybridMultilevel"/>
    <w:tmpl w:val="126C2F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8407004"/>
    <w:multiLevelType w:val="hybridMultilevel"/>
    <w:tmpl w:val="4532054C"/>
    <w:lvl w:ilvl="0" w:tplc="D9B2219C">
      <w:start w:val="1"/>
      <w:numFmt w:val="bullet"/>
      <w:lvlText w:val="-"/>
      <w:lvlJc w:val="left"/>
      <w:pPr>
        <w:ind w:left="1060" w:hanging="360"/>
      </w:pPr>
      <w:rPr>
        <w:rFonts w:ascii="Sylfaen" w:hAnsi="Sylfaen"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nsid w:val="7AA01E5F"/>
    <w:multiLevelType w:val="hybridMultilevel"/>
    <w:tmpl w:val="575CC0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525BD2"/>
    <w:multiLevelType w:val="hybridMultilevel"/>
    <w:tmpl w:val="A98626F6"/>
    <w:lvl w:ilvl="0" w:tplc="D9B2219C">
      <w:start w:val="1"/>
      <w:numFmt w:val="bullet"/>
      <w:lvlText w:val="-"/>
      <w:lvlJc w:val="left"/>
      <w:pPr>
        <w:ind w:left="1060" w:hanging="360"/>
      </w:pPr>
      <w:rPr>
        <w:rFonts w:ascii="Sylfaen" w:hAnsi="Sylfaen"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abstractNumId w:val="12"/>
  </w:num>
  <w:num w:numId="2">
    <w:abstractNumId w:val="2"/>
  </w:num>
  <w:num w:numId="3">
    <w:abstractNumId w:val="16"/>
  </w:num>
  <w:num w:numId="4">
    <w:abstractNumId w:val="38"/>
  </w:num>
  <w:num w:numId="5">
    <w:abstractNumId w:val="6"/>
  </w:num>
  <w:num w:numId="6">
    <w:abstractNumId w:val="19"/>
  </w:num>
  <w:num w:numId="7">
    <w:abstractNumId w:val="22"/>
  </w:num>
  <w:num w:numId="8">
    <w:abstractNumId w:val="23"/>
  </w:num>
  <w:num w:numId="9">
    <w:abstractNumId w:val="32"/>
  </w:num>
  <w:num w:numId="10">
    <w:abstractNumId w:val="0"/>
  </w:num>
  <w:num w:numId="11">
    <w:abstractNumId w:val="18"/>
  </w:num>
  <w:num w:numId="12">
    <w:abstractNumId w:val="43"/>
  </w:num>
  <w:num w:numId="13">
    <w:abstractNumId w:val="41"/>
  </w:num>
  <w:num w:numId="14">
    <w:abstractNumId w:val="8"/>
  </w:num>
  <w:num w:numId="15">
    <w:abstractNumId w:val="39"/>
  </w:num>
  <w:num w:numId="16">
    <w:abstractNumId w:val="5"/>
  </w:num>
  <w:num w:numId="17">
    <w:abstractNumId w:val="14"/>
  </w:num>
  <w:num w:numId="18">
    <w:abstractNumId w:val="1"/>
  </w:num>
  <w:num w:numId="19">
    <w:abstractNumId w:val="40"/>
  </w:num>
  <w:num w:numId="20">
    <w:abstractNumId w:val="35"/>
  </w:num>
  <w:num w:numId="21">
    <w:abstractNumId w:val="34"/>
  </w:num>
  <w:num w:numId="22">
    <w:abstractNumId w:val="20"/>
  </w:num>
  <w:num w:numId="23">
    <w:abstractNumId w:val="10"/>
  </w:num>
  <w:num w:numId="24">
    <w:abstractNumId w:val="29"/>
  </w:num>
  <w:num w:numId="25">
    <w:abstractNumId w:val="37"/>
  </w:num>
  <w:num w:numId="26">
    <w:abstractNumId w:val="36"/>
  </w:num>
  <w:num w:numId="27">
    <w:abstractNumId w:val="4"/>
  </w:num>
  <w:num w:numId="28">
    <w:abstractNumId w:val="4"/>
  </w:num>
  <w:num w:numId="29">
    <w:abstractNumId w:val="17"/>
  </w:num>
  <w:num w:numId="30">
    <w:abstractNumId w:val="13"/>
  </w:num>
  <w:num w:numId="31">
    <w:abstractNumId w:val="28"/>
  </w:num>
  <w:num w:numId="32">
    <w:abstractNumId w:val="3"/>
  </w:num>
  <w:num w:numId="33">
    <w:abstractNumId w:val="21"/>
  </w:num>
  <w:num w:numId="34">
    <w:abstractNumId w:val="25"/>
  </w:num>
  <w:num w:numId="35">
    <w:abstractNumId w:val="27"/>
  </w:num>
  <w:num w:numId="36">
    <w:abstractNumId w:val="9"/>
  </w:num>
  <w:num w:numId="37">
    <w:abstractNumId w:val="30"/>
  </w:num>
  <w:num w:numId="38">
    <w:abstractNumId w:val="11"/>
  </w:num>
  <w:num w:numId="39">
    <w:abstractNumId w:val="26"/>
  </w:num>
  <w:num w:numId="40">
    <w:abstractNumId w:val="31"/>
  </w:num>
  <w:num w:numId="41">
    <w:abstractNumId w:val="24"/>
  </w:num>
  <w:num w:numId="42">
    <w:abstractNumId w:val="44"/>
  </w:num>
  <w:num w:numId="43">
    <w:abstractNumId w:val="42"/>
  </w:num>
  <w:num w:numId="44">
    <w:abstractNumId w:val="7"/>
  </w:num>
  <w:num w:numId="45">
    <w:abstractNumId w:val="1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68"/>
    <w:rsid w:val="00001EBC"/>
    <w:rsid w:val="00003213"/>
    <w:rsid w:val="000051C2"/>
    <w:rsid w:val="00006038"/>
    <w:rsid w:val="00007D35"/>
    <w:rsid w:val="00014E80"/>
    <w:rsid w:val="00026D9C"/>
    <w:rsid w:val="00030804"/>
    <w:rsid w:val="000327C7"/>
    <w:rsid w:val="00036D19"/>
    <w:rsid w:val="000422FC"/>
    <w:rsid w:val="000468E4"/>
    <w:rsid w:val="00047C0C"/>
    <w:rsid w:val="0005549F"/>
    <w:rsid w:val="00056B46"/>
    <w:rsid w:val="00070BD9"/>
    <w:rsid w:val="000838DD"/>
    <w:rsid w:val="00086D80"/>
    <w:rsid w:val="00087F9C"/>
    <w:rsid w:val="0009114B"/>
    <w:rsid w:val="00092AD3"/>
    <w:rsid w:val="00092DB7"/>
    <w:rsid w:val="00097AC9"/>
    <w:rsid w:val="000A4F33"/>
    <w:rsid w:val="000A4FDC"/>
    <w:rsid w:val="000A7AC2"/>
    <w:rsid w:val="000B552C"/>
    <w:rsid w:val="000C2450"/>
    <w:rsid w:val="000C2B49"/>
    <w:rsid w:val="000C74E8"/>
    <w:rsid w:val="000D1218"/>
    <w:rsid w:val="000D388A"/>
    <w:rsid w:val="000D54F4"/>
    <w:rsid w:val="000D628F"/>
    <w:rsid w:val="000E0C82"/>
    <w:rsid w:val="000E142E"/>
    <w:rsid w:val="000F0E41"/>
    <w:rsid w:val="000F25B9"/>
    <w:rsid w:val="000F2AFC"/>
    <w:rsid w:val="000F36A5"/>
    <w:rsid w:val="000F4DA3"/>
    <w:rsid w:val="0010133B"/>
    <w:rsid w:val="001033FA"/>
    <w:rsid w:val="001044C8"/>
    <w:rsid w:val="00106345"/>
    <w:rsid w:val="0011333F"/>
    <w:rsid w:val="001173C4"/>
    <w:rsid w:val="00117E1F"/>
    <w:rsid w:val="00122DC7"/>
    <w:rsid w:val="00123C95"/>
    <w:rsid w:val="00124F45"/>
    <w:rsid w:val="001255AA"/>
    <w:rsid w:val="001258DA"/>
    <w:rsid w:val="00140682"/>
    <w:rsid w:val="0015214C"/>
    <w:rsid w:val="00156434"/>
    <w:rsid w:val="001612B6"/>
    <w:rsid w:val="00163516"/>
    <w:rsid w:val="00165C23"/>
    <w:rsid w:val="001717E2"/>
    <w:rsid w:val="00171D1D"/>
    <w:rsid w:val="001736BE"/>
    <w:rsid w:val="00176E79"/>
    <w:rsid w:val="00180CC2"/>
    <w:rsid w:val="00181453"/>
    <w:rsid w:val="00186D5A"/>
    <w:rsid w:val="001873EB"/>
    <w:rsid w:val="00191005"/>
    <w:rsid w:val="00191922"/>
    <w:rsid w:val="00193AFD"/>
    <w:rsid w:val="00196794"/>
    <w:rsid w:val="001A03FC"/>
    <w:rsid w:val="001A07F1"/>
    <w:rsid w:val="001A21E1"/>
    <w:rsid w:val="001A421D"/>
    <w:rsid w:val="001A446E"/>
    <w:rsid w:val="001A6DAF"/>
    <w:rsid w:val="001C0F5B"/>
    <w:rsid w:val="001C6F07"/>
    <w:rsid w:val="001D254D"/>
    <w:rsid w:val="001D329A"/>
    <w:rsid w:val="001E2469"/>
    <w:rsid w:val="001E5112"/>
    <w:rsid w:val="001E7CB1"/>
    <w:rsid w:val="001F2796"/>
    <w:rsid w:val="001F33EF"/>
    <w:rsid w:val="001F48FE"/>
    <w:rsid w:val="001F6461"/>
    <w:rsid w:val="00200F2C"/>
    <w:rsid w:val="002015AF"/>
    <w:rsid w:val="002034A2"/>
    <w:rsid w:val="00206A9A"/>
    <w:rsid w:val="00213459"/>
    <w:rsid w:val="00220F3B"/>
    <w:rsid w:val="00230623"/>
    <w:rsid w:val="00234505"/>
    <w:rsid w:val="00243016"/>
    <w:rsid w:val="00243A20"/>
    <w:rsid w:val="0024642A"/>
    <w:rsid w:val="002465D9"/>
    <w:rsid w:val="0024717B"/>
    <w:rsid w:val="00251135"/>
    <w:rsid w:val="0025457A"/>
    <w:rsid w:val="002568E8"/>
    <w:rsid w:val="002602D2"/>
    <w:rsid w:val="0026374C"/>
    <w:rsid w:val="00265FB1"/>
    <w:rsid w:val="00274FE1"/>
    <w:rsid w:val="002760DB"/>
    <w:rsid w:val="00283E21"/>
    <w:rsid w:val="002842D9"/>
    <w:rsid w:val="00284E82"/>
    <w:rsid w:val="002862F1"/>
    <w:rsid w:val="00286DC7"/>
    <w:rsid w:val="00287EA5"/>
    <w:rsid w:val="002920DB"/>
    <w:rsid w:val="0029416A"/>
    <w:rsid w:val="0029618F"/>
    <w:rsid w:val="002A4E67"/>
    <w:rsid w:val="002B3DA8"/>
    <w:rsid w:val="002B6A8A"/>
    <w:rsid w:val="002C0A42"/>
    <w:rsid w:val="002C22B6"/>
    <w:rsid w:val="002C2BFE"/>
    <w:rsid w:val="002C45DF"/>
    <w:rsid w:val="002C48B0"/>
    <w:rsid w:val="002C6072"/>
    <w:rsid w:val="002C6701"/>
    <w:rsid w:val="002C7468"/>
    <w:rsid w:val="002D04D1"/>
    <w:rsid w:val="002D1A4B"/>
    <w:rsid w:val="002D3999"/>
    <w:rsid w:val="002D4649"/>
    <w:rsid w:val="002D779D"/>
    <w:rsid w:val="002E038B"/>
    <w:rsid w:val="002E2BC1"/>
    <w:rsid w:val="002E4953"/>
    <w:rsid w:val="002F4E5B"/>
    <w:rsid w:val="00300930"/>
    <w:rsid w:val="003012CC"/>
    <w:rsid w:val="00304D31"/>
    <w:rsid w:val="00305773"/>
    <w:rsid w:val="00306029"/>
    <w:rsid w:val="00312DC3"/>
    <w:rsid w:val="00320EB6"/>
    <w:rsid w:val="003248BA"/>
    <w:rsid w:val="00333670"/>
    <w:rsid w:val="00337125"/>
    <w:rsid w:val="003403D5"/>
    <w:rsid w:val="00341DE8"/>
    <w:rsid w:val="00347D25"/>
    <w:rsid w:val="00360BCC"/>
    <w:rsid w:val="00361820"/>
    <w:rsid w:val="00371450"/>
    <w:rsid w:val="00371661"/>
    <w:rsid w:val="00372F0E"/>
    <w:rsid w:val="003755AF"/>
    <w:rsid w:val="00375684"/>
    <w:rsid w:val="003872C9"/>
    <w:rsid w:val="00387641"/>
    <w:rsid w:val="003A620A"/>
    <w:rsid w:val="003A7504"/>
    <w:rsid w:val="003B2122"/>
    <w:rsid w:val="003B433E"/>
    <w:rsid w:val="003C6D43"/>
    <w:rsid w:val="003D02D4"/>
    <w:rsid w:val="003D0A35"/>
    <w:rsid w:val="003E07E6"/>
    <w:rsid w:val="003E2048"/>
    <w:rsid w:val="003E7660"/>
    <w:rsid w:val="003F0D97"/>
    <w:rsid w:val="003F1896"/>
    <w:rsid w:val="004019F2"/>
    <w:rsid w:val="004021E3"/>
    <w:rsid w:val="0041220B"/>
    <w:rsid w:val="00417EC1"/>
    <w:rsid w:val="00425122"/>
    <w:rsid w:val="004376BD"/>
    <w:rsid w:val="00444817"/>
    <w:rsid w:val="00447FDA"/>
    <w:rsid w:val="0045023B"/>
    <w:rsid w:val="00461668"/>
    <w:rsid w:val="0046379C"/>
    <w:rsid w:val="00464CA9"/>
    <w:rsid w:val="00467BD4"/>
    <w:rsid w:val="00470449"/>
    <w:rsid w:val="004711D2"/>
    <w:rsid w:val="004735DF"/>
    <w:rsid w:val="0047545D"/>
    <w:rsid w:val="00491C99"/>
    <w:rsid w:val="00492D90"/>
    <w:rsid w:val="004944B8"/>
    <w:rsid w:val="004952E1"/>
    <w:rsid w:val="00497DA3"/>
    <w:rsid w:val="004A0339"/>
    <w:rsid w:val="004A1F11"/>
    <w:rsid w:val="004A2892"/>
    <w:rsid w:val="004A482F"/>
    <w:rsid w:val="004B7AE7"/>
    <w:rsid w:val="004B7BAC"/>
    <w:rsid w:val="004C3ED6"/>
    <w:rsid w:val="004D0724"/>
    <w:rsid w:val="004D0E3E"/>
    <w:rsid w:val="004D45D2"/>
    <w:rsid w:val="004D5FD0"/>
    <w:rsid w:val="004D7251"/>
    <w:rsid w:val="004E155D"/>
    <w:rsid w:val="004F6EC2"/>
    <w:rsid w:val="004F6FDB"/>
    <w:rsid w:val="005053B8"/>
    <w:rsid w:val="00505C16"/>
    <w:rsid w:val="00505EC6"/>
    <w:rsid w:val="00511349"/>
    <w:rsid w:val="00522A76"/>
    <w:rsid w:val="0053598B"/>
    <w:rsid w:val="005530B3"/>
    <w:rsid w:val="005613DC"/>
    <w:rsid w:val="00561DA6"/>
    <w:rsid w:val="005655D4"/>
    <w:rsid w:val="00565EAD"/>
    <w:rsid w:val="005668F4"/>
    <w:rsid w:val="005711AD"/>
    <w:rsid w:val="00574974"/>
    <w:rsid w:val="005757D7"/>
    <w:rsid w:val="00580290"/>
    <w:rsid w:val="005805F4"/>
    <w:rsid w:val="00587840"/>
    <w:rsid w:val="0059112E"/>
    <w:rsid w:val="005A1512"/>
    <w:rsid w:val="005A3AAE"/>
    <w:rsid w:val="005B07AA"/>
    <w:rsid w:val="005B33C4"/>
    <w:rsid w:val="005B33EC"/>
    <w:rsid w:val="005B744C"/>
    <w:rsid w:val="005C10B7"/>
    <w:rsid w:val="005C2219"/>
    <w:rsid w:val="005C2DFD"/>
    <w:rsid w:val="005D09ED"/>
    <w:rsid w:val="005D4693"/>
    <w:rsid w:val="005D56EB"/>
    <w:rsid w:val="005D7F97"/>
    <w:rsid w:val="005E0BB1"/>
    <w:rsid w:val="005E4947"/>
    <w:rsid w:val="005E5A55"/>
    <w:rsid w:val="005F468C"/>
    <w:rsid w:val="00602280"/>
    <w:rsid w:val="00610D77"/>
    <w:rsid w:val="00611B76"/>
    <w:rsid w:val="00612078"/>
    <w:rsid w:val="00615177"/>
    <w:rsid w:val="00623E57"/>
    <w:rsid w:val="006242E6"/>
    <w:rsid w:val="006365CE"/>
    <w:rsid w:val="006367DA"/>
    <w:rsid w:val="00640EBF"/>
    <w:rsid w:val="00643B3E"/>
    <w:rsid w:val="00645F03"/>
    <w:rsid w:val="00662C00"/>
    <w:rsid w:val="006640EE"/>
    <w:rsid w:val="00676AC1"/>
    <w:rsid w:val="00676B46"/>
    <w:rsid w:val="006872A9"/>
    <w:rsid w:val="0069525E"/>
    <w:rsid w:val="006A04DE"/>
    <w:rsid w:val="006A0770"/>
    <w:rsid w:val="006A1007"/>
    <w:rsid w:val="006B023F"/>
    <w:rsid w:val="006B1F84"/>
    <w:rsid w:val="006B2D66"/>
    <w:rsid w:val="006B4368"/>
    <w:rsid w:val="006B673F"/>
    <w:rsid w:val="006C070C"/>
    <w:rsid w:val="006C1C69"/>
    <w:rsid w:val="006C2A6F"/>
    <w:rsid w:val="006C2BAF"/>
    <w:rsid w:val="006D5C9D"/>
    <w:rsid w:val="006D6B3D"/>
    <w:rsid w:val="006E0787"/>
    <w:rsid w:val="006E1103"/>
    <w:rsid w:val="006E1E65"/>
    <w:rsid w:val="006E2D5A"/>
    <w:rsid w:val="006E5B0B"/>
    <w:rsid w:val="006E6EE0"/>
    <w:rsid w:val="006F67D3"/>
    <w:rsid w:val="006F7F6A"/>
    <w:rsid w:val="00701B2C"/>
    <w:rsid w:val="00702547"/>
    <w:rsid w:val="00703ED0"/>
    <w:rsid w:val="0070779B"/>
    <w:rsid w:val="007101B3"/>
    <w:rsid w:val="00711D8D"/>
    <w:rsid w:val="0071485F"/>
    <w:rsid w:val="00717B7F"/>
    <w:rsid w:val="0072319F"/>
    <w:rsid w:val="007240F2"/>
    <w:rsid w:val="00730EA4"/>
    <w:rsid w:val="00731D2E"/>
    <w:rsid w:val="0073465D"/>
    <w:rsid w:val="00737919"/>
    <w:rsid w:val="007450DE"/>
    <w:rsid w:val="00750435"/>
    <w:rsid w:val="00750C61"/>
    <w:rsid w:val="00751B4A"/>
    <w:rsid w:val="00751F01"/>
    <w:rsid w:val="007543B0"/>
    <w:rsid w:val="00754D27"/>
    <w:rsid w:val="00774E6A"/>
    <w:rsid w:val="00776AD0"/>
    <w:rsid w:val="00784DEC"/>
    <w:rsid w:val="00786BB3"/>
    <w:rsid w:val="00786FEE"/>
    <w:rsid w:val="00790BB9"/>
    <w:rsid w:val="007A3322"/>
    <w:rsid w:val="007A4A81"/>
    <w:rsid w:val="007B050E"/>
    <w:rsid w:val="007B2925"/>
    <w:rsid w:val="007B6728"/>
    <w:rsid w:val="007C6473"/>
    <w:rsid w:val="007D405D"/>
    <w:rsid w:val="007E0DDD"/>
    <w:rsid w:val="007E3F24"/>
    <w:rsid w:val="007E56CA"/>
    <w:rsid w:val="007E5C75"/>
    <w:rsid w:val="007E76D3"/>
    <w:rsid w:val="007F144F"/>
    <w:rsid w:val="00801D99"/>
    <w:rsid w:val="00805088"/>
    <w:rsid w:val="0080690C"/>
    <w:rsid w:val="008165E5"/>
    <w:rsid w:val="00821287"/>
    <w:rsid w:val="00822BEE"/>
    <w:rsid w:val="008267B9"/>
    <w:rsid w:val="00831563"/>
    <w:rsid w:val="0083713B"/>
    <w:rsid w:val="00841630"/>
    <w:rsid w:val="00845193"/>
    <w:rsid w:val="008479E8"/>
    <w:rsid w:val="00851E3B"/>
    <w:rsid w:val="008642F1"/>
    <w:rsid w:val="008653D9"/>
    <w:rsid w:val="00865981"/>
    <w:rsid w:val="0087326E"/>
    <w:rsid w:val="00881BDC"/>
    <w:rsid w:val="00885437"/>
    <w:rsid w:val="00886AF9"/>
    <w:rsid w:val="008871FA"/>
    <w:rsid w:val="008A0574"/>
    <w:rsid w:val="008B1693"/>
    <w:rsid w:val="008B1C81"/>
    <w:rsid w:val="008B4C62"/>
    <w:rsid w:val="008C082B"/>
    <w:rsid w:val="008D168A"/>
    <w:rsid w:val="008D1BB7"/>
    <w:rsid w:val="008D5AC2"/>
    <w:rsid w:val="008D78A2"/>
    <w:rsid w:val="008E253E"/>
    <w:rsid w:val="008E45D7"/>
    <w:rsid w:val="008F2737"/>
    <w:rsid w:val="008F392C"/>
    <w:rsid w:val="008F4CE7"/>
    <w:rsid w:val="008F6315"/>
    <w:rsid w:val="008F719C"/>
    <w:rsid w:val="00912CA1"/>
    <w:rsid w:val="0092127A"/>
    <w:rsid w:val="0092259C"/>
    <w:rsid w:val="00922E1B"/>
    <w:rsid w:val="0092414D"/>
    <w:rsid w:val="00926722"/>
    <w:rsid w:val="0092672A"/>
    <w:rsid w:val="00930FB6"/>
    <w:rsid w:val="00933D7A"/>
    <w:rsid w:val="00937BC7"/>
    <w:rsid w:val="009420A5"/>
    <w:rsid w:val="00942C6D"/>
    <w:rsid w:val="009512DF"/>
    <w:rsid w:val="00963370"/>
    <w:rsid w:val="00964442"/>
    <w:rsid w:val="00964AC8"/>
    <w:rsid w:val="00965B66"/>
    <w:rsid w:val="00967249"/>
    <w:rsid w:val="00967B75"/>
    <w:rsid w:val="0097556B"/>
    <w:rsid w:val="00981E9B"/>
    <w:rsid w:val="00986878"/>
    <w:rsid w:val="009878A0"/>
    <w:rsid w:val="00987B61"/>
    <w:rsid w:val="00993615"/>
    <w:rsid w:val="00996342"/>
    <w:rsid w:val="009A2F25"/>
    <w:rsid w:val="009A382E"/>
    <w:rsid w:val="009A4514"/>
    <w:rsid w:val="009B2314"/>
    <w:rsid w:val="009B48B0"/>
    <w:rsid w:val="009B7298"/>
    <w:rsid w:val="009D5F29"/>
    <w:rsid w:val="009E3277"/>
    <w:rsid w:val="009E3E5B"/>
    <w:rsid w:val="009F2912"/>
    <w:rsid w:val="009F59C1"/>
    <w:rsid w:val="009F6EA3"/>
    <w:rsid w:val="009F7D9D"/>
    <w:rsid w:val="00A01838"/>
    <w:rsid w:val="00A24034"/>
    <w:rsid w:val="00A253F0"/>
    <w:rsid w:val="00A27F08"/>
    <w:rsid w:val="00A311DD"/>
    <w:rsid w:val="00A32149"/>
    <w:rsid w:val="00A34117"/>
    <w:rsid w:val="00A343D3"/>
    <w:rsid w:val="00A35E60"/>
    <w:rsid w:val="00A36AAE"/>
    <w:rsid w:val="00A41CA5"/>
    <w:rsid w:val="00A450B9"/>
    <w:rsid w:val="00A47F15"/>
    <w:rsid w:val="00A54C0C"/>
    <w:rsid w:val="00A62BCD"/>
    <w:rsid w:val="00A65969"/>
    <w:rsid w:val="00A65B03"/>
    <w:rsid w:val="00A70CC8"/>
    <w:rsid w:val="00A77AB4"/>
    <w:rsid w:val="00A800D9"/>
    <w:rsid w:val="00A8078B"/>
    <w:rsid w:val="00A83672"/>
    <w:rsid w:val="00A92C79"/>
    <w:rsid w:val="00A97F3F"/>
    <w:rsid w:val="00AA6ACE"/>
    <w:rsid w:val="00AA7D4B"/>
    <w:rsid w:val="00AB17AF"/>
    <w:rsid w:val="00AB3D82"/>
    <w:rsid w:val="00AB4F5C"/>
    <w:rsid w:val="00AC24CC"/>
    <w:rsid w:val="00AC5B95"/>
    <w:rsid w:val="00AC6813"/>
    <w:rsid w:val="00AD6A05"/>
    <w:rsid w:val="00AD6FD9"/>
    <w:rsid w:val="00AE2DF6"/>
    <w:rsid w:val="00AE3C23"/>
    <w:rsid w:val="00AE721B"/>
    <w:rsid w:val="00AF076D"/>
    <w:rsid w:val="00AF78B5"/>
    <w:rsid w:val="00B1248C"/>
    <w:rsid w:val="00B13185"/>
    <w:rsid w:val="00B27951"/>
    <w:rsid w:val="00B36D88"/>
    <w:rsid w:val="00B40B7A"/>
    <w:rsid w:val="00B4176B"/>
    <w:rsid w:val="00B438A6"/>
    <w:rsid w:val="00B542E5"/>
    <w:rsid w:val="00B63328"/>
    <w:rsid w:val="00B71FBC"/>
    <w:rsid w:val="00B74D94"/>
    <w:rsid w:val="00B75C71"/>
    <w:rsid w:val="00B85827"/>
    <w:rsid w:val="00B87E85"/>
    <w:rsid w:val="00BA55BA"/>
    <w:rsid w:val="00BA5AE8"/>
    <w:rsid w:val="00BB3E9F"/>
    <w:rsid w:val="00BB69D1"/>
    <w:rsid w:val="00BC7E1F"/>
    <w:rsid w:val="00BD0C7F"/>
    <w:rsid w:val="00BD440F"/>
    <w:rsid w:val="00BD497D"/>
    <w:rsid w:val="00BD6146"/>
    <w:rsid w:val="00BE50DC"/>
    <w:rsid w:val="00BF390E"/>
    <w:rsid w:val="00BF788D"/>
    <w:rsid w:val="00C057C4"/>
    <w:rsid w:val="00C10EE6"/>
    <w:rsid w:val="00C16222"/>
    <w:rsid w:val="00C1655C"/>
    <w:rsid w:val="00C17665"/>
    <w:rsid w:val="00C25E63"/>
    <w:rsid w:val="00C27C00"/>
    <w:rsid w:val="00C363BF"/>
    <w:rsid w:val="00C366B3"/>
    <w:rsid w:val="00C36738"/>
    <w:rsid w:val="00C40007"/>
    <w:rsid w:val="00C436A6"/>
    <w:rsid w:val="00C43739"/>
    <w:rsid w:val="00C44ECA"/>
    <w:rsid w:val="00C6337C"/>
    <w:rsid w:val="00C64E8D"/>
    <w:rsid w:val="00C664E4"/>
    <w:rsid w:val="00C7089C"/>
    <w:rsid w:val="00C72F89"/>
    <w:rsid w:val="00C8042E"/>
    <w:rsid w:val="00C80A51"/>
    <w:rsid w:val="00C81FDA"/>
    <w:rsid w:val="00C822D4"/>
    <w:rsid w:val="00C86A09"/>
    <w:rsid w:val="00C916E1"/>
    <w:rsid w:val="00C9435F"/>
    <w:rsid w:val="00CA0BB2"/>
    <w:rsid w:val="00CB2E5C"/>
    <w:rsid w:val="00CB61C3"/>
    <w:rsid w:val="00CB7150"/>
    <w:rsid w:val="00CD39E5"/>
    <w:rsid w:val="00CD49C1"/>
    <w:rsid w:val="00CD590B"/>
    <w:rsid w:val="00CD7169"/>
    <w:rsid w:val="00CF4B68"/>
    <w:rsid w:val="00CF5771"/>
    <w:rsid w:val="00CF749A"/>
    <w:rsid w:val="00D023CB"/>
    <w:rsid w:val="00D06227"/>
    <w:rsid w:val="00D06288"/>
    <w:rsid w:val="00D07563"/>
    <w:rsid w:val="00D11383"/>
    <w:rsid w:val="00D153BE"/>
    <w:rsid w:val="00D23FBE"/>
    <w:rsid w:val="00D32C20"/>
    <w:rsid w:val="00D4611F"/>
    <w:rsid w:val="00D4697A"/>
    <w:rsid w:val="00D472EB"/>
    <w:rsid w:val="00D54332"/>
    <w:rsid w:val="00D63103"/>
    <w:rsid w:val="00D71697"/>
    <w:rsid w:val="00D77BC3"/>
    <w:rsid w:val="00D80DAB"/>
    <w:rsid w:val="00D8319F"/>
    <w:rsid w:val="00D84DFD"/>
    <w:rsid w:val="00DA4230"/>
    <w:rsid w:val="00DA4832"/>
    <w:rsid w:val="00DB086F"/>
    <w:rsid w:val="00DB0EE1"/>
    <w:rsid w:val="00DD0B28"/>
    <w:rsid w:val="00DD2C42"/>
    <w:rsid w:val="00DE027F"/>
    <w:rsid w:val="00DE0ED9"/>
    <w:rsid w:val="00DE28C2"/>
    <w:rsid w:val="00DE2C33"/>
    <w:rsid w:val="00DE43F3"/>
    <w:rsid w:val="00DF38D0"/>
    <w:rsid w:val="00DF611E"/>
    <w:rsid w:val="00E015FE"/>
    <w:rsid w:val="00E040C1"/>
    <w:rsid w:val="00E04E96"/>
    <w:rsid w:val="00E10BFF"/>
    <w:rsid w:val="00E14626"/>
    <w:rsid w:val="00E1508B"/>
    <w:rsid w:val="00E15219"/>
    <w:rsid w:val="00E16F3D"/>
    <w:rsid w:val="00E20171"/>
    <w:rsid w:val="00E209C9"/>
    <w:rsid w:val="00E2104D"/>
    <w:rsid w:val="00E2382B"/>
    <w:rsid w:val="00E300AD"/>
    <w:rsid w:val="00E30F9B"/>
    <w:rsid w:val="00E31984"/>
    <w:rsid w:val="00E605E8"/>
    <w:rsid w:val="00E62006"/>
    <w:rsid w:val="00E62D03"/>
    <w:rsid w:val="00E6638F"/>
    <w:rsid w:val="00E75794"/>
    <w:rsid w:val="00E84685"/>
    <w:rsid w:val="00E84A05"/>
    <w:rsid w:val="00E90E9F"/>
    <w:rsid w:val="00E9444E"/>
    <w:rsid w:val="00E97281"/>
    <w:rsid w:val="00E97B59"/>
    <w:rsid w:val="00EA0A79"/>
    <w:rsid w:val="00EB2402"/>
    <w:rsid w:val="00EB2A82"/>
    <w:rsid w:val="00EB7A94"/>
    <w:rsid w:val="00EC265B"/>
    <w:rsid w:val="00ED18C2"/>
    <w:rsid w:val="00EE0CDE"/>
    <w:rsid w:val="00EE498B"/>
    <w:rsid w:val="00EF0817"/>
    <w:rsid w:val="00EF1653"/>
    <w:rsid w:val="00EF46C8"/>
    <w:rsid w:val="00EF5A60"/>
    <w:rsid w:val="00F11D1C"/>
    <w:rsid w:val="00F1313C"/>
    <w:rsid w:val="00F16263"/>
    <w:rsid w:val="00F2447A"/>
    <w:rsid w:val="00F25521"/>
    <w:rsid w:val="00F27354"/>
    <w:rsid w:val="00F30C62"/>
    <w:rsid w:val="00F31967"/>
    <w:rsid w:val="00F346AD"/>
    <w:rsid w:val="00F34EA7"/>
    <w:rsid w:val="00F363F9"/>
    <w:rsid w:val="00F3730C"/>
    <w:rsid w:val="00F4194A"/>
    <w:rsid w:val="00F51551"/>
    <w:rsid w:val="00F61167"/>
    <w:rsid w:val="00F6511F"/>
    <w:rsid w:val="00F703FB"/>
    <w:rsid w:val="00F75455"/>
    <w:rsid w:val="00F75D4E"/>
    <w:rsid w:val="00F92EFB"/>
    <w:rsid w:val="00F93F83"/>
    <w:rsid w:val="00FA42A8"/>
    <w:rsid w:val="00FA4AAC"/>
    <w:rsid w:val="00FA5483"/>
    <w:rsid w:val="00FA562C"/>
    <w:rsid w:val="00FA5EB6"/>
    <w:rsid w:val="00FB0117"/>
    <w:rsid w:val="00FB1BE5"/>
    <w:rsid w:val="00FB7BB1"/>
    <w:rsid w:val="00FD0B68"/>
    <w:rsid w:val="00FD26D8"/>
    <w:rsid w:val="00FD4324"/>
    <w:rsid w:val="00FE08F5"/>
    <w:rsid w:val="00FE1380"/>
    <w:rsid w:val="00FE14D6"/>
    <w:rsid w:val="00FE3F2E"/>
    <w:rsid w:val="00FE55E6"/>
    <w:rsid w:val="00FE6F16"/>
    <w:rsid w:val="00FE7619"/>
    <w:rsid w:val="00FF6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1A421D"/>
    <w:pPr>
      <w:spacing w:line="240" w:lineRule="auto"/>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A421D"/>
    <w:pPr>
      <w:ind w:left="1497"/>
    </w:pPr>
  </w:style>
  <w:style w:type="paragraph" w:customStyle="1" w:styleId="ZTIRwPKTzmtirwpktartykuempunktem">
    <w:name w:val="Z/TIR_w_PKT – zm. tir. w pkt artykułem (punktem)"/>
    <w:basedOn w:val="TIRtiret"/>
    <w:uiPriority w:val="33"/>
    <w:qFormat/>
    <w:rsid w:val="001A421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A421D"/>
    <w:pPr>
      <w:ind w:left="1021"/>
    </w:pPr>
  </w:style>
  <w:style w:type="paragraph" w:customStyle="1" w:styleId="2TIRpodwjnytiret">
    <w:name w:val="2TIR – podwójny tiret"/>
    <w:basedOn w:val="TIRtiret"/>
    <w:uiPriority w:val="73"/>
    <w:qFormat/>
    <w:rsid w:val="001A421D"/>
    <w:pPr>
      <w:ind w:left="1780"/>
    </w:pPr>
  </w:style>
  <w:style w:type="paragraph" w:customStyle="1" w:styleId="ARTartustawynprozporzdzenia">
    <w:name w:val="ART(§) – art. ustawy (§ np. rozporządzenia)"/>
    <w:qFormat/>
    <w:rsid w:val="001A421D"/>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A421D"/>
    <w:pPr>
      <w:ind w:left="1497"/>
    </w:pPr>
  </w:style>
  <w:style w:type="paragraph" w:customStyle="1" w:styleId="ZTIRwLITzmtirwlitartykuempunktem">
    <w:name w:val="Z/TIR_w_LIT – zm. tir. w lit. artykułem (punktem)"/>
    <w:basedOn w:val="TIRtiret"/>
    <w:uiPriority w:val="33"/>
    <w:qFormat/>
    <w:rsid w:val="001A421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A421D"/>
  </w:style>
  <w:style w:type="paragraph" w:customStyle="1" w:styleId="ZPKTzmpktartykuempunktem">
    <w:name w:val="Z/PKT – zm. pkt artykułem (punktem)"/>
    <w:basedOn w:val="PKTpunkt"/>
    <w:qFormat/>
    <w:rsid w:val="001A421D"/>
    <w:pPr>
      <w:ind w:left="1020"/>
    </w:pPr>
  </w:style>
  <w:style w:type="paragraph" w:customStyle="1" w:styleId="ZARTzmartartykuempunktem">
    <w:name w:val="Z/ART(§) – zm. art. (§) artykułem (punktem)"/>
    <w:basedOn w:val="ARTartustawynprozporzdzenia"/>
    <w:qFormat/>
    <w:rsid w:val="001A421D"/>
    <w:pPr>
      <w:spacing w:before="0"/>
      <w:ind w:left="510"/>
    </w:pPr>
  </w:style>
  <w:style w:type="paragraph" w:customStyle="1" w:styleId="DATAAKTUdatauchwalenialubwydaniaaktu">
    <w:name w:val="DATA_AKTU – data uchwalenia lub wydania aktu"/>
    <w:next w:val="TYTUAKTUprzedmiotregulacjiustawylubrozporzdzenia"/>
    <w:qFormat/>
    <w:rsid w:val="001A421D"/>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1A421D"/>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1A421D"/>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A421D"/>
    <w:rPr>
      <w:bCs/>
    </w:rPr>
  </w:style>
  <w:style w:type="paragraph" w:customStyle="1" w:styleId="OZNRODZAKTUtznustawalubrozporzdzenieiorganwydajcy">
    <w:name w:val="OZN_RODZ_AKTU – tzn. ustawa lub rozporządzenie i organ wydający"/>
    <w:next w:val="DATAAKTUdatauchwalenialubwydaniaaktu"/>
    <w:qFormat/>
    <w:rsid w:val="001A421D"/>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1A421D"/>
    <w:pPr>
      <w:spacing w:before="0"/>
    </w:pPr>
    <w:rPr>
      <w:bCs/>
    </w:rPr>
  </w:style>
  <w:style w:type="paragraph" w:customStyle="1" w:styleId="PKTpunkt">
    <w:name w:val="PKT – punkt"/>
    <w:uiPriority w:val="16"/>
    <w:qFormat/>
    <w:rsid w:val="001A421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1A421D"/>
    <w:pPr>
      <w:ind w:left="0" w:firstLine="0"/>
    </w:pPr>
  </w:style>
  <w:style w:type="paragraph" w:customStyle="1" w:styleId="LITlitera">
    <w:name w:val="LIT – litera"/>
    <w:basedOn w:val="PKTpunkt"/>
    <w:uiPriority w:val="17"/>
    <w:qFormat/>
    <w:rsid w:val="001A421D"/>
    <w:pPr>
      <w:ind w:left="986" w:hanging="476"/>
    </w:pPr>
  </w:style>
  <w:style w:type="paragraph" w:customStyle="1" w:styleId="CZWSPLITczwsplnaliter">
    <w:name w:val="CZ_WSP_LIT – część wspólna liter"/>
    <w:basedOn w:val="LITlitera"/>
    <w:next w:val="USTustnpkodeksu"/>
    <w:uiPriority w:val="17"/>
    <w:qFormat/>
    <w:rsid w:val="001A421D"/>
    <w:pPr>
      <w:ind w:left="510" w:firstLine="0"/>
    </w:pPr>
    <w:rPr>
      <w:szCs w:val="24"/>
    </w:rPr>
  </w:style>
  <w:style w:type="paragraph" w:customStyle="1" w:styleId="TIRtiret">
    <w:name w:val="TIR – tiret"/>
    <w:basedOn w:val="LITlitera"/>
    <w:uiPriority w:val="18"/>
    <w:qFormat/>
    <w:rsid w:val="001A421D"/>
    <w:pPr>
      <w:ind w:left="1384" w:hanging="397"/>
    </w:pPr>
  </w:style>
  <w:style w:type="paragraph" w:customStyle="1" w:styleId="CZWSPTIRczwsplnatiret">
    <w:name w:val="CZ_WSP_TIR – część wspólna tiret"/>
    <w:basedOn w:val="TIRtiret"/>
    <w:next w:val="USTustnpkodeksu"/>
    <w:uiPriority w:val="17"/>
    <w:qFormat/>
    <w:rsid w:val="001A421D"/>
    <w:pPr>
      <w:ind w:left="987" w:firstLine="0"/>
    </w:pPr>
  </w:style>
  <w:style w:type="paragraph" w:customStyle="1" w:styleId="CYTcytatnpprzysigi">
    <w:name w:val="CYT – cytat np. przysięgi"/>
    <w:basedOn w:val="USTustnpkodeksu"/>
    <w:next w:val="USTustnpkodeksu"/>
    <w:uiPriority w:val="18"/>
    <w:qFormat/>
    <w:rsid w:val="001A421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A421D"/>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1A421D"/>
  </w:style>
  <w:style w:type="paragraph" w:customStyle="1" w:styleId="ZLITCZWSPTIRwLITzmczciwsptirwlitliter">
    <w:name w:val="Z_LIT/CZ_WSP_TIR_w_LIT – zm. części wsp. tir. w lit. literą"/>
    <w:basedOn w:val="CZWSPTIRczwsplnatiret"/>
    <w:next w:val="LITlitera"/>
    <w:uiPriority w:val="51"/>
    <w:qFormat/>
    <w:rsid w:val="001A421D"/>
    <w:pPr>
      <w:ind w:left="1463"/>
    </w:pPr>
  </w:style>
  <w:style w:type="paragraph" w:customStyle="1" w:styleId="ZLITTIRwLITzmtirwlitliter">
    <w:name w:val="Z_LIT/TIR_w_LIT – zm. tir. w lit. literą"/>
    <w:basedOn w:val="TIRtiret"/>
    <w:qFormat/>
    <w:rsid w:val="001A421D"/>
    <w:pPr>
      <w:ind w:left="1860"/>
    </w:pPr>
  </w:style>
  <w:style w:type="paragraph" w:customStyle="1" w:styleId="TYTDZOZNoznaczenietytuulubdziau">
    <w:name w:val="TYT(DZ)_OZN – oznaczenie tytułu lub działu"/>
    <w:next w:val="Normalny"/>
    <w:uiPriority w:val="9"/>
    <w:qFormat/>
    <w:rsid w:val="001A421D"/>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A421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A421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A421D"/>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1A421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A421D"/>
    <w:pPr>
      <w:ind w:left="510"/>
    </w:pPr>
  </w:style>
  <w:style w:type="paragraph" w:customStyle="1" w:styleId="ZZLITzmianazmlit">
    <w:name w:val="ZZ/LIT – zmiana zm. lit."/>
    <w:basedOn w:val="ZZPKTzmianazmpkt"/>
    <w:uiPriority w:val="67"/>
    <w:qFormat/>
    <w:rsid w:val="001A421D"/>
    <w:pPr>
      <w:ind w:left="2370" w:hanging="476"/>
    </w:pPr>
  </w:style>
  <w:style w:type="paragraph" w:customStyle="1" w:styleId="ZZTIRzmianazmtir">
    <w:name w:val="ZZ/TIR – zmiana zm. tir."/>
    <w:basedOn w:val="ZZLITzmianazmlit"/>
    <w:uiPriority w:val="67"/>
    <w:qFormat/>
    <w:rsid w:val="001A421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A421D"/>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1A421D"/>
    <w:pPr>
      <w:ind w:left="987"/>
    </w:pPr>
  </w:style>
  <w:style w:type="paragraph" w:customStyle="1" w:styleId="ZLITPKTzmpktliter">
    <w:name w:val="Z_LIT/PKT – zm. pkt literą"/>
    <w:basedOn w:val="PKTpunkt"/>
    <w:uiPriority w:val="45"/>
    <w:qFormat/>
    <w:rsid w:val="001A421D"/>
    <w:pPr>
      <w:ind w:left="1497"/>
    </w:pPr>
  </w:style>
  <w:style w:type="paragraph" w:customStyle="1" w:styleId="ZZCZWSPPKTzmianazmczciwsppkt">
    <w:name w:val="ZZ/CZ_WSP_PKT – zmiana. zm. części wsp. pkt"/>
    <w:basedOn w:val="ZZARTzmianazmart"/>
    <w:next w:val="ZPKTzmpktartykuempunktem"/>
    <w:uiPriority w:val="68"/>
    <w:qFormat/>
    <w:rsid w:val="001A421D"/>
    <w:pPr>
      <w:ind w:firstLine="0"/>
    </w:pPr>
  </w:style>
  <w:style w:type="paragraph" w:customStyle="1" w:styleId="ZLITLITzmlitliter">
    <w:name w:val="Z_LIT/LIT – zm. lit. literą"/>
    <w:basedOn w:val="LITlitera"/>
    <w:uiPriority w:val="48"/>
    <w:qFormat/>
    <w:rsid w:val="001A421D"/>
    <w:pPr>
      <w:ind w:left="1463"/>
    </w:pPr>
  </w:style>
  <w:style w:type="paragraph" w:customStyle="1" w:styleId="ZLITCZWSPPKTzmczciwsppktliter">
    <w:name w:val="Z_LIT/CZ_WSP_PKT – zm. części wsp. pkt literą"/>
    <w:basedOn w:val="CZWSPLITczwsplnaliter"/>
    <w:next w:val="LITlitera"/>
    <w:uiPriority w:val="50"/>
    <w:qFormat/>
    <w:rsid w:val="001A421D"/>
    <w:pPr>
      <w:ind w:left="987"/>
    </w:pPr>
  </w:style>
  <w:style w:type="paragraph" w:customStyle="1" w:styleId="ZLITTIRzmtirliter">
    <w:name w:val="Z_LIT/TIR – zm. tir. literą"/>
    <w:basedOn w:val="TIRtiret"/>
    <w:uiPriority w:val="49"/>
    <w:qFormat/>
    <w:rsid w:val="001A421D"/>
  </w:style>
  <w:style w:type="paragraph" w:customStyle="1" w:styleId="ZZCZWSPLITwPKTzmianazmczciwsplitwpkt">
    <w:name w:val="ZZ/CZ_WSP_LIT_w_PKT – zmiana zm. części wsp. lit. w pkt"/>
    <w:basedOn w:val="ZZLITwPKTzmianazmlitwpkt"/>
    <w:uiPriority w:val="69"/>
    <w:qFormat/>
    <w:rsid w:val="001A421D"/>
    <w:pPr>
      <w:ind w:left="2404" w:firstLine="0"/>
    </w:pPr>
  </w:style>
  <w:style w:type="paragraph" w:customStyle="1" w:styleId="ZLITLITwPKTzmlitwpktliter">
    <w:name w:val="Z_LIT/LIT_w_PKT – zm. lit. w pkt literą"/>
    <w:basedOn w:val="LITlitera"/>
    <w:qFormat/>
    <w:rsid w:val="001A421D"/>
    <w:pPr>
      <w:ind w:left="1973"/>
    </w:pPr>
  </w:style>
  <w:style w:type="paragraph" w:customStyle="1" w:styleId="ZLITCZWSPLITwPKTzmczciwsplitwpktliter">
    <w:name w:val="Z_LIT/CZ_WSP_LIT_w_PKT – zm. części wsp. lit. w pkt literą"/>
    <w:basedOn w:val="CZWSPLITczwsplnaliter"/>
    <w:next w:val="LITlitera"/>
    <w:uiPriority w:val="50"/>
    <w:qFormat/>
    <w:rsid w:val="001A421D"/>
    <w:pPr>
      <w:ind w:left="1497"/>
    </w:pPr>
  </w:style>
  <w:style w:type="paragraph" w:customStyle="1" w:styleId="ZLITTIRwPKTzmtirwpktliter">
    <w:name w:val="Z_LIT/TIR_w_PKT – zm. tir. w pkt literą"/>
    <w:basedOn w:val="TIRtiret"/>
    <w:uiPriority w:val="49"/>
    <w:qFormat/>
    <w:rsid w:val="001A421D"/>
    <w:pPr>
      <w:ind w:left="2370"/>
    </w:pPr>
  </w:style>
  <w:style w:type="paragraph" w:customStyle="1" w:styleId="ZLITCZWSPTIRwPKTzmczciwsptirwpktliter">
    <w:name w:val="Z_LIT/CZ_WSP_TIR_w_PKT – zm. części wsp. tir. w pkt literą"/>
    <w:basedOn w:val="CZWSPTIRczwsplnatiret"/>
    <w:next w:val="LITlitera"/>
    <w:uiPriority w:val="51"/>
    <w:qFormat/>
    <w:rsid w:val="001A421D"/>
    <w:pPr>
      <w:ind w:left="1973"/>
    </w:pPr>
  </w:style>
  <w:style w:type="paragraph" w:customStyle="1" w:styleId="ZTIRLITzmlittiret">
    <w:name w:val="Z_TIR/LIT – zm. lit. tiret"/>
    <w:basedOn w:val="LITlitera"/>
    <w:uiPriority w:val="57"/>
    <w:qFormat/>
    <w:rsid w:val="001A421D"/>
    <w:pPr>
      <w:ind w:left="1859"/>
    </w:pPr>
  </w:style>
  <w:style w:type="paragraph" w:customStyle="1" w:styleId="ZTIRCZWSPPKTzmczciwsppkttiret">
    <w:name w:val="Z_TIR/CZ_WSP_PKT – zm. części wsp. pkt tiret"/>
    <w:basedOn w:val="CZWSPLITczwsplnaliter"/>
    <w:next w:val="TIRtiret"/>
    <w:uiPriority w:val="58"/>
    <w:qFormat/>
    <w:rsid w:val="001A421D"/>
    <w:pPr>
      <w:ind w:left="1383"/>
    </w:pPr>
  </w:style>
  <w:style w:type="paragraph" w:customStyle="1" w:styleId="ZTIRTIRzmtirtiret">
    <w:name w:val="Z_TIR/TIR – zm. tir. tiret"/>
    <w:basedOn w:val="TIRtiret"/>
    <w:uiPriority w:val="57"/>
    <w:qFormat/>
    <w:rsid w:val="001A421D"/>
    <w:pPr>
      <w:ind w:left="1780"/>
    </w:pPr>
  </w:style>
  <w:style w:type="paragraph" w:customStyle="1" w:styleId="ZZCZWSPTIRwPKTzmianazmczciwsptirwpkt">
    <w:name w:val="ZZ/CZ_WSP_TIR_w_PKT – zmiana zm. części wsp. tir. w pkt"/>
    <w:basedOn w:val="ZZTIRwPKTzmianazmtirwpkt"/>
    <w:uiPriority w:val="70"/>
    <w:qFormat/>
    <w:rsid w:val="001A421D"/>
    <w:pPr>
      <w:ind w:left="2880" w:firstLine="0"/>
    </w:pPr>
  </w:style>
  <w:style w:type="paragraph" w:customStyle="1" w:styleId="ZZTIRwLITzmianazmtirwlit">
    <w:name w:val="ZZ/TIR_w_LIT – zmiana zm. tir. w lit."/>
    <w:basedOn w:val="ZZTIRzmianazmtir"/>
    <w:uiPriority w:val="67"/>
    <w:qFormat/>
    <w:rsid w:val="001A421D"/>
    <w:pPr>
      <w:ind w:left="2767"/>
    </w:pPr>
  </w:style>
  <w:style w:type="paragraph" w:customStyle="1" w:styleId="ZTIRTIRwLITzmtirwlittiret">
    <w:name w:val="Z_TIR/TIR_w_LIT – zm. tir. w lit. tiret"/>
    <w:basedOn w:val="TIRtiret"/>
    <w:uiPriority w:val="57"/>
    <w:qFormat/>
    <w:rsid w:val="001A421D"/>
    <w:pPr>
      <w:ind w:left="2257"/>
    </w:pPr>
  </w:style>
  <w:style w:type="paragraph" w:customStyle="1" w:styleId="ZTIRCZWSPTIRwLITzmczciwsptirwlittiret">
    <w:name w:val="Z_TIR/CZ_WSP_TIR_w_LIT – zm. części wsp. tir. w lit. tiret"/>
    <w:basedOn w:val="CZWSPTIRczwsplnatiret"/>
    <w:next w:val="TIRtiret"/>
    <w:uiPriority w:val="60"/>
    <w:qFormat/>
    <w:rsid w:val="001A421D"/>
    <w:pPr>
      <w:ind w:left="1860"/>
    </w:pPr>
  </w:style>
  <w:style w:type="paragraph" w:customStyle="1" w:styleId="CZWSP2TIRczwsplnapodwjnychtiret">
    <w:name w:val="CZ_WSP_2TIR – część wspólna podwójnych tiret"/>
    <w:basedOn w:val="CZWSPTIRczwsplnatiret"/>
    <w:next w:val="TIRtiret"/>
    <w:uiPriority w:val="73"/>
    <w:qFormat/>
    <w:rsid w:val="001A421D"/>
    <w:pPr>
      <w:ind w:left="1780"/>
    </w:pPr>
  </w:style>
  <w:style w:type="paragraph" w:customStyle="1" w:styleId="Z2TIRzmpodwtirartykuempunktem">
    <w:name w:val="Z/2TIR – zm. podw. tir. artykułem (punktem)"/>
    <w:basedOn w:val="TIRtiret"/>
    <w:uiPriority w:val="73"/>
    <w:qFormat/>
    <w:rsid w:val="001A421D"/>
    <w:pPr>
      <w:ind w:left="907"/>
    </w:pPr>
  </w:style>
  <w:style w:type="paragraph" w:customStyle="1" w:styleId="ZZCZWSPTIRwLITzmianazmczciwsptirwlit">
    <w:name w:val="ZZ/CZ_WSP_TIR_w_LIT – zmiana zm. części wsp. tir. w lit."/>
    <w:basedOn w:val="ZZTIRwLITzmianazmtirwlit"/>
    <w:uiPriority w:val="70"/>
    <w:qFormat/>
    <w:rsid w:val="001A421D"/>
    <w:pPr>
      <w:ind w:left="2370" w:firstLine="0"/>
    </w:pPr>
  </w:style>
  <w:style w:type="paragraph" w:customStyle="1" w:styleId="ZLIT2TIRzmpodwtirliter">
    <w:name w:val="Z_LIT/2TIR – zm. podw. tir. literą"/>
    <w:basedOn w:val="TIRtiret"/>
    <w:uiPriority w:val="75"/>
    <w:qFormat/>
    <w:rsid w:val="001A421D"/>
  </w:style>
  <w:style w:type="paragraph" w:customStyle="1" w:styleId="ZTIR2TIRzmpodwtirtiret">
    <w:name w:val="Z_TIR/2TIR – zm. podw. tir. tiret"/>
    <w:basedOn w:val="TIRtiret"/>
    <w:uiPriority w:val="78"/>
    <w:qFormat/>
    <w:rsid w:val="001A421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A421D"/>
    <w:pPr>
      <w:ind w:left="1780"/>
    </w:pPr>
  </w:style>
  <w:style w:type="paragraph" w:customStyle="1" w:styleId="Z2TIRwPKTzmpodwtirwpktartykuempunktem">
    <w:name w:val="Z/2TIR_w_PKT – zm. podw. tir. w pkt artykułem (punktem)"/>
    <w:basedOn w:val="TIRtiret"/>
    <w:next w:val="ZPKTzmpktartykuempunktem"/>
    <w:uiPriority w:val="74"/>
    <w:qFormat/>
    <w:rsid w:val="001A421D"/>
    <w:pPr>
      <w:ind w:left="2291"/>
    </w:pPr>
  </w:style>
  <w:style w:type="paragraph" w:customStyle="1" w:styleId="ZTIRPKTzmpkttiret">
    <w:name w:val="Z_TIR/PKT – zm. pkt tiret"/>
    <w:basedOn w:val="PKTpunkt"/>
    <w:uiPriority w:val="54"/>
    <w:qFormat/>
    <w:rsid w:val="001A421D"/>
    <w:pPr>
      <w:ind w:left="1893"/>
    </w:pPr>
  </w:style>
  <w:style w:type="paragraph" w:customStyle="1" w:styleId="ZTIRLITwPKTzmlitwpkttiret">
    <w:name w:val="Z_TIR/LIT_w_PKT – zm. lit. w pkt tiret"/>
    <w:basedOn w:val="LITlitera"/>
    <w:uiPriority w:val="57"/>
    <w:qFormat/>
    <w:rsid w:val="001A421D"/>
    <w:pPr>
      <w:ind w:left="2336"/>
    </w:pPr>
  </w:style>
  <w:style w:type="paragraph" w:customStyle="1" w:styleId="ZTIRCZWSPLITwPKTzmczciwsplitwpkttiret">
    <w:name w:val="Z_TIR/CZ_WSP_LIT_w_PKT – zm. części wsp. lit. w pkt tiret"/>
    <w:basedOn w:val="CZWSPLITczwsplnaliter"/>
    <w:uiPriority w:val="59"/>
    <w:qFormat/>
    <w:rsid w:val="001A421D"/>
    <w:pPr>
      <w:ind w:left="1860"/>
    </w:pPr>
  </w:style>
  <w:style w:type="paragraph" w:customStyle="1" w:styleId="ZTIR2TIRwLITzmpodwtirwlittiret">
    <w:name w:val="Z_TIR/2TIR_w_LIT – zm. podw. tir. w lit. tiret"/>
    <w:basedOn w:val="TIRtiret"/>
    <w:uiPriority w:val="79"/>
    <w:qFormat/>
    <w:rsid w:val="001A421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A421D"/>
    <w:pPr>
      <w:ind w:left="2257"/>
    </w:pPr>
  </w:style>
  <w:style w:type="paragraph" w:customStyle="1" w:styleId="ZTIR2TIRwTIRzmpodwtirwtirtiret">
    <w:name w:val="Z_TIR/2TIR_w_TIR – zm. podw. tir. w tir. tiret"/>
    <w:basedOn w:val="TIRtiret"/>
    <w:uiPriority w:val="78"/>
    <w:qFormat/>
    <w:rsid w:val="001A421D"/>
    <w:pPr>
      <w:ind w:left="2177"/>
    </w:pPr>
  </w:style>
  <w:style w:type="paragraph" w:customStyle="1" w:styleId="ZTIRCZWSP2TIRwTIRzmczciwsppodwtirwtirtiret">
    <w:name w:val="Z_TIR/CZ_WSP_2TIR_w_TIR – zm. części wsp. podw. tir. w tir. tiret"/>
    <w:basedOn w:val="CZWSPTIRczwsplnatiret"/>
    <w:uiPriority w:val="79"/>
    <w:qFormat/>
    <w:rsid w:val="001A421D"/>
    <w:pPr>
      <w:ind w:left="1780"/>
    </w:pPr>
  </w:style>
  <w:style w:type="paragraph" w:customStyle="1" w:styleId="Z2TIRLITzmlitpodwjnymtiret">
    <w:name w:val="Z_2TIR/LIT – zm. lit. podwójnym tiret"/>
    <w:basedOn w:val="LITlitera"/>
    <w:uiPriority w:val="84"/>
    <w:qFormat/>
    <w:rsid w:val="001A421D"/>
    <w:pPr>
      <w:ind w:left="2256"/>
    </w:pPr>
  </w:style>
  <w:style w:type="paragraph" w:customStyle="1" w:styleId="ZZ2TIRwTIRzmianazmpodwtirwtir">
    <w:name w:val="ZZ/2TIR_w_TIR – zmiana zm. podw. tir. w tir."/>
    <w:basedOn w:val="ZZCZWSP2TIRzmianazmczciwsppodwtir"/>
    <w:uiPriority w:val="93"/>
    <w:qFormat/>
    <w:rsid w:val="001A421D"/>
    <w:pPr>
      <w:ind w:left="2688" w:hanging="397"/>
    </w:pPr>
  </w:style>
  <w:style w:type="paragraph" w:customStyle="1" w:styleId="ZZ2TIRwLITzmianazmpodwtirwlit">
    <w:name w:val="ZZ/2TIR_w_LIT – zmiana zm. podw. tir. w lit."/>
    <w:basedOn w:val="ZZ2TIRwTIRzmianazmpodwtirwtir"/>
    <w:uiPriority w:val="94"/>
    <w:qFormat/>
    <w:rsid w:val="001A421D"/>
    <w:pPr>
      <w:ind w:left="3164"/>
    </w:pPr>
  </w:style>
  <w:style w:type="paragraph" w:customStyle="1" w:styleId="Z2TIRTIRwLITzmtirwlitpodwjnymtiret">
    <w:name w:val="Z_2TIR/TIR_w_LIT – zm. tir. w lit. podwójnym tiret"/>
    <w:basedOn w:val="TIRtiret"/>
    <w:uiPriority w:val="84"/>
    <w:qFormat/>
    <w:rsid w:val="001A421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A421D"/>
    <w:pPr>
      <w:ind w:left="2257"/>
    </w:pPr>
  </w:style>
  <w:style w:type="paragraph" w:customStyle="1" w:styleId="ZZ2TIRwPKTzmianazmpodwtirwpkt">
    <w:name w:val="ZZ/2TIR_w_PKT – zmiana zm. podw. tir. w pkt"/>
    <w:basedOn w:val="ZZ2TIRwLITzmianazmpodwtirwlit"/>
    <w:uiPriority w:val="94"/>
    <w:qFormat/>
    <w:rsid w:val="001A421D"/>
    <w:pPr>
      <w:ind w:left="3674"/>
    </w:pPr>
  </w:style>
  <w:style w:type="paragraph" w:customStyle="1" w:styleId="ZZCZWSP2TIRwTIRzmianazmczciwsppodwtirwtir">
    <w:name w:val="ZZ/CZ_WSP_2TIR_w_TIR – zmiana zm. części wsp. podw. tir. w tir."/>
    <w:basedOn w:val="ZZ2TIRwLITzmianazmpodwtirwlit"/>
    <w:uiPriority w:val="94"/>
    <w:qFormat/>
    <w:rsid w:val="001A421D"/>
    <w:pPr>
      <w:ind w:left="2291" w:firstLine="0"/>
    </w:pPr>
  </w:style>
  <w:style w:type="paragraph" w:customStyle="1" w:styleId="Z2TIR2TIRwTIRzmpodwtirwtirpodwjnymtiret">
    <w:name w:val="Z_2TIR/2TIR_w_TIR – zm. podw. tir. w tir. podwójnym tiret"/>
    <w:basedOn w:val="TIRtiret"/>
    <w:uiPriority w:val="85"/>
    <w:qFormat/>
    <w:rsid w:val="001A421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A421D"/>
    <w:pPr>
      <w:ind w:left="2177"/>
    </w:pPr>
  </w:style>
  <w:style w:type="paragraph" w:customStyle="1" w:styleId="Z2TIR2TIRwLITzmpodwtirwlitpodwjnymtiret">
    <w:name w:val="Z_2TIR/2TIR_w_LIT – zm. podw. tir. w lit. podwójnym tiret"/>
    <w:basedOn w:val="TIRtiret"/>
    <w:uiPriority w:val="86"/>
    <w:qFormat/>
    <w:rsid w:val="001A421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A421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A421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A421D"/>
    <w:pPr>
      <w:spacing w:after="120"/>
      <w:ind w:left="510"/>
    </w:pPr>
    <w:rPr>
      <w:b w:val="0"/>
    </w:rPr>
  </w:style>
  <w:style w:type="paragraph" w:customStyle="1" w:styleId="ZZARTzmianazmart">
    <w:name w:val="ZZ/ART(§) – zmiana zm. art. (§)"/>
    <w:basedOn w:val="ZARTzmartartykuempunktem"/>
    <w:uiPriority w:val="65"/>
    <w:qFormat/>
    <w:rsid w:val="001A421D"/>
    <w:pPr>
      <w:ind w:left="1894"/>
    </w:pPr>
  </w:style>
  <w:style w:type="paragraph" w:customStyle="1" w:styleId="ZZPKTzmianazmpkt">
    <w:name w:val="ZZ/PKT – zmiana zm. pkt"/>
    <w:basedOn w:val="ZPKTzmpktartykuempunktem"/>
    <w:uiPriority w:val="66"/>
    <w:qFormat/>
    <w:rsid w:val="001A421D"/>
    <w:pPr>
      <w:ind w:left="2404"/>
    </w:pPr>
  </w:style>
  <w:style w:type="paragraph" w:customStyle="1" w:styleId="ZZLITwPKTzmianazmlitwpkt">
    <w:name w:val="ZZ/LIT_w_PKT – zmiana zm. lit. w pkt"/>
    <w:basedOn w:val="ZLITwPKTzmlitwpktartykuempunktem"/>
    <w:uiPriority w:val="67"/>
    <w:qFormat/>
    <w:rsid w:val="001A421D"/>
    <w:pPr>
      <w:ind w:left="2880"/>
    </w:pPr>
  </w:style>
  <w:style w:type="paragraph" w:customStyle="1" w:styleId="ZZTIRwPKTzmianazmtirwpkt">
    <w:name w:val="ZZ/TIR_w_PKT – zmiana zm. tir. w pkt"/>
    <w:basedOn w:val="ZTIRwPKTzmtirwpktartykuempunktem"/>
    <w:uiPriority w:val="67"/>
    <w:qFormat/>
    <w:rsid w:val="001A421D"/>
    <w:pPr>
      <w:ind w:left="3277"/>
    </w:pPr>
  </w:style>
  <w:style w:type="paragraph" w:customStyle="1" w:styleId="ZZWMATFIZCHEMzmwzorumatfizlubchem">
    <w:name w:val="ZZ/W_MAT(FIZ|CHEM) – zm. wzoru mat. (fiz. lub chem.)"/>
    <w:basedOn w:val="ZWMATFIZCHEMzmwzorumatfizlubchemartykuempunktem"/>
    <w:uiPriority w:val="71"/>
    <w:qFormat/>
    <w:rsid w:val="001A421D"/>
    <w:pPr>
      <w:ind w:left="2404"/>
    </w:pPr>
  </w:style>
  <w:style w:type="paragraph" w:customStyle="1" w:styleId="ODNONIKtreodnonika">
    <w:name w:val="ODNOŚNIK – treść odnośnika"/>
    <w:qFormat/>
    <w:rsid w:val="001A421D"/>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qFormat/>
    <w:rsid w:val="001A421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A421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A421D"/>
    <w:rPr>
      <w:rFonts w:ascii="Times New Roman" w:hAnsi="Times New Roman"/>
    </w:rPr>
  </w:style>
  <w:style w:type="paragraph" w:customStyle="1" w:styleId="ZTIRTIRwPKTzmtirwpkttiret">
    <w:name w:val="Z_TIR/TIR_w_PKT – zm. tir. w pkt tiret"/>
    <w:basedOn w:val="ZTIRTIRwLITzmtirwlittiret"/>
    <w:uiPriority w:val="57"/>
    <w:qFormat/>
    <w:rsid w:val="001A421D"/>
    <w:pPr>
      <w:ind w:left="2733"/>
    </w:pPr>
  </w:style>
  <w:style w:type="paragraph" w:customStyle="1" w:styleId="ZTIRCZWSPTIRwPKTzmczciwsptirtiret">
    <w:name w:val="Z_TIR/CZ_WSP_TIR_w_PKT – zm. części wsp. tir. tiret"/>
    <w:basedOn w:val="ZTIRTIRwPKTzmtirwpkttiret"/>
    <w:next w:val="TIRtiret"/>
    <w:uiPriority w:val="60"/>
    <w:qFormat/>
    <w:rsid w:val="001A421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A421D"/>
    <w:pPr>
      <w:ind w:left="510" w:firstLine="0"/>
    </w:pPr>
  </w:style>
  <w:style w:type="paragraph" w:customStyle="1" w:styleId="ROZDZODDZOZNoznaczenierozdziauluboddziau">
    <w:name w:val="ROZDZ(ODDZ)_OZN – oznaczenie rozdziału lub oddziału"/>
    <w:next w:val="ARTartustawynprozporzdzenia"/>
    <w:uiPriority w:val="10"/>
    <w:qFormat/>
    <w:rsid w:val="001A421D"/>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1A421D"/>
    <w:pPr>
      <w:ind w:left="2177"/>
    </w:pPr>
  </w:style>
  <w:style w:type="paragraph" w:customStyle="1" w:styleId="Z2TIRTIRzmtirpodwjnymtiret">
    <w:name w:val="Z_2TIR/TIR – zm. tir. podwójnym tiret"/>
    <w:basedOn w:val="TIRtiret"/>
    <w:uiPriority w:val="84"/>
    <w:qFormat/>
    <w:rsid w:val="001A421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A421D"/>
    <w:pPr>
      <w:ind w:left="1021"/>
    </w:pPr>
  </w:style>
  <w:style w:type="paragraph" w:customStyle="1" w:styleId="ZLITSKARNzmsankcjikarnejliter">
    <w:name w:val="Z_LIT/S_KARN – zm. sankcji karnej literą"/>
    <w:basedOn w:val="ZSKARNzmsankcjikarnejwszczeglnociwKodeksiekarnym"/>
    <w:uiPriority w:val="53"/>
    <w:qFormat/>
    <w:rsid w:val="001A421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A421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A421D"/>
    <w:pPr>
      <w:ind w:left="1894" w:firstLine="0"/>
    </w:pPr>
  </w:style>
  <w:style w:type="paragraph" w:customStyle="1" w:styleId="Z2TIRwLITzmpodwtirwlitartykuempunktem">
    <w:name w:val="Z/2TIR_w_LIT – zm. podw. tir. w lit. artykułem (punktem)"/>
    <w:basedOn w:val="Z2TIRwPKTzmpodwtirwpktartykuempunktem"/>
    <w:uiPriority w:val="74"/>
    <w:qFormat/>
    <w:rsid w:val="001A421D"/>
    <w:pPr>
      <w:ind w:left="1780"/>
    </w:pPr>
  </w:style>
  <w:style w:type="paragraph" w:customStyle="1" w:styleId="Z2TIRwTIRzmpodwtirwtirartykuempunktem">
    <w:name w:val="Z/2TIR_w_TIR – zm. podw. tir. w tir. artykułem (punktem)"/>
    <w:basedOn w:val="Z2TIRwLITzmpodwtirwlitartykuempunktem"/>
    <w:uiPriority w:val="73"/>
    <w:qFormat/>
    <w:rsid w:val="001A421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A421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A421D"/>
    <w:pPr>
      <w:ind w:left="1383" w:firstLine="0"/>
    </w:pPr>
  </w:style>
  <w:style w:type="paragraph" w:customStyle="1" w:styleId="ZZCZWSP2TIRzmianazmczciwsppodwtir">
    <w:name w:val="ZZ/CZ_WSP_2TIR – zmiana zm. części wsp. podw. tir."/>
    <w:basedOn w:val="ZZTIRzmianazmtir"/>
    <w:next w:val="ZZUSTzmianazmust"/>
    <w:uiPriority w:val="94"/>
    <w:qFormat/>
    <w:rsid w:val="001A421D"/>
    <w:pPr>
      <w:ind w:left="1894" w:firstLine="0"/>
    </w:pPr>
  </w:style>
  <w:style w:type="paragraph" w:customStyle="1" w:styleId="PKTODNONIKApunktodnonika">
    <w:name w:val="PKT_ODNOŚNIKA – punkt odnośnika"/>
    <w:basedOn w:val="ODNONIKtreodnonika"/>
    <w:uiPriority w:val="19"/>
    <w:qFormat/>
    <w:rsid w:val="001A421D"/>
    <w:pPr>
      <w:ind w:left="568"/>
    </w:pPr>
  </w:style>
  <w:style w:type="paragraph" w:customStyle="1" w:styleId="ZODNONIKAzmtekstuodnonikaartykuempunktem">
    <w:name w:val="Z/ODNOŚNIKA – zm. tekstu odnośnika artykułem (punktem)"/>
    <w:basedOn w:val="ODNONIKtreodnonika"/>
    <w:uiPriority w:val="39"/>
    <w:qFormat/>
    <w:rsid w:val="001A421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A421D"/>
    <w:pPr>
      <w:ind w:left="1304"/>
    </w:pPr>
  </w:style>
  <w:style w:type="paragraph" w:customStyle="1" w:styleId="ZPKTODNONIKAzmpktodnonikaartykuempunktem">
    <w:name w:val="Z/PKT_ODNOŚNIKA – zm. pkt odnośnika artykułem (punktem)"/>
    <w:basedOn w:val="ZODNONIKAzmtekstuodnonikaartykuempunktem"/>
    <w:uiPriority w:val="39"/>
    <w:qFormat/>
    <w:rsid w:val="001A421D"/>
  </w:style>
  <w:style w:type="paragraph" w:customStyle="1" w:styleId="ZLIT2TIRwTIRzmpodwtirwtirliter">
    <w:name w:val="Z_LIT/2TIR_w_TIR – zm. podw. tir. w tir. literą"/>
    <w:basedOn w:val="ZLIT2TIRzmpodwtirliter"/>
    <w:uiPriority w:val="75"/>
    <w:qFormat/>
    <w:rsid w:val="001A421D"/>
    <w:pPr>
      <w:ind w:left="1780"/>
    </w:pPr>
  </w:style>
  <w:style w:type="paragraph" w:customStyle="1" w:styleId="ZLIT2TIRwLITzmpodwtirwlitliter">
    <w:name w:val="Z_LIT/2TIR_w_LIT – zm. podw. tir. w lit. literą"/>
    <w:basedOn w:val="ZLIT2TIRwTIRzmpodwtirwtirliter"/>
    <w:uiPriority w:val="76"/>
    <w:qFormat/>
    <w:rsid w:val="001A421D"/>
    <w:pPr>
      <w:ind w:left="2257"/>
    </w:pPr>
  </w:style>
  <w:style w:type="paragraph" w:customStyle="1" w:styleId="ZLIT2TIRwPKTzmpodwtirwpktliter">
    <w:name w:val="Z_LIT/2TIR_w_PKT – zm. podw. tir. w pkt literą"/>
    <w:basedOn w:val="ZLIT2TIRwLITzmpodwtirwlitliter"/>
    <w:uiPriority w:val="76"/>
    <w:qFormat/>
    <w:rsid w:val="001A421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A421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A421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A421D"/>
    <w:pPr>
      <w:ind w:left="2370" w:firstLine="0"/>
    </w:pPr>
  </w:style>
  <w:style w:type="paragraph" w:customStyle="1" w:styleId="ZTIR2TIRwPKTzmpodwtirwpkttiret">
    <w:name w:val="Z_TIR/2TIR_w_PKT – zm. podw. tir. w pkt tiret"/>
    <w:basedOn w:val="ZTIR2TIRwLITzmpodwtirwlittiret"/>
    <w:uiPriority w:val="79"/>
    <w:qFormat/>
    <w:rsid w:val="001A421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A421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A421D"/>
    <w:pPr>
      <w:ind w:left="2767"/>
    </w:pPr>
  </w:style>
  <w:style w:type="paragraph" w:customStyle="1" w:styleId="ZZCZWSP2TIRwPKTzmianazmczciwsppodwtirwpkt">
    <w:name w:val="ZZ/CZ_WSP_2TIR_w_PKT – zmiana zm. części wsp. podw. tir. w pkt"/>
    <w:basedOn w:val="ZZ2TIRwLITzmianazmpodwtirwlit"/>
    <w:uiPriority w:val="95"/>
    <w:qFormat/>
    <w:rsid w:val="001A421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A421D"/>
  </w:style>
  <w:style w:type="paragraph" w:customStyle="1" w:styleId="ZLITCZWSP2TIRzmczciwsppodwtirliter">
    <w:name w:val="Z_LIT/CZ_WSP_2TIR – zm. części wsp. podw. tir. literą"/>
    <w:basedOn w:val="ZLITCZWSPPKTzmczciwsppktliter"/>
    <w:next w:val="LITlitera"/>
    <w:uiPriority w:val="76"/>
    <w:qFormat/>
    <w:rsid w:val="001A421D"/>
  </w:style>
  <w:style w:type="paragraph" w:customStyle="1" w:styleId="ZTIRCZWSP2TIRzmczciwsppodwtirtiret">
    <w:name w:val="Z_TIR/CZ_WSP_2TIR – zm. części wsp. podw. tir. tiret"/>
    <w:basedOn w:val="ZLITCZWSP2TIRzmczciwsppodwtirliter"/>
    <w:next w:val="TIRtiret"/>
    <w:uiPriority w:val="79"/>
    <w:qFormat/>
    <w:rsid w:val="001A421D"/>
  </w:style>
  <w:style w:type="paragraph" w:customStyle="1" w:styleId="ZZ2TIRzmianazmpodwtir">
    <w:name w:val="ZZ/2TIR – zmiana zm. podw. tir."/>
    <w:basedOn w:val="ZZCZWSP2TIRzmianazmczciwsppodwtir"/>
    <w:uiPriority w:val="93"/>
    <w:qFormat/>
    <w:rsid w:val="001A421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A421D"/>
  </w:style>
  <w:style w:type="paragraph" w:customStyle="1" w:styleId="ZCZWSPTIRzmczciwsptirartykuempunktem">
    <w:name w:val="Z/CZ_WSP_TIR – zm. części wsp. tir. artykułem (punktem)"/>
    <w:basedOn w:val="ZCZWSPPKTzmczciwsppktartykuempunktem"/>
    <w:next w:val="PKTpunkt"/>
    <w:uiPriority w:val="35"/>
    <w:qFormat/>
    <w:rsid w:val="001A421D"/>
  </w:style>
  <w:style w:type="paragraph" w:customStyle="1" w:styleId="ZLITCZWSPLITzmczciwsplitliter">
    <w:name w:val="Z_LIT/CZ_WSP_LIT – zm. części wsp. lit. literą"/>
    <w:basedOn w:val="ZLITCZWSPPKTzmczciwsppktliter"/>
    <w:next w:val="LITlitera"/>
    <w:uiPriority w:val="51"/>
    <w:qFormat/>
    <w:rsid w:val="001A421D"/>
  </w:style>
  <w:style w:type="paragraph" w:customStyle="1" w:styleId="ZLITCZWSPTIRzmczciwsptirliter">
    <w:name w:val="Z_LIT/CZ_WSP_TIR – zm. części wsp. tir. literą"/>
    <w:basedOn w:val="ZLITCZWSPPKTzmczciwsppktliter"/>
    <w:next w:val="LITlitera"/>
    <w:uiPriority w:val="51"/>
    <w:qFormat/>
    <w:rsid w:val="001A421D"/>
  </w:style>
  <w:style w:type="paragraph" w:customStyle="1" w:styleId="ZTIRCZWSPLITzmczciwsplittiret">
    <w:name w:val="Z_TIR/CZ_WSP_LIT – zm. części wsp. lit. tiret"/>
    <w:basedOn w:val="ZTIRCZWSPPKTzmczciwsppkttiret"/>
    <w:next w:val="TIRtiret"/>
    <w:uiPriority w:val="59"/>
    <w:qFormat/>
    <w:rsid w:val="001A421D"/>
  </w:style>
  <w:style w:type="paragraph" w:customStyle="1" w:styleId="ZTIRCZWSPTIRzmczciwsptirtiret">
    <w:name w:val="Z_TIR/CZ_WSP_TIR – zm. części wsp. tir. tiret"/>
    <w:basedOn w:val="ZTIRCZWSPPKTzmczciwsppkttiret"/>
    <w:next w:val="TIRtiret"/>
    <w:uiPriority w:val="60"/>
    <w:qFormat/>
    <w:rsid w:val="001A421D"/>
  </w:style>
  <w:style w:type="paragraph" w:customStyle="1" w:styleId="ZZCZWSPLITzmianazmczciwsplit">
    <w:name w:val="ZZ/CZ_WSP_LIT – zmiana. zm. części wsp. lit."/>
    <w:basedOn w:val="ZZCZWSPPKTzmianazmczciwsppkt"/>
    <w:uiPriority w:val="69"/>
    <w:qFormat/>
    <w:rsid w:val="001A421D"/>
  </w:style>
  <w:style w:type="paragraph" w:customStyle="1" w:styleId="ZZCZWSPTIRzmianazmczciwsptir">
    <w:name w:val="ZZ/CZ_WSP_TIR – zmiana. zm. części wsp. tir."/>
    <w:basedOn w:val="ZZCZWSPPKTzmianazmczciwsppkt"/>
    <w:uiPriority w:val="69"/>
    <w:qFormat/>
    <w:rsid w:val="001A421D"/>
  </w:style>
  <w:style w:type="paragraph" w:customStyle="1" w:styleId="Z2TIRCZWSPTIRzmczciwsptirpodwjnymtiret">
    <w:name w:val="Z_2TIR/CZ_WSP_TIR – zm. części wsp. tir. podwójnym tiret"/>
    <w:basedOn w:val="Z2TIRCZWSPLITzmczciwsplitpodwjnymtiret"/>
    <w:next w:val="2TIRpodwjnytiret"/>
    <w:uiPriority w:val="87"/>
    <w:qFormat/>
    <w:rsid w:val="001A421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A421D"/>
  </w:style>
  <w:style w:type="paragraph" w:customStyle="1" w:styleId="ZUSTzmustartykuempunktem">
    <w:name w:val="Z/UST(§) – zm. ust. (§) artykułem (punktem)"/>
    <w:basedOn w:val="ZARTzmartartykuempunktem"/>
    <w:uiPriority w:val="32"/>
    <w:qFormat/>
    <w:rsid w:val="001A421D"/>
  </w:style>
  <w:style w:type="paragraph" w:customStyle="1" w:styleId="ZZUSTzmianazmust">
    <w:name w:val="ZZ/UST(§) – zmiana zm. ust. (§)"/>
    <w:basedOn w:val="ZZARTzmianazmart"/>
    <w:uiPriority w:val="65"/>
    <w:qFormat/>
    <w:rsid w:val="001A421D"/>
  </w:style>
  <w:style w:type="paragraph" w:customStyle="1" w:styleId="TYTDZPRZEDMprzedmiotregulacjitytuulubdziau">
    <w:name w:val="TYT(DZ)_PRZEDM – przedmiot regulacji tytułu lub działu"/>
    <w:next w:val="ARTartustawynprozporzdzenia"/>
    <w:uiPriority w:val="9"/>
    <w:qFormat/>
    <w:rsid w:val="001A421D"/>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1A421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A421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A421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A421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A421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A421D"/>
    <w:pPr>
      <w:ind w:left="1894"/>
    </w:pPr>
  </w:style>
  <w:style w:type="paragraph" w:customStyle="1" w:styleId="P1wTABELIpoziom1numeracjiwtabeli">
    <w:name w:val="P1_w_TABELI – poziom 1 numeracji w tabeli"/>
    <w:basedOn w:val="PKTpunkt"/>
    <w:uiPriority w:val="24"/>
    <w:qFormat/>
    <w:rsid w:val="001A421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A421D"/>
    <w:pPr>
      <w:ind w:left="0" w:firstLine="0"/>
    </w:pPr>
  </w:style>
  <w:style w:type="paragraph" w:customStyle="1" w:styleId="P2wTABELIpoziom2numeracjiwtabeli">
    <w:name w:val="P2_w_TABELI – poziom 2 numeracji w tabeli"/>
    <w:basedOn w:val="P1wTABELIpoziom1numeracjiwtabeli"/>
    <w:uiPriority w:val="24"/>
    <w:qFormat/>
    <w:rsid w:val="001A421D"/>
    <w:pPr>
      <w:ind w:left="794"/>
    </w:pPr>
  </w:style>
  <w:style w:type="paragraph" w:customStyle="1" w:styleId="P3wTABELIpoziom3numeracjiwtabeli">
    <w:name w:val="P3_w_TABELI – poziom 3 numeracji w tabeli"/>
    <w:basedOn w:val="P2wTABELIpoziom2numeracjiwtabeli"/>
    <w:uiPriority w:val="24"/>
    <w:qFormat/>
    <w:rsid w:val="001A421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A421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A421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A421D"/>
    <w:pPr>
      <w:ind w:left="1191"/>
    </w:pPr>
  </w:style>
  <w:style w:type="paragraph" w:customStyle="1" w:styleId="P4wTABELIpoziom4numeracjiwtabeli">
    <w:name w:val="P4_w_TABELI – poziom 4 numeracji w tabeli"/>
    <w:basedOn w:val="P3wTABELIpoziom3numeracjiwtabeli"/>
    <w:uiPriority w:val="24"/>
    <w:qFormat/>
    <w:rsid w:val="001A421D"/>
    <w:pPr>
      <w:ind w:left="1588"/>
    </w:pPr>
  </w:style>
  <w:style w:type="paragraph" w:customStyle="1" w:styleId="TYTTABELItytutabeli">
    <w:name w:val="TYT_TABELI – tytuł tabeli"/>
    <w:basedOn w:val="TYTDZOZNoznaczenietytuulubdziau"/>
    <w:uiPriority w:val="22"/>
    <w:qFormat/>
    <w:rsid w:val="001A421D"/>
    <w:rPr>
      <w:b/>
    </w:rPr>
  </w:style>
  <w:style w:type="paragraph" w:customStyle="1" w:styleId="OZNPROJEKTUwskazaniedatylubwersjiprojektu">
    <w:name w:val="OZN_PROJEKTU – wskazanie daty lub wersji projektu"/>
    <w:next w:val="OZNRODZAKTUtznustawalubrozporzdzenieiorganwydajcy"/>
    <w:qFormat/>
    <w:rsid w:val="001A421D"/>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A421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A421D"/>
    <w:pPr>
      <w:ind w:left="0" w:right="4820"/>
      <w:jc w:val="left"/>
    </w:pPr>
  </w:style>
  <w:style w:type="paragraph" w:customStyle="1" w:styleId="TEKSTwporozumieniu">
    <w:name w:val="TEKST&quot;w porozumieniu:&quot;"/>
    <w:next w:val="NAZORGWPOROZUMIENIUnazwaorganuwporozumieniuzktrymaktjestwydawany"/>
    <w:uiPriority w:val="27"/>
    <w:qFormat/>
    <w:rsid w:val="001A421D"/>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1A421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A421D"/>
    <w:pPr>
      <w:ind w:left="510" w:firstLine="0"/>
    </w:pPr>
  </w:style>
  <w:style w:type="paragraph" w:customStyle="1" w:styleId="NOTATKILEGISLATORA">
    <w:name w:val="NOTATKI_LEGISLATORA"/>
    <w:basedOn w:val="Normalny"/>
    <w:uiPriority w:val="5"/>
    <w:qFormat/>
    <w:rsid w:val="001A421D"/>
    <w:rPr>
      <w:b/>
      <w:i/>
    </w:rPr>
  </w:style>
  <w:style w:type="paragraph" w:customStyle="1" w:styleId="OZNZACZNIKAwskazanienrzacznika">
    <w:name w:val="OZN_ZAŁĄCZNIKA – wskazanie nr załącznika"/>
    <w:basedOn w:val="OZNPROJEKTUwskazaniedatylubwersjiprojektu"/>
    <w:uiPriority w:val="28"/>
    <w:qFormat/>
    <w:rsid w:val="001A421D"/>
    <w:pPr>
      <w:keepNext/>
    </w:pPr>
    <w:rPr>
      <w:b/>
      <w:u w:val="none"/>
    </w:rPr>
  </w:style>
  <w:style w:type="paragraph" w:customStyle="1" w:styleId="OZNPARAFYADNOTACJE">
    <w:name w:val="OZN_PARAFY(ADNOTACJE)"/>
    <w:basedOn w:val="ODNONIKtreodnonika"/>
    <w:uiPriority w:val="26"/>
    <w:qFormat/>
    <w:rsid w:val="001A421D"/>
  </w:style>
  <w:style w:type="paragraph" w:customStyle="1" w:styleId="TEKSTZacznikido">
    <w:name w:val="TEKST&quot;Załącznik(i) do ...&quot;"/>
    <w:uiPriority w:val="28"/>
    <w:qFormat/>
    <w:rsid w:val="001A421D"/>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1A421D"/>
    <w:pPr>
      <w:ind w:left="851"/>
    </w:pPr>
  </w:style>
  <w:style w:type="paragraph" w:customStyle="1" w:styleId="CZWSPLITODNONIKAczwspliterodnonika">
    <w:name w:val="CZ_WSP_LIT_ODNOŚNIKA – część wsp. liter odnośnika"/>
    <w:basedOn w:val="LITODNONIKAliteraodnonika"/>
    <w:uiPriority w:val="22"/>
    <w:qFormat/>
    <w:rsid w:val="001A421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A421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A421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A421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A421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A421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A421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A421D"/>
  </w:style>
  <w:style w:type="paragraph" w:customStyle="1" w:styleId="ZLITwPKTODNONIKAzmlitwpktodnonikaartykuempunktem">
    <w:name w:val="Z/LIT_w_PKT_ODNOŚNIKA – zm. lit. w pkt odnośnika artykułem (punktem)"/>
    <w:basedOn w:val="ZLITODNONIKAzmlitodnonikaartykuempunktem"/>
    <w:uiPriority w:val="40"/>
    <w:qFormat/>
    <w:rsid w:val="001A421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A421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A421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A421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A421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A421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A421D"/>
  </w:style>
  <w:style w:type="paragraph" w:customStyle="1" w:styleId="ZZFRAGzmianazmfragmentunpzdania">
    <w:name w:val="ZZ/FRAG – zmiana zm. fragmentu (np. zdania)"/>
    <w:basedOn w:val="ZZCZWSPPKTzmianazmczciwsppkt"/>
    <w:uiPriority w:val="70"/>
    <w:qFormat/>
    <w:rsid w:val="001A421D"/>
  </w:style>
  <w:style w:type="paragraph" w:customStyle="1" w:styleId="Z2TIRPKTzmpktpodwjnymtiret">
    <w:name w:val="Z_2TIR/PKT – zm. pkt podwójnym tiret"/>
    <w:basedOn w:val="Z2TIRLITzmlitpodwjnymtiret"/>
    <w:uiPriority w:val="83"/>
    <w:qFormat/>
    <w:rsid w:val="001A421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A421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A421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A421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A421D"/>
    <w:pPr>
      <w:ind w:left="1780" w:firstLine="510"/>
    </w:pPr>
  </w:style>
  <w:style w:type="paragraph" w:customStyle="1" w:styleId="Z2TIRUSTzmustpodwjnymtiret">
    <w:name w:val="Z_2TIR/UST(§) – zm. ust. (§) podwójnym tiret"/>
    <w:basedOn w:val="Z2TIRPKTzmpktpodwjnymtiret"/>
    <w:uiPriority w:val="82"/>
    <w:qFormat/>
    <w:rsid w:val="001A421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A421D"/>
    <w:pPr>
      <w:ind w:left="3164" w:firstLine="0"/>
    </w:pPr>
  </w:style>
  <w:style w:type="paragraph" w:customStyle="1" w:styleId="Z2TIRCZWSPPKTzmczciwsppktpodwjnymtiret">
    <w:name w:val="Z_2TIR/CZ_WSP_PKT – zm. części wsp. pkt podwójnym tiret"/>
    <w:basedOn w:val="Z2TIRPKTzmpktpodwjnymtiret"/>
    <w:uiPriority w:val="86"/>
    <w:qFormat/>
    <w:rsid w:val="001A421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A421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A421D"/>
    <w:pPr>
      <w:ind w:left="2767" w:firstLine="0"/>
    </w:pPr>
  </w:style>
  <w:style w:type="paragraph" w:customStyle="1" w:styleId="ZLITARTzmartliter">
    <w:name w:val="Z_LIT/ART(§) – zm. art. (§) literą"/>
    <w:basedOn w:val="ZLITUSTzmustliter"/>
    <w:uiPriority w:val="46"/>
    <w:qFormat/>
    <w:rsid w:val="001A421D"/>
    <w:rPr>
      <w:rFonts w:ascii="Times New Roman" w:hAnsi="Times New Roman"/>
    </w:rPr>
  </w:style>
  <w:style w:type="paragraph" w:customStyle="1" w:styleId="ZTIRARTzmarttiret">
    <w:name w:val="Z_TIR/ART(§) – zm. art. (§) tiret"/>
    <w:basedOn w:val="ZTIRPKTzmpkttiret"/>
    <w:uiPriority w:val="55"/>
    <w:qFormat/>
    <w:rsid w:val="001A421D"/>
    <w:pPr>
      <w:ind w:left="1383" w:firstLine="510"/>
    </w:pPr>
    <w:rPr>
      <w:rFonts w:ascii="Times New Roman" w:hAnsi="Times New Roman"/>
    </w:rPr>
  </w:style>
  <w:style w:type="paragraph" w:customStyle="1" w:styleId="ZTIRUSTzmusttiret">
    <w:name w:val="Z_TIR/UST(§) – zm. ust. (§) tiret"/>
    <w:basedOn w:val="ZTIRARTzmarttiret"/>
    <w:uiPriority w:val="55"/>
    <w:qFormat/>
    <w:rsid w:val="001A421D"/>
  </w:style>
  <w:style w:type="paragraph" w:customStyle="1" w:styleId="ZLITKSIGIzmozniprzedmksigiliter">
    <w:name w:val="Z_LIT/KSIĘGI – zm. ozn. i przedm. księgi literą"/>
    <w:basedOn w:val="ZCZCIKSIGIzmozniprzedmczciksigiartykuempunktem"/>
    <w:uiPriority w:val="44"/>
    <w:qFormat/>
    <w:rsid w:val="001A421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A421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A421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A421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A421D"/>
    <w:pPr>
      <w:ind w:left="987"/>
    </w:pPr>
  </w:style>
  <w:style w:type="paragraph" w:customStyle="1" w:styleId="ZTIRDZOZNzmozndziautiret">
    <w:name w:val="Z_TIR/DZ_OZN – zm. ozn. działu tiret"/>
    <w:basedOn w:val="ZLITTYTDZOZNzmozntytuudziauliter"/>
    <w:next w:val="ZTIRDZPRZEDMzmprzedmdziautiret"/>
    <w:uiPriority w:val="54"/>
    <w:qFormat/>
    <w:rsid w:val="001A421D"/>
    <w:pPr>
      <w:ind w:left="1383"/>
    </w:pPr>
  </w:style>
  <w:style w:type="paragraph" w:customStyle="1" w:styleId="ZTIRDZPRZEDMzmprzedmdziautiret">
    <w:name w:val="Z_TIR/DZ_PRZEDM – zm. przedm. działu tiret"/>
    <w:basedOn w:val="ZLITTYTDZPRZEDMzmprzedmtytuudziauliter"/>
    <w:uiPriority w:val="54"/>
    <w:qFormat/>
    <w:rsid w:val="001A421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A421D"/>
    <w:pPr>
      <w:ind w:left="1383"/>
    </w:pPr>
  </w:style>
  <w:style w:type="paragraph" w:customStyle="1" w:styleId="ZTIRROZDZODDZPRZEDMzmprzedmrozdzoddztiret">
    <w:name w:val="Z_TIR/ROZDZ(ODDZ)_PRZEDM – zm. przedm. rozdz. (oddz.) tiret"/>
    <w:basedOn w:val="ZLITROZDZODDZPRZEDMzmprzedmrozdzoddzliter"/>
    <w:uiPriority w:val="54"/>
    <w:qFormat/>
    <w:rsid w:val="001A421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A421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A421D"/>
    <w:pPr>
      <w:ind w:left="1780"/>
    </w:pPr>
  </w:style>
  <w:style w:type="character" w:customStyle="1" w:styleId="IGindeksgrny">
    <w:name w:val="_IG_ – indeks górny"/>
    <w:basedOn w:val="Domylnaczcionkaakapitu"/>
    <w:uiPriority w:val="2"/>
    <w:qFormat/>
    <w:rsid w:val="001A421D"/>
    <w:rPr>
      <w:b w:val="0"/>
      <w:i w:val="0"/>
      <w:vanish w:val="0"/>
      <w:spacing w:val="0"/>
      <w:vertAlign w:val="superscript"/>
    </w:rPr>
  </w:style>
  <w:style w:type="character" w:customStyle="1" w:styleId="IDindeksdolny">
    <w:name w:val="_ID_ – indeks dolny"/>
    <w:basedOn w:val="Domylnaczcionkaakapitu"/>
    <w:uiPriority w:val="3"/>
    <w:qFormat/>
    <w:rsid w:val="001A421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A421D"/>
    <w:rPr>
      <w:b/>
      <w:vanish w:val="0"/>
      <w:spacing w:val="0"/>
      <w:vertAlign w:val="subscript"/>
    </w:rPr>
  </w:style>
  <w:style w:type="character" w:customStyle="1" w:styleId="IDKindeksdolnyikursywa">
    <w:name w:val="_ID_K_ – indeks dolny i kursywa"/>
    <w:basedOn w:val="Domylnaczcionkaakapitu"/>
    <w:uiPriority w:val="3"/>
    <w:qFormat/>
    <w:rsid w:val="001A421D"/>
    <w:rPr>
      <w:i/>
      <w:vanish w:val="0"/>
      <w:spacing w:val="0"/>
      <w:vertAlign w:val="subscript"/>
    </w:rPr>
  </w:style>
  <w:style w:type="character" w:customStyle="1" w:styleId="IGPindeksgrnyipogrubienie">
    <w:name w:val="_IG_P_ – indeks górny i pogrubienie"/>
    <w:basedOn w:val="Domylnaczcionkaakapitu"/>
    <w:uiPriority w:val="2"/>
    <w:qFormat/>
    <w:rsid w:val="001A421D"/>
    <w:rPr>
      <w:b/>
      <w:vanish w:val="0"/>
      <w:spacing w:val="0"/>
      <w:vertAlign w:val="superscript"/>
    </w:rPr>
  </w:style>
  <w:style w:type="character" w:customStyle="1" w:styleId="IGKindeksgrnyikursywa">
    <w:name w:val="_IG_K_ – indeks górny i kursywa"/>
    <w:basedOn w:val="Domylnaczcionkaakapitu"/>
    <w:uiPriority w:val="2"/>
    <w:qFormat/>
    <w:rsid w:val="001A421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A421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A421D"/>
    <w:rPr>
      <w:b/>
      <w:i/>
      <w:vanish w:val="0"/>
      <w:spacing w:val="0"/>
      <w:vertAlign w:val="subscript"/>
    </w:rPr>
  </w:style>
  <w:style w:type="character" w:customStyle="1" w:styleId="Ppogrubienie">
    <w:name w:val="_P_ – pogrubienie"/>
    <w:basedOn w:val="Domylnaczcionkaakapitu"/>
    <w:uiPriority w:val="1"/>
    <w:qFormat/>
    <w:rsid w:val="001A421D"/>
    <w:rPr>
      <w:b/>
    </w:rPr>
  </w:style>
  <w:style w:type="character" w:customStyle="1" w:styleId="Kkursywa">
    <w:name w:val="_K_ – kursywa"/>
    <w:basedOn w:val="Domylnaczcionkaakapitu"/>
    <w:uiPriority w:val="1"/>
    <w:qFormat/>
    <w:rsid w:val="001A421D"/>
    <w:rPr>
      <w:i/>
    </w:rPr>
  </w:style>
  <w:style w:type="character" w:customStyle="1" w:styleId="PKpogrubieniekursywa">
    <w:name w:val="_P_K_ – pogrubienie kursywa"/>
    <w:basedOn w:val="Domylnaczcionkaakapitu"/>
    <w:uiPriority w:val="1"/>
    <w:qFormat/>
    <w:rsid w:val="001A421D"/>
    <w:rPr>
      <w:b/>
      <w:i/>
    </w:rPr>
  </w:style>
  <w:style w:type="character" w:customStyle="1" w:styleId="TEKSTOZNACZONYWDOKUMENCIERDOWYMJAKOUKRYTY">
    <w:name w:val="_TEKST_OZNACZONY_W_DOKUMENCIE_ŹRÓDŁOWYM_JAKO_UKRYTY_"/>
    <w:basedOn w:val="Domylnaczcionkaakapitu"/>
    <w:uiPriority w:val="4"/>
    <w:unhideWhenUsed/>
    <w:qFormat/>
    <w:rsid w:val="001A421D"/>
    <w:rPr>
      <w:vanish w:val="0"/>
      <w:color w:val="FF0000"/>
      <w:u w:val="single" w:color="FF0000"/>
    </w:rPr>
  </w:style>
  <w:style w:type="character" w:customStyle="1" w:styleId="BEZWERSALIKW">
    <w:name w:val="_BEZ_WERSALIKÓW_"/>
    <w:basedOn w:val="Domylnaczcionkaakapitu"/>
    <w:uiPriority w:val="4"/>
    <w:qFormat/>
    <w:rsid w:val="001A421D"/>
    <w:rPr>
      <w:caps/>
    </w:rPr>
  </w:style>
  <w:style w:type="character" w:customStyle="1" w:styleId="IIGPindeksgrnyindeksugrnegoipogrubienie">
    <w:name w:val="_IIG_P_ – indeks górny indeksu górnego i pogrubienie"/>
    <w:basedOn w:val="Domylnaczcionkaakapitu"/>
    <w:uiPriority w:val="3"/>
    <w:qFormat/>
    <w:rsid w:val="001A421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A421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A421D"/>
    <w:pPr>
      <w:ind w:left="283" w:hanging="170"/>
    </w:pPr>
    <w:rPr>
      <w:sz w:val="20"/>
    </w:rPr>
  </w:style>
  <w:style w:type="paragraph" w:customStyle="1" w:styleId="TEKSTwTABELItekstzwcitympierwwierszem">
    <w:name w:val="TEKST_w_TABELI – tekst z wciętym pierw. wierszem"/>
    <w:basedOn w:val="Normalny"/>
    <w:uiPriority w:val="23"/>
    <w:qFormat/>
    <w:rsid w:val="001A421D"/>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A421D"/>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A421D"/>
    <w:pPr>
      <w:ind w:left="1894"/>
    </w:pPr>
  </w:style>
  <w:style w:type="paragraph" w:customStyle="1" w:styleId="ZZSKARNzmianazmsankcjikarnej">
    <w:name w:val="ZZ/S_KARN – zmiana zm. sankcji karnej"/>
    <w:basedOn w:val="ZZFRAGzmianazmfragmentunpzdania"/>
    <w:uiPriority w:val="71"/>
    <w:qFormat/>
    <w:rsid w:val="001A421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A421D"/>
    <w:pPr>
      <w:ind w:left="2291" w:firstLine="0"/>
    </w:pPr>
  </w:style>
  <w:style w:type="paragraph" w:customStyle="1" w:styleId="WMATFIZCHEMwzrmatfizlubchem">
    <w:name w:val="W_MAT(FIZ|CHEM) – wzór mat. (fiz. lub chem.)"/>
    <w:uiPriority w:val="18"/>
    <w:qFormat/>
    <w:rsid w:val="001A421D"/>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A421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A421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A421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A421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A421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A421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A421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A421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A421D"/>
    <w:pPr>
      <w:ind w:left="3085"/>
    </w:pPr>
  </w:style>
  <w:style w:type="paragraph" w:customStyle="1" w:styleId="ZLITCYTzmcytatunpprzysigiliter">
    <w:name w:val="Z_LIT/CYT – zm. cytatu np. przysięgi literą"/>
    <w:basedOn w:val="ZCYTzmcytatunpprzysigiartykuempunktem"/>
    <w:uiPriority w:val="53"/>
    <w:qFormat/>
    <w:rsid w:val="001A421D"/>
    <w:pPr>
      <w:ind w:left="1497"/>
    </w:pPr>
  </w:style>
  <w:style w:type="paragraph" w:customStyle="1" w:styleId="ZTIRCYTzmcytatunpprzysigitiret">
    <w:name w:val="Z_TIR/CYT – zm. cytatu np. przysięgi tiret"/>
    <w:basedOn w:val="ZLITCYTzmcytatunpprzysigiliter"/>
    <w:next w:val="ZTIRUSTzmusttiret"/>
    <w:uiPriority w:val="61"/>
    <w:qFormat/>
    <w:rsid w:val="001A421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A421D"/>
    <w:pPr>
      <w:ind w:left="2291"/>
    </w:pPr>
  </w:style>
  <w:style w:type="paragraph" w:customStyle="1" w:styleId="ZZCYTzmianazmcytatunpprzysigi">
    <w:name w:val="ZZ/CYT – zmiana zm. cytatu np. przysięgi"/>
    <w:basedOn w:val="ZZFRAGzmianazmfragmentunpzdania"/>
    <w:next w:val="ZZUSTzmianazmust"/>
    <w:uiPriority w:val="71"/>
    <w:qFormat/>
    <w:rsid w:val="001A421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A421D"/>
    <w:pPr>
      <w:ind w:left="1780"/>
    </w:pPr>
  </w:style>
  <w:style w:type="paragraph" w:styleId="Akapitzlist">
    <w:name w:val="List Paragraph"/>
    <w:basedOn w:val="Normalny"/>
    <w:uiPriority w:val="34"/>
    <w:qFormat/>
    <w:rsid w:val="001A421D"/>
    <w:pPr>
      <w:spacing w:after="200" w:line="276" w:lineRule="auto"/>
      <w:ind w:left="720"/>
      <w:contextualSpacing/>
    </w:pPr>
    <w:rPr>
      <w:rFonts w:asciiTheme="minorHAnsi" w:eastAsiaTheme="minorHAnsi" w:hAnsiTheme="minorHAnsi" w:cstheme="minorBidi"/>
      <w:sz w:val="22"/>
      <w:szCs w:val="22"/>
    </w:rPr>
  </w:style>
  <w:style w:type="paragraph" w:styleId="Tekstprzypisudolnego">
    <w:name w:val="footnote text"/>
    <w:basedOn w:val="Normalny"/>
    <w:link w:val="TekstprzypisudolnegoZnak"/>
    <w:uiPriority w:val="99"/>
    <w:semiHidden/>
    <w:rsid w:val="005E5A55"/>
    <w:rPr>
      <w:sz w:val="20"/>
      <w:szCs w:val="20"/>
      <w:lang w:eastAsia="pl-PL"/>
    </w:rPr>
  </w:style>
  <w:style w:type="character" w:customStyle="1" w:styleId="TekstprzypisudolnegoZnak">
    <w:name w:val="Tekst przypisu dolnego Znak"/>
    <w:basedOn w:val="Domylnaczcionkaakapitu"/>
    <w:link w:val="Tekstprzypisudolnego"/>
    <w:uiPriority w:val="99"/>
    <w:semiHidden/>
    <w:rsid w:val="005E5A55"/>
    <w:rPr>
      <w:rFonts w:ascii="Times New Roman" w:hAnsi="Times New Roman"/>
      <w:sz w:val="20"/>
      <w:szCs w:val="20"/>
      <w:lang w:eastAsia="pl-PL"/>
    </w:rPr>
  </w:style>
  <w:style w:type="character" w:styleId="Odwoanieprzypisudolnego">
    <w:name w:val="footnote reference"/>
    <w:uiPriority w:val="99"/>
    <w:rsid w:val="005E5A55"/>
    <w:rPr>
      <w:vertAlign w:val="superscript"/>
    </w:rPr>
  </w:style>
  <w:style w:type="character" w:styleId="Hipercze">
    <w:name w:val="Hyperlink"/>
    <w:basedOn w:val="Domylnaczcionkaakapitu"/>
    <w:uiPriority w:val="99"/>
    <w:unhideWhenUsed/>
    <w:rsid w:val="00B40B7A"/>
    <w:rPr>
      <w:color w:val="0000FF" w:themeColor="hyperlink"/>
      <w:u w:val="single"/>
    </w:rPr>
  </w:style>
  <w:style w:type="character" w:customStyle="1" w:styleId="highlight">
    <w:name w:val="highlight"/>
    <w:basedOn w:val="Domylnaczcionkaakapitu"/>
    <w:rsid w:val="00A27F08"/>
  </w:style>
  <w:style w:type="paragraph" w:styleId="Tekstdymka">
    <w:name w:val="Balloon Text"/>
    <w:basedOn w:val="Normalny"/>
    <w:link w:val="TekstdymkaZnak"/>
    <w:uiPriority w:val="99"/>
    <w:semiHidden/>
    <w:unhideWhenUsed/>
    <w:rsid w:val="005D56EB"/>
    <w:rPr>
      <w:rFonts w:ascii="Tahoma" w:hAnsi="Tahoma" w:cs="Tahoma"/>
      <w:sz w:val="16"/>
      <w:szCs w:val="16"/>
    </w:rPr>
  </w:style>
  <w:style w:type="character" w:customStyle="1" w:styleId="TekstdymkaZnak">
    <w:name w:val="Tekst dymka Znak"/>
    <w:basedOn w:val="Domylnaczcionkaakapitu"/>
    <w:link w:val="Tekstdymka"/>
    <w:uiPriority w:val="99"/>
    <w:semiHidden/>
    <w:rsid w:val="005D56EB"/>
    <w:rPr>
      <w:rFonts w:ascii="Tahoma" w:hAnsi="Tahoma" w:cs="Tahoma"/>
      <w:sz w:val="16"/>
      <w:szCs w:val="16"/>
    </w:rPr>
  </w:style>
  <w:style w:type="paragraph" w:styleId="NormalnyWeb">
    <w:name w:val="Normal (Web)"/>
    <w:basedOn w:val="Normalny"/>
    <w:uiPriority w:val="99"/>
    <w:semiHidden/>
    <w:unhideWhenUsed/>
    <w:rsid w:val="007101B3"/>
    <w:pPr>
      <w:spacing w:before="100" w:beforeAutospacing="1" w:after="100" w:afterAutospacing="1"/>
    </w:pPr>
    <w:rPr>
      <w:rFonts w:eastAsiaTheme="minorEastAsia"/>
      <w:lang w:eastAsia="pl-PL"/>
    </w:rPr>
  </w:style>
  <w:style w:type="paragraph" w:styleId="Nagwek">
    <w:name w:val="header"/>
    <w:basedOn w:val="Normalny"/>
    <w:link w:val="NagwekZnak"/>
    <w:uiPriority w:val="99"/>
    <w:unhideWhenUsed/>
    <w:rsid w:val="00A97F3F"/>
    <w:pPr>
      <w:tabs>
        <w:tab w:val="center" w:pos="4536"/>
        <w:tab w:val="right" w:pos="9072"/>
      </w:tabs>
    </w:pPr>
  </w:style>
  <w:style w:type="character" w:customStyle="1" w:styleId="NagwekZnak">
    <w:name w:val="Nagłówek Znak"/>
    <w:basedOn w:val="Domylnaczcionkaakapitu"/>
    <w:link w:val="Nagwek"/>
    <w:uiPriority w:val="99"/>
    <w:rsid w:val="00A97F3F"/>
    <w:rPr>
      <w:rFonts w:ascii="Times New Roman" w:hAnsi="Times New Roman"/>
    </w:rPr>
  </w:style>
  <w:style w:type="paragraph" w:styleId="Stopka">
    <w:name w:val="footer"/>
    <w:basedOn w:val="Normalny"/>
    <w:link w:val="StopkaZnak"/>
    <w:uiPriority w:val="99"/>
    <w:unhideWhenUsed/>
    <w:rsid w:val="00A97F3F"/>
    <w:pPr>
      <w:tabs>
        <w:tab w:val="center" w:pos="4536"/>
        <w:tab w:val="right" w:pos="9072"/>
      </w:tabs>
    </w:pPr>
  </w:style>
  <w:style w:type="character" w:customStyle="1" w:styleId="StopkaZnak">
    <w:name w:val="Stopka Znak"/>
    <w:basedOn w:val="Domylnaczcionkaakapitu"/>
    <w:link w:val="Stopka"/>
    <w:uiPriority w:val="99"/>
    <w:rsid w:val="00A97F3F"/>
    <w:rPr>
      <w:rFonts w:ascii="Times New Roman" w:hAnsi="Times New Roman"/>
    </w:rPr>
  </w:style>
  <w:style w:type="paragraph" w:styleId="Poprawka">
    <w:name w:val="Revision"/>
    <w:hidden/>
    <w:uiPriority w:val="99"/>
    <w:semiHidden/>
    <w:rsid w:val="00DE0ED9"/>
    <w:pPr>
      <w:spacing w:line="240" w:lineRule="auto"/>
    </w:pPr>
    <w:rPr>
      <w:rFonts w:ascii="Times New Roman" w:hAnsi="Times New Roman"/>
    </w:rPr>
  </w:style>
  <w:style w:type="character" w:styleId="Odwoaniedokomentarza">
    <w:name w:val="annotation reference"/>
    <w:basedOn w:val="Domylnaczcionkaakapitu"/>
    <w:uiPriority w:val="99"/>
    <w:semiHidden/>
    <w:unhideWhenUsed/>
    <w:rsid w:val="00623E57"/>
    <w:rPr>
      <w:sz w:val="16"/>
      <w:szCs w:val="16"/>
    </w:rPr>
  </w:style>
  <w:style w:type="paragraph" w:styleId="Tekstkomentarza">
    <w:name w:val="annotation text"/>
    <w:basedOn w:val="Normalny"/>
    <w:link w:val="TekstkomentarzaZnak"/>
    <w:uiPriority w:val="99"/>
    <w:semiHidden/>
    <w:unhideWhenUsed/>
    <w:rsid w:val="00623E57"/>
    <w:rPr>
      <w:sz w:val="20"/>
      <w:szCs w:val="20"/>
    </w:rPr>
  </w:style>
  <w:style w:type="character" w:customStyle="1" w:styleId="TekstkomentarzaZnak">
    <w:name w:val="Tekst komentarza Znak"/>
    <w:basedOn w:val="Domylnaczcionkaakapitu"/>
    <w:link w:val="Tekstkomentarza"/>
    <w:uiPriority w:val="99"/>
    <w:semiHidden/>
    <w:rsid w:val="00623E5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23E57"/>
    <w:rPr>
      <w:b/>
      <w:bCs/>
    </w:rPr>
  </w:style>
  <w:style w:type="character" w:customStyle="1" w:styleId="TematkomentarzaZnak">
    <w:name w:val="Temat komentarza Znak"/>
    <w:basedOn w:val="TekstkomentarzaZnak"/>
    <w:link w:val="Tematkomentarza"/>
    <w:uiPriority w:val="99"/>
    <w:semiHidden/>
    <w:rsid w:val="00623E5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1A421D"/>
    <w:pPr>
      <w:spacing w:line="240" w:lineRule="auto"/>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A421D"/>
    <w:pPr>
      <w:ind w:left="1497"/>
    </w:pPr>
  </w:style>
  <w:style w:type="paragraph" w:customStyle="1" w:styleId="ZTIRwPKTzmtirwpktartykuempunktem">
    <w:name w:val="Z/TIR_w_PKT – zm. tir. w pkt artykułem (punktem)"/>
    <w:basedOn w:val="TIRtiret"/>
    <w:uiPriority w:val="33"/>
    <w:qFormat/>
    <w:rsid w:val="001A421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A421D"/>
    <w:pPr>
      <w:ind w:left="1021"/>
    </w:pPr>
  </w:style>
  <w:style w:type="paragraph" w:customStyle="1" w:styleId="2TIRpodwjnytiret">
    <w:name w:val="2TIR – podwójny tiret"/>
    <w:basedOn w:val="TIRtiret"/>
    <w:uiPriority w:val="73"/>
    <w:qFormat/>
    <w:rsid w:val="001A421D"/>
    <w:pPr>
      <w:ind w:left="1780"/>
    </w:pPr>
  </w:style>
  <w:style w:type="paragraph" w:customStyle="1" w:styleId="ARTartustawynprozporzdzenia">
    <w:name w:val="ART(§) – art. ustawy (§ np. rozporządzenia)"/>
    <w:qFormat/>
    <w:rsid w:val="001A421D"/>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A421D"/>
    <w:pPr>
      <w:ind w:left="1497"/>
    </w:pPr>
  </w:style>
  <w:style w:type="paragraph" w:customStyle="1" w:styleId="ZTIRwLITzmtirwlitartykuempunktem">
    <w:name w:val="Z/TIR_w_LIT – zm. tir. w lit. artykułem (punktem)"/>
    <w:basedOn w:val="TIRtiret"/>
    <w:uiPriority w:val="33"/>
    <w:qFormat/>
    <w:rsid w:val="001A421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A421D"/>
  </w:style>
  <w:style w:type="paragraph" w:customStyle="1" w:styleId="ZPKTzmpktartykuempunktem">
    <w:name w:val="Z/PKT – zm. pkt artykułem (punktem)"/>
    <w:basedOn w:val="PKTpunkt"/>
    <w:qFormat/>
    <w:rsid w:val="001A421D"/>
    <w:pPr>
      <w:ind w:left="1020"/>
    </w:pPr>
  </w:style>
  <w:style w:type="paragraph" w:customStyle="1" w:styleId="ZARTzmartartykuempunktem">
    <w:name w:val="Z/ART(§) – zm. art. (§) artykułem (punktem)"/>
    <w:basedOn w:val="ARTartustawynprozporzdzenia"/>
    <w:qFormat/>
    <w:rsid w:val="001A421D"/>
    <w:pPr>
      <w:spacing w:before="0"/>
      <w:ind w:left="510"/>
    </w:pPr>
  </w:style>
  <w:style w:type="paragraph" w:customStyle="1" w:styleId="DATAAKTUdatauchwalenialubwydaniaaktu">
    <w:name w:val="DATA_AKTU – data uchwalenia lub wydania aktu"/>
    <w:next w:val="TYTUAKTUprzedmiotregulacjiustawylubrozporzdzenia"/>
    <w:qFormat/>
    <w:rsid w:val="001A421D"/>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1A421D"/>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1A421D"/>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A421D"/>
    <w:rPr>
      <w:bCs/>
    </w:rPr>
  </w:style>
  <w:style w:type="paragraph" w:customStyle="1" w:styleId="OZNRODZAKTUtznustawalubrozporzdzenieiorganwydajcy">
    <w:name w:val="OZN_RODZ_AKTU – tzn. ustawa lub rozporządzenie i organ wydający"/>
    <w:next w:val="DATAAKTUdatauchwalenialubwydaniaaktu"/>
    <w:qFormat/>
    <w:rsid w:val="001A421D"/>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1A421D"/>
    <w:pPr>
      <w:spacing w:before="0"/>
    </w:pPr>
    <w:rPr>
      <w:bCs/>
    </w:rPr>
  </w:style>
  <w:style w:type="paragraph" w:customStyle="1" w:styleId="PKTpunkt">
    <w:name w:val="PKT – punkt"/>
    <w:uiPriority w:val="16"/>
    <w:qFormat/>
    <w:rsid w:val="001A421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1A421D"/>
    <w:pPr>
      <w:ind w:left="0" w:firstLine="0"/>
    </w:pPr>
  </w:style>
  <w:style w:type="paragraph" w:customStyle="1" w:styleId="LITlitera">
    <w:name w:val="LIT – litera"/>
    <w:basedOn w:val="PKTpunkt"/>
    <w:uiPriority w:val="17"/>
    <w:qFormat/>
    <w:rsid w:val="001A421D"/>
    <w:pPr>
      <w:ind w:left="986" w:hanging="476"/>
    </w:pPr>
  </w:style>
  <w:style w:type="paragraph" w:customStyle="1" w:styleId="CZWSPLITczwsplnaliter">
    <w:name w:val="CZ_WSP_LIT – część wspólna liter"/>
    <w:basedOn w:val="LITlitera"/>
    <w:next w:val="USTustnpkodeksu"/>
    <w:uiPriority w:val="17"/>
    <w:qFormat/>
    <w:rsid w:val="001A421D"/>
    <w:pPr>
      <w:ind w:left="510" w:firstLine="0"/>
    </w:pPr>
    <w:rPr>
      <w:szCs w:val="24"/>
    </w:rPr>
  </w:style>
  <w:style w:type="paragraph" w:customStyle="1" w:styleId="TIRtiret">
    <w:name w:val="TIR – tiret"/>
    <w:basedOn w:val="LITlitera"/>
    <w:uiPriority w:val="18"/>
    <w:qFormat/>
    <w:rsid w:val="001A421D"/>
    <w:pPr>
      <w:ind w:left="1384" w:hanging="397"/>
    </w:pPr>
  </w:style>
  <w:style w:type="paragraph" w:customStyle="1" w:styleId="CZWSPTIRczwsplnatiret">
    <w:name w:val="CZ_WSP_TIR – część wspólna tiret"/>
    <w:basedOn w:val="TIRtiret"/>
    <w:next w:val="USTustnpkodeksu"/>
    <w:uiPriority w:val="17"/>
    <w:qFormat/>
    <w:rsid w:val="001A421D"/>
    <w:pPr>
      <w:ind w:left="987" w:firstLine="0"/>
    </w:pPr>
  </w:style>
  <w:style w:type="paragraph" w:customStyle="1" w:styleId="CYTcytatnpprzysigi">
    <w:name w:val="CYT – cytat np. przysięgi"/>
    <w:basedOn w:val="USTustnpkodeksu"/>
    <w:next w:val="USTustnpkodeksu"/>
    <w:uiPriority w:val="18"/>
    <w:qFormat/>
    <w:rsid w:val="001A421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A421D"/>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1A421D"/>
  </w:style>
  <w:style w:type="paragraph" w:customStyle="1" w:styleId="ZLITCZWSPTIRwLITzmczciwsptirwlitliter">
    <w:name w:val="Z_LIT/CZ_WSP_TIR_w_LIT – zm. części wsp. tir. w lit. literą"/>
    <w:basedOn w:val="CZWSPTIRczwsplnatiret"/>
    <w:next w:val="LITlitera"/>
    <w:uiPriority w:val="51"/>
    <w:qFormat/>
    <w:rsid w:val="001A421D"/>
    <w:pPr>
      <w:ind w:left="1463"/>
    </w:pPr>
  </w:style>
  <w:style w:type="paragraph" w:customStyle="1" w:styleId="ZLITTIRwLITzmtirwlitliter">
    <w:name w:val="Z_LIT/TIR_w_LIT – zm. tir. w lit. literą"/>
    <w:basedOn w:val="TIRtiret"/>
    <w:qFormat/>
    <w:rsid w:val="001A421D"/>
    <w:pPr>
      <w:ind w:left="1860"/>
    </w:pPr>
  </w:style>
  <w:style w:type="paragraph" w:customStyle="1" w:styleId="TYTDZOZNoznaczenietytuulubdziau">
    <w:name w:val="TYT(DZ)_OZN – oznaczenie tytułu lub działu"/>
    <w:next w:val="Normalny"/>
    <w:uiPriority w:val="9"/>
    <w:qFormat/>
    <w:rsid w:val="001A421D"/>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A421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A421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A421D"/>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1A421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A421D"/>
    <w:pPr>
      <w:ind w:left="510"/>
    </w:pPr>
  </w:style>
  <w:style w:type="paragraph" w:customStyle="1" w:styleId="ZZLITzmianazmlit">
    <w:name w:val="ZZ/LIT – zmiana zm. lit."/>
    <w:basedOn w:val="ZZPKTzmianazmpkt"/>
    <w:uiPriority w:val="67"/>
    <w:qFormat/>
    <w:rsid w:val="001A421D"/>
    <w:pPr>
      <w:ind w:left="2370" w:hanging="476"/>
    </w:pPr>
  </w:style>
  <w:style w:type="paragraph" w:customStyle="1" w:styleId="ZZTIRzmianazmtir">
    <w:name w:val="ZZ/TIR – zmiana zm. tir."/>
    <w:basedOn w:val="ZZLITzmianazmlit"/>
    <w:uiPriority w:val="67"/>
    <w:qFormat/>
    <w:rsid w:val="001A421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A421D"/>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1A421D"/>
    <w:pPr>
      <w:ind w:left="987"/>
    </w:pPr>
  </w:style>
  <w:style w:type="paragraph" w:customStyle="1" w:styleId="ZLITPKTzmpktliter">
    <w:name w:val="Z_LIT/PKT – zm. pkt literą"/>
    <w:basedOn w:val="PKTpunkt"/>
    <w:uiPriority w:val="45"/>
    <w:qFormat/>
    <w:rsid w:val="001A421D"/>
    <w:pPr>
      <w:ind w:left="1497"/>
    </w:pPr>
  </w:style>
  <w:style w:type="paragraph" w:customStyle="1" w:styleId="ZZCZWSPPKTzmianazmczciwsppkt">
    <w:name w:val="ZZ/CZ_WSP_PKT – zmiana. zm. części wsp. pkt"/>
    <w:basedOn w:val="ZZARTzmianazmart"/>
    <w:next w:val="ZPKTzmpktartykuempunktem"/>
    <w:uiPriority w:val="68"/>
    <w:qFormat/>
    <w:rsid w:val="001A421D"/>
    <w:pPr>
      <w:ind w:firstLine="0"/>
    </w:pPr>
  </w:style>
  <w:style w:type="paragraph" w:customStyle="1" w:styleId="ZLITLITzmlitliter">
    <w:name w:val="Z_LIT/LIT – zm. lit. literą"/>
    <w:basedOn w:val="LITlitera"/>
    <w:uiPriority w:val="48"/>
    <w:qFormat/>
    <w:rsid w:val="001A421D"/>
    <w:pPr>
      <w:ind w:left="1463"/>
    </w:pPr>
  </w:style>
  <w:style w:type="paragraph" w:customStyle="1" w:styleId="ZLITCZWSPPKTzmczciwsppktliter">
    <w:name w:val="Z_LIT/CZ_WSP_PKT – zm. części wsp. pkt literą"/>
    <w:basedOn w:val="CZWSPLITczwsplnaliter"/>
    <w:next w:val="LITlitera"/>
    <w:uiPriority w:val="50"/>
    <w:qFormat/>
    <w:rsid w:val="001A421D"/>
    <w:pPr>
      <w:ind w:left="987"/>
    </w:pPr>
  </w:style>
  <w:style w:type="paragraph" w:customStyle="1" w:styleId="ZLITTIRzmtirliter">
    <w:name w:val="Z_LIT/TIR – zm. tir. literą"/>
    <w:basedOn w:val="TIRtiret"/>
    <w:uiPriority w:val="49"/>
    <w:qFormat/>
    <w:rsid w:val="001A421D"/>
  </w:style>
  <w:style w:type="paragraph" w:customStyle="1" w:styleId="ZZCZWSPLITwPKTzmianazmczciwsplitwpkt">
    <w:name w:val="ZZ/CZ_WSP_LIT_w_PKT – zmiana zm. części wsp. lit. w pkt"/>
    <w:basedOn w:val="ZZLITwPKTzmianazmlitwpkt"/>
    <w:uiPriority w:val="69"/>
    <w:qFormat/>
    <w:rsid w:val="001A421D"/>
    <w:pPr>
      <w:ind w:left="2404" w:firstLine="0"/>
    </w:pPr>
  </w:style>
  <w:style w:type="paragraph" w:customStyle="1" w:styleId="ZLITLITwPKTzmlitwpktliter">
    <w:name w:val="Z_LIT/LIT_w_PKT – zm. lit. w pkt literą"/>
    <w:basedOn w:val="LITlitera"/>
    <w:qFormat/>
    <w:rsid w:val="001A421D"/>
    <w:pPr>
      <w:ind w:left="1973"/>
    </w:pPr>
  </w:style>
  <w:style w:type="paragraph" w:customStyle="1" w:styleId="ZLITCZWSPLITwPKTzmczciwsplitwpktliter">
    <w:name w:val="Z_LIT/CZ_WSP_LIT_w_PKT – zm. części wsp. lit. w pkt literą"/>
    <w:basedOn w:val="CZWSPLITczwsplnaliter"/>
    <w:next w:val="LITlitera"/>
    <w:uiPriority w:val="50"/>
    <w:qFormat/>
    <w:rsid w:val="001A421D"/>
    <w:pPr>
      <w:ind w:left="1497"/>
    </w:pPr>
  </w:style>
  <w:style w:type="paragraph" w:customStyle="1" w:styleId="ZLITTIRwPKTzmtirwpktliter">
    <w:name w:val="Z_LIT/TIR_w_PKT – zm. tir. w pkt literą"/>
    <w:basedOn w:val="TIRtiret"/>
    <w:uiPriority w:val="49"/>
    <w:qFormat/>
    <w:rsid w:val="001A421D"/>
    <w:pPr>
      <w:ind w:left="2370"/>
    </w:pPr>
  </w:style>
  <w:style w:type="paragraph" w:customStyle="1" w:styleId="ZLITCZWSPTIRwPKTzmczciwsptirwpktliter">
    <w:name w:val="Z_LIT/CZ_WSP_TIR_w_PKT – zm. części wsp. tir. w pkt literą"/>
    <w:basedOn w:val="CZWSPTIRczwsplnatiret"/>
    <w:next w:val="LITlitera"/>
    <w:uiPriority w:val="51"/>
    <w:qFormat/>
    <w:rsid w:val="001A421D"/>
    <w:pPr>
      <w:ind w:left="1973"/>
    </w:pPr>
  </w:style>
  <w:style w:type="paragraph" w:customStyle="1" w:styleId="ZTIRLITzmlittiret">
    <w:name w:val="Z_TIR/LIT – zm. lit. tiret"/>
    <w:basedOn w:val="LITlitera"/>
    <w:uiPriority w:val="57"/>
    <w:qFormat/>
    <w:rsid w:val="001A421D"/>
    <w:pPr>
      <w:ind w:left="1859"/>
    </w:pPr>
  </w:style>
  <w:style w:type="paragraph" w:customStyle="1" w:styleId="ZTIRCZWSPPKTzmczciwsppkttiret">
    <w:name w:val="Z_TIR/CZ_WSP_PKT – zm. części wsp. pkt tiret"/>
    <w:basedOn w:val="CZWSPLITczwsplnaliter"/>
    <w:next w:val="TIRtiret"/>
    <w:uiPriority w:val="58"/>
    <w:qFormat/>
    <w:rsid w:val="001A421D"/>
    <w:pPr>
      <w:ind w:left="1383"/>
    </w:pPr>
  </w:style>
  <w:style w:type="paragraph" w:customStyle="1" w:styleId="ZTIRTIRzmtirtiret">
    <w:name w:val="Z_TIR/TIR – zm. tir. tiret"/>
    <w:basedOn w:val="TIRtiret"/>
    <w:uiPriority w:val="57"/>
    <w:qFormat/>
    <w:rsid w:val="001A421D"/>
    <w:pPr>
      <w:ind w:left="1780"/>
    </w:pPr>
  </w:style>
  <w:style w:type="paragraph" w:customStyle="1" w:styleId="ZZCZWSPTIRwPKTzmianazmczciwsptirwpkt">
    <w:name w:val="ZZ/CZ_WSP_TIR_w_PKT – zmiana zm. części wsp. tir. w pkt"/>
    <w:basedOn w:val="ZZTIRwPKTzmianazmtirwpkt"/>
    <w:uiPriority w:val="70"/>
    <w:qFormat/>
    <w:rsid w:val="001A421D"/>
    <w:pPr>
      <w:ind w:left="2880" w:firstLine="0"/>
    </w:pPr>
  </w:style>
  <w:style w:type="paragraph" w:customStyle="1" w:styleId="ZZTIRwLITzmianazmtirwlit">
    <w:name w:val="ZZ/TIR_w_LIT – zmiana zm. tir. w lit."/>
    <w:basedOn w:val="ZZTIRzmianazmtir"/>
    <w:uiPriority w:val="67"/>
    <w:qFormat/>
    <w:rsid w:val="001A421D"/>
    <w:pPr>
      <w:ind w:left="2767"/>
    </w:pPr>
  </w:style>
  <w:style w:type="paragraph" w:customStyle="1" w:styleId="ZTIRTIRwLITzmtirwlittiret">
    <w:name w:val="Z_TIR/TIR_w_LIT – zm. tir. w lit. tiret"/>
    <w:basedOn w:val="TIRtiret"/>
    <w:uiPriority w:val="57"/>
    <w:qFormat/>
    <w:rsid w:val="001A421D"/>
    <w:pPr>
      <w:ind w:left="2257"/>
    </w:pPr>
  </w:style>
  <w:style w:type="paragraph" w:customStyle="1" w:styleId="ZTIRCZWSPTIRwLITzmczciwsptirwlittiret">
    <w:name w:val="Z_TIR/CZ_WSP_TIR_w_LIT – zm. części wsp. tir. w lit. tiret"/>
    <w:basedOn w:val="CZWSPTIRczwsplnatiret"/>
    <w:next w:val="TIRtiret"/>
    <w:uiPriority w:val="60"/>
    <w:qFormat/>
    <w:rsid w:val="001A421D"/>
    <w:pPr>
      <w:ind w:left="1860"/>
    </w:pPr>
  </w:style>
  <w:style w:type="paragraph" w:customStyle="1" w:styleId="CZWSP2TIRczwsplnapodwjnychtiret">
    <w:name w:val="CZ_WSP_2TIR – część wspólna podwójnych tiret"/>
    <w:basedOn w:val="CZWSPTIRczwsplnatiret"/>
    <w:next w:val="TIRtiret"/>
    <w:uiPriority w:val="73"/>
    <w:qFormat/>
    <w:rsid w:val="001A421D"/>
    <w:pPr>
      <w:ind w:left="1780"/>
    </w:pPr>
  </w:style>
  <w:style w:type="paragraph" w:customStyle="1" w:styleId="Z2TIRzmpodwtirartykuempunktem">
    <w:name w:val="Z/2TIR – zm. podw. tir. artykułem (punktem)"/>
    <w:basedOn w:val="TIRtiret"/>
    <w:uiPriority w:val="73"/>
    <w:qFormat/>
    <w:rsid w:val="001A421D"/>
    <w:pPr>
      <w:ind w:left="907"/>
    </w:pPr>
  </w:style>
  <w:style w:type="paragraph" w:customStyle="1" w:styleId="ZZCZWSPTIRwLITzmianazmczciwsptirwlit">
    <w:name w:val="ZZ/CZ_WSP_TIR_w_LIT – zmiana zm. części wsp. tir. w lit."/>
    <w:basedOn w:val="ZZTIRwLITzmianazmtirwlit"/>
    <w:uiPriority w:val="70"/>
    <w:qFormat/>
    <w:rsid w:val="001A421D"/>
    <w:pPr>
      <w:ind w:left="2370" w:firstLine="0"/>
    </w:pPr>
  </w:style>
  <w:style w:type="paragraph" w:customStyle="1" w:styleId="ZLIT2TIRzmpodwtirliter">
    <w:name w:val="Z_LIT/2TIR – zm. podw. tir. literą"/>
    <w:basedOn w:val="TIRtiret"/>
    <w:uiPriority w:val="75"/>
    <w:qFormat/>
    <w:rsid w:val="001A421D"/>
  </w:style>
  <w:style w:type="paragraph" w:customStyle="1" w:styleId="ZTIR2TIRzmpodwtirtiret">
    <w:name w:val="Z_TIR/2TIR – zm. podw. tir. tiret"/>
    <w:basedOn w:val="TIRtiret"/>
    <w:uiPriority w:val="78"/>
    <w:qFormat/>
    <w:rsid w:val="001A421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A421D"/>
    <w:pPr>
      <w:ind w:left="1780"/>
    </w:pPr>
  </w:style>
  <w:style w:type="paragraph" w:customStyle="1" w:styleId="Z2TIRwPKTzmpodwtirwpktartykuempunktem">
    <w:name w:val="Z/2TIR_w_PKT – zm. podw. tir. w pkt artykułem (punktem)"/>
    <w:basedOn w:val="TIRtiret"/>
    <w:next w:val="ZPKTzmpktartykuempunktem"/>
    <w:uiPriority w:val="74"/>
    <w:qFormat/>
    <w:rsid w:val="001A421D"/>
    <w:pPr>
      <w:ind w:left="2291"/>
    </w:pPr>
  </w:style>
  <w:style w:type="paragraph" w:customStyle="1" w:styleId="ZTIRPKTzmpkttiret">
    <w:name w:val="Z_TIR/PKT – zm. pkt tiret"/>
    <w:basedOn w:val="PKTpunkt"/>
    <w:uiPriority w:val="54"/>
    <w:qFormat/>
    <w:rsid w:val="001A421D"/>
    <w:pPr>
      <w:ind w:left="1893"/>
    </w:pPr>
  </w:style>
  <w:style w:type="paragraph" w:customStyle="1" w:styleId="ZTIRLITwPKTzmlitwpkttiret">
    <w:name w:val="Z_TIR/LIT_w_PKT – zm. lit. w pkt tiret"/>
    <w:basedOn w:val="LITlitera"/>
    <w:uiPriority w:val="57"/>
    <w:qFormat/>
    <w:rsid w:val="001A421D"/>
    <w:pPr>
      <w:ind w:left="2336"/>
    </w:pPr>
  </w:style>
  <w:style w:type="paragraph" w:customStyle="1" w:styleId="ZTIRCZWSPLITwPKTzmczciwsplitwpkttiret">
    <w:name w:val="Z_TIR/CZ_WSP_LIT_w_PKT – zm. części wsp. lit. w pkt tiret"/>
    <w:basedOn w:val="CZWSPLITczwsplnaliter"/>
    <w:uiPriority w:val="59"/>
    <w:qFormat/>
    <w:rsid w:val="001A421D"/>
    <w:pPr>
      <w:ind w:left="1860"/>
    </w:pPr>
  </w:style>
  <w:style w:type="paragraph" w:customStyle="1" w:styleId="ZTIR2TIRwLITzmpodwtirwlittiret">
    <w:name w:val="Z_TIR/2TIR_w_LIT – zm. podw. tir. w lit. tiret"/>
    <w:basedOn w:val="TIRtiret"/>
    <w:uiPriority w:val="79"/>
    <w:qFormat/>
    <w:rsid w:val="001A421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A421D"/>
    <w:pPr>
      <w:ind w:left="2257"/>
    </w:pPr>
  </w:style>
  <w:style w:type="paragraph" w:customStyle="1" w:styleId="ZTIR2TIRwTIRzmpodwtirwtirtiret">
    <w:name w:val="Z_TIR/2TIR_w_TIR – zm. podw. tir. w tir. tiret"/>
    <w:basedOn w:val="TIRtiret"/>
    <w:uiPriority w:val="78"/>
    <w:qFormat/>
    <w:rsid w:val="001A421D"/>
    <w:pPr>
      <w:ind w:left="2177"/>
    </w:pPr>
  </w:style>
  <w:style w:type="paragraph" w:customStyle="1" w:styleId="ZTIRCZWSP2TIRwTIRzmczciwsppodwtirwtirtiret">
    <w:name w:val="Z_TIR/CZ_WSP_2TIR_w_TIR – zm. części wsp. podw. tir. w tir. tiret"/>
    <w:basedOn w:val="CZWSPTIRczwsplnatiret"/>
    <w:uiPriority w:val="79"/>
    <w:qFormat/>
    <w:rsid w:val="001A421D"/>
    <w:pPr>
      <w:ind w:left="1780"/>
    </w:pPr>
  </w:style>
  <w:style w:type="paragraph" w:customStyle="1" w:styleId="Z2TIRLITzmlitpodwjnymtiret">
    <w:name w:val="Z_2TIR/LIT – zm. lit. podwójnym tiret"/>
    <w:basedOn w:val="LITlitera"/>
    <w:uiPriority w:val="84"/>
    <w:qFormat/>
    <w:rsid w:val="001A421D"/>
    <w:pPr>
      <w:ind w:left="2256"/>
    </w:pPr>
  </w:style>
  <w:style w:type="paragraph" w:customStyle="1" w:styleId="ZZ2TIRwTIRzmianazmpodwtirwtir">
    <w:name w:val="ZZ/2TIR_w_TIR – zmiana zm. podw. tir. w tir."/>
    <w:basedOn w:val="ZZCZWSP2TIRzmianazmczciwsppodwtir"/>
    <w:uiPriority w:val="93"/>
    <w:qFormat/>
    <w:rsid w:val="001A421D"/>
    <w:pPr>
      <w:ind w:left="2688" w:hanging="397"/>
    </w:pPr>
  </w:style>
  <w:style w:type="paragraph" w:customStyle="1" w:styleId="ZZ2TIRwLITzmianazmpodwtirwlit">
    <w:name w:val="ZZ/2TIR_w_LIT – zmiana zm. podw. tir. w lit."/>
    <w:basedOn w:val="ZZ2TIRwTIRzmianazmpodwtirwtir"/>
    <w:uiPriority w:val="94"/>
    <w:qFormat/>
    <w:rsid w:val="001A421D"/>
    <w:pPr>
      <w:ind w:left="3164"/>
    </w:pPr>
  </w:style>
  <w:style w:type="paragraph" w:customStyle="1" w:styleId="Z2TIRTIRwLITzmtirwlitpodwjnymtiret">
    <w:name w:val="Z_2TIR/TIR_w_LIT – zm. tir. w lit. podwójnym tiret"/>
    <w:basedOn w:val="TIRtiret"/>
    <w:uiPriority w:val="84"/>
    <w:qFormat/>
    <w:rsid w:val="001A421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A421D"/>
    <w:pPr>
      <w:ind w:left="2257"/>
    </w:pPr>
  </w:style>
  <w:style w:type="paragraph" w:customStyle="1" w:styleId="ZZ2TIRwPKTzmianazmpodwtirwpkt">
    <w:name w:val="ZZ/2TIR_w_PKT – zmiana zm. podw. tir. w pkt"/>
    <w:basedOn w:val="ZZ2TIRwLITzmianazmpodwtirwlit"/>
    <w:uiPriority w:val="94"/>
    <w:qFormat/>
    <w:rsid w:val="001A421D"/>
    <w:pPr>
      <w:ind w:left="3674"/>
    </w:pPr>
  </w:style>
  <w:style w:type="paragraph" w:customStyle="1" w:styleId="ZZCZWSP2TIRwTIRzmianazmczciwsppodwtirwtir">
    <w:name w:val="ZZ/CZ_WSP_2TIR_w_TIR – zmiana zm. części wsp. podw. tir. w tir."/>
    <w:basedOn w:val="ZZ2TIRwLITzmianazmpodwtirwlit"/>
    <w:uiPriority w:val="94"/>
    <w:qFormat/>
    <w:rsid w:val="001A421D"/>
    <w:pPr>
      <w:ind w:left="2291" w:firstLine="0"/>
    </w:pPr>
  </w:style>
  <w:style w:type="paragraph" w:customStyle="1" w:styleId="Z2TIR2TIRwTIRzmpodwtirwtirpodwjnymtiret">
    <w:name w:val="Z_2TIR/2TIR_w_TIR – zm. podw. tir. w tir. podwójnym tiret"/>
    <w:basedOn w:val="TIRtiret"/>
    <w:uiPriority w:val="85"/>
    <w:qFormat/>
    <w:rsid w:val="001A421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A421D"/>
    <w:pPr>
      <w:ind w:left="2177"/>
    </w:pPr>
  </w:style>
  <w:style w:type="paragraph" w:customStyle="1" w:styleId="Z2TIR2TIRwLITzmpodwtirwlitpodwjnymtiret">
    <w:name w:val="Z_2TIR/2TIR_w_LIT – zm. podw. tir. w lit. podwójnym tiret"/>
    <w:basedOn w:val="TIRtiret"/>
    <w:uiPriority w:val="86"/>
    <w:qFormat/>
    <w:rsid w:val="001A421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A421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A421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A421D"/>
    <w:pPr>
      <w:spacing w:after="120"/>
      <w:ind w:left="510"/>
    </w:pPr>
    <w:rPr>
      <w:b w:val="0"/>
    </w:rPr>
  </w:style>
  <w:style w:type="paragraph" w:customStyle="1" w:styleId="ZZARTzmianazmart">
    <w:name w:val="ZZ/ART(§) – zmiana zm. art. (§)"/>
    <w:basedOn w:val="ZARTzmartartykuempunktem"/>
    <w:uiPriority w:val="65"/>
    <w:qFormat/>
    <w:rsid w:val="001A421D"/>
    <w:pPr>
      <w:ind w:left="1894"/>
    </w:pPr>
  </w:style>
  <w:style w:type="paragraph" w:customStyle="1" w:styleId="ZZPKTzmianazmpkt">
    <w:name w:val="ZZ/PKT – zmiana zm. pkt"/>
    <w:basedOn w:val="ZPKTzmpktartykuempunktem"/>
    <w:uiPriority w:val="66"/>
    <w:qFormat/>
    <w:rsid w:val="001A421D"/>
    <w:pPr>
      <w:ind w:left="2404"/>
    </w:pPr>
  </w:style>
  <w:style w:type="paragraph" w:customStyle="1" w:styleId="ZZLITwPKTzmianazmlitwpkt">
    <w:name w:val="ZZ/LIT_w_PKT – zmiana zm. lit. w pkt"/>
    <w:basedOn w:val="ZLITwPKTzmlitwpktartykuempunktem"/>
    <w:uiPriority w:val="67"/>
    <w:qFormat/>
    <w:rsid w:val="001A421D"/>
    <w:pPr>
      <w:ind w:left="2880"/>
    </w:pPr>
  </w:style>
  <w:style w:type="paragraph" w:customStyle="1" w:styleId="ZZTIRwPKTzmianazmtirwpkt">
    <w:name w:val="ZZ/TIR_w_PKT – zmiana zm. tir. w pkt"/>
    <w:basedOn w:val="ZTIRwPKTzmtirwpktartykuempunktem"/>
    <w:uiPriority w:val="67"/>
    <w:qFormat/>
    <w:rsid w:val="001A421D"/>
    <w:pPr>
      <w:ind w:left="3277"/>
    </w:pPr>
  </w:style>
  <w:style w:type="paragraph" w:customStyle="1" w:styleId="ZZWMATFIZCHEMzmwzorumatfizlubchem">
    <w:name w:val="ZZ/W_MAT(FIZ|CHEM) – zm. wzoru mat. (fiz. lub chem.)"/>
    <w:basedOn w:val="ZWMATFIZCHEMzmwzorumatfizlubchemartykuempunktem"/>
    <w:uiPriority w:val="71"/>
    <w:qFormat/>
    <w:rsid w:val="001A421D"/>
    <w:pPr>
      <w:ind w:left="2404"/>
    </w:pPr>
  </w:style>
  <w:style w:type="paragraph" w:customStyle="1" w:styleId="ODNONIKtreodnonika">
    <w:name w:val="ODNOŚNIK – treść odnośnika"/>
    <w:qFormat/>
    <w:rsid w:val="001A421D"/>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qFormat/>
    <w:rsid w:val="001A421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A421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A421D"/>
    <w:rPr>
      <w:rFonts w:ascii="Times New Roman" w:hAnsi="Times New Roman"/>
    </w:rPr>
  </w:style>
  <w:style w:type="paragraph" w:customStyle="1" w:styleId="ZTIRTIRwPKTzmtirwpkttiret">
    <w:name w:val="Z_TIR/TIR_w_PKT – zm. tir. w pkt tiret"/>
    <w:basedOn w:val="ZTIRTIRwLITzmtirwlittiret"/>
    <w:uiPriority w:val="57"/>
    <w:qFormat/>
    <w:rsid w:val="001A421D"/>
    <w:pPr>
      <w:ind w:left="2733"/>
    </w:pPr>
  </w:style>
  <w:style w:type="paragraph" w:customStyle="1" w:styleId="ZTIRCZWSPTIRwPKTzmczciwsptirtiret">
    <w:name w:val="Z_TIR/CZ_WSP_TIR_w_PKT – zm. części wsp. tir. tiret"/>
    <w:basedOn w:val="ZTIRTIRwPKTzmtirwpkttiret"/>
    <w:next w:val="TIRtiret"/>
    <w:uiPriority w:val="60"/>
    <w:qFormat/>
    <w:rsid w:val="001A421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A421D"/>
    <w:pPr>
      <w:ind w:left="510" w:firstLine="0"/>
    </w:pPr>
  </w:style>
  <w:style w:type="paragraph" w:customStyle="1" w:styleId="ROZDZODDZOZNoznaczenierozdziauluboddziau">
    <w:name w:val="ROZDZ(ODDZ)_OZN – oznaczenie rozdziału lub oddziału"/>
    <w:next w:val="ARTartustawynprozporzdzenia"/>
    <w:uiPriority w:val="10"/>
    <w:qFormat/>
    <w:rsid w:val="001A421D"/>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1A421D"/>
    <w:pPr>
      <w:ind w:left="2177"/>
    </w:pPr>
  </w:style>
  <w:style w:type="paragraph" w:customStyle="1" w:styleId="Z2TIRTIRzmtirpodwjnymtiret">
    <w:name w:val="Z_2TIR/TIR – zm. tir. podwójnym tiret"/>
    <w:basedOn w:val="TIRtiret"/>
    <w:uiPriority w:val="84"/>
    <w:qFormat/>
    <w:rsid w:val="001A421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A421D"/>
    <w:pPr>
      <w:ind w:left="1021"/>
    </w:pPr>
  </w:style>
  <w:style w:type="paragraph" w:customStyle="1" w:styleId="ZLITSKARNzmsankcjikarnejliter">
    <w:name w:val="Z_LIT/S_KARN – zm. sankcji karnej literą"/>
    <w:basedOn w:val="ZSKARNzmsankcjikarnejwszczeglnociwKodeksiekarnym"/>
    <w:uiPriority w:val="53"/>
    <w:qFormat/>
    <w:rsid w:val="001A421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A421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A421D"/>
    <w:pPr>
      <w:ind w:left="1894" w:firstLine="0"/>
    </w:pPr>
  </w:style>
  <w:style w:type="paragraph" w:customStyle="1" w:styleId="Z2TIRwLITzmpodwtirwlitartykuempunktem">
    <w:name w:val="Z/2TIR_w_LIT – zm. podw. tir. w lit. artykułem (punktem)"/>
    <w:basedOn w:val="Z2TIRwPKTzmpodwtirwpktartykuempunktem"/>
    <w:uiPriority w:val="74"/>
    <w:qFormat/>
    <w:rsid w:val="001A421D"/>
    <w:pPr>
      <w:ind w:left="1780"/>
    </w:pPr>
  </w:style>
  <w:style w:type="paragraph" w:customStyle="1" w:styleId="Z2TIRwTIRzmpodwtirwtirartykuempunktem">
    <w:name w:val="Z/2TIR_w_TIR – zm. podw. tir. w tir. artykułem (punktem)"/>
    <w:basedOn w:val="Z2TIRwLITzmpodwtirwlitartykuempunktem"/>
    <w:uiPriority w:val="73"/>
    <w:qFormat/>
    <w:rsid w:val="001A421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A421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A421D"/>
    <w:pPr>
      <w:ind w:left="1383" w:firstLine="0"/>
    </w:pPr>
  </w:style>
  <w:style w:type="paragraph" w:customStyle="1" w:styleId="ZZCZWSP2TIRzmianazmczciwsppodwtir">
    <w:name w:val="ZZ/CZ_WSP_2TIR – zmiana zm. części wsp. podw. tir."/>
    <w:basedOn w:val="ZZTIRzmianazmtir"/>
    <w:next w:val="ZZUSTzmianazmust"/>
    <w:uiPriority w:val="94"/>
    <w:qFormat/>
    <w:rsid w:val="001A421D"/>
    <w:pPr>
      <w:ind w:left="1894" w:firstLine="0"/>
    </w:pPr>
  </w:style>
  <w:style w:type="paragraph" w:customStyle="1" w:styleId="PKTODNONIKApunktodnonika">
    <w:name w:val="PKT_ODNOŚNIKA – punkt odnośnika"/>
    <w:basedOn w:val="ODNONIKtreodnonika"/>
    <w:uiPriority w:val="19"/>
    <w:qFormat/>
    <w:rsid w:val="001A421D"/>
    <w:pPr>
      <w:ind w:left="568"/>
    </w:pPr>
  </w:style>
  <w:style w:type="paragraph" w:customStyle="1" w:styleId="ZODNONIKAzmtekstuodnonikaartykuempunktem">
    <w:name w:val="Z/ODNOŚNIKA – zm. tekstu odnośnika artykułem (punktem)"/>
    <w:basedOn w:val="ODNONIKtreodnonika"/>
    <w:uiPriority w:val="39"/>
    <w:qFormat/>
    <w:rsid w:val="001A421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A421D"/>
    <w:pPr>
      <w:ind w:left="1304"/>
    </w:pPr>
  </w:style>
  <w:style w:type="paragraph" w:customStyle="1" w:styleId="ZPKTODNONIKAzmpktodnonikaartykuempunktem">
    <w:name w:val="Z/PKT_ODNOŚNIKA – zm. pkt odnośnika artykułem (punktem)"/>
    <w:basedOn w:val="ZODNONIKAzmtekstuodnonikaartykuempunktem"/>
    <w:uiPriority w:val="39"/>
    <w:qFormat/>
    <w:rsid w:val="001A421D"/>
  </w:style>
  <w:style w:type="paragraph" w:customStyle="1" w:styleId="ZLIT2TIRwTIRzmpodwtirwtirliter">
    <w:name w:val="Z_LIT/2TIR_w_TIR – zm. podw. tir. w tir. literą"/>
    <w:basedOn w:val="ZLIT2TIRzmpodwtirliter"/>
    <w:uiPriority w:val="75"/>
    <w:qFormat/>
    <w:rsid w:val="001A421D"/>
    <w:pPr>
      <w:ind w:left="1780"/>
    </w:pPr>
  </w:style>
  <w:style w:type="paragraph" w:customStyle="1" w:styleId="ZLIT2TIRwLITzmpodwtirwlitliter">
    <w:name w:val="Z_LIT/2TIR_w_LIT – zm. podw. tir. w lit. literą"/>
    <w:basedOn w:val="ZLIT2TIRwTIRzmpodwtirwtirliter"/>
    <w:uiPriority w:val="76"/>
    <w:qFormat/>
    <w:rsid w:val="001A421D"/>
    <w:pPr>
      <w:ind w:left="2257"/>
    </w:pPr>
  </w:style>
  <w:style w:type="paragraph" w:customStyle="1" w:styleId="ZLIT2TIRwPKTzmpodwtirwpktliter">
    <w:name w:val="Z_LIT/2TIR_w_PKT – zm. podw. tir. w pkt literą"/>
    <w:basedOn w:val="ZLIT2TIRwLITzmpodwtirwlitliter"/>
    <w:uiPriority w:val="76"/>
    <w:qFormat/>
    <w:rsid w:val="001A421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A421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A421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A421D"/>
    <w:pPr>
      <w:ind w:left="2370" w:firstLine="0"/>
    </w:pPr>
  </w:style>
  <w:style w:type="paragraph" w:customStyle="1" w:styleId="ZTIR2TIRwPKTzmpodwtirwpkttiret">
    <w:name w:val="Z_TIR/2TIR_w_PKT – zm. podw. tir. w pkt tiret"/>
    <w:basedOn w:val="ZTIR2TIRwLITzmpodwtirwlittiret"/>
    <w:uiPriority w:val="79"/>
    <w:qFormat/>
    <w:rsid w:val="001A421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A421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A421D"/>
    <w:pPr>
      <w:ind w:left="2767"/>
    </w:pPr>
  </w:style>
  <w:style w:type="paragraph" w:customStyle="1" w:styleId="ZZCZWSP2TIRwPKTzmianazmczciwsppodwtirwpkt">
    <w:name w:val="ZZ/CZ_WSP_2TIR_w_PKT – zmiana zm. części wsp. podw. tir. w pkt"/>
    <w:basedOn w:val="ZZ2TIRwLITzmianazmpodwtirwlit"/>
    <w:uiPriority w:val="95"/>
    <w:qFormat/>
    <w:rsid w:val="001A421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A421D"/>
  </w:style>
  <w:style w:type="paragraph" w:customStyle="1" w:styleId="ZLITCZWSP2TIRzmczciwsppodwtirliter">
    <w:name w:val="Z_LIT/CZ_WSP_2TIR – zm. części wsp. podw. tir. literą"/>
    <w:basedOn w:val="ZLITCZWSPPKTzmczciwsppktliter"/>
    <w:next w:val="LITlitera"/>
    <w:uiPriority w:val="76"/>
    <w:qFormat/>
    <w:rsid w:val="001A421D"/>
  </w:style>
  <w:style w:type="paragraph" w:customStyle="1" w:styleId="ZTIRCZWSP2TIRzmczciwsppodwtirtiret">
    <w:name w:val="Z_TIR/CZ_WSP_2TIR – zm. części wsp. podw. tir. tiret"/>
    <w:basedOn w:val="ZLITCZWSP2TIRzmczciwsppodwtirliter"/>
    <w:next w:val="TIRtiret"/>
    <w:uiPriority w:val="79"/>
    <w:qFormat/>
    <w:rsid w:val="001A421D"/>
  </w:style>
  <w:style w:type="paragraph" w:customStyle="1" w:styleId="ZZ2TIRzmianazmpodwtir">
    <w:name w:val="ZZ/2TIR – zmiana zm. podw. tir."/>
    <w:basedOn w:val="ZZCZWSP2TIRzmianazmczciwsppodwtir"/>
    <w:uiPriority w:val="93"/>
    <w:qFormat/>
    <w:rsid w:val="001A421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A421D"/>
  </w:style>
  <w:style w:type="paragraph" w:customStyle="1" w:styleId="ZCZWSPTIRzmczciwsptirartykuempunktem">
    <w:name w:val="Z/CZ_WSP_TIR – zm. części wsp. tir. artykułem (punktem)"/>
    <w:basedOn w:val="ZCZWSPPKTzmczciwsppktartykuempunktem"/>
    <w:next w:val="PKTpunkt"/>
    <w:uiPriority w:val="35"/>
    <w:qFormat/>
    <w:rsid w:val="001A421D"/>
  </w:style>
  <w:style w:type="paragraph" w:customStyle="1" w:styleId="ZLITCZWSPLITzmczciwsplitliter">
    <w:name w:val="Z_LIT/CZ_WSP_LIT – zm. części wsp. lit. literą"/>
    <w:basedOn w:val="ZLITCZWSPPKTzmczciwsppktliter"/>
    <w:next w:val="LITlitera"/>
    <w:uiPriority w:val="51"/>
    <w:qFormat/>
    <w:rsid w:val="001A421D"/>
  </w:style>
  <w:style w:type="paragraph" w:customStyle="1" w:styleId="ZLITCZWSPTIRzmczciwsptirliter">
    <w:name w:val="Z_LIT/CZ_WSP_TIR – zm. części wsp. tir. literą"/>
    <w:basedOn w:val="ZLITCZWSPPKTzmczciwsppktliter"/>
    <w:next w:val="LITlitera"/>
    <w:uiPriority w:val="51"/>
    <w:qFormat/>
    <w:rsid w:val="001A421D"/>
  </w:style>
  <w:style w:type="paragraph" w:customStyle="1" w:styleId="ZTIRCZWSPLITzmczciwsplittiret">
    <w:name w:val="Z_TIR/CZ_WSP_LIT – zm. części wsp. lit. tiret"/>
    <w:basedOn w:val="ZTIRCZWSPPKTzmczciwsppkttiret"/>
    <w:next w:val="TIRtiret"/>
    <w:uiPriority w:val="59"/>
    <w:qFormat/>
    <w:rsid w:val="001A421D"/>
  </w:style>
  <w:style w:type="paragraph" w:customStyle="1" w:styleId="ZTIRCZWSPTIRzmczciwsptirtiret">
    <w:name w:val="Z_TIR/CZ_WSP_TIR – zm. części wsp. tir. tiret"/>
    <w:basedOn w:val="ZTIRCZWSPPKTzmczciwsppkttiret"/>
    <w:next w:val="TIRtiret"/>
    <w:uiPriority w:val="60"/>
    <w:qFormat/>
    <w:rsid w:val="001A421D"/>
  </w:style>
  <w:style w:type="paragraph" w:customStyle="1" w:styleId="ZZCZWSPLITzmianazmczciwsplit">
    <w:name w:val="ZZ/CZ_WSP_LIT – zmiana. zm. części wsp. lit."/>
    <w:basedOn w:val="ZZCZWSPPKTzmianazmczciwsppkt"/>
    <w:uiPriority w:val="69"/>
    <w:qFormat/>
    <w:rsid w:val="001A421D"/>
  </w:style>
  <w:style w:type="paragraph" w:customStyle="1" w:styleId="ZZCZWSPTIRzmianazmczciwsptir">
    <w:name w:val="ZZ/CZ_WSP_TIR – zmiana. zm. części wsp. tir."/>
    <w:basedOn w:val="ZZCZWSPPKTzmianazmczciwsppkt"/>
    <w:uiPriority w:val="69"/>
    <w:qFormat/>
    <w:rsid w:val="001A421D"/>
  </w:style>
  <w:style w:type="paragraph" w:customStyle="1" w:styleId="Z2TIRCZWSPTIRzmczciwsptirpodwjnymtiret">
    <w:name w:val="Z_2TIR/CZ_WSP_TIR – zm. części wsp. tir. podwójnym tiret"/>
    <w:basedOn w:val="Z2TIRCZWSPLITzmczciwsplitpodwjnymtiret"/>
    <w:next w:val="2TIRpodwjnytiret"/>
    <w:uiPriority w:val="87"/>
    <w:qFormat/>
    <w:rsid w:val="001A421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A421D"/>
  </w:style>
  <w:style w:type="paragraph" w:customStyle="1" w:styleId="ZUSTzmustartykuempunktem">
    <w:name w:val="Z/UST(§) – zm. ust. (§) artykułem (punktem)"/>
    <w:basedOn w:val="ZARTzmartartykuempunktem"/>
    <w:uiPriority w:val="32"/>
    <w:qFormat/>
    <w:rsid w:val="001A421D"/>
  </w:style>
  <w:style w:type="paragraph" w:customStyle="1" w:styleId="ZZUSTzmianazmust">
    <w:name w:val="ZZ/UST(§) – zmiana zm. ust. (§)"/>
    <w:basedOn w:val="ZZARTzmianazmart"/>
    <w:uiPriority w:val="65"/>
    <w:qFormat/>
    <w:rsid w:val="001A421D"/>
  </w:style>
  <w:style w:type="paragraph" w:customStyle="1" w:styleId="TYTDZPRZEDMprzedmiotregulacjitytuulubdziau">
    <w:name w:val="TYT(DZ)_PRZEDM – przedmiot regulacji tytułu lub działu"/>
    <w:next w:val="ARTartustawynprozporzdzenia"/>
    <w:uiPriority w:val="9"/>
    <w:qFormat/>
    <w:rsid w:val="001A421D"/>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1A421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A421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A421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A421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A421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A421D"/>
    <w:pPr>
      <w:ind w:left="1894"/>
    </w:pPr>
  </w:style>
  <w:style w:type="paragraph" w:customStyle="1" w:styleId="P1wTABELIpoziom1numeracjiwtabeli">
    <w:name w:val="P1_w_TABELI – poziom 1 numeracji w tabeli"/>
    <w:basedOn w:val="PKTpunkt"/>
    <w:uiPriority w:val="24"/>
    <w:qFormat/>
    <w:rsid w:val="001A421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A421D"/>
    <w:pPr>
      <w:ind w:left="0" w:firstLine="0"/>
    </w:pPr>
  </w:style>
  <w:style w:type="paragraph" w:customStyle="1" w:styleId="P2wTABELIpoziom2numeracjiwtabeli">
    <w:name w:val="P2_w_TABELI – poziom 2 numeracji w tabeli"/>
    <w:basedOn w:val="P1wTABELIpoziom1numeracjiwtabeli"/>
    <w:uiPriority w:val="24"/>
    <w:qFormat/>
    <w:rsid w:val="001A421D"/>
    <w:pPr>
      <w:ind w:left="794"/>
    </w:pPr>
  </w:style>
  <w:style w:type="paragraph" w:customStyle="1" w:styleId="P3wTABELIpoziom3numeracjiwtabeli">
    <w:name w:val="P3_w_TABELI – poziom 3 numeracji w tabeli"/>
    <w:basedOn w:val="P2wTABELIpoziom2numeracjiwtabeli"/>
    <w:uiPriority w:val="24"/>
    <w:qFormat/>
    <w:rsid w:val="001A421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A421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A421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A421D"/>
    <w:pPr>
      <w:ind w:left="1191"/>
    </w:pPr>
  </w:style>
  <w:style w:type="paragraph" w:customStyle="1" w:styleId="P4wTABELIpoziom4numeracjiwtabeli">
    <w:name w:val="P4_w_TABELI – poziom 4 numeracji w tabeli"/>
    <w:basedOn w:val="P3wTABELIpoziom3numeracjiwtabeli"/>
    <w:uiPriority w:val="24"/>
    <w:qFormat/>
    <w:rsid w:val="001A421D"/>
    <w:pPr>
      <w:ind w:left="1588"/>
    </w:pPr>
  </w:style>
  <w:style w:type="paragraph" w:customStyle="1" w:styleId="TYTTABELItytutabeli">
    <w:name w:val="TYT_TABELI – tytuł tabeli"/>
    <w:basedOn w:val="TYTDZOZNoznaczenietytuulubdziau"/>
    <w:uiPriority w:val="22"/>
    <w:qFormat/>
    <w:rsid w:val="001A421D"/>
    <w:rPr>
      <w:b/>
    </w:rPr>
  </w:style>
  <w:style w:type="paragraph" w:customStyle="1" w:styleId="OZNPROJEKTUwskazaniedatylubwersjiprojektu">
    <w:name w:val="OZN_PROJEKTU – wskazanie daty lub wersji projektu"/>
    <w:next w:val="OZNRODZAKTUtznustawalubrozporzdzenieiorganwydajcy"/>
    <w:qFormat/>
    <w:rsid w:val="001A421D"/>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A421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A421D"/>
    <w:pPr>
      <w:ind w:left="0" w:right="4820"/>
      <w:jc w:val="left"/>
    </w:pPr>
  </w:style>
  <w:style w:type="paragraph" w:customStyle="1" w:styleId="TEKSTwporozumieniu">
    <w:name w:val="TEKST&quot;w porozumieniu:&quot;"/>
    <w:next w:val="NAZORGWPOROZUMIENIUnazwaorganuwporozumieniuzktrymaktjestwydawany"/>
    <w:uiPriority w:val="27"/>
    <w:qFormat/>
    <w:rsid w:val="001A421D"/>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1A421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A421D"/>
    <w:pPr>
      <w:ind w:left="510" w:firstLine="0"/>
    </w:pPr>
  </w:style>
  <w:style w:type="paragraph" w:customStyle="1" w:styleId="NOTATKILEGISLATORA">
    <w:name w:val="NOTATKI_LEGISLATORA"/>
    <w:basedOn w:val="Normalny"/>
    <w:uiPriority w:val="5"/>
    <w:qFormat/>
    <w:rsid w:val="001A421D"/>
    <w:rPr>
      <w:b/>
      <w:i/>
    </w:rPr>
  </w:style>
  <w:style w:type="paragraph" w:customStyle="1" w:styleId="OZNZACZNIKAwskazanienrzacznika">
    <w:name w:val="OZN_ZAŁĄCZNIKA – wskazanie nr załącznika"/>
    <w:basedOn w:val="OZNPROJEKTUwskazaniedatylubwersjiprojektu"/>
    <w:uiPriority w:val="28"/>
    <w:qFormat/>
    <w:rsid w:val="001A421D"/>
    <w:pPr>
      <w:keepNext/>
    </w:pPr>
    <w:rPr>
      <w:b/>
      <w:u w:val="none"/>
    </w:rPr>
  </w:style>
  <w:style w:type="paragraph" w:customStyle="1" w:styleId="OZNPARAFYADNOTACJE">
    <w:name w:val="OZN_PARAFY(ADNOTACJE)"/>
    <w:basedOn w:val="ODNONIKtreodnonika"/>
    <w:uiPriority w:val="26"/>
    <w:qFormat/>
    <w:rsid w:val="001A421D"/>
  </w:style>
  <w:style w:type="paragraph" w:customStyle="1" w:styleId="TEKSTZacznikido">
    <w:name w:val="TEKST&quot;Załącznik(i) do ...&quot;"/>
    <w:uiPriority w:val="28"/>
    <w:qFormat/>
    <w:rsid w:val="001A421D"/>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1A421D"/>
    <w:pPr>
      <w:ind w:left="851"/>
    </w:pPr>
  </w:style>
  <w:style w:type="paragraph" w:customStyle="1" w:styleId="CZWSPLITODNONIKAczwspliterodnonika">
    <w:name w:val="CZ_WSP_LIT_ODNOŚNIKA – część wsp. liter odnośnika"/>
    <w:basedOn w:val="LITODNONIKAliteraodnonika"/>
    <w:uiPriority w:val="22"/>
    <w:qFormat/>
    <w:rsid w:val="001A421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A421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A421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A421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A421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A421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A421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A421D"/>
  </w:style>
  <w:style w:type="paragraph" w:customStyle="1" w:styleId="ZLITwPKTODNONIKAzmlitwpktodnonikaartykuempunktem">
    <w:name w:val="Z/LIT_w_PKT_ODNOŚNIKA – zm. lit. w pkt odnośnika artykułem (punktem)"/>
    <w:basedOn w:val="ZLITODNONIKAzmlitodnonikaartykuempunktem"/>
    <w:uiPriority w:val="40"/>
    <w:qFormat/>
    <w:rsid w:val="001A421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A421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A421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A421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A421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A421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A421D"/>
  </w:style>
  <w:style w:type="paragraph" w:customStyle="1" w:styleId="ZZFRAGzmianazmfragmentunpzdania">
    <w:name w:val="ZZ/FRAG – zmiana zm. fragmentu (np. zdania)"/>
    <w:basedOn w:val="ZZCZWSPPKTzmianazmczciwsppkt"/>
    <w:uiPriority w:val="70"/>
    <w:qFormat/>
    <w:rsid w:val="001A421D"/>
  </w:style>
  <w:style w:type="paragraph" w:customStyle="1" w:styleId="Z2TIRPKTzmpktpodwjnymtiret">
    <w:name w:val="Z_2TIR/PKT – zm. pkt podwójnym tiret"/>
    <w:basedOn w:val="Z2TIRLITzmlitpodwjnymtiret"/>
    <w:uiPriority w:val="83"/>
    <w:qFormat/>
    <w:rsid w:val="001A421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A421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A421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A421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A421D"/>
    <w:pPr>
      <w:ind w:left="1780" w:firstLine="510"/>
    </w:pPr>
  </w:style>
  <w:style w:type="paragraph" w:customStyle="1" w:styleId="Z2TIRUSTzmustpodwjnymtiret">
    <w:name w:val="Z_2TIR/UST(§) – zm. ust. (§) podwójnym tiret"/>
    <w:basedOn w:val="Z2TIRPKTzmpktpodwjnymtiret"/>
    <w:uiPriority w:val="82"/>
    <w:qFormat/>
    <w:rsid w:val="001A421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A421D"/>
    <w:pPr>
      <w:ind w:left="3164" w:firstLine="0"/>
    </w:pPr>
  </w:style>
  <w:style w:type="paragraph" w:customStyle="1" w:styleId="Z2TIRCZWSPPKTzmczciwsppktpodwjnymtiret">
    <w:name w:val="Z_2TIR/CZ_WSP_PKT – zm. części wsp. pkt podwójnym tiret"/>
    <w:basedOn w:val="Z2TIRPKTzmpktpodwjnymtiret"/>
    <w:uiPriority w:val="86"/>
    <w:qFormat/>
    <w:rsid w:val="001A421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A421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A421D"/>
    <w:pPr>
      <w:ind w:left="2767" w:firstLine="0"/>
    </w:pPr>
  </w:style>
  <w:style w:type="paragraph" w:customStyle="1" w:styleId="ZLITARTzmartliter">
    <w:name w:val="Z_LIT/ART(§) – zm. art. (§) literą"/>
    <w:basedOn w:val="ZLITUSTzmustliter"/>
    <w:uiPriority w:val="46"/>
    <w:qFormat/>
    <w:rsid w:val="001A421D"/>
    <w:rPr>
      <w:rFonts w:ascii="Times New Roman" w:hAnsi="Times New Roman"/>
    </w:rPr>
  </w:style>
  <w:style w:type="paragraph" w:customStyle="1" w:styleId="ZTIRARTzmarttiret">
    <w:name w:val="Z_TIR/ART(§) – zm. art. (§) tiret"/>
    <w:basedOn w:val="ZTIRPKTzmpkttiret"/>
    <w:uiPriority w:val="55"/>
    <w:qFormat/>
    <w:rsid w:val="001A421D"/>
    <w:pPr>
      <w:ind w:left="1383" w:firstLine="510"/>
    </w:pPr>
    <w:rPr>
      <w:rFonts w:ascii="Times New Roman" w:hAnsi="Times New Roman"/>
    </w:rPr>
  </w:style>
  <w:style w:type="paragraph" w:customStyle="1" w:styleId="ZTIRUSTzmusttiret">
    <w:name w:val="Z_TIR/UST(§) – zm. ust. (§) tiret"/>
    <w:basedOn w:val="ZTIRARTzmarttiret"/>
    <w:uiPriority w:val="55"/>
    <w:qFormat/>
    <w:rsid w:val="001A421D"/>
  </w:style>
  <w:style w:type="paragraph" w:customStyle="1" w:styleId="ZLITKSIGIzmozniprzedmksigiliter">
    <w:name w:val="Z_LIT/KSIĘGI – zm. ozn. i przedm. księgi literą"/>
    <w:basedOn w:val="ZCZCIKSIGIzmozniprzedmczciksigiartykuempunktem"/>
    <w:uiPriority w:val="44"/>
    <w:qFormat/>
    <w:rsid w:val="001A421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A421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A421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A421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A421D"/>
    <w:pPr>
      <w:ind w:left="987"/>
    </w:pPr>
  </w:style>
  <w:style w:type="paragraph" w:customStyle="1" w:styleId="ZTIRDZOZNzmozndziautiret">
    <w:name w:val="Z_TIR/DZ_OZN – zm. ozn. działu tiret"/>
    <w:basedOn w:val="ZLITTYTDZOZNzmozntytuudziauliter"/>
    <w:next w:val="ZTIRDZPRZEDMzmprzedmdziautiret"/>
    <w:uiPriority w:val="54"/>
    <w:qFormat/>
    <w:rsid w:val="001A421D"/>
    <w:pPr>
      <w:ind w:left="1383"/>
    </w:pPr>
  </w:style>
  <w:style w:type="paragraph" w:customStyle="1" w:styleId="ZTIRDZPRZEDMzmprzedmdziautiret">
    <w:name w:val="Z_TIR/DZ_PRZEDM – zm. przedm. działu tiret"/>
    <w:basedOn w:val="ZLITTYTDZPRZEDMzmprzedmtytuudziauliter"/>
    <w:uiPriority w:val="54"/>
    <w:qFormat/>
    <w:rsid w:val="001A421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A421D"/>
    <w:pPr>
      <w:ind w:left="1383"/>
    </w:pPr>
  </w:style>
  <w:style w:type="paragraph" w:customStyle="1" w:styleId="ZTIRROZDZODDZPRZEDMzmprzedmrozdzoddztiret">
    <w:name w:val="Z_TIR/ROZDZ(ODDZ)_PRZEDM – zm. przedm. rozdz. (oddz.) tiret"/>
    <w:basedOn w:val="ZLITROZDZODDZPRZEDMzmprzedmrozdzoddzliter"/>
    <w:uiPriority w:val="54"/>
    <w:qFormat/>
    <w:rsid w:val="001A421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A421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A421D"/>
    <w:pPr>
      <w:ind w:left="1780"/>
    </w:pPr>
  </w:style>
  <w:style w:type="character" w:customStyle="1" w:styleId="IGindeksgrny">
    <w:name w:val="_IG_ – indeks górny"/>
    <w:basedOn w:val="Domylnaczcionkaakapitu"/>
    <w:uiPriority w:val="2"/>
    <w:qFormat/>
    <w:rsid w:val="001A421D"/>
    <w:rPr>
      <w:b w:val="0"/>
      <w:i w:val="0"/>
      <w:vanish w:val="0"/>
      <w:spacing w:val="0"/>
      <w:vertAlign w:val="superscript"/>
    </w:rPr>
  </w:style>
  <w:style w:type="character" w:customStyle="1" w:styleId="IDindeksdolny">
    <w:name w:val="_ID_ – indeks dolny"/>
    <w:basedOn w:val="Domylnaczcionkaakapitu"/>
    <w:uiPriority w:val="3"/>
    <w:qFormat/>
    <w:rsid w:val="001A421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A421D"/>
    <w:rPr>
      <w:b/>
      <w:vanish w:val="0"/>
      <w:spacing w:val="0"/>
      <w:vertAlign w:val="subscript"/>
    </w:rPr>
  </w:style>
  <w:style w:type="character" w:customStyle="1" w:styleId="IDKindeksdolnyikursywa">
    <w:name w:val="_ID_K_ – indeks dolny i kursywa"/>
    <w:basedOn w:val="Domylnaczcionkaakapitu"/>
    <w:uiPriority w:val="3"/>
    <w:qFormat/>
    <w:rsid w:val="001A421D"/>
    <w:rPr>
      <w:i/>
      <w:vanish w:val="0"/>
      <w:spacing w:val="0"/>
      <w:vertAlign w:val="subscript"/>
    </w:rPr>
  </w:style>
  <w:style w:type="character" w:customStyle="1" w:styleId="IGPindeksgrnyipogrubienie">
    <w:name w:val="_IG_P_ – indeks górny i pogrubienie"/>
    <w:basedOn w:val="Domylnaczcionkaakapitu"/>
    <w:uiPriority w:val="2"/>
    <w:qFormat/>
    <w:rsid w:val="001A421D"/>
    <w:rPr>
      <w:b/>
      <w:vanish w:val="0"/>
      <w:spacing w:val="0"/>
      <w:vertAlign w:val="superscript"/>
    </w:rPr>
  </w:style>
  <w:style w:type="character" w:customStyle="1" w:styleId="IGKindeksgrnyikursywa">
    <w:name w:val="_IG_K_ – indeks górny i kursywa"/>
    <w:basedOn w:val="Domylnaczcionkaakapitu"/>
    <w:uiPriority w:val="2"/>
    <w:qFormat/>
    <w:rsid w:val="001A421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A421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A421D"/>
    <w:rPr>
      <w:b/>
      <w:i/>
      <w:vanish w:val="0"/>
      <w:spacing w:val="0"/>
      <w:vertAlign w:val="subscript"/>
    </w:rPr>
  </w:style>
  <w:style w:type="character" w:customStyle="1" w:styleId="Ppogrubienie">
    <w:name w:val="_P_ – pogrubienie"/>
    <w:basedOn w:val="Domylnaczcionkaakapitu"/>
    <w:uiPriority w:val="1"/>
    <w:qFormat/>
    <w:rsid w:val="001A421D"/>
    <w:rPr>
      <w:b/>
    </w:rPr>
  </w:style>
  <w:style w:type="character" w:customStyle="1" w:styleId="Kkursywa">
    <w:name w:val="_K_ – kursywa"/>
    <w:basedOn w:val="Domylnaczcionkaakapitu"/>
    <w:uiPriority w:val="1"/>
    <w:qFormat/>
    <w:rsid w:val="001A421D"/>
    <w:rPr>
      <w:i/>
    </w:rPr>
  </w:style>
  <w:style w:type="character" w:customStyle="1" w:styleId="PKpogrubieniekursywa">
    <w:name w:val="_P_K_ – pogrubienie kursywa"/>
    <w:basedOn w:val="Domylnaczcionkaakapitu"/>
    <w:uiPriority w:val="1"/>
    <w:qFormat/>
    <w:rsid w:val="001A421D"/>
    <w:rPr>
      <w:b/>
      <w:i/>
    </w:rPr>
  </w:style>
  <w:style w:type="character" w:customStyle="1" w:styleId="TEKSTOZNACZONYWDOKUMENCIERDOWYMJAKOUKRYTY">
    <w:name w:val="_TEKST_OZNACZONY_W_DOKUMENCIE_ŹRÓDŁOWYM_JAKO_UKRYTY_"/>
    <w:basedOn w:val="Domylnaczcionkaakapitu"/>
    <w:uiPriority w:val="4"/>
    <w:unhideWhenUsed/>
    <w:qFormat/>
    <w:rsid w:val="001A421D"/>
    <w:rPr>
      <w:vanish w:val="0"/>
      <w:color w:val="FF0000"/>
      <w:u w:val="single" w:color="FF0000"/>
    </w:rPr>
  </w:style>
  <w:style w:type="character" w:customStyle="1" w:styleId="BEZWERSALIKW">
    <w:name w:val="_BEZ_WERSALIKÓW_"/>
    <w:basedOn w:val="Domylnaczcionkaakapitu"/>
    <w:uiPriority w:val="4"/>
    <w:qFormat/>
    <w:rsid w:val="001A421D"/>
    <w:rPr>
      <w:caps/>
    </w:rPr>
  </w:style>
  <w:style w:type="character" w:customStyle="1" w:styleId="IIGPindeksgrnyindeksugrnegoipogrubienie">
    <w:name w:val="_IIG_P_ – indeks górny indeksu górnego i pogrubienie"/>
    <w:basedOn w:val="Domylnaczcionkaakapitu"/>
    <w:uiPriority w:val="3"/>
    <w:qFormat/>
    <w:rsid w:val="001A421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A421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A421D"/>
    <w:pPr>
      <w:ind w:left="283" w:hanging="170"/>
    </w:pPr>
    <w:rPr>
      <w:sz w:val="20"/>
    </w:rPr>
  </w:style>
  <w:style w:type="paragraph" w:customStyle="1" w:styleId="TEKSTwTABELItekstzwcitympierwwierszem">
    <w:name w:val="TEKST_w_TABELI – tekst z wciętym pierw. wierszem"/>
    <w:basedOn w:val="Normalny"/>
    <w:uiPriority w:val="23"/>
    <w:qFormat/>
    <w:rsid w:val="001A421D"/>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A421D"/>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A421D"/>
    <w:pPr>
      <w:ind w:left="1894"/>
    </w:pPr>
  </w:style>
  <w:style w:type="paragraph" w:customStyle="1" w:styleId="ZZSKARNzmianazmsankcjikarnej">
    <w:name w:val="ZZ/S_KARN – zmiana zm. sankcji karnej"/>
    <w:basedOn w:val="ZZFRAGzmianazmfragmentunpzdania"/>
    <w:uiPriority w:val="71"/>
    <w:qFormat/>
    <w:rsid w:val="001A421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A421D"/>
    <w:pPr>
      <w:ind w:left="2291" w:firstLine="0"/>
    </w:pPr>
  </w:style>
  <w:style w:type="paragraph" w:customStyle="1" w:styleId="WMATFIZCHEMwzrmatfizlubchem">
    <w:name w:val="W_MAT(FIZ|CHEM) – wzór mat. (fiz. lub chem.)"/>
    <w:uiPriority w:val="18"/>
    <w:qFormat/>
    <w:rsid w:val="001A421D"/>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A421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A421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A421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A421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A421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A421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A421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A421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A421D"/>
    <w:pPr>
      <w:ind w:left="3085"/>
    </w:pPr>
  </w:style>
  <w:style w:type="paragraph" w:customStyle="1" w:styleId="ZLITCYTzmcytatunpprzysigiliter">
    <w:name w:val="Z_LIT/CYT – zm. cytatu np. przysięgi literą"/>
    <w:basedOn w:val="ZCYTzmcytatunpprzysigiartykuempunktem"/>
    <w:uiPriority w:val="53"/>
    <w:qFormat/>
    <w:rsid w:val="001A421D"/>
    <w:pPr>
      <w:ind w:left="1497"/>
    </w:pPr>
  </w:style>
  <w:style w:type="paragraph" w:customStyle="1" w:styleId="ZTIRCYTzmcytatunpprzysigitiret">
    <w:name w:val="Z_TIR/CYT – zm. cytatu np. przysięgi tiret"/>
    <w:basedOn w:val="ZLITCYTzmcytatunpprzysigiliter"/>
    <w:next w:val="ZTIRUSTzmusttiret"/>
    <w:uiPriority w:val="61"/>
    <w:qFormat/>
    <w:rsid w:val="001A421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A421D"/>
    <w:pPr>
      <w:ind w:left="2291"/>
    </w:pPr>
  </w:style>
  <w:style w:type="paragraph" w:customStyle="1" w:styleId="ZZCYTzmianazmcytatunpprzysigi">
    <w:name w:val="ZZ/CYT – zmiana zm. cytatu np. przysięgi"/>
    <w:basedOn w:val="ZZFRAGzmianazmfragmentunpzdania"/>
    <w:next w:val="ZZUSTzmianazmust"/>
    <w:uiPriority w:val="71"/>
    <w:qFormat/>
    <w:rsid w:val="001A421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A421D"/>
    <w:pPr>
      <w:ind w:left="1780"/>
    </w:pPr>
  </w:style>
  <w:style w:type="paragraph" w:styleId="Akapitzlist">
    <w:name w:val="List Paragraph"/>
    <w:basedOn w:val="Normalny"/>
    <w:uiPriority w:val="34"/>
    <w:qFormat/>
    <w:rsid w:val="001A421D"/>
    <w:pPr>
      <w:spacing w:after="200" w:line="276" w:lineRule="auto"/>
      <w:ind w:left="720"/>
      <w:contextualSpacing/>
    </w:pPr>
    <w:rPr>
      <w:rFonts w:asciiTheme="minorHAnsi" w:eastAsiaTheme="minorHAnsi" w:hAnsiTheme="minorHAnsi" w:cstheme="minorBidi"/>
      <w:sz w:val="22"/>
      <w:szCs w:val="22"/>
    </w:rPr>
  </w:style>
  <w:style w:type="paragraph" w:styleId="Tekstprzypisudolnego">
    <w:name w:val="footnote text"/>
    <w:basedOn w:val="Normalny"/>
    <w:link w:val="TekstprzypisudolnegoZnak"/>
    <w:uiPriority w:val="99"/>
    <w:semiHidden/>
    <w:rsid w:val="005E5A55"/>
    <w:rPr>
      <w:sz w:val="20"/>
      <w:szCs w:val="20"/>
      <w:lang w:eastAsia="pl-PL"/>
    </w:rPr>
  </w:style>
  <w:style w:type="character" w:customStyle="1" w:styleId="TekstprzypisudolnegoZnak">
    <w:name w:val="Tekst przypisu dolnego Znak"/>
    <w:basedOn w:val="Domylnaczcionkaakapitu"/>
    <w:link w:val="Tekstprzypisudolnego"/>
    <w:uiPriority w:val="99"/>
    <w:semiHidden/>
    <w:rsid w:val="005E5A55"/>
    <w:rPr>
      <w:rFonts w:ascii="Times New Roman" w:hAnsi="Times New Roman"/>
      <w:sz w:val="20"/>
      <w:szCs w:val="20"/>
      <w:lang w:eastAsia="pl-PL"/>
    </w:rPr>
  </w:style>
  <w:style w:type="character" w:styleId="Odwoanieprzypisudolnego">
    <w:name w:val="footnote reference"/>
    <w:uiPriority w:val="99"/>
    <w:rsid w:val="005E5A55"/>
    <w:rPr>
      <w:vertAlign w:val="superscript"/>
    </w:rPr>
  </w:style>
  <w:style w:type="character" w:styleId="Hipercze">
    <w:name w:val="Hyperlink"/>
    <w:basedOn w:val="Domylnaczcionkaakapitu"/>
    <w:uiPriority w:val="99"/>
    <w:unhideWhenUsed/>
    <w:rsid w:val="00B40B7A"/>
    <w:rPr>
      <w:color w:val="0000FF" w:themeColor="hyperlink"/>
      <w:u w:val="single"/>
    </w:rPr>
  </w:style>
  <w:style w:type="character" w:customStyle="1" w:styleId="highlight">
    <w:name w:val="highlight"/>
    <w:basedOn w:val="Domylnaczcionkaakapitu"/>
    <w:rsid w:val="00A27F08"/>
  </w:style>
  <w:style w:type="paragraph" w:styleId="Tekstdymka">
    <w:name w:val="Balloon Text"/>
    <w:basedOn w:val="Normalny"/>
    <w:link w:val="TekstdymkaZnak"/>
    <w:uiPriority w:val="99"/>
    <w:semiHidden/>
    <w:unhideWhenUsed/>
    <w:rsid w:val="005D56EB"/>
    <w:rPr>
      <w:rFonts w:ascii="Tahoma" w:hAnsi="Tahoma" w:cs="Tahoma"/>
      <w:sz w:val="16"/>
      <w:szCs w:val="16"/>
    </w:rPr>
  </w:style>
  <w:style w:type="character" w:customStyle="1" w:styleId="TekstdymkaZnak">
    <w:name w:val="Tekst dymka Znak"/>
    <w:basedOn w:val="Domylnaczcionkaakapitu"/>
    <w:link w:val="Tekstdymka"/>
    <w:uiPriority w:val="99"/>
    <w:semiHidden/>
    <w:rsid w:val="005D56EB"/>
    <w:rPr>
      <w:rFonts w:ascii="Tahoma" w:hAnsi="Tahoma" w:cs="Tahoma"/>
      <w:sz w:val="16"/>
      <w:szCs w:val="16"/>
    </w:rPr>
  </w:style>
  <w:style w:type="paragraph" w:styleId="NormalnyWeb">
    <w:name w:val="Normal (Web)"/>
    <w:basedOn w:val="Normalny"/>
    <w:uiPriority w:val="99"/>
    <w:semiHidden/>
    <w:unhideWhenUsed/>
    <w:rsid w:val="007101B3"/>
    <w:pPr>
      <w:spacing w:before="100" w:beforeAutospacing="1" w:after="100" w:afterAutospacing="1"/>
    </w:pPr>
    <w:rPr>
      <w:rFonts w:eastAsiaTheme="minorEastAsia"/>
      <w:lang w:eastAsia="pl-PL"/>
    </w:rPr>
  </w:style>
  <w:style w:type="paragraph" w:styleId="Nagwek">
    <w:name w:val="header"/>
    <w:basedOn w:val="Normalny"/>
    <w:link w:val="NagwekZnak"/>
    <w:uiPriority w:val="99"/>
    <w:unhideWhenUsed/>
    <w:rsid w:val="00A97F3F"/>
    <w:pPr>
      <w:tabs>
        <w:tab w:val="center" w:pos="4536"/>
        <w:tab w:val="right" w:pos="9072"/>
      </w:tabs>
    </w:pPr>
  </w:style>
  <w:style w:type="character" w:customStyle="1" w:styleId="NagwekZnak">
    <w:name w:val="Nagłówek Znak"/>
    <w:basedOn w:val="Domylnaczcionkaakapitu"/>
    <w:link w:val="Nagwek"/>
    <w:uiPriority w:val="99"/>
    <w:rsid w:val="00A97F3F"/>
    <w:rPr>
      <w:rFonts w:ascii="Times New Roman" w:hAnsi="Times New Roman"/>
    </w:rPr>
  </w:style>
  <w:style w:type="paragraph" w:styleId="Stopka">
    <w:name w:val="footer"/>
    <w:basedOn w:val="Normalny"/>
    <w:link w:val="StopkaZnak"/>
    <w:uiPriority w:val="99"/>
    <w:unhideWhenUsed/>
    <w:rsid w:val="00A97F3F"/>
    <w:pPr>
      <w:tabs>
        <w:tab w:val="center" w:pos="4536"/>
        <w:tab w:val="right" w:pos="9072"/>
      </w:tabs>
    </w:pPr>
  </w:style>
  <w:style w:type="character" w:customStyle="1" w:styleId="StopkaZnak">
    <w:name w:val="Stopka Znak"/>
    <w:basedOn w:val="Domylnaczcionkaakapitu"/>
    <w:link w:val="Stopka"/>
    <w:uiPriority w:val="99"/>
    <w:rsid w:val="00A97F3F"/>
    <w:rPr>
      <w:rFonts w:ascii="Times New Roman" w:hAnsi="Times New Roman"/>
    </w:rPr>
  </w:style>
  <w:style w:type="paragraph" w:styleId="Poprawka">
    <w:name w:val="Revision"/>
    <w:hidden/>
    <w:uiPriority w:val="99"/>
    <w:semiHidden/>
    <w:rsid w:val="00DE0ED9"/>
    <w:pPr>
      <w:spacing w:line="240" w:lineRule="auto"/>
    </w:pPr>
    <w:rPr>
      <w:rFonts w:ascii="Times New Roman" w:hAnsi="Times New Roman"/>
    </w:rPr>
  </w:style>
  <w:style w:type="character" w:styleId="Odwoaniedokomentarza">
    <w:name w:val="annotation reference"/>
    <w:basedOn w:val="Domylnaczcionkaakapitu"/>
    <w:uiPriority w:val="99"/>
    <w:semiHidden/>
    <w:unhideWhenUsed/>
    <w:rsid w:val="00623E57"/>
    <w:rPr>
      <w:sz w:val="16"/>
      <w:szCs w:val="16"/>
    </w:rPr>
  </w:style>
  <w:style w:type="paragraph" w:styleId="Tekstkomentarza">
    <w:name w:val="annotation text"/>
    <w:basedOn w:val="Normalny"/>
    <w:link w:val="TekstkomentarzaZnak"/>
    <w:uiPriority w:val="99"/>
    <w:semiHidden/>
    <w:unhideWhenUsed/>
    <w:rsid w:val="00623E57"/>
    <w:rPr>
      <w:sz w:val="20"/>
      <w:szCs w:val="20"/>
    </w:rPr>
  </w:style>
  <w:style w:type="character" w:customStyle="1" w:styleId="TekstkomentarzaZnak">
    <w:name w:val="Tekst komentarza Znak"/>
    <w:basedOn w:val="Domylnaczcionkaakapitu"/>
    <w:link w:val="Tekstkomentarza"/>
    <w:uiPriority w:val="99"/>
    <w:semiHidden/>
    <w:rsid w:val="00623E5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23E57"/>
    <w:rPr>
      <w:b/>
      <w:bCs/>
    </w:rPr>
  </w:style>
  <w:style w:type="character" w:customStyle="1" w:styleId="TematkomentarzaZnak">
    <w:name w:val="Temat komentarza Znak"/>
    <w:basedOn w:val="TekstkomentarzaZnak"/>
    <w:link w:val="Tematkomentarza"/>
    <w:uiPriority w:val="99"/>
    <w:semiHidden/>
    <w:rsid w:val="00623E5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30">
      <w:bodyDiv w:val="1"/>
      <w:marLeft w:val="0"/>
      <w:marRight w:val="0"/>
      <w:marTop w:val="0"/>
      <w:marBottom w:val="0"/>
      <w:divBdr>
        <w:top w:val="none" w:sz="0" w:space="0" w:color="auto"/>
        <w:left w:val="none" w:sz="0" w:space="0" w:color="auto"/>
        <w:bottom w:val="none" w:sz="0" w:space="0" w:color="auto"/>
        <w:right w:val="none" w:sz="0" w:space="0" w:color="auto"/>
      </w:divBdr>
    </w:div>
    <w:div w:id="374820301">
      <w:bodyDiv w:val="1"/>
      <w:marLeft w:val="0"/>
      <w:marRight w:val="0"/>
      <w:marTop w:val="0"/>
      <w:marBottom w:val="0"/>
      <w:divBdr>
        <w:top w:val="none" w:sz="0" w:space="0" w:color="auto"/>
        <w:left w:val="none" w:sz="0" w:space="0" w:color="auto"/>
        <w:bottom w:val="none" w:sz="0" w:space="0" w:color="auto"/>
        <w:right w:val="none" w:sz="0" w:space="0" w:color="auto"/>
      </w:divBdr>
    </w:div>
    <w:div w:id="442922308">
      <w:bodyDiv w:val="1"/>
      <w:marLeft w:val="0"/>
      <w:marRight w:val="0"/>
      <w:marTop w:val="0"/>
      <w:marBottom w:val="0"/>
      <w:divBdr>
        <w:top w:val="none" w:sz="0" w:space="0" w:color="auto"/>
        <w:left w:val="none" w:sz="0" w:space="0" w:color="auto"/>
        <w:bottom w:val="none" w:sz="0" w:space="0" w:color="auto"/>
        <w:right w:val="none" w:sz="0" w:space="0" w:color="auto"/>
      </w:divBdr>
    </w:div>
    <w:div w:id="1082602823">
      <w:bodyDiv w:val="1"/>
      <w:marLeft w:val="0"/>
      <w:marRight w:val="0"/>
      <w:marTop w:val="0"/>
      <w:marBottom w:val="0"/>
      <w:divBdr>
        <w:top w:val="none" w:sz="0" w:space="0" w:color="auto"/>
        <w:left w:val="none" w:sz="0" w:space="0" w:color="auto"/>
        <w:bottom w:val="none" w:sz="0" w:space="0" w:color="auto"/>
        <w:right w:val="none" w:sz="0" w:space="0" w:color="auto"/>
      </w:divBdr>
    </w:div>
    <w:div w:id="1200823141">
      <w:bodyDiv w:val="1"/>
      <w:marLeft w:val="0"/>
      <w:marRight w:val="0"/>
      <w:marTop w:val="0"/>
      <w:marBottom w:val="0"/>
      <w:divBdr>
        <w:top w:val="none" w:sz="0" w:space="0" w:color="auto"/>
        <w:left w:val="none" w:sz="0" w:space="0" w:color="auto"/>
        <w:bottom w:val="none" w:sz="0" w:space="0" w:color="auto"/>
        <w:right w:val="none" w:sz="0" w:space="0" w:color="auto"/>
      </w:divBdr>
    </w:div>
    <w:div w:id="1528638444">
      <w:bodyDiv w:val="1"/>
      <w:marLeft w:val="0"/>
      <w:marRight w:val="0"/>
      <w:marTop w:val="0"/>
      <w:marBottom w:val="0"/>
      <w:divBdr>
        <w:top w:val="none" w:sz="0" w:space="0" w:color="auto"/>
        <w:left w:val="none" w:sz="0" w:space="0" w:color="auto"/>
        <w:bottom w:val="none" w:sz="0" w:space="0" w:color="auto"/>
        <w:right w:val="none" w:sz="0" w:space="0" w:color="auto"/>
      </w:divBdr>
      <w:divsChild>
        <w:div w:id="1899247130">
          <w:marLeft w:val="0"/>
          <w:marRight w:val="0"/>
          <w:marTop w:val="0"/>
          <w:marBottom w:val="0"/>
          <w:divBdr>
            <w:top w:val="none" w:sz="0" w:space="0" w:color="auto"/>
            <w:left w:val="none" w:sz="0" w:space="0" w:color="auto"/>
            <w:bottom w:val="none" w:sz="0" w:space="0" w:color="auto"/>
            <w:right w:val="none" w:sz="0" w:space="0" w:color="auto"/>
          </w:divBdr>
          <w:divsChild>
            <w:div w:id="722870297">
              <w:marLeft w:val="0"/>
              <w:marRight w:val="0"/>
              <w:marTop w:val="0"/>
              <w:marBottom w:val="0"/>
              <w:divBdr>
                <w:top w:val="none" w:sz="0" w:space="0" w:color="auto"/>
                <w:left w:val="none" w:sz="0" w:space="0" w:color="auto"/>
                <w:bottom w:val="none" w:sz="0" w:space="0" w:color="auto"/>
                <w:right w:val="none" w:sz="0" w:space="0" w:color="auto"/>
              </w:divBdr>
            </w:div>
          </w:divsChild>
        </w:div>
        <w:div w:id="1176919318">
          <w:marLeft w:val="0"/>
          <w:marRight w:val="0"/>
          <w:marTop w:val="0"/>
          <w:marBottom w:val="0"/>
          <w:divBdr>
            <w:top w:val="none" w:sz="0" w:space="0" w:color="auto"/>
            <w:left w:val="none" w:sz="0" w:space="0" w:color="auto"/>
            <w:bottom w:val="none" w:sz="0" w:space="0" w:color="auto"/>
            <w:right w:val="none" w:sz="0" w:space="0" w:color="auto"/>
          </w:divBdr>
          <w:divsChild>
            <w:div w:id="168371341">
              <w:marLeft w:val="0"/>
              <w:marRight w:val="0"/>
              <w:marTop w:val="0"/>
              <w:marBottom w:val="0"/>
              <w:divBdr>
                <w:top w:val="none" w:sz="0" w:space="0" w:color="auto"/>
                <w:left w:val="none" w:sz="0" w:space="0" w:color="auto"/>
                <w:bottom w:val="none" w:sz="0" w:space="0" w:color="auto"/>
                <w:right w:val="none" w:sz="0" w:space="0" w:color="auto"/>
              </w:divBdr>
            </w:div>
          </w:divsChild>
        </w:div>
        <w:div w:id="319651281">
          <w:marLeft w:val="0"/>
          <w:marRight w:val="0"/>
          <w:marTop w:val="0"/>
          <w:marBottom w:val="0"/>
          <w:divBdr>
            <w:top w:val="none" w:sz="0" w:space="0" w:color="auto"/>
            <w:left w:val="none" w:sz="0" w:space="0" w:color="auto"/>
            <w:bottom w:val="none" w:sz="0" w:space="0" w:color="auto"/>
            <w:right w:val="none" w:sz="0" w:space="0" w:color="auto"/>
          </w:divBdr>
          <w:divsChild>
            <w:div w:id="1193807078">
              <w:marLeft w:val="0"/>
              <w:marRight w:val="0"/>
              <w:marTop w:val="0"/>
              <w:marBottom w:val="0"/>
              <w:divBdr>
                <w:top w:val="none" w:sz="0" w:space="0" w:color="auto"/>
                <w:left w:val="none" w:sz="0" w:space="0" w:color="auto"/>
                <w:bottom w:val="none" w:sz="0" w:space="0" w:color="auto"/>
                <w:right w:val="none" w:sz="0" w:space="0" w:color="auto"/>
              </w:divBdr>
            </w:div>
            <w:div w:id="1199440160">
              <w:marLeft w:val="0"/>
              <w:marRight w:val="0"/>
              <w:marTop w:val="0"/>
              <w:marBottom w:val="0"/>
              <w:divBdr>
                <w:top w:val="none" w:sz="0" w:space="0" w:color="auto"/>
                <w:left w:val="none" w:sz="0" w:space="0" w:color="auto"/>
                <w:bottom w:val="none" w:sz="0" w:space="0" w:color="auto"/>
                <w:right w:val="none" w:sz="0" w:space="0" w:color="auto"/>
              </w:divBdr>
              <w:divsChild>
                <w:div w:id="1588346733">
                  <w:marLeft w:val="0"/>
                  <w:marRight w:val="0"/>
                  <w:marTop w:val="0"/>
                  <w:marBottom w:val="0"/>
                  <w:divBdr>
                    <w:top w:val="none" w:sz="0" w:space="0" w:color="auto"/>
                    <w:left w:val="none" w:sz="0" w:space="0" w:color="auto"/>
                    <w:bottom w:val="none" w:sz="0" w:space="0" w:color="auto"/>
                    <w:right w:val="none" w:sz="0" w:space="0" w:color="auto"/>
                  </w:divBdr>
                </w:div>
              </w:divsChild>
            </w:div>
            <w:div w:id="1427000042">
              <w:marLeft w:val="0"/>
              <w:marRight w:val="0"/>
              <w:marTop w:val="0"/>
              <w:marBottom w:val="0"/>
              <w:divBdr>
                <w:top w:val="none" w:sz="0" w:space="0" w:color="auto"/>
                <w:left w:val="none" w:sz="0" w:space="0" w:color="auto"/>
                <w:bottom w:val="none" w:sz="0" w:space="0" w:color="auto"/>
                <w:right w:val="none" w:sz="0" w:space="0" w:color="auto"/>
              </w:divBdr>
              <w:divsChild>
                <w:div w:id="7057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6260">
      <w:bodyDiv w:val="1"/>
      <w:marLeft w:val="0"/>
      <w:marRight w:val="0"/>
      <w:marTop w:val="0"/>
      <w:marBottom w:val="0"/>
      <w:divBdr>
        <w:top w:val="none" w:sz="0" w:space="0" w:color="auto"/>
        <w:left w:val="none" w:sz="0" w:space="0" w:color="auto"/>
        <w:bottom w:val="none" w:sz="0" w:space="0" w:color="auto"/>
        <w:right w:val="none" w:sz="0" w:space="0" w:color="auto"/>
      </w:divBdr>
      <w:divsChild>
        <w:div w:id="1002198622">
          <w:marLeft w:val="0"/>
          <w:marRight w:val="0"/>
          <w:marTop w:val="0"/>
          <w:marBottom w:val="0"/>
          <w:divBdr>
            <w:top w:val="none" w:sz="0" w:space="0" w:color="auto"/>
            <w:left w:val="none" w:sz="0" w:space="0" w:color="auto"/>
            <w:bottom w:val="none" w:sz="0" w:space="0" w:color="auto"/>
            <w:right w:val="none" w:sz="0" w:space="0" w:color="auto"/>
          </w:divBdr>
        </w:div>
        <w:div w:id="2070610208">
          <w:marLeft w:val="0"/>
          <w:marRight w:val="0"/>
          <w:marTop w:val="0"/>
          <w:marBottom w:val="0"/>
          <w:divBdr>
            <w:top w:val="none" w:sz="0" w:space="0" w:color="auto"/>
            <w:left w:val="none" w:sz="0" w:space="0" w:color="auto"/>
            <w:bottom w:val="none" w:sz="0" w:space="0" w:color="auto"/>
            <w:right w:val="none" w:sz="0" w:space="0" w:color="auto"/>
          </w:divBdr>
        </w:div>
        <w:div w:id="1052265569">
          <w:marLeft w:val="0"/>
          <w:marRight w:val="0"/>
          <w:marTop w:val="0"/>
          <w:marBottom w:val="0"/>
          <w:divBdr>
            <w:top w:val="none" w:sz="0" w:space="0" w:color="auto"/>
            <w:left w:val="none" w:sz="0" w:space="0" w:color="auto"/>
            <w:bottom w:val="none" w:sz="0" w:space="0" w:color="auto"/>
            <w:right w:val="none" w:sz="0" w:space="0" w:color="auto"/>
          </w:divBdr>
        </w:div>
        <w:div w:id="949435835">
          <w:marLeft w:val="0"/>
          <w:marRight w:val="0"/>
          <w:marTop w:val="0"/>
          <w:marBottom w:val="0"/>
          <w:divBdr>
            <w:top w:val="none" w:sz="0" w:space="0" w:color="auto"/>
            <w:left w:val="none" w:sz="0" w:space="0" w:color="auto"/>
            <w:bottom w:val="none" w:sz="0" w:space="0" w:color="auto"/>
            <w:right w:val="none" w:sz="0" w:space="0" w:color="auto"/>
          </w:divBdr>
        </w:div>
        <w:div w:id="1429698660">
          <w:marLeft w:val="0"/>
          <w:marRight w:val="0"/>
          <w:marTop w:val="0"/>
          <w:marBottom w:val="0"/>
          <w:divBdr>
            <w:top w:val="none" w:sz="0" w:space="0" w:color="auto"/>
            <w:left w:val="none" w:sz="0" w:space="0" w:color="auto"/>
            <w:bottom w:val="none" w:sz="0" w:space="0" w:color="auto"/>
            <w:right w:val="none" w:sz="0" w:space="0" w:color="auto"/>
          </w:divBdr>
        </w:div>
        <w:div w:id="759981995">
          <w:marLeft w:val="0"/>
          <w:marRight w:val="0"/>
          <w:marTop w:val="0"/>
          <w:marBottom w:val="0"/>
          <w:divBdr>
            <w:top w:val="none" w:sz="0" w:space="0" w:color="auto"/>
            <w:left w:val="none" w:sz="0" w:space="0" w:color="auto"/>
            <w:bottom w:val="none" w:sz="0" w:space="0" w:color="auto"/>
            <w:right w:val="none" w:sz="0" w:space="0" w:color="auto"/>
          </w:divBdr>
        </w:div>
        <w:div w:id="623120145">
          <w:marLeft w:val="0"/>
          <w:marRight w:val="0"/>
          <w:marTop w:val="0"/>
          <w:marBottom w:val="0"/>
          <w:divBdr>
            <w:top w:val="none" w:sz="0" w:space="0" w:color="auto"/>
            <w:left w:val="none" w:sz="0" w:space="0" w:color="auto"/>
            <w:bottom w:val="none" w:sz="0" w:space="0" w:color="auto"/>
            <w:right w:val="none" w:sz="0" w:space="0" w:color="auto"/>
          </w:divBdr>
        </w:div>
        <w:div w:id="313685284">
          <w:marLeft w:val="0"/>
          <w:marRight w:val="0"/>
          <w:marTop w:val="0"/>
          <w:marBottom w:val="0"/>
          <w:divBdr>
            <w:top w:val="none" w:sz="0" w:space="0" w:color="auto"/>
            <w:left w:val="none" w:sz="0" w:space="0" w:color="auto"/>
            <w:bottom w:val="none" w:sz="0" w:space="0" w:color="auto"/>
            <w:right w:val="none" w:sz="0" w:space="0" w:color="auto"/>
          </w:divBdr>
        </w:div>
        <w:div w:id="252517133">
          <w:marLeft w:val="0"/>
          <w:marRight w:val="0"/>
          <w:marTop w:val="0"/>
          <w:marBottom w:val="0"/>
          <w:divBdr>
            <w:top w:val="none" w:sz="0" w:space="0" w:color="auto"/>
            <w:left w:val="none" w:sz="0" w:space="0" w:color="auto"/>
            <w:bottom w:val="none" w:sz="0" w:space="0" w:color="auto"/>
            <w:right w:val="none" w:sz="0" w:space="0" w:color="auto"/>
          </w:divBdr>
        </w:div>
        <w:div w:id="1143473459">
          <w:marLeft w:val="0"/>
          <w:marRight w:val="0"/>
          <w:marTop w:val="0"/>
          <w:marBottom w:val="0"/>
          <w:divBdr>
            <w:top w:val="none" w:sz="0" w:space="0" w:color="auto"/>
            <w:left w:val="none" w:sz="0" w:space="0" w:color="auto"/>
            <w:bottom w:val="none" w:sz="0" w:space="0" w:color="auto"/>
            <w:right w:val="none" w:sz="0" w:space="0" w:color="auto"/>
          </w:divBdr>
        </w:div>
        <w:div w:id="2076850365">
          <w:marLeft w:val="0"/>
          <w:marRight w:val="0"/>
          <w:marTop w:val="0"/>
          <w:marBottom w:val="0"/>
          <w:divBdr>
            <w:top w:val="none" w:sz="0" w:space="0" w:color="auto"/>
            <w:left w:val="none" w:sz="0" w:space="0" w:color="auto"/>
            <w:bottom w:val="none" w:sz="0" w:space="0" w:color="auto"/>
            <w:right w:val="none" w:sz="0" w:space="0" w:color="auto"/>
          </w:divBdr>
        </w:div>
        <w:div w:id="1411852457">
          <w:marLeft w:val="0"/>
          <w:marRight w:val="0"/>
          <w:marTop w:val="0"/>
          <w:marBottom w:val="0"/>
          <w:divBdr>
            <w:top w:val="none" w:sz="0" w:space="0" w:color="auto"/>
            <w:left w:val="none" w:sz="0" w:space="0" w:color="auto"/>
            <w:bottom w:val="none" w:sz="0" w:space="0" w:color="auto"/>
            <w:right w:val="none" w:sz="0" w:space="0" w:color="auto"/>
          </w:divBdr>
        </w:div>
        <w:div w:id="1912345233">
          <w:marLeft w:val="0"/>
          <w:marRight w:val="0"/>
          <w:marTop w:val="0"/>
          <w:marBottom w:val="0"/>
          <w:divBdr>
            <w:top w:val="none" w:sz="0" w:space="0" w:color="auto"/>
            <w:left w:val="none" w:sz="0" w:space="0" w:color="auto"/>
            <w:bottom w:val="none" w:sz="0" w:space="0" w:color="auto"/>
            <w:right w:val="none" w:sz="0" w:space="0" w:color="auto"/>
          </w:divBdr>
        </w:div>
        <w:div w:id="1088774108">
          <w:marLeft w:val="0"/>
          <w:marRight w:val="0"/>
          <w:marTop w:val="0"/>
          <w:marBottom w:val="0"/>
          <w:divBdr>
            <w:top w:val="none" w:sz="0" w:space="0" w:color="auto"/>
            <w:left w:val="none" w:sz="0" w:space="0" w:color="auto"/>
            <w:bottom w:val="none" w:sz="0" w:space="0" w:color="auto"/>
            <w:right w:val="none" w:sz="0" w:space="0" w:color="auto"/>
          </w:divBdr>
        </w:div>
        <w:div w:id="736440234">
          <w:marLeft w:val="0"/>
          <w:marRight w:val="0"/>
          <w:marTop w:val="0"/>
          <w:marBottom w:val="0"/>
          <w:divBdr>
            <w:top w:val="none" w:sz="0" w:space="0" w:color="auto"/>
            <w:left w:val="none" w:sz="0" w:space="0" w:color="auto"/>
            <w:bottom w:val="none" w:sz="0" w:space="0" w:color="auto"/>
            <w:right w:val="none" w:sz="0" w:space="0" w:color="auto"/>
          </w:divBdr>
        </w:div>
        <w:div w:id="306518504">
          <w:marLeft w:val="0"/>
          <w:marRight w:val="0"/>
          <w:marTop w:val="0"/>
          <w:marBottom w:val="0"/>
          <w:divBdr>
            <w:top w:val="none" w:sz="0" w:space="0" w:color="auto"/>
            <w:left w:val="none" w:sz="0" w:space="0" w:color="auto"/>
            <w:bottom w:val="none" w:sz="0" w:space="0" w:color="auto"/>
            <w:right w:val="none" w:sz="0" w:space="0" w:color="auto"/>
          </w:divBdr>
        </w:div>
        <w:div w:id="1894270724">
          <w:marLeft w:val="0"/>
          <w:marRight w:val="0"/>
          <w:marTop w:val="0"/>
          <w:marBottom w:val="0"/>
          <w:divBdr>
            <w:top w:val="none" w:sz="0" w:space="0" w:color="auto"/>
            <w:left w:val="none" w:sz="0" w:space="0" w:color="auto"/>
            <w:bottom w:val="none" w:sz="0" w:space="0" w:color="auto"/>
            <w:right w:val="none" w:sz="0" w:space="0" w:color="auto"/>
          </w:divBdr>
        </w:div>
        <w:div w:id="27413380">
          <w:marLeft w:val="0"/>
          <w:marRight w:val="0"/>
          <w:marTop w:val="0"/>
          <w:marBottom w:val="0"/>
          <w:divBdr>
            <w:top w:val="none" w:sz="0" w:space="0" w:color="auto"/>
            <w:left w:val="none" w:sz="0" w:space="0" w:color="auto"/>
            <w:bottom w:val="none" w:sz="0" w:space="0" w:color="auto"/>
            <w:right w:val="none" w:sz="0" w:space="0" w:color="auto"/>
          </w:divBdr>
        </w:div>
        <w:div w:id="813647579">
          <w:marLeft w:val="0"/>
          <w:marRight w:val="0"/>
          <w:marTop w:val="0"/>
          <w:marBottom w:val="0"/>
          <w:divBdr>
            <w:top w:val="none" w:sz="0" w:space="0" w:color="auto"/>
            <w:left w:val="none" w:sz="0" w:space="0" w:color="auto"/>
            <w:bottom w:val="none" w:sz="0" w:space="0" w:color="auto"/>
            <w:right w:val="none" w:sz="0" w:space="0" w:color="auto"/>
          </w:divBdr>
        </w:div>
        <w:div w:id="1288775038">
          <w:marLeft w:val="0"/>
          <w:marRight w:val="0"/>
          <w:marTop w:val="0"/>
          <w:marBottom w:val="0"/>
          <w:divBdr>
            <w:top w:val="none" w:sz="0" w:space="0" w:color="auto"/>
            <w:left w:val="none" w:sz="0" w:space="0" w:color="auto"/>
            <w:bottom w:val="none" w:sz="0" w:space="0" w:color="auto"/>
            <w:right w:val="none" w:sz="0" w:space="0" w:color="auto"/>
          </w:divBdr>
        </w:div>
        <w:div w:id="1645816028">
          <w:marLeft w:val="0"/>
          <w:marRight w:val="0"/>
          <w:marTop w:val="0"/>
          <w:marBottom w:val="0"/>
          <w:divBdr>
            <w:top w:val="none" w:sz="0" w:space="0" w:color="auto"/>
            <w:left w:val="none" w:sz="0" w:space="0" w:color="auto"/>
            <w:bottom w:val="none" w:sz="0" w:space="0" w:color="auto"/>
            <w:right w:val="none" w:sz="0" w:space="0" w:color="auto"/>
          </w:divBdr>
        </w:div>
        <w:div w:id="647898121">
          <w:marLeft w:val="0"/>
          <w:marRight w:val="0"/>
          <w:marTop w:val="0"/>
          <w:marBottom w:val="0"/>
          <w:divBdr>
            <w:top w:val="none" w:sz="0" w:space="0" w:color="auto"/>
            <w:left w:val="none" w:sz="0" w:space="0" w:color="auto"/>
            <w:bottom w:val="none" w:sz="0" w:space="0" w:color="auto"/>
            <w:right w:val="none" w:sz="0" w:space="0" w:color="auto"/>
          </w:divBdr>
        </w:div>
        <w:div w:id="258372896">
          <w:marLeft w:val="0"/>
          <w:marRight w:val="0"/>
          <w:marTop w:val="0"/>
          <w:marBottom w:val="0"/>
          <w:divBdr>
            <w:top w:val="none" w:sz="0" w:space="0" w:color="auto"/>
            <w:left w:val="none" w:sz="0" w:space="0" w:color="auto"/>
            <w:bottom w:val="none" w:sz="0" w:space="0" w:color="auto"/>
            <w:right w:val="none" w:sz="0" w:space="0" w:color="auto"/>
          </w:divBdr>
        </w:div>
        <w:div w:id="160590310">
          <w:marLeft w:val="0"/>
          <w:marRight w:val="0"/>
          <w:marTop w:val="0"/>
          <w:marBottom w:val="0"/>
          <w:divBdr>
            <w:top w:val="none" w:sz="0" w:space="0" w:color="auto"/>
            <w:left w:val="none" w:sz="0" w:space="0" w:color="auto"/>
            <w:bottom w:val="none" w:sz="0" w:space="0" w:color="auto"/>
            <w:right w:val="none" w:sz="0" w:space="0" w:color="auto"/>
          </w:divBdr>
        </w:div>
        <w:div w:id="1055468239">
          <w:marLeft w:val="0"/>
          <w:marRight w:val="0"/>
          <w:marTop w:val="0"/>
          <w:marBottom w:val="0"/>
          <w:divBdr>
            <w:top w:val="none" w:sz="0" w:space="0" w:color="auto"/>
            <w:left w:val="none" w:sz="0" w:space="0" w:color="auto"/>
            <w:bottom w:val="none" w:sz="0" w:space="0" w:color="auto"/>
            <w:right w:val="none" w:sz="0" w:space="0" w:color="auto"/>
          </w:divBdr>
        </w:div>
        <w:div w:id="1794250597">
          <w:marLeft w:val="0"/>
          <w:marRight w:val="0"/>
          <w:marTop w:val="0"/>
          <w:marBottom w:val="0"/>
          <w:divBdr>
            <w:top w:val="none" w:sz="0" w:space="0" w:color="auto"/>
            <w:left w:val="none" w:sz="0" w:space="0" w:color="auto"/>
            <w:bottom w:val="none" w:sz="0" w:space="0" w:color="auto"/>
            <w:right w:val="none" w:sz="0" w:space="0" w:color="auto"/>
          </w:divBdr>
        </w:div>
        <w:div w:id="76220935">
          <w:marLeft w:val="0"/>
          <w:marRight w:val="0"/>
          <w:marTop w:val="0"/>
          <w:marBottom w:val="0"/>
          <w:divBdr>
            <w:top w:val="none" w:sz="0" w:space="0" w:color="auto"/>
            <w:left w:val="none" w:sz="0" w:space="0" w:color="auto"/>
            <w:bottom w:val="none" w:sz="0" w:space="0" w:color="auto"/>
            <w:right w:val="none" w:sz="0" w:space="0" w:color="auto"/>
          </w:divBdr>
        </w:div>
        <w:div w:id="1236822682">
          <w:marLeft w:val="0"/>
          <w:marRight w:val="0"/>
          <w:marTop w:val="0"/>
          <w:marBottom w:val="0"/>
          <w:divBdr>
            <w:top w:val="none" w:sz="0" w:space="0" w:color="auto"/>
            <w:left w:val="none" w:sz="0" w:space="0" w:color="auto"/>
            <w:bottom w:val="none" w:sz="0" w:space="0" w:color="auto"/>
            <w:right w:val="none" w:sz="0" w:space="0" w:color="auto"/>
          </w:divBdr>
        </w:div>
        <w:div w:id="1223953632">
          <w:marLeft w:val="0"/>
          <w:marRight w:val="0"/>
          <w:marTop w:val="0"/>
          <w:marBottom w:val="0"/>
          <w:divBdr>
            <w:top w:val="none" w:sz="0" w:space="0" w:color="auto"/>
            <w:left w:val="none" w:sz="0" w:space="0" w:color="auto"/>
            <w:bottom w:val="none" w:sz="0" w:space="0" w:color="auto"/>
            <w:right w:val="none" w:sz="0" w:space="0" w:color="auto"/>
          </w:divBdr>
        </w:div>
        <w:div w:id="148331692">
          <w:marLeft w:val="0"/>
          <w:marRight w:val="0"/>
          <w:marTop w:val="0"/>
          <w:marBottom w:val="0"/>
          <w:divBdr>
            <w:top w:val="none" w:sz="0" w:space="0" w:color="auto"/>
            <w:left w:val="none" w:sz="0" w:space="0" w:color="auto"/>
            <w:bottom w:val="none" w:sz="0" w:space="0" w:color="auto"/>
            <w:right w:val="none" w:sz="0" w:space="0" w:color="auto"/>
          </w:divBdr>
        </w:div>
        <w:div w:id="1557886391">
          <w:marLeft w:val="0"/>
          <w:marRight w:val="0"/>
          <w:marTop w:val="0"/>
          <w:marBottom w:val="0"/>
          <w:divBdr>
            <w:top w:val="none" w:sz="0" w:space="0" w:color="auto"/>
            <w:left w:val="none" w:sz="0" w:space="0" w:color="auto"/>
            <w:bottom w:val="none" w:sz="0" w:space="0" w:color="auto"/>
            <w:right w:val="none" w:sz="0" w:space="0" w:color="auto"/>
          </w:divBdr>
        </w:div>
        <w:div w:id="110756047">
          <w:marLeft w:val="0"/>
          <w:marRight w:val="0"/>
          <w:marTop w:val="0"/>
          <w:marBottom w:val="0"/>
          <w:divBdr>
            <w:top w:val="none" w:sz="0" w:space="0" w:color="auto"/>
            <w:left w:val="none" w:sz="0" w:space="0" w:color="auto"/>
            <w:bottom w:val="none" w:sz="0" w:space="0" w:color="auto"/>
            <w:right w:val="none" w:sz="0" w:space="0" w:color="auto"/>
          </w:divBdr>
        </w:div>
        <w:div w:id="150803128">
          <w:marLeft w:val="0"/>
          <w:marRight w:val="0"/>
          <w:marTop w:val="0"/>
          <w:marBottom w:val="0"/>
          <w:divBdr>
            <w:top w:val="none" w:sz="0" w:space="0" w:color="auto"/>
            <w:left w:val="none" w:sz="0" w:space="0" w:color="auto"/>
            <w:bottom w:val="none" w:sz="0" w:space="0" w:color="auto"/>
            <w:right w:val="none" w:sz="0" w:space="0" w:color="auto"/>
          </w:divBdr>
        </w:div>
        <w:div w:id="996421089">
          <w:marLeft w:val="0"/>
          <w:marRight w:val="0"/>
          <w:marTop w:val="0"/>
          <w:marBottom w:val="0"/>
          <w:divBdr>
            <w:top w:val="none" w:sz="0" w:space="0" w:color="auto"/>
            <w:left w:val="none" w:sz="0" w:space="0" w:color="auto"/>
            <w:bottom w:val="none" w:sz="0" w:space="0" w:color="auto"/>
            <w:right w:val="none" w:sz="0" w:space="0" w:color="auto"/>
          </w:divBdr>
        </w:div>
        <w:div w:id="739407266">
          <w:marLeft w:val="0"/>
          <w:marRight w:val="0"/>
          <w:marTop w:val="0"/>
          <w:marBottom w:val="0"/>
          <w:divBdr>
            <w:top w:val="none" w:sz="0" w:space="0" w:color="auto"/>
            <w:left w:val="none" w:sz="0" w:space="0" w:color="auto"/>
            <w:bottom w:val="none" w:sz="0" w:space="0" w:color="auto"/>
            <w:right w:val="none" w:sz="0" w:space="0" w:color="auto"/>
          </w:divBdr>
        </w:div>
        <w:div w:id="1649430656">
          <w:marLeft w:val="0"/>
          <w:marRight w:val="0"/>
          <w:marTop w:val="0"/>
          <w:marBottom w:val="0"/>
          <w:divBdr>
            <w:top w:val="none" w:sz="0" w:space="0" w:color="auto"/>
            <w:left w:val="none" w:sz="0" w:space="0" w:color="auto"/>
            <w:bottom w:val="none" w:sz="0" w:space="0" w:color="auto"/>
            <w:right w:val="none" w:sz="0" w:space="0" w:color="auto"/>
          </w:divBdr>
        </w:div>
        <w:div w:id="1660691843">
          <w:marLeft w:val="0"/>
          <w:marRight w:val="0"/>
          <w:marTop w:val="0"/>
          <w:marBottom w:val="0"/>
          <w:divBdr>
            <w:top w:val="none" w:sz="0" w:space="0" w:color="auto"/>
            <w:left w:val="none" w:sz="0" w:space="0" w:color="auto"/>
            <w:bottom w:val="none" w:sz="0" w:space="0" w:color="auto"/>
            <w:right w:val="none" w:sz="0" w:space="0" w:color="auto"/>
          </w:divBdr>
        </w:div>
        <w:div w:id="404374900">
          <w:marLeft w:val="0"/>
          <w:marRight w:val="0"/>
          <w:marTop w:val="0"/>
          <w:marBottom w:val="0"/>
          <w:divBdr>
            <w:top w:val="none" w:sz="0" w:space="0" w:color="auto"/>
            <w:left w:val="none" w:sz="0" w:space="0" w:color="auto"/>
            <w:bottom w:val="none" w:sz="0" w:space="0" w:color="auto"/>
            <w:right w:val="none" w:sz="0" w:space="0" w:color="auto"/>
          </w:divBdr>
        </w:div>
        <w:div w:id="265845843">
          <w:marLeft w:val="0"/>
          <w:marRight w:val="0"/>
          <w:marTop w:val="0"/>
          <w:marBottom w:val="0"/>
          <w:divBdr>
            <w:top w:val="none" w:sz="0" w:space="0" w:color="auto"/>
            <w:left w:val="none" w:sz="0" w:space="0" w:color="auto"/>
            <w:bottom w:val="none" w:sz="0" w:space="0" w:color="auto"/>
            <w:right w:val="none" w:sz="0" w:space="0" w:color="auto"/>
          </w:divBdr>
        </w:div>
        <w:div w:id="666447596">
          <w:marLeft w:val="0"/>
          <w:marRight w:val="0"/>
          <w:marTop w:val="0"/>
          <w:marBottom w:val="0"/>
          <w:divBdr>
            <w:top w:val="none" w:sz="0" w:space="0" w:color="auto"/>
            <w:left w:val="none" w:sz="0" w:space="0" w:color="auto"/>
            <w:bottom w:val="none" w:sz="0" w:space="0" w:color="auto"/>
            <w:right w:val="none" w:sz="0" w:space="0" w:color="auto"/>
          </w:divBdr>
        </w:div>
        <w:div w:id="533428106">
          <w:marLeft w:val="0"/>
          <w:marRight w:val="0"/>
          <w:marTop w:val="0"/>
          <w:marBottom w:val="0"/>
          <w:divBdr>
            <w:top w:val="none" w:sz="0" w:space="0" w:color="auto"/>
            <w:left w:val="none" w:sz="0" w:space="0" w:color="auto"/>
            <w:bottom w:val="none" w:sz="0" w:space="0" w:color="auto"/>
            <w:right w:val="none" w:sz="0" w:space="0" w:color="auto"/>
          </w:divBdr>
        </w:div>
        <w:div w:id="102307427">
          <w:marLeft w:val="0"/>
          <w:marRight w:val="0"/>
          <w:marTop w:val="0"/>
          <w:marBottom w:val="0"/>
          <w:divBdr>
            <w:top w:val="none" w:sz="0" w:space="0" w:color="auto"/>
            <w:left w:val="none" w:sz="0" w:space="0" w:color="auto"/>
            <w:bottom w:val="none" w:sz="0" w:space="0" w:color="auto"/>
            <w:right w:val="none" w:sz="0" w:space="0" w:color="auto"/>
          </w:divBdr>
        </w:div>
        <w:div w:id="1932543011">
          <w:marLeft w:val="0"/>
          <w:marRight w:val="0"/>
          <w:marTop w:val="0"/>
          <w:marBottom w:val="0"/>
          <w:divBdr>
            <w:top w:val="none" w:sz="0" w:space="0" w:color="auto"/>
            <w:left w:val="none" w:sz="0" w:space="0" w:color="auto"/>
            <w:bottom w:val="none" w:sz="0" w:space="0" w:color="auto"/>
            <w:right w:val="none" w:sz="0" w:space="0" w:color="auto"/>
          </w:divBdr>
        </w:div>
        <w:div w:id="28992869">
          <w:marLeft w:val="0"/>
          <w:marRight w:val="0"/>
          <w:marTop w:val="0"/>
          <w:marBottom w:val="0"/>
          <w:divBdr>
            <w:top w:val="none" w:sz="0" w:space="0" w:color="auto"/>
            <w:left w:val="none" w:sz="0" w:space="0" w:color="auto"/>
            <w:bottom w:val="none" w:sz="0" w:space="0" w:color="auto"/>
            <w:right w:val="none" w:sz="0" w:space="0" w:color="auto"/>
          </w:divBdr>
        </w:div>
        <w:div w:id="200016868">
          <w:marLeft w:val="0"/>
          <w:marRight w:val="0"/>
          <w:marTop w:val="0"/>
          <w:marBottom w:val="0"/>
          <w:divBdr>
            <w:top w:val="none" w:sz="0" w:space="0" w:color="auto"/>
            <w:left w:val="none" w:sz="0" w:space="0" w:color="auto"/>
            <w:bottom w:val="none" w:sz="0" w:space="0" w:color="auto"/>
            <w:right w:val="none" w:sz="0" w:space="0" w:color="auto"/>
          </w:divBdr>
        </w:div>
        <w:div w:id="1540894923">
          <w:marLeft w:val="0"/>
          <w:marRight w:val="0"/>
          <w:marTop w:val="0"/>
          <w:marBottom w:val="0"/>
          <w:divBdr>
            <w:top w:val="none" w:sz="0" w:space="0" w:color="auto"/>
            <w:left w:val="none" w:sz="0" w:space="0" w:color="auto"/>
            <w:bottom w:val="none" w:sz="0" w:space="0" w:color="auto"/>
            <w:right w:val="none" w:sz="0" w:space="0" w:color="auto"/>
          </w:divBdr>
        </w:div>
        <w:div w:id="2034648735">
          <w:marLeft w:val="0"/>
          <w:marRight w:val="0"/>
          <w:marTop w:val="0"/>
          <w:marBottom w:val="0"/>
          <w:divBdr>
            <w:top w:val="none" w:sz="0" w:space="0" w:color="auto"/>
            <w:left w:val="none" w:sz="0" w:space="0" w:color="auto"/>
            <w:bottom w:val="none" w:sz="0" w:space="0" w:color="auto"/>
            <w:right w:val="none" w:sz="0" w:space="0" w:color="auto"/>
          </w:divBdr>
        </w:div>
        <w:div w:id="1805469588">
          <w:marLeft w:val="0"/>
          <w:marRight w:val="0"/>
          <w:marTop w:val="0"/>
          <w:marBottom w:val="0"/>
          <w:divBdr>
            <w:top w:val="none" w:sz="0" w:space="0" w:color="auto"/>
            <w:left w:val="none" w:sz="0" w:space="0" w:color="auto"/>
            <w:bottom w:val="none" w:sz="0" w:space="0" w:color="auto"/>
            <w:right w:val="none" w:sz="0" w:space="0" w:color="auto"/>
          </w:divBdr>
        </w:div>
        <w:div w:id="264963970">
          <w:marLeft w:val="0"/>
          <w:marRight w:val="0"/>
          <w:marTop w:val="0"/>
          <w:marBottom w:val="0"/>
          <w:divBdr>
            <w:top w:val="none" w:sz="0" w:space="0" w:color="auto"/>
            <w:left w:val="none" w:sz="0" w:space="0" w:color="auto"/>
            <w:bottom w:val="none" w:sz="0" w:space="0" w:color="auto"/>
            <w:right w:val="none" w:sz="0" w:space="0" w:color="auto"/>
          </w:divBdr>
        </w:div>
        <w:div w:id="411046011">
          <w:marLeft w:val="0"/>
          <w:marRight w:val="0"/>
          <w:marTop w:val="0"/>
          <w:marBottom w:val="0"/>
          <w:divBdr>
            <w:top w:val="none" w:sz="0" w:space="0" w:color="auto"/>
            <w:left w:val="none" w:sz="0" w:space="0" w:color="auto"/>
            <w:bottom w:val="none" w:sz="0" w:space="0" w:color="auto"/>
            <w:right w:val="none" w:sz="0" w:space="0" w:color="auto"/>
          </w:divBdr>
        </w:div>
        <w:div w:id="1507134102">
          <w:marLeft w:val="0"/>
          <w:marRight w:val="0"/>
          <w:marTop w:val="0"/>
          <w:marBottom w:val="0"/>
          <w:divBdr>
            <w:top w:val="none" w:sz="0" w:space="0" w:color="auto"/>
            <w:left w:val="none" w:sz="0" w:space="0" w:color="auto"/>
            <w:bottom w:val="none" w:sz="0" w:space="0" w:color="auto"/>
            <w:right w:val="none" w:sz="0" w:space="0" w:color="auto"/>
          </w:divBdr>
        </w:div>
        <w:div w:id="829755161">
          <w:marLeft w:val="0"/>
          <w:marRight w:val="0"/>
          <w:marTop w:val="0"/>
          <w:marBottom w:val="0"/>
          <w:divBdr>
            <w:top w:val="none" w:sz="0" w:space="0" w:color="auto"/>
            <w:left w:val="none" w:sz="0" w:space="0" w:color="auto"/>
            <w:bottom w:val="none" w:sz="0" w:space="0" w:color="auto"/>
            <w:right w:val="none" w:sz="0" w:space="0" w:color="auto"/>
          </w:divBdr>
        </w:div>
        <w:div w:id="1029835819">
          <w:marLeft w:val="0"/>
          <w:marRight w:val="0"/>
          <w:marTop w:val="0"/>
          <w:marBottom w:val="0"/>
          <w:divBdr>
            <w:top w:val="none" w:sz="0" w:space="0" w:color="auto"/>
            <w:left w:val="none" w:sz="0" w:space="0" w:color="auto"/>
            <w:bottom w:val="none" w:sz="0" w:space="0" w:color="auto"/>
            <w:right w:val="none" w:sz="0" w:space="0" w:color="auto"/>
          </w:divBdr>
        </w:div>
      </w:divsChild>
    </w:div>
    <w:div w:id="1648362714">
      <w:bodyDiv w:val="1"/>
      <w:marLeft w:val="0"/>
      <w:marRight w:val="0"/>
      <w:marTop w:val="0"/>
      <w:marBottom w:val="0"/>
      <w:divBdr>
        <w:top w:val="none" w:sz="0" w:space="0" w:color="auto"/>
        <w:left w:val="none" w:sz="0" w:space="0" w:color="auto"/>
        <w:bottom w:val="none" w:sz="0" w:space="0" w:color="auto"/>
        <w:right w:val="none" w:sz="0" w:space="0" w:color="auto"/>
      </w:divBdr>
      <w:divsChild>
        <w:div w:id="361976379">
          <w:marLeft w:val="0"/>
          <w:marRight w:val="0"/>
          <w:marTop w:val="0"/>
          <w:marBottom w:val="0"/>
          <w:divBdr>
            <w:top w:val="none" w:sz="0" w:space="0" w:color="auto"/>
            <w:left w:val="none" w:sz="0" w:space="0" w:color="auto"/>
            <w:bottom w:val="none" w:sz="0" w:space="0" w:color="auto"/>
            <w:right w:val="none" w:sz="0" w:space="0" w:color="auto"/>
          </w:divBdr>
          <w:divsChild>
            <w:div w:id="241379812">
              <w:marLeft w:val="0"/>
              <w:marRight w:val="0"/>
              <w:marTop w:val="0"/>
              <w:marBottom w:val="0"/>
              <w:divBdr>
                <w:top w:val="none" w:sz="0" w:space="0" w:color="auto"/>
                <w:left w:val="none" w:sz="0" w:space="0" w:color="auto"/>
                <w:bottom w:val="none" w:sz="0" w:space="0" w:color="auto"/>
                <w:right w:val="none" w:sz="0" w:space="0" w:color="auto"/>
              </w:divBdr>
            </w:div>
          </w:divsChild>
        </w:div>
        <w:div w:id="1467628667">
          <w:marLeft w:val="0"/>
          <w:marRight w:val="0"/>
          <w:marTop w:val="0"/>
          <w:marBottom w:val="0"/>
          <w:divBdr>
            <w:top w:val="none" w:sz="0" w:space="0" w:color="auto"/>
            <w:left w:val="none" w:sz="0" w:space="0" w:color="auto"/>
            <w:bottom w:val="none" w:sz="0" w:space="0" w:color="auto"/>
            <w:right w:val="none" w:sz="0" w:space="0" w:color="auto"/>
          </w:divBdr>
          <w:divsChild>
            <w:div w:id="7904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069">
      <w:bodyDiv w:val="1"/>
      <w:marLeft w:val="0"/>
      <w:marRight w:val="0"/>
      <w:marTop w:val="0"/>
      <w:marBottom w:val="0"/>
      <w:divBdr>
        <w:top w:val="none" w:sz="0" w:space="0" w:color="auto"/>
        <w:left w:val="none" w:sz="0" w:space="0" w:color="auto"/>
        <w:bottom w:val="none" w:sz="0" w:space="0" w:color="auto"/>
        <w:right w:val="none" w:sz="0" w:space="0" w:color="auto"/>
      </w:divBdr>
    </w:div>
    <w:div w:id="2006739059">
      <w:bodyDiv w:val="1"/>
      <w:marLeft w:val="0"/>
      <w:marRight w:val="0"/>
      <w:marTop w:val="0"/>
      <w:marBottom w:val="0"/>
      <w:divBdr>
        <w:top w:val="none" w:sz="0" w:space="0" w:color="auto"/>
        <w:left w:val="none" w:sz="0" w:space="0" w:color="auto"/>
        <w:bottom w:val="none" w:sz="0" w:space="0" w:color="auto"/>
        <w:right w:val="none" w:sz="0" w:space="0" w:color="auto"/>
      </w:divBdr>
    </w:div>
    <w:div w:id="2122264820">
      <w:bodyDiv w:val="1"/>
      <w:marLeft w:val="0"/>
      <w:marRight w:val="0"/>
      <w:marTop w:val="0"/>
      <w:marBottom w:val="0"/>
      <w:divBdr>
        <w:top w:val="none" w:sz="0" w:space="0" w:color="auto"/>
        <w:left w:val="none" w:sz="0" w:space="0" w:color="auto"/>
        <w:bottom w:val="none" w:sz="0" w:space="0" w:color="auto"/>
        <w:right w:val="none" w:sz="0" w:space="0" w:color="auto"/>
      </w:divBdr>
    </w:div>
    <w:div w:id="21269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kwietnia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DFE517-73C0-4094-9A8B-870D4431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9359</Words>
  <Characters>56160</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65389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Dębska Katarzyna</dc:creator>
  <cp:lastModifiedBy>Ewa A. Genert</cp:lastModifiedBy>
  <cp:revision>2</cp:revision>
  <cp:lastPrinted>2016-09-12T08:20:00Z</cp:lastPrinted>
  <dcterms:created xsi:type="dcterms:W3CDTF">2016-11-18T14:05:00Z</dcterms:created>
  <dcterms:modified xsi:type="dcterms:W3CDTF">2016-11-18T14:05:00Z</dcterms:modified>
</cp:coreProperties>
</file>