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086D" w:rsidRPr="00C1086D" w:rsidRDefault="00C1086D" w:rsidP="00EF1270">
      <w:pPr>
        <w:keepNext/>
        <w:spacing w:before="120" w:after="0" w:line="360" w:lineRule="auto"/>
        <w:jc w:val="center"/>
        <w:rPr>
          <w:rFonts w:ascii="Times" w:eastAsia="Times New Roman" w:hAnsi="Times" w:cs="Arial"/>
          <w:bCs/>
          <w:caps/>
          <w:kern w:val="24"/>
          <w:sz w:val="24"/>
          <w:szCs w:val="24"/>
          <w:lang w:eastAsia="pl-PL"/>
        </w:rPr>
      </w:pPr>
      <w:bookmarkStart w:id="0" w:name="_GoBack"/>
      <w:bookmarkEnd w:id="0"/>
      <w:r w:rsidRPr="00EF1270">
        <w:rPr>
          <w:rFonts w:ascii="Times" w:eastAsia="Times New Roman" w:hAnsi="Times" w:cs="Arial"/>
          <w:bCs/>
          <w:caps/>
          <w:kern w:val="24"/>
          <w:sz w:val="24"/>
          <w:szCs w:val="24"/>
          <w:lang w:eastAsia="pl-PL"/>
        </w:rPr>
        <w:t>UZASADNIENIE</w:t>
      </w:r>
    </w:p>
    <w:p w:rsidR="00C1086D" w:rsidRPr="00C1086D" w:rsidRDefault="00C1086D" w:rsidP="00EF1270">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C1086D">
        <w:rPr>
          <w:rFonts w:ascii="Times" w:eastAsia="Times New Roman" w:hAnsi="Times" w:cs="Arial"/>
          <w:bCs/>
          <w:sz w:val="24"/>
          <w:szCs w:val="20"/>
          <w:lang w:eastAsia="pl-PL"/>
        </w:rPr>
        <w:t>Celem projektowanej nowelizacji ustawy z dnia 10 maja 1990 r. – Przepisy wprowadzające ustawę o samorządzie terytorialnym i ustawę o pracownikach samorządowych, zwan</w:t>
      </w:r>
      <w:r w:rsidR="00CF2F2A">
        <w:rPr>
          <w:rFonts w:ascii="Times" w:eastAsia="Times New Roman" w:hAnsi="Times" w:cs="Arial"/>
          <w:bCs/>
          <w:sz w:val="24"/>
          <w:szCs w:val="20"/>
          <w:lang w:eastAsia="pl-PL"/>
        </w:rPr>
        <w:t>ej</w:t>
      </w:r>
      <w:r w:rsidRPr="00C1086D">
        <w:rPr>
          <w:rFonts w:ascii="Times" w:eastAsia="Times New Roman" w:hAnsi="Times" w:cs="Arial"/>
          <w:bCs/>
          <w:sz w:val="24"/>
          <w:szCs w:val="20"/>
          <w:lang w:eastAsia="pl-PL"/>
        </w:rPr>
        <w:t xml:space="preserve"> dalej „</w:t>
      </w:r>
      <w:r w:rsidR="005C2B37">
        <w:rPr>
          <w:rFonts w:ascii="Times" w:eastAsia="Times New Roman" w:hAnsi="Times" w:cs="Arial"/>
          <w:bCs/>
          <w:sz w:val="24"/>
          <w:szCs w:val="20"/>
          <w:lang w:eastAsia="pl-PL"/>
        </w:rPr>
        <w:t>u</w:t>
      </w:r>
      <w:r w:rsidRPr="00C1086D">
        <w:rPr>
          <w:rFonts w:ascii="Times" w:eastAsia="Times New Roman" w:hAnsi="Times" w:cs="Arial"/>
          <w:bCs/>
          <w:sz w:val="24"/>
          <w:szCs w:val="20"/>
          <w:lang w:eastAsia="pl-PL"/>
        </w:rPr>
        <w:t>stawą”</w:t>
      </w:r>
      <w:r w:rsidR="005C2B37">
        <w:rPr>
          <w:rFonts w:ascii="Times" w:eastAsia="Times New Roman" w:hAnsi="Times" w:cs="Arial"/>
          <w:bCs/>
          <w:sz w:val="24"/>
          <w:szCs w:val="20"/>
          <w:lang w:eastAsia="pl-PL"/>
        </w:rPr>
        <w:t>,</w:t>
      </w:r>
      <w:r w:rsidRPr="00C1086D">
        <w:rPr>
          <w:rFonts w:ascii="Times" w:eastAsia="Times New Roman" w:hAnsi="Times" w:cs="Arial"/>
          <w:bCs/>
          <w:sz w:val="24"/>
          <w:szCs w:val="20"/>
          <w:lang w:eastAsia="pl-PL"/>
        </w:rPr>
        <w:t xml:space="preserve"> jest dostosowanie art. 18 </w:t>
      </w:r>
      <w:r w:rsidR="00CF2F2A">
        <w:rPr>
          <w:rFonts w:ascii="Times" w:eastAsia="Times New Roman" w:hAnsi="Times" w:cs="Arial"/>
          <w:bCs/>
          <w:sz w:val="24"/>
          <w:szCs w:val="20"/>
          <w:lang w:eastAsia="pl-PL"/>
        </w:rPr>
        <w:t>u</w:t>
      </w:r>
      <w:r w:rsidRPr="00C1086D">
        <w:rPr>
          <w:rFonts w:ascii="Times" w:eastAsia="Times New Roman" w:hAnsi="Times" w:cs="Arial"/>
          <w:bCs/>
          <w:sz w:val="24"/>
          <w:szCs w:val="20"/>
          <w:lang w:eastAsia="pl-PL"/>
        </w:rPr>
        <w:t>stawy do przepisów Konstytucji Rzeczypospolitej Polskiej z dnia 2 kwietnia 1997 r. oraz uproszczenie procedury powoływania członków Krajowej Komisji Uwłaszczeniowej, zwanej dalej „Komisją”.</w:t>
      </w:r>
    </w:p>
    <w:p w:rsidR="00C1086D" w:rsidRPr="00C1086D" w:rsidRDefault="00C1086D" w:rsidP="00EF1270">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C1086D">
        <w:rPr>
          <w:rFonts w:ascii="Times" w:eastAsia="Times New Roman" w:hAnsi="Times" w:cs="Arial"/>
          <w:bCs/>
          <w:sz w:val="24"/>
          <w:szCs w:val="20"/>
          <w:lang w:eastAsia="pl-PL"/>
        </w:rPr>
        <w:t xml:space="preserve">Na mocy art. 18 ust. 2 </w:t>
      </w:r>
      <w:r w:rsidR="00D57D64">
        <w:rPr>
          <w:rFonts w:ascii="Times" w:eastAsia="Times New Roman" w:hAnsi="Times" w:cs="Arial"/>
          <w:bCs/>
          <w:sz w:val="24"/>
          <w:szCs w:val="20"/>
          <w:lang w:eastAsia="pl-PL"/>
        </w:rPr>
        <w:t>u</w:t>
      </w:r>
      <w:r w:rsidRPr="00C1086D">
        <w:rPr>
          <w:rFonts w:ascii="Times" w:eastAsia="Times New Roman" w:hAnsi="Times" w:cs="Arial"/>
          <w:bCs/>
          <w:sz w:val="24"/>
          <w:szCs w:val="20"/>
          <w:lang w:eastAsia="pl-PL"/>
        </w:rPr>
        <w:t>stawy utworzona została Komisja jako organ odwoławczy od decyzji wojewodów w</w:t>
      </w:r>
      <w:r w:rsidR="00EF1270">
        <w:rPr>
          <w:rFonts w:ascii="Times" w:eastAsia="Times New Roman" w:hAnsi="Times" w:cs="Arial"/>
          <w:bCs/>
          <w:sz w:val="24"/>
          <w:szCs w:val="20"/>
          <w:lang w:eastAsia="pl-PL"/>
        </w:rPr>
        <w:t xml:space="preserve"> </w:t>
      </w:r>
      <w:r w:rsidRPr="00C1086D">
        <w:rPr>
          <w:rFonts w:ascii="Times" w:eastAsia="Times New Roman" w:hAnsi="Times" w:cs="Arial"/>
          <w:bCs/>
          <w:sz w:val="24"/>
          <w:szCs w:val="20"/>
          <w:lang w:eastAsia="pl-PL"/>
        </w:rPr>
        <w:t>przedmiocie komunalizacji mienia. Zgodnie z</w:t>
      </w:r>
      <w:r w:rsidR="00EF1270">
        <w:rPr>
          <w:rFonts w:ascii="Times" w:eastAsia="Times New Roman" w:hAnsi="Times" w:cs="Arial"/>
          <w:bCs/>
          <w:sz w:val="24"/>
          <w:szCs w:val="20"/>
          <w:lang w:eastAsia="pl-PL"/>
        </w:rPr>
        <w:t xml:space="preserve"> </w:t>
      </w:r>
      <w:r w:rsidRPr="00C1086D">
        <w:rPr>
          <w:rFonts w:ascii="Times" w:eastAsia="Times New Roman" w:hAnsi="Times" w:cs="Arial"/>
          <w:bCs/>
          <w:sz w:val="24"/>
          <w:szCs w:val="20"/>
          <w:lang w:eastAsia="pl-PL"/>
        </w:rPr>
        <w:t>art. 18 ust. 3 Prezes Rady Ministrów na wniosek Ministra Spraw Wewnętrznych i</w:t>
      </w:r>
      <w:r w:rsidR="00EF1270">
        <w:rPr>
          <w:rFonts w:ascii="Times" w:eastAsia="Times New Roman" w:hAnsi="Times" w:cs="Arial"/>
          <w:bCs/>
          <w:sz w:val="24"/>
          <w:szCs w:val="20"/>
          <w:lang w:eastAsia="pl-PL"/>
        </w:rPr>
        <w:t xml:space="preserve"> </w:t>
      </w:r>
      <w:r w:rsidRPr="00C1086D">
        <w:rPr>
          <w:rFonts w:ascii="Times" w:eastAsia="Times New Roman" w:hAnsi="Times" w:cs="Arial"/>
          <w:bCs/>
          <w:sz w:val="24"/>
          <w:szCs w:val="20"/>
          <w:lang w:eastAsia="pl-PL"/>
        </w:rPr>
        <w:t>Administracji powołuje przewodniczącego oraz członków Komisji i określa tryb jej działania. Rozporządzeniem Prezesa Rady Ministrów z dnia 7 maja 1997 r. w sprawie powołania i</w:t>
      </w:r>
      <w:r w:rsidR="00EF1270">
        <w:rPr>
          <w:rFonts w:ascii="Times" w:eastAsia="Times New Roman" w:hAnsi="Times" w:cs="Arial"/>
          <w:bCs/>
          <w:sz w:val="24"/>
          <w:szCs w:val="20"/>
          <w:lang w:eastAsia="pl-PL"/>
        </w:rPr>
        <w:t> </w:t>
      </w:r>
      <w:r w:rsidRPr="00C1086D">
        <w:rPr>
          <w:rFonts w:ascii="Times" w:eastAsia="Times New Roman" w:hAnsi="Times" w:cs="Arial"/>
          <w:bCs/>
          <w:sz w:val="24"/>
          <w:szCs w:val="20"/>
          <w:lang w:eastAsia="pl-PL"/>
        </w:rPr>
        <w:t>trybu działania Krajowej Komisji Uwłaszczeniowej (Dz. U. poz. 291, z późn. zm.) został określony skład osobowy Komisji, sposób rozstrzygania spraw, zasady zwoływania posiedzeń oraz sprawy dotyczące organizacji pracy Komisji i jej finansowania.</w:t>
      </w:r>
    </w:p>
    <w:p w:rsidR="00C1086D" w:rsidRPr="00C1086D" w:rsidRDefault="00C1086D" w:rsidP="00EF1270">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C1086D">
        <w:rPr>
          <w:rFonts w:ascii="Times" w:eastAsia="Times New Roman" w:hAnsi="Times" w:cs="Arial"/>
          <w:bCs/>
          <w:sz w:val="24"/>
          <w:szCs w:val="20"/>
          <w:lang w:eastAsia="pl-PL"/>
        </w:rPr>
        <w:t>Ustawa, jak również ww. rozporządzenie z dnia 7 maja 1997 r., weszły w życie przed dniem wejścia w życie Konstytucji Rzeczypospolitej Polskiej z dnia 2 kwietnia 1997 r.</w:t>
      </w:r>
      <w:r w:rsidR="00D57D64">
        <w:rPr>
          <w:rFonts w:ascii="Times" w:eastAsia="Times New Roman" w:hAnsi="Times" w:cs="Arial"/>
          <w:bCs/>
          <w:sz w:val="24"/>
          <w:szCs w:val="20"/>
          <w:lang w:eastAsia="pl-PL"/>
        </w:rPr>
        <w:t>,</w:t>
      </w:r>
      <w:r w:rsidRPr="00C1086D">
        <w:rPr>
          <w:rFonts w:ascii="Times" w:eastAsia="Times New Roman" w:hAnsi="Times" w:cs="Arial"/>
          <w:bCs/>
          <w:sz w:val="24"/>
          <w:szCs w:val="20"/>
          <w:lang w:eastAsia="pl-PL"/>
        </w:rPr>
        <w:t xml:space="preserve"> tj. 17 października 1997 r. Zgodnie z art. 92 ust. 1 ustawy zasadniczej, rozporządzenia są wydawane przez organy wskazane w Konstytucji Rzeczypospolitej Polskiej, na podstawie szczegółowego upoważnienia zawartego w ustawie i w celu jego wykonania. Upoważnienie powinno określać przy tym organ właściwy do wydania rozporządzenia i</w:t>
      </w:r>
      <w:r w:rsidR="00EF1270">
        <w:rPr>
          <w:rFonts w:ascii="Times" w:eastAsia="Times New Roman" w:hAnsi="Times" w:cs="Arial"/>
          <w:bCs/>
          <w:sz w:val="24"/>
          <w:szCs w:val="20"/>
          <w:lang w:eastAsia="pl-PL"/>
        </w:rPr>
        <w:t> </w:t>
      </w:r>
      <w:r w:rsidRPr="00C1086D">
        <w:rPr>
          <w:rFonts w:ascii="Times" w:eastAsia="Times New Roman" w:hAnsi="Times" w:cs="Arial"/>
          <w:bCs/>
          <w:sz w:val="24"/>
          <w:szCs w:val="20"/>
          <w:lang w:eastAsia="pl-PL"/>
        </w:rPr>
        <w:t xml:space="preserve">zakres spraw przekazanych do uregulowania oraz wytyczne dotyczące treści aktu. Upoważnienie ustawowe zawarte w art. 18 ust. 3 </w:t>
      </w:r>
      <w:r w:rsidR="00D57D64">
        <w:rPr>
          <w:rFonts w:ascii="Times" w:eastAsia="Times New Roman" w:hAnsi="Times" w:cs="Arial"/>
          <w:bCs/>
          <w:sz w:val="24"/>
          <w:szCs w:val="20"/>
          <w:lang w:eastAsia="pl-PL"/>
        </w:rPr>
        <w:t>u</w:t>
      </w:r>
      <w:r w:rsidRPr="00C1086D">
        <w:rPr>
          <w:rFonts w:ascii="Times" w:eastAsia="Times New Roman" w:hAnsi="Times" w:cs="Arial"/>
          <w:bCs/>
          <w:sz w:val="24"/>
          <w:szCs w:val="20"/>
          <w:lang w:eastAsia="pl-PL"/>
        </w:rPr>
        <w:t>stawy upoważnia Prezesa Rady Ministrów jedynie do powołania przewodniczącego i członków Komisji oraz określenia trybu jej działania i nie zostało dostosowane do wymogów art. 92 ust. 1 Konstytucji Rzeczypospolitej Polskiej. Przepis art. 18 ust. 3 nie wskazuje właściwej formy aktu prawnego (rozporządzenia) oraz nie zawiera wytycznych dotyczących upoważnienia Ministra Spraw Wewnętrznych i Administracji do ustalenia wysokości wynagrodzenia przewodniczącego i członków komisji za udział w jej pracach.</w:t>
      </w:r>
    </w:p>
    <w:p w:rsidR="00C1086D" w:rsidRPr="00C1086D" w:rsidRDefault="00C1086D" w:rsidP="00EF1270">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C1086D">
        <w:rPr>
          <w:rFonts w:ascii="Times" w:eastAsia="Times New Roman" w:hAnsi="Times" w:cs="Arial"/>
          <w:bCs/>
          <w:sz w:val="24"/>
          <w:szCs w:val="20"/>
          <w:lang w:eastAsia="pl-PL"/>
        </w:rPr>
        <w:t xml:space="preserve">W związku z powyższym zaproponowana zmiana w art. 18 </w:t>
      </w:r>
      <w:r w:rsidR="008C3334">
        <w:rPr>
          <w:rFonts w:ascii="Times" w:eastAsia="Times New Roman" w:hAnsi="Times" w:cs="Arial"/>
          <w:bCs/>
          <w:sz w:val="24"/>
          <w:szCs w:val="20"/>
          <w:lang w:eastAsia="pl-PL"/>
        </w:rPr>
        <w:t>u</w:t>
      </w:r>
      <w:r w:rsidRPr="00C1086D">
        <w:rPr>
          <w:rFonts w:ascii="Times" w:eastAsia="Times New Roman" w:hAnsi="Times" w:cs="Arial"/>
          <w:bCs/>
          <w:sz w:val="24"/>
          <w:szCs w:val="20"/>
          <w:lang w:eastAsia="pl-PL"/>
        </w:rPr>
        <w:t>stawy ma na</w:t>
      </w:r>
      <w:r w:rsidR="00EF1270">
        <w:rPr>
          <w:rFonts w:ascii="Times" w:eastAsia="Times New Roman" w:hAnsi="Times" w:cs="Arial"/>
          <w:bCs/>
          <w:sz w:val="24"/>
          <w:szCs w:val="20"/>
          <w:lang w:eastAsia="pl-PL"/>
        </w:rPr>
        <w:t xml:space="preserve"> </w:t>
      </w:r>
      <w:r w:rsidRPr="00C1086D">
        <w:rPr>
          <w:rFonts w:ascii="Times" w:eastAsia="Times New Roman" w:hAnsi="Times" w:cs="Arial"/>
          <w:bCs/>
          <w:sz w:val="24"/>
          <w:szCs w:val="20"/>
          <w:lang w:eastAsia="pl-PL"/>
        </w:rPr>
        <w:t xml:space="preserve">celu dostosowanie regulacji do przepisów Konstytucji Rzeczypospolitej Polskiej przez </w:t>
      </w:r>
      <w:r w:rsidRPr="00C1086D">
        <w:rPr>
          <w:rFonts w:ascii="Times" w:eastAsia="Times New Roman" w:hAnsi="Times" w:cs="Arial"/>
          <w:bCs/>
          <w:sz w:val="24"/>
          <w:szCs w:val="20"/>
          <w:lang w:eastAsia="pl-PL"/>
        </w:rPr>
        <w:lastRenderedPageBreak/>
        <w:t>przeniesienie kwestii związanych z trybem działania Komisji i powoływania jej członków na poziom ustawy, przy jednoczesnej rezygnacji z wydania na jego podstawie rozporządzenia Prezesa Rady Ministrów. Jednocześnie zaproponowano zmianę art. 18 w ten sposób, aby usprawnić proces powoływania członków Komisji. Zgodnie z</w:t>
      </w:r>
      <w:r w:rsidR="00EF1270">
        <w:rPr>
          <w:rFonts w:ascii="Times" w:eastAsia="Times New Roman" w:hAnsi="Times" w:cs="Arial"/>
          <w:bCs/>
          <w:sz w:val="24"/>
          <w:szCs w:val="20"/>
          <w:lang w:eastAsia="pl-PL"/>
        </w:rPr>
        <w:t> </w:t>
      </w:r>
      <w:r w:rsidRPr="00C1086D">
        <w:rPr>
          <w:rFonts w:ascii="Times" w:eastAsia="Times New Roman" w:hAnsi="Times" w:cs="Arial"/>
          <w:bCs/>
          <w:sz w:val="24"/>
          <w:szCs w:val="20"/>
          <w:lang w:eastAsia="pl-PL"/>
        </w:rPr>
        <w:t>projektowanym art. 18a ust. 2 przewodniczącego oraz członków Komisji powołuje i</w:t>
      </w:r>
      <w:r w:rsidR="00EF1270">
        <w:rPr>
          <w:rFonts w:ascii="Times" w:eastAsia="Times New Roman" w:hAnsi="Times" w:cs="Arial"/>
          <w:bCs/>
          <w:sz w:val="24"/>
          <w:szCs w:val="20"/>
          <w:lang w:eastAsia="pl-PL"/>
        </w:rPr>
        <w:t> </w:t>
      </w:r>
      <w:r w:rsidRPr="00C1086D">
        <w:rPr>
          <w:rFonts w:ascii="Times" w:eastAsia="Times New Roman" w:hAnsi="Times" w:cs="Arial"/>
          <w:bCs/>
          <w:sz w:val="24"/>
          <w:szCs w:val="20"/>
          <w:lang w:eastAsia="pl-PL"/>
        </w:rPr>
        <w:t>odwołuje minister właściwy do spraw administracji publicznej. W skład Komisji wchodzi przewodniczący oraz 5 członków (zgodnie z</w:t>
      </w:r>
      <w:r w:rsidR="00EF1270">
        <w:rPr>
          <w:rFonts w:ascii="Times" w:eastAsia="Times New Roman" w:hAnsi="Times" w:cs="Arial"/>
          <w:bCs/>
          <w:sz w:val="24"/>
          <w:szCs w:val="20"/>
          <w:lang w:eastAsia="pl-PL"/>
        </w:rPr>
        <w:t xml:space="preserve"> </w:t>
      </w:r>
      <w:r w:rsidRPr="00C1086D">
        <w:rPr>
          <w:rFonts w:ascii="Times" w:eastAsia="Times New Roman" w:hAnsi="Times" w:cs="Arial"/>
          <w:bCs/>
          <w:sz w:val="24"/>
          <w:szCs w:val="20"/>
          <w:lang w:eastAsia="pl-PL"/>
        </w:rPr>
        <w:t xml:space="preserve">projektowanym art. 18a ust. 1). </w:t>
      </w:r>
    </w:p>
    <w:p w:rsidR="00C1086D" w:rsidRPr="00C1086D" w:rsidRDefault="00C1086D" w:rsidP="00EF1270">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C1086D">
        <w:rPr>
          <w:rFonts w:ascii="Times" w:eastAsia="Times New Roman" w:hAnsi="Times" w:cs="Arial"/>
          <w:sz w:val="24"/>
          <w:szCs w:val="20"/>
          <w:lang w:eastAsia="pl-PL"/>
        </w:rPr>
        <w:t>Aktualnie Komisja orzeka w składzie pięcioosobowym (po rezygnacji 1 członka we wrześniu 2015 r.). Zapewnienie sześcioosobowego składu Komisji jest niezbędne do utworzenia dwóch lub więcej trzyosobowych składów orzekających Komisji. Należy zauważyć, że Komisja prowadzi postępowania w różnych trybach wynikających z</w:t>
      </w:r>
      <w:r w:rsidR="00EF1270">
        <w:rPr>
          <w:rFonts w:ascii="Times" w:eastAsia="Times New Roman" w:hAnsi="Times" w:cs="Arial"/>
          <w:sz w:val="24"/>
          <w:szCs w:val="20"/>
          <w:lang w:eastAsia="pl-PL"/>
        </w:rPr>
        <w:t> </w:t>
      </w:r>
      <w:r w:rsidRPr="00C1086D">
        <w:rPr>
          <w:rFonts w:ascii="Times" w:eastAsia="Times New Roman" w:hAnsi="Times" w:cs="Arial"/>
          <w:sz w:val="24"/>
          <w:szCs w:val="20"/>
          <w:lang w:eastAsia="pl-PL"/>
        </w:rPr>
        <w:t>przepisów Kodeksu postępowania administracyjnego (rozpatruje m.in. odwołania od decyzji komunalizacyjnych wojewodów, wnioski o zmianę lub uchylenie własnych decyzji, wnioski o wznowienie postępowań zakończonych własnymi decyzjami), a</w:t>
      </w:r>
      <w:r w:rsidR="00EF1270">
        <w:rPr>
          <w:rFonts w:ascii="Times" w:eastAsia="Times New Roman" w:hAnsi="Times" w:cs="Arial"/>
          <w:sz w:val="24"/>
          <w:szCs w:val="20"/>
          <w:lang w:eastAsia="pl-PL"/>
        </w:rPr>
        <w:t> </w:t>
      </w:r>
      <w:r w:rsidRPr="00C1086D">
        <w:rPr>
          <w:rFonts w:ascii="Times" w:eastAsia="Times New Roman" w:hAnsi="Times" w:cs="Arial"/>
          <w:sz w:val="24"/>
          <w:szCs w:val="20"/>
          <w:lang w:eastAsia="pl-PL"/>
        </w:rPr>
        <w:t>ponadto ponownie rozpatruje sprawy po kontroli sądowo-administracyjnej. W</w:t>
      </w:r>
      <w:r w:rsidR="00EF1270">
        <w:rPr>
          <w:rFonts w:ascii="Times" w:eastAsia="Times New Roman" w:hAnsi="Times" w:cs="Arial"/>
          <w:sz w:val="24"/>
          <w:szCs w:val="20"/>
          <w:lang w:eastAsia="pl-PL"/>
        </w:rPr>
        <w:t> </w:t>
      </w:r>
      <w:r w:rsidRPr="00C1086D">
        <w:rPr>
          <w:rFonts w:ascii="Times" w:eastAsia="Times New Roman" w:hAnsi="Times" w:cs="Arial"/>
          <w:sz w:val="24"/>
          <w:szCs w:val="20"/>
          <w:lang w:eastAsia="pl-PL"/>
        </w:rPr>
        <w:t>ugruntowanym orzecznictwie sądowo-administracyjnym przyjęte jest, że w</w:t>
      </w:r>
      <w:r w:rsidR="00EF1270">
        <w:rPr>
          <w:rFonts w:ascii="Times" w:eastAsia="Times New Roman" w:hAnsi="Times" w:cs="Arial"/>
          <w:sz w:val="24"/>
          <w:szCs w:val="20"/>
          <w:lang w:eastAsia="pl-PL"/>
        </w:rPr>
        <w:t> </w:t>
      </w:r>
      <w:r w:rsidRPr="00C1086D">
        <w:rPr>
          <w:rFonts w:ascii="Times" w:eastAsia="Times New Roman" w:hAnsi="Times" w:cs="Arial"/>
          <w:sz w:val="24"/>
          <w:szCs w:val="20"/>
          <w:lang w:eastAsia="pl-PL"/>
        </w:rPr>
        <w:t>demokratycznym państwie prawa sprawa może być oceniana przy wydawaniu decyzji w różnych trybach przez ten sam organ kolegialny, ale nie powinna być rozpatrywana w takim samym składzie osobowym. Powyższa kwestia była podnoszona w wyroku Wojewódzkiego Sądu Administracyjnego w Warszawie z dnia 30 września 2011 r. (sygn. akt I SA/Wa 2375/10), uchylającym postanowienie Krajowej Komisji Uwłaszczeniowej. Zwracała na to również uwagę Prokuratura Rejonowa w</w:t>
      </w:r>
      <w:r w:rsidR="00EF1270">
        <w:rPr>
          <w:rFonts w:ascii="Times" w:eastAsia="Times New Roman" w:hAnsi="Times" w:cs="Arial"/>
          <w:sz w:val="24"/>
          <w:szCs w:val="20"/>
          <w:lang w:eastAsia="pl-PL"/>
        </w:rPr>
        <w:t xml:space="preserve"> </w:t>
      </w:r>
      <w:r w:rsidRPr="00C1086D">
        <w:rPr>
          <w:rFonts w:ascii="Times" w:eastAsia="Times New Roman" w:hAnsi="Times" w:cs="Arial"/>
          <w:sz w:val="24"/>
          <w:szCs w:val="20"/>
          <w:lang w:eastAsia="pl-PL"/>
        </w:rPr>
        <w:t>Wałbrzychu w piśmie z dnia 29 października 2014 r., nr Pa 33/03 skierowanym do Ministra Administracji i</w:t>
      </w:r>
      <w:r w:rsidR="00EF1270">
        <w:rPr>
          <w:rFonts w:ascii="Times" w:eastAsia="Times New Roman" w:hAnsi="Times" w:cs="Arial"/>
          <w:sz w:val="24"/>
          <w:szCs w:val="20"/>
          <w:lang w:eastAsia="pl-PL"/>
        </w:rPr>
        <w:t xml:space="preserve"> </w:t>
      </w:r>
      <w:r w:rsidRPr="00C1086D">
        <w:rPr>
          <w:rFonts w:ascii="Times" w:eastAsia="Times New Roman" w:hAnsi="Times" w:cs="Arial"/>
          <w:sz w:val="24"/>
          <w:szCs w:val="20"/>
          <w:lang w:eastAsia="pl-PL"/>
        </w:rPr>
        <w:t>Cyfryzacji. Utworzenie sześcioosobowego składu Komisji ułatwi ponadto terminowe rozpatrywanie spraw.</w:t>
      </w:r>
    </w:p>
    <w:p w:rsidR="00C1086D" w:rsidRPr="00C1086D" w:rsidRDefault="00C1086D" w:rsidP="00EF1270">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C1086D">
        <w:rPr>
          <w:rFonts w:ascii="Times" w:eastAsia="Times New Roman" w:hAnsi="Times" w:cs="Arial"/>
          <w:sz w:val="24"/>
          <w:szCs w:val="20"/>
          <w:lang w:eastAsia="pl-PL"/>
        </w:rPr>
        <w:t>Projektowany art. 18b określa tryb i zasady pracy Komisji, w</w:t>
      </w:r>
      <w:r w:rsidR="00EF1270">
        <w:rPr>
          <w:rFonts w:ascii="Times" w:eastAsia="Times New Roman" w:hAnsi="Times" w:cs="Arial"/>
          <w:sz w:val="24"/>
          <w:szCs w:val="20"/>
          <w:lang w:eastAsia="pl-PL"/>
        </w:rPr>
        <w:t xml:space="preserve"> </w:t>
      </w:r>
      <w:r w:rsidRPr="00C1086D">
        <w:rPr>
          <w:rFonts w:ascii="Times" w:eastAsia="Times New Roman" w:hAnsi="Times" w:cs="Arial"/>
          <w:sz w:val="24"/>
          <w:szCs w:val="20"/>
          <w:lang w:eastAsia="pl-PL"/>
        </w:rPr>
        <w:t>szczególności sposób rozstrzygania odwołań od decyzji komunalizacyjnych wojewodów oraz zasady organizacji pracy Komisji, natomiast projektowany art. 18c określa zasady jej finansowania.</w:t>
      </w:r>
    </w:p>
    <w:p w:rsidR="00C1086D" w:rsidRPr="00C1086D" w:rsidRDefault="00C1086D" w:rsidP="00EF1270">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C1086D">
        <w:rPr>
          <w:rFonts w:ascii="Times" w:eastAsia="Times New Roman" w:hAnsi="Times" w:cs="Arial"/>
          <w:bCs/>
          <w:sz w:val="24"/>
          <w:szCs w:val="20"/>
          <w:lang w:eastAsia="pl-PL"/>
        </w:rPr>
        <w:t xml:space="preserve">W aktualnie obowiązującym stanie prawnym przewodniczący i członkowie Komisji powoływani są rozporządzeniem Prezesa Rady Ministrów. Powyższy tryb powoduje </w:t>
      </w:r>
      <w:r w:rsidRPr="00C1086D">
        <w:rPr>
          <w:rFonts w:ascii="Times" w:eastAsia="Times New Roman" w:hAnsi="Times" w:cs="Arial"/>
          <w:bCs/>
          <w:sz w:val="24"/>
          <w:szCs w:val="20"/>
          <w:lang w:eastAsia="pl-PL"/>
        </w:rPr>
        <w:lastRenderedPageBreak/>
        <w:t>konieczność przeprowadzenia prac legislacyjnych w</w:t>
      </w:r>
      <w:r w:rsidR="00EF1270">
        <w:rPr>
          <w:rFonts w:ascii="Times" w:eastAsia="Times New Roman" w:hAnsi="Times" w:cs="Arial"/>
          <w:bCs/>
          <w:sz w:val="24"/>
          <w:szCs w:val="20"/>
          <w:lang w:eastAsia="pl-PL"/>
        </w:rPr>
        <w:t xml:space="preserve"> </w:t>
      </w:r>
      <w:r w:rsidRPr="00C1086D">
        <w:rPr>
          <w:rFonts w:ascii="Times" w:eastAsia="Times New Roman" w:hAnsi="Times" w:cs="Arial"/>
          <w:bCs/>
          <w:sz w:val="24"/>
          <w:szCs w:val="20"/>
          <w:lang w:eastAsia="pl-PL"/>
        </w:rPr>
        <w:t>przedmiocie nowelizacji rozporządzenia w przypadku każdej zmiany w składzie Komisji.</w:t>
      </w:r>
    </w:p>
    <w:p w:rsidR="00C1086D" w:rsidRPr="00C1086D" w:rsidRDefault="00C1086D" w:rsidP="00EF1270">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C1086D">
        <w:rPr>
          <w:rFonts w:ascii="Times" w:eastAsia="Times New Roman" w:hAnsi="Times" w:cs="Arial"/>
          <w:bCs/>
          <w:sz w:val="24"/>
          <w:szCs w:val="20"/>
          <w:lang w:eastAsia="pl-PL"/>
        </w:rPr>
        <w:t xml:space="preserve">W celu usprawnienia procedury powoływania i odwoływania członków Komisji proponuje się, aby w </w:t>
      </w:r>
      <w:r w:rsidR="00CF2F2A">
        <w:rPr>
          <w:rFonts w:ascii="Times" w:eastAsia="Times New Roman" w:hAnsi="Times" w:cs="Arial"/>
          <w:bCs/>
          <w:sz w:val="24"/>
          <w:szCs w:val="20"/>
          <w:lang w:eastAsia="pl-PL"/>
        </w:rPr>
        <w:t>u</w:t>
      </w:r>
      <w:r w:rsidRPr="00C1086D">
        <w:rPr>
          <w:rFonts w:ascii="Times" w:eastAsia="Times New Roman" w:hAnsi="Times" w:cs="Arial"/>
          <w:bCs/>
          <w:sz w:val="24"/>
          <w:szCs w:val="20"/>
          <w:lang w:eastAsia="pl-PL"/>
        </w:rPr>
        <w:t>stawie, określając skład Komisji</w:t>
      </w:r>
      <w:r w:rsidR="009D2651">
        <w:rPr>
          <w:rFonts w:ascii="Times" w:eastAsia="Times New Roman" w:hAnsi="Times" w:cs="Arial"/>
          <w:bCs/>
          <w:sz w:val="24"/>
          <w:szCs w:val="20"/>
          <w:lang w:eastAsia="pl-PL"/>
        </w:rPr>
        <w:t>,</w:t>
      </w:r>
      <w:r w:rsidRPr="00C1086D">
        <w:rPr>
          <w:rFonts w:ascii="Times" w:eastAsia="Times New Roman" w:hAnsi="Times" w:cs="Arial"/>
          <w:bCs/>
          <w:sz w:val="24"/>
          <w:szCs w:val="20"/>
          <w:lang w:eastAsia="pl-PL"/>
        </w:rPr>
        <w:t xml:space="preserve"> wskazać jedynie skład liczbowy, a czynności związane z</w:t>
      </w:r>
      <w:r w:rsidR="00EF1270">
        <w:rPr>
          <w:rFonts w:ascii="Times" w:eastAsia="Times New Roman" w:hAnsi="Times" w:cs="Arial"/>
          <w:bCs/>
          <w:sz w:val="24"/>
          <w:szCs w:val="20"/>
          <w:lang w:eastAsia="pl-PL"/>
        </w:rPr>
        <w:t xml:space="preserve"> </w:t>
      </w:r>
      <w:r w:rsidRPr="00C1086D">
        <w:rPr>
          <w:rFonts w:ascii="Times" w:eastAsia="Times New Roman" w:hAnsi="Times" w:cs="Arial"/>
          <w:bCs/>
          <w:sz w:val="24"/>
          <w:szCs w:val="20"/>
          <w:lang w:eastAsia="pl-PL"/>
        </w:rPr>
        <w:t>powołaniem i</w:t>
      </w:r>
      <w:r w:rsidR="00EF1270">
        <w:rPr>
          <w:rFonts w:ascii="Times" w:eastAsia="Times New Roman" w:hAnsi="Times" w:cs="Arial"/>
          <w:bCs/>
          <w:sz w:val="24"/>
          <w:szCs w:val="20"/>
          <w:lang w:eastAsia="pl-PL"/>
        </w:rPr>
        <w:t xml:space="preserve"> </w:t>
      </w:r>
      <w:r w:rsidRPr="00C1086D">
        <w:rPr>
          <w:rFonts w:ascii="Times" w:eastAsia="Times New Roman" w:hAnsi="Times" w:cs="Arial"/>
          <w:bCs/>
          <w:sz w:val="24"/>
          <w:szCs w:val="20"/>
          <w:lang w:eastAsia="pl-PL"/>
        </w:rPr>
        <w:t>odwołaniem przewodniczącego oraz członków Komisji przekazać do kompetencji ministra właściwego do spraw administracji publicznej. Powyższe rozwiązanie zapewni uproszczenie procedury powoływania członków Komisji oraz ciągłość jej pracy. Jednocześnie proponowana zmiana zakłada elastyczność w zatrudnianiu członków Komisji, bowiem daje możliwość natychmiastowego obsadzenia stanowiska w</w:t>
      </w:r>
      <w:r w:rsidR="00EF1270">
        <w:rPr>
          <w:rFonts w:ascii="Times" w:eastAsia="Times New Roman" w:hAnsi="Times" w:cs="Arial"/>
          <w:bCs/>
          <w:sz w:val="24"/>
          <w:szCs w:val="20"/>
          <w:lang w:eastAsia="pl-PL"/>
        </w:rPr>
        <w:t xml:space="preserve"> </w:t>
      </w:r>
      <w:r w:rsidRPr="00C1086D">
        <w:rPr>
          <w:rFonts w:ascii="Times" w:eastAsia="Times New Roman" w:hAnsi="Times" w:cs="Arial"/>
          <w:bCs/>
          <w:sz w:val="24"/>
          <w:szCs w:val="20"/>
          <w:lang w:eastAsia="pl-PL"/>
        </w:rPr>
        <w:t>przypadku zmian personalnych w</w:t>
      </w:r>
      <w:r w:rsidR="00EF1270">
        <w:rPr>
          <w:rFonts w:ascii="Times" w:eastAsia="Times New Roman" w:hAnsi="Times" w:cs="Arial"/>
          <w:bCs/>
          <w:sz w:val="24"/>
          <w:szCs w:val="20"/>
          <w:lang w:eastAsia="pl-PL"/>
        </w:rPr>
        <w:t xml:space="preserve"> </w:t>
      </w:r>
      <w:r w:rsidRPr="00C1086D">
        <w:rPr>
          <w:rFonts w:ascii="Times" w:eastAsia="Times New Roman" w:hAnsi="Times" w:cs="Arial"/>
          <w:bCs/>
          <w:sz w:val="24"/>
          <w:szCs w:val="20"/>
          <w:lang w:eastAsia="pl-PL"/>
        </w:rPr>
        <w:t xml:space="preserve">składzie Komisji. </w:t>
      </w:r>
    </w:p>
    <w:p w:rsidR="00C1086D" w:rsidRPr="00C1086D" w:rsidRDefault="00C1086D" w:rsidP="00EF1270">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C1086D">
        <w:rPr>
          <w:rFonts w:ascii="Times" w:eastAsia="Times New Roman" w:hAnsi="Times" w:cs="Arial"/>
          <w:bCs/>
          <w:sz w:val="24"/>
          <w:szCs w:val="20"/>
          <w:lang w:eastAsia="pl-PL"/>
        </w:rPr>
        <w:t>Przeniesienie kompetencji powoływania członków Komisji na ministra właściwego do spraw administracji publicznej znajduje swoje uzasadnienie w art. 6 ust. 2 ustawy z dnia 4 września 1997 r. o działach administracji rządowej (Dz.</w:t>
      </w:r>
      <w:r w:rsidR="00FD7EA0">
        <w:rPr>
          <w:rFonts w:ascii="Times" w:eastAsia="Times New Roman" w:hAnsi="Times" w:cs="Arial"/>
          <w:bCs/>
          <w:sz w:val="24"/>
          <w:szCs w:val="20"/>
          <w:lang w:eastAsia="pl-PL"/>
        </w:rPr>
        <w:t xml:space="preserve"> U. z 2016 r. poz. 543, z późn. </w:t>
      </w:r>
      <w:r w:rsidRPr="00C1086D">
        <w:rPr>
          <w:rFonts w:ascii="Times" w:eastAsia="Times New Roman" w:hAnsi="Times" w:cs="Arial"/>
          <w:bCs/>
          <w:sz w:val="24"/>
          <w:szCs w:val="20"/>
          <w:lang w:eastAsia="pl-PL"/>
        </w:rPr>
        <w:t>zm.), zgodnie z</w:t>
      </w:r>
      <w:r w:rsidR="00EF1270">
        <w:rPr>
          <w:rFonts w:ascii="Times" w:eastAsia="Times New Roman" w:hAnsi="Times" w:cs="Arial"/>
          <w:bCs/>
          <w:sz w:val="24"/>
          <w:szCs w:val="20"/>
          <w:lang w:eastAsia="pl-PL"/>
        </w:rPr>
        <w:t xml:space="preserve"> </w:t>
      </w:r>
      <w:r w:rsidRPr="00C1086D">
        <w:rPr>
          <w:rFonts w:ascii="Times" w:eastAsia="Times New Roman" w:hAnsi="Times" w:cs="Arial"/>
          <w:bCs/>
          <w:sz w:val="24"/>
          <w:szCs w:val="20"/>
          <w:lang w:eastAsia="pl-PL"/>
        </w:rPr>
        <w:t>którym minister właściwy do spraw administracji publicznej sprawuje nadzór na</w:t>
      </w:r>
      <w:r w:rsidR="003C7B6E">
        <w:rPr>
          <w:rFonts w:ascii="Times" w:eastAsia="Times New Roman" w:hAnsi="Times" w:cs="Arial"/>
          <w:bCs/>
          <w:sz w:val="24"/>
          <w:szCs w:val="20"/>
          <w:lang w:eastAsia="pl-PL"/>
        </w:rPr>
        <w:t>d</w:t>
      </w:r>
      <w:r w:rsidRPr="00C1086D">
        <w:rPr>
          <w:rFonts w:ascii="Times" w:eastAsia="Times New Roman" w:hAnsi="Times" w:cs="Arial"/>
          <w:bCs/>
          <w:sz w:val="24"/>
          <w:szCs w:val="20"/>
          <w:lang w:eastAsia="pl-PL"/>
        </w:rPr>
        <w:t xml:space="preserve"> Krajową Komisją Uwłaszczeniową.</w:t>
      </w:r>
    </w:p>
    <w:p w:rsidR="00C1086D" w:rsidRPr="00C1086D" w:rsidRDefault="00C1086D" w:rsidP="00EF1270">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C1086D">
        <w:rPr>
          <w:rFonts w:ascii="Times" w:eastAsia="Times New Roman" w:hAnsi="Times" w:cs="Arial"/>
          <w:bCs/>
          <w:sz w:val="24"/>
          <w:szCs w:val="20"/>
          <w:lang w:eastAsia="pl-PL"/>
        </w:rPr>
        <w:t>Projektowany art. 18b określa tryb i zasady pracy Komisji, w</w:t>
      </w:r>
      <w:r w:rsidR="00EF1270">
        <w:rPr>
          <w:rFonts w:ascii="Times" w:eastAsia="Times New Roman" w:hAnsi="Times" w:cs="Arial"/>
          <w:bCs/>
          <w:sz w:val="24"/>
          <w:szCs w:val="20"/>
          <w:lang w:eastAsia="pl-PL"/>
        </w:rPr>
        <w:t xml:space="preserve"> </w:t>
      </w:r>
      <w:r w:rsidRPr="00C1086D">
        <w:rPr>
          <w:rFonts w:ascii="Times" w:eastAsia="Times New Roman" w:hAnsi="Times" w:cs="Arial"/>
          <w:bCs/>
          <w:sz w:val="24"/>
          <w:szCs w:val="20"/>
          <w:lang w:eastAsia="pl-PL"/>
        </w:rPr>
        <w:t>szczególności sposób rozstrzygania odwołań od decyzji komunalizacyjnych wojewodów oraz za</w:t>
      </w:r>
      <w:r w:rsidR="00EF1270">
        <w:rPr>
          <w:rFonts w:ascii="Times" w:eastAsia="Times New Roman" w:hAnsi="Times" w:cs="Arial"/>
          <w:bCs/>
          <w:sz w:val="24"/>
          <w:szCs w:val="20"/>
          <w:lang w:eastAsia="pl-PL"/>
        </w:rPr>
        <w:t xml:space="preserve">sady organizacji pracy Komisji. </w:t>
      </w:r>
      <w:r w:rsidRPr="00C1086D">
        <w:rPr>
          <w:rFonts w:ascii="Times" w:eastAsia="Times New Roman" w:hAnsi="Times" w:cs="Arial"/>
          <w:bCs/>
          <w:sz w:val="24"/>
          <w:szCs w:val="20"/>
          <w:lang w:eastAsia="pl-PL"/>
        </w:rPr>
        <w:t>Przepisy tego artykułu stanowią powtórzenie założeń określonych we wcześniej wskazanym</w:t>
      </w:r>
      <w:r w:rsidR="00EF1270">
        <w:rPr>
          <w:rFonts w:ascii="Times" w:eastAsia="Times New Roman" w:hAnsi="Times" w:cs="Arial"/>
          <w:bCs/>
          <w:sz w:val="24"/>
          <w:szCs w:val="20"/>
          <w:lang w:eastAsia="pl-PL"/>
        </w:rPr>
        <w:t xml:space="preserve"> </w:t>
      </w:r>
      <w:r w:rsidRPr="00C1086D">
        <w:rPr>
          <w:rFonts w:ascii="Times" w:eastAsia="Times New Roman" w:hAnsi="Times" w:cs="Arial"/>
          <w:bCs/>
          <w:sz w:val="24"/>
          <w:szCs w:val="20"/>
          <w:lang w:eastAsia="pl-PL"/>
        </w:rPr>
        <w:t>rozporządzeniu Prezesa Rady Ministrów z dnia 7</w:t>
      </w:r>
      <w:r w:rsidR="00EF1270">
        <w:rPr>
          <w:rFonts w:ascii="Times" w:eastAsia="Times New Roman" w:hAnsi="Times" w:cs="Arial"/>
          <w:bCs/>
          <w:sz w:val="24"/>
          <w:szCs w:val="20"/>
          <w:lang w:eastAsia="pl-PL"/>
        </w:rPr>
        <w:t> </w:t>
      </w:r>
      <w:r w:rsidRPr="00C1086D">
        <w:rPr>
          <w:rFonts w:ascii="Times" w:eastAsia="Times New Roman" w:hAnsi="Times" w:cs="Arial"/>
          <w:bCs/>
          <w:sz w:val="24"/>
          <w:szCs w:val="20"/>
          <w:lang w:eastAsia="pl-PL"/>
        </w:rPr>
        <w:t>maja 1997 r. w sprawie powoływania i trybu działania Krajowej Komisji Uwłaszczeniowej dotyczących: sposobu organizacji pracy (Komisja wydaje decyzje w</w:t>
      </w:r>
      <w:r w:rsidR="00EF1270">
        <w:rPr>
          <w:rFonts w:ascii="Times" w:eastAsia="Times New Roman" w:hAnsi="Times" w:cs="Arial"/>
          <w:bCs/>
          <w:sz w:val="24"/>
          <w:szCs w:val="20"/>
          <w:lang w:eastAsia="pl-PL"/>
        </w:rPr>
        <w:t> </w:t>
      </w:r>
      <w:r w:rsidRPr="00C1086D">
        <w:rPr>
          <w:rFonts w:ascii="Times" w:eastAsia="Times New Roman" w:hAnsi="Times" w:cs="Arial"/>
          <w:bCs/>
          <w:sz w:val="24"/>
          <w:szCs w:val="20"/>
          <w:lang w:eastAsia="pl-PL"/>
        </w:rPr>
        <w:t>składach trzyosobowych, przewodniczący Komisji powołuje skład orzekający oraz wyznacza jego przewodniczącego odrębnie dla każdej sprawy) i sposobu podejmowania decyzji (decyzje składu orzekającego zapadają większością głosów, członek składu może złożyć zdanie odrębne, które wraz z uzasadnieniem dołącza się do akt sprawy, decyzje podpisują przewodniczący i członkowie składu orzekającego, uzasadnienie decyzji sporządza przewodniczący składu orzekającego).</w:t>
      </w:r>
    </w:p>
    <w:p w:rsidR="00C1086D" w:rsidRPr="00C1086D" w:rsidRDefault="00C1086D" w:rsidP="00EF1270">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C1086D">
        <w:rPr>
          <w:rFonts w:ascii="Times" w:eastAsia="Times New Roman" w:hAnsi="Times" w:cs="Arial"/>
          <w:bCs/>
          <w:sz w:val="24"/>
          <w:szCs w:val="20"/>
          <w:lang w:eastAsia="pl-PL"/>
        </w:rPr>
        <w:t>Jednocześnie w art. 18b ust. 6 przewidziano sposób postępowania w przypadku, gdy Komisja nie może orzekać z przyczyn wskazanych w art. 24 § 1 w</w:t>
      </w:r>
      <w:r w:rsidR="00EF1270">
        <w:rPr>
          <w:rFonts w:ascii="Times" w:eastAsia="Times New Roman" w:hAnsi="Times" w:cs="Arial"/>
          <w:bCs/>
          <w:sz w:val="24"/>
          <w:szCs w:val="20"/>
          <w:lang w:eastAsia="pl-PL"/>
        </w:rPr>
        <w:t xml:space="preserve"> </w:t>
      </w:r>
      <w:r w:rsidRPr="00C1086D">
        <w:rPr>
          <w:rFonts w:ascii="Times" w:eastAsia="Times New Roman" w:hAnsi="Times" w:cs="Arial"/>
          <w:bCs/>
          <w:sz w:val="24"/>
          <w:szCs w:val="20"/>
          <w:lang w:eastAsia="pl-PL"/>
        </w:rPr>
        <w:t xml:space="preserve">związku z art. 27 § 1 Kodeksu postępowania administracyjnego. W takiej sytuacji organem właściwym do orzeczenia w sprawie jest minister właściwy do spraw administracji publicznej. </w:t>
      </w:r>
    </w:p>
    <w:p w:rsidR="00C1086D" w:rsidRPr="00C1086D" w:rsidRDefault="00C1086D" w:rsidP="00EF1270">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C1086D">
        <w:rPr>
          <w:rFonts w:ascii="Times" w:eastAsia="Times New Roman" w:hAnsi="Times" w:cs="Arial"/>
          <w:bCs/>
          <w:sz w:val="24"/>
          <w:szCs w:val="20"/>
          <w:lang w:eastAsia="pl-PL"/>
        </w:rPr>
        <w:lastRenderedPageBreak/>
        <w:t xml:space="preserve">Jednocześnie zrezygnowano z innych założeń przyjętych w rozporządzeniu </w:t>
      </w:r>
      <w:r w:rsidR="00D80F9E">
        <w:rPr>
          <w:rFonts w:ascii="Times" w:eastAsia="Times New Roman" w:hAnsi="Times" w:cs="Arial"/>
          <w:bCs/>
          <w:sz w:val="24"/>
          <w:szCs w:val="20"/>
          <w:lang w:eastAsia="pl-PL"/>
        </w:rPr>
        <w:t xml:space="preserve">Prezesa </w:t>
      </w:r>
      <w:r w:rsidRPr="00C1086D">
        <w:rPr>
          <w:rFonts w:ascii="Times" w:eastAsia="Times New Roman" w:hAnsi="Times" w:cs="Arial"/>
          <w:bCs/>
          <w:sz w:val="24"/>
          <w:szCs w:val="20"/>
          <w:lang w:eastAsia="pl-PL"/>
        </w:rPr>
        <w:t>Rady Ministrów z dnia 7 maja 1997 r. w</w:t>
      </w:r>
      <w:r w:rsidR="00EF1270">
        <w:rPr>
          <w:rFonts w:ascii="Times" w:eastAsia="Times New Roman" w:hAnsi="Times" w:cs="Arial"/>
          <w:bCs/>
          <w:sz w:val="24"/>
          <w:szCs w:val="20"/>
          <w:lang w:eastAsia="pl-PL"/>
        </w:rPr>
        <w:t xml:space="preserve"> </w:t>
      </w:r>
      <w:r w:rsidRPr="00C1086D">
        <w:rPr>
          <w:rFonts w:ascii="Times" w:eastAsia="Times New Roman" w:hAnsi="Times" w:cs="Arial"/>
          <w:bCs/>
          <w:sz w:val="24"/>
          <w:szCs w:val="20"/>
          <w:lang w:eastAsia="pl-PL"/>
        </w:rPr>
        <w:t xml:space="preserve">sprawie powołania i trybu działania Krajowej Komisji Uwłaszczeniowej, to jest możliwości orzekania przez Komisję na posiedzeniach wyjazdowych (w praktyce powyższy przepis nie był stosowany) oraz możliwości rozpatrywania spraw szczególnie skomplikowanych w pełnym składzie Komisji (do podjęcia rozstrzygnięcia w sprawie wystarczający jest trzyosobowy skład Komisji). Ponadto zrezygnowano z określenia w </w:t>
      </w:r>
      <w:r w:rsidR="008B5AB9">
        <w:rPr>
          <w:rFonts w:ascii="Times" w:eastAsia="Times New Roman" w:hAnsi="Times" w:cs="Arial"/>
          <w:bCs/>
          <w:sz w:val="24"/>
          <w:szCs w:val="20"/>
          <w:lang w:eastAsia="pl-PL"/>
        </w:rPr>
        <w:t>u</w:t>
      </w:r>
      <w:r w:rsidRPr="00C1086D">
        <w:rPr>
          <w:rFonts w:ascii="Times" w:eastAsia="Times New Roman" w:hAnsi="Times" w:cs="Arial"/>
          <w:bCs/>
          <w:sz w:val="24"/>
          <w:szCs w:val="20"/>
          <w:lang w:eastAsia="pl-PL"/>
        </w:rPr>
        <w:t>stawie obowiązku zwoływania co najmniej raz w</w:t>
      </w:r>
      <w:r w:rsidR="00EF1270">
        <w:rPr>
          <w:rFonts w:ascii="Times" w:eastAsia="Times New Roman" w:hAnsi="Times" w:cs="Arial"/>
          <w:bCs/>
          <w:sz w:val="24"/>
          <w:szCs w:val="20"/>
          <w:lang w:eastAsia="pl-PL"/>
        </w:rPr>
        <w:t xml:space="preserve"> </w:t>
      </w:r>
      <w:r w:rsidRPr="00C1086D">
        <w:rPr>
          <w:rFonts w:ascii="Times" w:eastAsia="Times New Roman" w:hAnsi="Times" w:cs="Arial"/>
          <w:bCs/>
          <w:sz w:val="24"/>
          <w:szCs w:val="20"/>
          <w:lang w:eastAsia="pl-PL"/>
        </w:rPr>
        <w:t xml:space="preserve">miesiącu posiedzenia Komisji w pełnym składzie w celu dokonania okresowej oceny pracy Komisji oraz omówienia problemów wynikających z jej orzecznictwa (uregulowanie powyższej kwestii powinno zostać dokonane w ramach wewnętrznych ustaleń Komisji i </w:t>
      </w:r>
      <w:r w:rsidR="00D5365D">
        <w:rPr>
          <w:rFonts w:ascii="Times" w:eastAsia="Times New Roman" w:hAnsi="Times" w:cs="Arial"/>
          <w:bCs/>
          <w:sz w:val="24"/>
          <w:szCs w:val="20"/>
          <w:lang w:eastAsia="pl-PL"/>
        </w:rPr>
        <w:t>po</w:t>
      </w:r>
      <w:r w:rsidRPr="00C1086D">
        <w:rPr>
          <w:rFonts w:ascii="Times" w:eastAsia="Times New Roman" w:hAnsi="Times" w:cs="Arial"/>
          <w:bCs/>
          <w:sz w:val="24"/>
          <w:szCs w:val="20"/>
          <w:lang w:eastAsia="pl-PL"/>
        </w:rPr>
        <w:t>winno być dostosowane do organizacji pracy członków Komisji), jak również odstąpiono od obowiązku zapraszania do udziału w</w:t>
      </w:r>
      <w:r w:rsidR="006F0C92">
        <w:rPr>
          <w:rFonts w:ascii="Times" w:eastAsia="Times New Roman" w:hAnsi="Times" w:cs="Arial"/>
          <w:bCs/>
          <w:sz w:val="24"/>
          <w:szCs w:val="20"/>
          <w:lang w:eastAsia="pl-PL"/>
        </w:rPr>
        <w:t> </w:t>
      </w:r>
      <w:r w:rsidRPr="00C1086D">
        <w:rPr>
          <w:rFonts w:ascii="Times" w:eastAsia="Times New Roman" w:hAnsi="Times" w:cs="Arial"/>
          <w:bCs/>
          <w:sz w:val="24"/>
          <w:szCs w:val="20"/>
          <w:lang w:eastAsia="pl-PL"/>
        </w:rPr>
        <w:t>ww. posiedzeniu ministra właściwego do spraw administracji publicznej bądź możliwości zapraszania na posiedzenie innych osób zainteresowanych tematyką posiedzenia (powyższa regulacja nie była stosowana w praktyce).</w:t>
      </w:r>
    </w:p>
    <w:p w:rsidR="00C1086D" w:rsidRPr="00C1086D" w:rsidRDefault="00C1086D" w:rsidP="00EF1270">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C1086D">
        <w:rPr>
          <w:rFonts w:ascii="Times" w:eastAsia="Times New Roman" w:hAnsi="Times" w:cs="Arial"/>
          <w:bCs/>
          <w:sz w:val="24"/>
          <w:szCs w:val="20"/>
          <w:lang w:eastAsia="pl-PL"/>
        </w:rPr>
        <w:t>Projektowany art. 18c określa sprawy dotyczące obsługi kancelaryjnej Komisji (obsługę organizacyjną pracy Komisji zapewnia urząd obsługujący ministra właściwego do spraw administracji publicznej) i jej finansowania. Projektowany art. 18c zakłada – tak jak to jest rozwiązane obecnie – finansowanie wynagrodzeń członków Komisji z</w:t>
      </w:r>
      <w:r w:rsidR="00EF1270">
        <w:rPr>
          <w:rFonts w:ascii="Times" w:eastAsia="Times New Roman" w:hAnsi="Times" w:cs="Arial"/>
          <w:bCs/>
          <w:sz w:val="24"/>
          <w:szCs w:val="20"/>
          <w:lang w:eastAsia="pl-PL"/>
        </w:rPr>
        <w:t> </w:t>
      </w:r>
      <w:r w:rsidRPr="00C1086D">
        <w:rPr>
          <w:rFonts w:ascii="Times" w:eastAsia="Times New Roman" w:hAnsi="Times" w:cs="Arial"/>
          <w:bCs/>
          <w:sz w:val="24"/>
          <w:szCs w:val="20"/>
          <w:lang w:eastAsia="pl-PL"/>
        </w:rPr>
        <w:t>budżetu państwa. Projektowany art. 18c ust. 1 określa, że członkowie Komisji otrzymują zryczałtowane wynagrodzenie miesięczne brutto, natomiast art. 18c ust. 2 wprowadza delegację ustawową do wydania rozporządzenia dla ministra właściwego do spraw administracji publicznej w sprawie wysokości wynagrodzenia członków Komisji. Obecnie wynagrodzenie dla przewodniczącego Komisji wynosi 2285,93 zł brutto miesięcznie, zaś dla członka Komisji wynosi 1592,06 zł brutto miesięcznie. Proponuje się podniesienie powyż</w:t>
      </w:r>
      <w:r w:rsidR="00BC3A9E">
        <w:rPr>
          <w:rFonts w:ascii="Times" w:eastAsia="Times New Roman" w:hAnsi="Times" w:cs="Arial"/>
          <w:bCs/>
          <w:sz w:val="24"/>
          <w:szCs w:val="20"/>
          <w:lang w:eastAsia="pl-PL"/>
        </w:rPr>
        <w:t>szych kwot wynagrodzeń o 20% (2</w:t>
      </w:r>
      <w:r w:rsidRPr="00C1086D">
        <w:rPr>
          <w:rFonts w:ascii="Times" w:eastAsia="Times New Roman" w:hAnsi="Times" w:cs="Arial"/>
          <w:bCs/>
          <w:sz w:val="24"/>
          <w:szCs w:val="20"/>
          <w:lang w:eastAsia="pl-PL"/>
        </w:rPr>
        <w:t>743 zł brutto miesięcznie dla przewodniczącego Komisji oraz 1910 zł brutto miesięcznie dla członków Komisji) z</w:t>
      </w:r>
      <w:r w:rsidR="00EF1270">
        <w:rPr>
          <w:rFonts w:ascii="Times" w:eastAsia="Times New Roman" w:hAnsi="Times" w:cs="Arial"/>
          <w:bCs/>
          <w:sz w:val="24"/>
          <w:szCs w:val="20"/>
          <w:lang w:eastAsia="pl-PL"/>
        </w:rPr>
        <w:t> </w:t>
      </w:r>
      <w:r w:rsidRPr="00C1086D">
        <w:rPr>
          <w:rFonts w:ascii="Times" w:eastAsia="Times New Roman" w:hAnsi="Times" w:cs="Arial"/>
          <w:bCs/>
          <w:sz w:val="24"/>
          <w:szCs w:val="20"/>
          <w:lang w:eastAsia="pl-PL"/>
        </w:rPr>
        <w:t>uwagi na niewspółmierną ich wysokość w stosunku do wykonywanych zadań. Różnica pomiędzy wynagrodzeniami przewodniczącego a członkami Komisji wynika z</w:t>
      </w:r>
      <w:r w:rsidR="00EF1270">
        <w:rPr>
          <w:rFonts w:ascii="Times" w:eastAsia="Times New Roman" w:hAnsi="Times" w:cs="Arial"/>
          <w:bCs/>
          <w:sz w:val="24"/>
          <w:szCs w:val="20"/>
          <w:lang w:eastAsia="pl-PL"/>
        </w:rPr>
        <w:t> </w:t>
      </w:r>
      <w:r w:rsidRPr="00C1086D">
        <w:rPr>
          <w:rFonts w:ascii="Times" w:eastAsia="Times New Roman" w:hAnsi="Times" w:cs="Arial"/>
          <w:bCs/>
          <w:sz w:val="24"/>
          <w:szCs w:val="20"/>
          <w:lang w:eastAsia="pl-PL"/>
        </w:rPr>
        <w:t xml:space="preserve">większego zakresu obowiązków wykonywanych przez przewodniczącego. Roczne wynagrodzenie dla członków Komisji </w:t>
      </w:r>
      <w:r w:rsidR="00E46F2E" w:rsidRPr="00C1086D">
        <w:rPr>
          <w:rFonts w:ascii="Times" w:eastAsia="Times New Roman" w:hAnsi="Times" w:cs="Arial"/>
          <w:bCs/>
          <w:sz w:val="24"/>
          <w:szCs w:val="20"/>
          <w:lang w:eastAsia="pl-PL"/>
        </w:rPr>
        <w:t xml:space="preserve">będzie </w:t>
      </w:r>
      <w:r w:rsidRPr="00C1086D">
        <w:rPr>
          <w:rFonts w:ascii="Times" w:eastAsia="Times New Roman" w:hAnsi="Times" w:cs="Arial"/>
          <w:bCs/>
          <w:sz w:val="24"/>
          <w:szCs w:val="20"/>
          <w:lang w:eastAsia="pl-PL"/>
        </w:rPr>
        <w:t xml:space="preserve">wynosić </w:t>
      </w:r>
      <w:r w:rsidR="00EF1270">
        <w:rPr>
          <w:rFonts w:ascii="Times" w:eastAsia="Times New Roman" w:hAnsi="Times" w:cs="Arial"/>
          <w:bCs/>
          <w:sz w:val="24"/>
          <w:szCs w:val="20"/>
          <w:lang w:eastAsia="pl-PL"/>
        </w:rPr>
        <w:t>147 </w:t>
      </w:r>
      <w:r w:rsidRPr="00C1086D">
        <w:rPr>
          <w:rFonts w:ascii="Times" w:eastAsia="Times New Roman" w:hAnsi="Times" w:cs="Arial"/>
          <w:bCs/>
          <w:sz w:val="24"/>
          <w:szCs w:val="20"/>
          <w:lang w:eastAsia="pl-PL"/>
        </w:rPr>
        <w:t xml:space="preserve">516 zł brutto rocznie. Wzrost wydatków na wynagrodzenia członków Komisji wyniesie </w:t>
      </w:r>
      <w:r w:rsidR="00EF1270">
        <w:rPr>
          <w:rFonts w:ascii="Times" w:eastAsia="Times New Roman" w:hAnsi="Times" w:cs="Arial"/>
          <w:bCs/>
          <w:sz w:val="24"/>
          <w:szCs w:val="20"/>
          <w:lang w:eastAsia="pl-PL"/>
        </w:rPr>
        <w:t>24 </w:t>
      </w:r>
      <w:r w:rsidRPr="00C1086D">
        <w:rPr>
          <w:rFonts w:ascii="Times" w:eastAsia="Times New Roman" w:hAnsi="Times" w:cs="Arial"/>
          <w:bCs/>
          <w:sz w:val="24"/>
          <w:szCs w:val="20"/>
          <w:lang w:eastAsia="pl-PL"/>
        </w:rPr>
        <w:t xml:space="preserve">561 zł rocznie. Proponowane podwyższenie wynagrodzenia członków Komisji o </w:t>
      </w:r>
      <w:r w:rsidR="00EF1270">
        <w:rPr>
          <w:rFonts w:ascii="Times" w:eastAsia="Times New Roman" w:hAnsi="Times" w:cs="Arial"/>
          <w:bCs/>
          <w:sz w:val="24"/>
          <w:szCs w:val="20"/>
          <w:lang w:eastAsia="pl-PL"/>
        </w:rPr>
        <w:t>20</w:t>
      </w:r>
      <w:r w:rsidRPr="00C1086D">
        <w:rPr>
          <w:rFonts w:ascii="Times" w:eastAsia="Times New Roman" w:hAnsi="Times" w:cs="Arial"/>
          <w:bCs/>
          <w:sz w:val="24"/>
          <w:szCs w:val="20"/>
          <w:lang w:eastAsia="pl-PL"/>
        </w:rPr>
        <w:t>% znajduje sw</w:t>
      </w:r>
      <w:r w:rsidR="003A3122">
        <w:rPr>
          <w:rFonts w:ascii="Times" w:eastAsia="Times New Roman" w:hAnsi="Times" w:cs="Arial"/>
          <w:bCs/>
          <w:sz w:val="24"/>
          <w:szCs w:val="20"/>
          <w:lang w:eastAsia="pl-PL"/>
        </w:rPr>
        <w:t>oj</w:t>
      </w:r>
      <w:r w:rsidRPr="00C1086D">
        <w:rPr>
          <w:rFonts w:ascii="Times" w:eastAsia="Times New Roman" w:hAnsi="Times" w:cs="Arial"/>
          <w:bCs/>
          <w:sz w:val="24"/>
          <w:szCs w:val="20"/>
          <w:lang w:eastAsia="pl-PL"/>
        </w:rPr>
        <w:t xml:space="preserve">e </w:t>
      </w:r>
      <w:r w:rsidRPr="00C1086D">
        <w:rPr>
          <w:rFonts w:ascii="Times" w:eastAsia="Times New Roman" w:hAnsi="Times" w:cs="Arial"/>
          <w:bCs/>
          <w:sz w:val="24"/>
          <w:szCs w:val="20"/>
          <w:lang w:eastAsia="pl-PL"/>
        </w:rPr>
        <w:lastRenderedPageBreak/>
        <w:t>uzasadnienie w tym, że wskazane wynagrodzenia nie były zmieniane od czerwca 2009</w:t>
      </w:r>
      <w:r w:rsidR="00EF1270">
        <w:rPr>
          <w:rFonts w:ascii="Times" w:eastAsia="Times New Roman" w:hAnsi="Times" w:cs="Arial"/>
          <w:bCs/>
          <w:sz w:val="24"/>
          <w:szCs w:val="20"/>
          <w:lang w:eastAsia="pl-PL"/>
        </w:rPr>
        <w:t> </w:t>
      </w:r>
      <w:r w:rsidRPr="00C1086D">
        <w:rPr>
          <w:rFonts w:ascii="Times" w:eastAsia="Times New Roman" w:hAnsi="Times" w:cs="Arial"/>
          <w:bCs/>
          <w:sz w:val="24"/>
          <w:szCs w:val="20"/>
          <w:lang w:eastAsia="pl-PL"/>
        </w:rPr>
        <w:t>r., a ich wysokość nie jest adekwatna do wykonywanych czynności i</w:t>
      </w:r>
      <w:r w:rsidR="00EF1270">
        <w:rPr>
          <w:rFonts w:ascii="Times" w:eastAsia="Times New Roman" w:hAnsi="Times" w:cs="Arial"/>
          <w:bCs/>
          <w:sz w:val="24"/>
          <w:szCs w:val="20"/>
          <w:lang w:eastAsia="pl-PL"/>
        </w:rPr>
        <w:t> </w:t>
      </w:r>
      <w:r w:rsidRPr="00C1086D">
        <w:rPr>
          <w:rFonts w:ascii="Times" w:eastAsia="Times New Roman" w:hAnsi="Times" w:cs="Arial"/>
          <w:bCs/>
          <w:sz w:val="24"/>
          <w:szCs w:val="20"/>
          <w:lang w:eastAsia="pl-PL"/>
        </w:rPr>
        <w:t>odpowiedzialności wynikającej z</w:t>
      </w:r>
      <w:r w:rsidR="00EF1270">
        <w:rPr>
          <w:rFonts w:ascii="Times" w:eastAsia="Times New Roman" w:hAnsi="Times" w:cs="Arial"/>
          <w:bCs/>
          <w:sz w:val="24"/>
          <w:szCs w:val="20"/>
          <w:lang w:eastAsia="pl-PL"/>
        </w:rPr>
        <w:t xml:space="preserve"> </w:t>
      </w:r>
      <w:r w:rsidRPr="00C1086D">
        <w:rPr>
          <w:rFonts w:ascii="Times" w:eastAsia="Times New Roman" w:hAnsi="Times" w:cs="Arial"/>
          <w:bCs/>
          <w:sz w:val="24"/>
          <w:szCs w:val="20"/>
          <w:lang w:eastAsia="pl-PL"/>
        </w:rPr>
        <w:t xml:space="preserve">podejmowanych orzeczeń. </w:t>
      </w:r>
      <w:r w:rsidR="003A3122">
        <w:rPr>
          <w:rFonts w:ascii="Times" w:eastAsia="Times New Roman" w:hAnsi="Times" w:cs="Arial"/>
          <w:bCs/>
          <w:sz w:val="24"/>
          <w:szCs w:val="20"/>
          <w:lang w:eastAsia="pl-PL"/>
        </w:rPr>
        <w:t>N</w:t>
      </w:r>
      <w:r w:rsidR="003A3122" w:rsidRPr="00C1086D">
        <w:rPr>
          <w:rFonts w:ascii="Times" w:eastAsia="Times New Roman" w:hAnsi="Times" w:cs="Arial"/>
          <w:bCs/>
          <w:sz w:val="24"/>
          <w:szCs w:val="20"/>
          <w:lang w:eastAsia="pl-PL"/>
        </w:rPr>
        <w:t xml:space="preserve">ależy </w:t>
      </w:r>
      <w:r w:rsidR="003A3122">
        <w:rPr>
          <w:rFonts w:ascii="Times" w:eastAsia="Times New Roman" w:hAnsi="Times" w:cs="Arial"/>
          <w:bCs/>
          <w:sz w:val="24"/>
          <w:szCs w:val="20"/>
          <w:lang w:eastAsia="pl-PL"/>
        </w:rPr>
        <w:t>z</w:t>
      </w:r>
      <w:r w:rsidRPr="00C1086D">
        <w:rPr>
          <w:rFonts w:ascii="Times" w:eastAsia="Times New Roman" w:hAnsi="Times" w:cs="Arial"/>
          <w:bCs/>
          <w:sz w:val="24"/>
          <w:szCs w:val="20"/>
          <w:lang w:eastAsia="pl-PL"/>
        </w:rPr>
        <w:t xml:space="preserve">auważyć, że proponowane kwoty nie są nadmiernie wygórowane i w proponowanej wysokości stanowią odpowiednie wynagrodzenie w stosunku do wykonywanej pracy. </w:t>
      </w:r>
    </w:p>
    <w:p w:rsidR="00C1086D" w:rsidRPr="00C1086D" w:rsidRDefault="00C1086D" w:rsidP="00EF1270">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C1086D">
        <w:rPr>
          <w:rFonts w:ascii="Times" w:eastAsia="Times New Roman" w:hAnsi="Times" w:cs="Arial"/>
          <w:bCs/>
          <w:sz w:val="24"/>
          <w:szCs w:val="20"/>
          <w:lang w:eastAsia="pl-PL"/>
        </w:rPr>
        <w:t xml:space="preserve">Ponadto art. 18c ust. 4 zakłada, że za udział w pracach Komisji i jej składów orzekających członkom Komisji przysługują diety i inne należności za czas odbywania podróży. Dodany został również art. 18c ust. </w:t>
      </w:r>
      <w:r w:rsidR="0005052A">
        <w:rPr>
          <w:rFonts w:ascii="Times" w:eastAsia="Times New Roman" w:hAnsi="Times" w:cs="Arial"/>
          <w:bCs/>
          <w:sz w:val="24"/>
          <w:szCs w:val="20"/>
          <w:lang w:eastAsia="pl-PL"/>
        </w:rPr>
        <w:t>5</w:t>
      </w:r>
      <w:r w:rsidRPr="00C1086D">
        <w:rPr>
          <w:rFonts w:ascii="Times" w:eastAsia="Times New Roman" w:hAnsi="Times" w:cs="Arial"/>
          <w:bCs/>
          <w:sz w:val="24"/>
          <w:szCs w:val="20"/>
          <w:lang w:eastAsia="pl-PL"/>
        </w:rPr>
        <w:t>, uwzględniający uwagi Ministra Rodziny, Pracy i Polityki Społecznej oraz Ministra Rozwoju i Finansów. Projektowany przepis stanowi, że za udział w</w:t>
      </w:r>
      <w:r w:rsidR="00EF1270">
        <w:rPr>
          <w:rFonts w:ascii="Times" w:eastAsia="Times New Roman" w:hAnsi="Times" w:cs="Arial"/>
          <w:bCs/>
          <w:sz w:val="24"/>
          <w:szCs w:val="20"/>
          <w:lang w:eastAsia="pl-PL"/>
        </w:rPr>
        <w:t xml:space="preserve"> </w:t>
      </w:r>
      <w:r w:rsidRPr="00C1086D">
        <w:rPr>
          <w:rFonts w:ascii="Times" w:eastAsia="Times New Roman" w:hAnsi="Times" w:cs="Arial"/>
          <w:bCs/>
          <w:sz w:val="24"/>
          <w:szCs w:val="20"/>
          <w:lang w:eastAsia="pl-PL"/>
        </w:rPr>
        <w:t>pracach Komisji i</w:t>
      </w:r>
      <w:r w:rsidR="00EF1270">
        <w:rPr>
          <w:rFonts w:ascii="Times" w:eastAsia="Times New Roman" w:hAnsi="Times" w:cs="Arial"/>
          <w:bCs/>
          <w:sz w:val="24"/>
          <w:szCs w:val="20"/>
          <w:lang w:eastAsia="pl-PL"/>
        </w:rPr>
        <w:t xml:space="preserve"> </w:t>
      </w:r>
      <w:r w:rsidRPr="00C1086D">
        <w:rPr>
          <w:rFonts w:ascii="Times" w:eastAsia="Times New Roman" w:hAnsi="Times" w:cs="Arial"/>
          <w:bCs/>
          <w:sz w:val="24"/>
          <w:szCs w:val="20"/>
          <w:lang w:eastAsia="pl-PL"/>
        </w:rPr>
        <w:t>jej składów orzekających członkom Komisji przysługują diety i</w:t>
      </w:r>
      <w:r w:rsidR="00EF1270">
        <w:rPr>
          <w:rFonts w:ascii="Times" w:eastAsia="Times New Roman" w:hAnsi="Times" w:cs="Arial"/>
          <w:bCs/>
          <w:sz w:val="24"/>
          <w:szCs w:val="20"/>
          <w:lang w:eastAsia="pl-PL"/>
        </w:rPr>
        <w:t xml:space="preserve"> </w:t>
      </w:r>
      <w:r w:rsidRPr="00C1086D">
        <w:rPr>
          <w:rFonts w:ascii="Times" w:eastAsia="Times New Roman" w:hAnsi="Times" w:cs="Arial"/>
          <w:bCs/>
          <w:sz w:val="24"/>
          <w:szCs w:val="20"/>
          <w:lang w:eastAsia="pl-PL"/>
        </w:rPr>
        <w:t>inne należności określone w</w:t>
      </w:r>
      <w:r w:rsidR="0005052A">
        <w:rPr>
          <w:rFonts w:ascii="Times" w:eastAsia="Times New Roman" w:hAnsi="Times" w:cs="Arial"/>
          <w:bCs/>
          <w:sz w:val="24"/>
          <w:szCs w:val="20"/>
          <w:lang w:eastAsia="pl-PL"/>
        </w:rPr>
        <w:t xml:space="preserve"> </w:t>
      </w:r>
      <w:r w:rsidRPr="00C1086D">
        <w:rPr>
          <w:rFonts w:ascii="Times" w:eastAsia="Times New Roman" w:hAnsi="Times" w:cs="Arial"/>
          <w:bCs/>
          <w:sz w:val="24"/>
          <w:szCs w:val="20"/>
          <w:lang w:eastAsia="pl-PL"/>
        </w:rPr>
        <w:t>przepisach w sprawie należności przysługujących pracownikowi zatrudnionemu w</w:t>
      </w:r>
      <w:r w:rsidR="0005052A">
        <w:rPr>
          <w:rFonts w:ascii="Times" w:eastAsia="Times New Roman" w:hAnsi="Times" w:cs="Arial"/>
          <w:bCs/>
          <w:sz w:val="24"/>
          <w:szCs w:val="20"/>
          <w:lang w:eastAsia="pl-PL"/>
        </w:rPr>
        <w:t xml:space="preserve"> </w:t>
      </w:r>
      <w:r w:rsidRPr="00C1086D">
        <w:rPr>
          <w:rFonts w:ascii="Times" w:eastAsia="Times New Roman" w:hAnsi="Times" w:cs="Arial"/>
          <w:bCs/>
          <w:sz w:val="24"/>
          <w:szCs w:val="20"/>
          <w:lang w:eastAsia="pl-PL"/>
        </w:rPr>
        <w:t>państwowej lub samorządowej jednostce sfery budżetowej z tytułu podróży służbowej na obszarze kraju. Kwestie powyższych należności uregulowane są w</w:t>
      </w:r>
      <w:r w:rsidR="0005052A">
        <w:rPr>
          <w:rFonts w:ascii="Times" w:eastAsia="Times New Roman" w:hAnsi="Times" w:cs="Arial"/>
          <w:bCs/>
          <w:sz w:val="24"/>
          <w:szCs w:val="20"/>
          <w:lang w:eastAsia="pl-PL"/>
        </w:rPr>
        <w:t xml:space="preserve"> </w:t>
      </w:r>
      <w:r w:rsidRPr="00C1086D">
        <w:rPr>
          <w:rFonts w:ascii="Times" w:eastAsia="Times New Roman" w:hAnsi="Times" w:cs="Arial"/>
          <w:bCs/>
          <w:sz w:val="24"/>
          <w:szCs w:val="20"/>
          <w:lang w:eastAsia="pl-PL"/>
        </w:rPr>
        <w:t>rozporządzeniu Ministra Pracy i</w:t>
      </w:r>
      <w:r w:rsidR="00EF1270">
        <w:rPr>
          <w:rFonts w:ascii="Times" w:eastAsia="Times New Roman" w:hAnsi="Times" w:cs="Arial"/>
          <w:bCs/>
          <w:sz w:val="24"/>
          <w:szCs w:val="20"/>
          <w:lang w:eastAsia="pl-PL"/>
        </w:rPr>
        <w:t xml:space="preserve"> </w:t>
      </w:r>
      <w:r w:rsidRPr="00C1086D">
        <w:rPr>
          <w:rFonts w:ascii="Times" w:eastAsia="Times New Roman" w:hAnsi="Times" w:cs="Arial"/>
          <w:bCs/>
          <w:sz w:val="24"/>
          <w:szCs w:val="20"/>
          <w:lang w:eastAsia="pl-PL"/>
        </w:rPr>
        <w:t>Polityki Społecznej z dnia 29 stycznia 2013 r. w</w:t>
      </w:r>
      <w:r w:rsidR="0005052A">
        <w:rPr>
          <w:rFonts w:ascii="Times" w:eastAsia="Times New Roman" w:hAnsi="Times" w:cs="Arial"/>
          <w:bCs/>
          <w:sz w:val="24"/>
          <w:szCs w:val="20"/>
          <w:lang w:eastAsia="pl-PL"/>
        </w:rPr>
        <w:t xml:space="preserve"> </w:t>
      </w:r>
      <w:r w:rsidRPr="00C1086D">
        <w:rPr>
          <w:rFonts w:ascii="Times" w:eastAsia="Times New Roman" w:hAnsi="Times" w:cs="Arial"/>
          <w:bCs/>
          <w:sz w:val="24"/>
          <w:szCs w:val="20"/>
          <w:lang w:eastAsia="pl-PL"/>
        </w:rPr>
        <w:t>sprawie należności przysługujących pracownikowi zatrudnionemu w</w:t>
      </w:r>
      <w:r w:rsidR="00EF1270">
        <w:rPr>
          <w:rFonts w:ascii="Times" w:eastAsia="Times New Roman" w:hAnsi="Times" w:cs="Arial"/>
          <w:bCs/>
          <w:sz w:val="24"/>
          <w:szCs w:val="20"/>
          <w:lang w:eastAsia="pl-PL"/>
        </w:rPr>
        <w:t xml:space="preserve"> </w:t>
      </w:r>
      <w:r w:rsidRPr="00C1086D">
        <w:rPr>
          <w:rFonts w:ascii="Times" w:eastAsia="Times New Roman" w:hAnsi="Times" w:cs="Arial"/>
          <w:bCs/>
          <w:sz w:val="24"/>
          <w:szCs w:val="20"/>
          <w:lang w:eastAsia="pl-PL"/>
        </w:rPr>
        <w:t>państwowej lub samorządowej jednostce sfery budżetowej z tytułu podróży służbowej (Dz. U. poz.</w:t>
      </w:r>
      <w:r w:rsidR="00EF1270">
        <w:rPr>
          <w:rFonts w:ascii="Times" w:eastAsia="Times New Roman" w:hAnsi="Times" w:cs="Arial"/>
          <w:bCs/>
          <w:sz w:val="24"/>
          <w:szCs w:val="20"/>
          <w:lang w:eastAsia="pl-PL"/>
        </w:rPr>
        <w:t> </w:t>
      </w:r>
      <w:r w:rsidRPr="00C1086D">
        <w:rPr>
          <w:rFonts w:ascii="Times" w:eastAsia="Times New Roman" w:hAnsi="Times" w:cs="Arial"/>
          <w:bCs/>
          <w:sz w:val="24"/>
          <w:szCs w:val="20"/>
          <w:lang w:eastAsia="pl-PL"/>
        </w:rPr>
        <w:t>167). Ponadto projekt został uzupełniony o regulacje związane z określaniem maksymalnych limitów wydatków, o których mowa w art. 50 ust. 1a ustawy z dnia 27</w:t>
      </w:r>
      <w:r w:rsidR="00EF1270">
        <w:rPr>
          <w:rFonts w:ascii="Times" w:eastAsia="Times New Roman" w:hAnsi="Times" w:cs="Arial"/>
          <w:bCs/>
          <w:sz w:val="24"/>
          <w:szCs w:val="20"/>
          <w:lang w:eastAsia="pl-PL"/>
        </w:rPr>
        <w:t> </w:t>
      </w:r>
      <w:r w:rsidR="0005052A">
        <w:rPr>
          <w:rFonts w:ascii="Times" w:eastAsia="Times New Roman" w:hAnsi="Times" w:cs="Arial"/>
          <w:bCs/>
          <w:sz w:val="24"/>
          <w:szCs w:val="20"/>
          <w:lang w:eastAsia="pl-PL"/>
        </w:rPr>
        <w:t>sierpnia 2009 r. o </w:t>
      </w:r>
      <w:r w:rsidRPr="00C1086D">
        <w:rPr>
          <w:rFonts w:ascii="Times" w:eastAsia="Times New Roman" w:hAnsi="Times" w:cs="Arial"/>
          <w:bCs/>
          <w:sz w:val="24"/>
          <w:szCs w:val="20"/>
          <w:lang w:eastAsia="pl-PL"/>
        </w:rPr>
        <w:t>finansach publicznych (Dz.</w:t>
      </w:r>
      <w:r w:rsidR="00EF1270">
        <w:rPr>
          <w:rFonts w:ascii="Times" w:eastAsia="Times New Roman" w:hAnsi="Times" w:cs="Arial"/>
          <w:bCs/>
          <w:sz w:val="24"/>
          <w:szCs w:val="20"/>
          <w:lang w:eastAsia="pl-PL"/>
        </w:rPr>
        <w:t xml:space="preserve"> </w:t>
      </w:r>
      <w:r w:rsidRPr="00C1086D">
        <w:rPr>
          <w:rFonts w:ascii="Times" w:eastAsia="Times New Roman" w:hAnsi="Times" w:cs="Arial"/>
          <w:bCs/>
          <w:sz w:val="24"/>
          <w:szCs w:val="20"/>
          <w:lang w:eastAsia="pl-PL"/>
        </w:rPr>
        <w:t>U. z 201</w:t>
      </w:r>
      <w:r w:rsidR="0005052A">
        <w:rPr>
          <w:rFonts w:ascii="Times" w:eastAsia="Times New Roman" w:hAnsi="Times" w:cs="Arial"/>
          <w:bCs/>
          <w:sz w:val="24"/>
          <w:szCs w:val="20"/>
          <w:lang w:eastAsia="pl-PL"/>
        </w:rPr>
        <w:t xml:space="preserve">3 r. poz. 885, z późn. zm.), co </w:t>
      </w:r>
      <w:r w:rsidRPr="00C1086D">
        <w:rPr>
          <w:rFonts w:ascii="Times" w:eastAsia="Times New Roman" w:hAnsi="Times" w:cs="Arial"/>
          <w:bCs/>
          <w:sz w:val="24"/>
          <w:szCs w:val="20"/>
          <w:lang w:eastAsia="pl-PL"/>
        </w:rPr>
        <w:t>uwzględnia uwagę Ministra Rozwoju i Finansów.</w:t>
      </w:r>
    </w:p>
    <w:p w:rsidR="00C1086D" w:rsidRPr="00C1086D" w:rsidRDefault="00C1086D" w:rsidP="00EF1270">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C1086D">
        <w:rPr>
          <w:rFonts w:ascii="Times" w:eastAsia="Times New Roman" w:hAnsi="Times" w:cs="Arial"/>
          <w:bCs/>
          <w:sz w:val="24"/>
          <w:szCs w:val="20"/>
          <w:lang w:eastAsia="pl-PL"/>
        </w:rPr>
        <w:t>Jednocześnie w art. 18c ust. 5 wskazano, że koszty wynagrodzeń członków Komisji, koszty obsługi organizacyjnej Komisji oraz zwrot kosztów i diet, o których mowa w</w:t>
      </w:r>
      <w:r w:rsidR="00EF1270">
        <w:rPr>
          <w:rFonts w:ascii="Times" w:eastAsia="Times New Roman" w:hAnsi="Times" w:cs="Arial"/>
          <w:bCs/>
          <w:sz w:val="24"/>
          <w:szCs w:val="20"/>
          <w:lang w:eastAsia="pl-PL"/>
        </w:rPr>
        <w:t> </w:t>
      </w:r>
      <w:r w:rsidRPr="00C1086D">
        <w:rPr>
          <w:rFonts w:ascii="Times" w:eastAsia="Times New Roman" w:hAnsi="Times" w:cs="Arial"/>
          <w:bCs/>
          <w:sz w:val="24"/>
          <w:szCs w:val="20"/>
          <w:lang w:eastAsia="pl-PL"/>
        </w:rPr>
        <w:t>art.</w:t>
      </w:r>
      <w:r w:rsidR="00EF1270">
        <w:rPr>
          <w:rFonts w:ascii="Times" w:eastAsia="Times New Roman" w:hAnsi="Times" w:cs="Arial"/>
          <w:bCs/>
          <w:sz w:val="24"/>
          <w:szCs w:val="20"/>
          <w:lang w:eastAsia="pl-PL"/>
        </w:rPr>
        <w:t> </w:t>
      </w:r>
      <w:r w:rsidRPr="00C1086D">
        <w:rPr>
          <w:rFonts w:ascii="Times" w:eastAsia="Times New Roman" w:hAnsi="Times" w:cs="Arial"/>
          <w:bCs/>
          <w:sz w:val="24"/>
          <w:szCs w:val="20"/>
          <w:lang w:eastAsia="pl-PL"/>
        </w:rPr>
        <w:t>18c ust. 4</w:t>
      </w:r>
      <w:r w:rsidR="008F214C">
        <w:rPr>
          <w:rFonts w:ascii="Times" w:eastAsia="Times New Roman" w:hAnsi="Times" w:cs="Arial"/>
          <w:bCs/>
          <w:sz w:val="24"/>
          <w:szCs w:val="20"/>
          <w:lang w:eastAsia="pl-PL"/>
        </w:rPr>
        <w:t>,</w:t>
      </w:r>
      <w:r w:rsidRPr="00C1086D">
        <w:rPr>
          <w:rFonts w:ascii="Times" w:eastAsia="Times New Roman" w:hAnsi="Times" w:cs="Arial"/>
          <w:bCs/>
          <w:sz w:val="24"/>
          <w:szCs w:val="20"/>
          <w:lang w:eastAsia="pl-PL"/>
        </w:rPr>
        <w:t xml:space="preserve"> pokrywane są z budżetu państwa – dział 750, administracja publiczna. Po uzgodnieniach międzyresortowych projekt został uzupełniony przez dodanie art.</w:t>
      </w:r>
      <w:r w:rsidR="00EF1270">
        <w:rPr>
          <w:rFonts w:ascii="Times" w:eastAsia="Times New Roman" w:hAnsi="Times" w:cs="Arial"/>
          <w:bCs/>
          <w:sz w:val="24"/>
          <w:szCs w:val="20"/>
          <w:lang w:eastAsia="pl-PL"/>
        </w:rPr>
        <w:t> </w:t>
      </w:r>
      <w:r w:rsidRPr="00C1086D">
        <w:rPr>
          <w:rFonts w:ascii="Times" w:eastAsia="Times New Roman" w:hAnsi="Times" w:cs="Arial"/>
          <w:bCs/>
          <w:sz w:val="24"/>
          <w:szCs w:val="20"/>
          <w:lang w:eastAsia="pl-PL"/>
        </w:rPr>
        <w:t>18d, który stanowi, że do członków Komisji stosuje się przepisy dotyczące oświadczeń o stanie majątkowym, o których mowa w ustawie z dnia 21 sierpnia 1997 r. o ograniczeniu prowadzenia działalności gospodarczej przez osoby pełniące funkcje publiczne (Dz. U. z</w:t>
      </w:r>
      <w:r w:rsidR="00EF1270">
        <w:rPr>
          <w:rFonts w:ascii="Times" w:eastAsia="Times New Roman" w:hAnsi="Times" w:cs="Arial"/>
          <w:bCs/>
          <w:sz w:val="24"/>
          <w:szCs w:val="20"/>
          <w:lang w:eastAsia="pl-PL"/>
        </w:rPr>
        <w:t xml:space="preserve"> </w:t>
      </w:r>
      <w:r w:rsidRPr="00C1086D">
        <w:rPr>
          <w:rFonts w:ascii="Times" w:eastAsia="Times New Roman" w:hAnsi="Times" w:cs="Arial"/>
          <w:bCs/>
          <w:sz w:val="24"/>
          <w:szCs w:val="20"/>
          <w:lang w:eastAsia="pl-PL"/>
        </w:rPr>
        <w:t>2006 r. poz. 1584, z późn. zm.), a członkowie Komisji składają oświadczenie o stanie majątkowym ministrowi właściwemu do spraw administracji publicznej, który dokonuje analizy zawartych w nim danych.</w:t>
      </w:r>
    </w:p>
    <w:p w:rsidR="00C1086D" w:rsidRPr="00C1086D" w:rsidRDefault="00C1086D" w:rsidP="00EF1270">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C1086D">
        <w:rPr>
          <w:rFonts w:ascii="Times" w:eastAsia="Times New Roman" w:hAnsi="Times" w:cs="Arial"/>
          <w:bCs/>
          <w:sz w:val="24"/>
          <w:szCs w:val="20"/>
          <w:lang w:eastAsia="pl-PL"/>
        </w:rPr>
        <w:lastRenderedPageBreak/>
        <w:t>Ze względu na charakter regulacji nie zachodzi potrzeba przeprowadzenia konsultacji publicznych ani opiniowania projektu przez Komisję Wspólną Rządu i Samorządu Terytorialnego.</w:t>
      </w:r>
    </w:p>
    <w:p w:rsidR="00C1086D" w:rsidRPr="00C1086D" w:rsidRDefault="00C1086D" w:rsidP="00EF1270">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C1086D">
        <w:rPr>
          <w:rFonts w:ascii="Times" w:eastAsia="Times New Roman" w:hAnsi="Times" w:cs="Arial"/>
          <w:sz w:val="24"/>
          <w:szCs w:val="20"/>
          <w:lang w:eastAsia="pl-PL"/>
        </w:rPr>
        <w:t>Zgodnie z art. 5 ustawy z dnia 7 lipca 2005 r. o działalności lobbingowej w procesie st</w:t>
      </w:r>
      <w:r w:rsidR="00C13A6C">
        <w:rPr>
          <w:rFonts w:ascii="Times" w:eastAsia="Times New Roman" w:hAnsi="Times" w:cs="Arial"/>
          <w:sz w:val="24"/>
          <w:szCs w:val="20"/>
          <w:lang w:eastAsia="pl-PL"/>
        </w:rPr>
        <w:t>anowienia</w:t>
      </w:r>
      <w:r w:rsidRPr="00C1086D">
        <w:rPr>
          <w:rFonts w:ascii="Times" w:eastAsia="Times New Roman" w:hAnsi="Times" w:cs="Arial"/>
          <w:sz w:val="24"/>
          <w:szCs w:val="20"/>
          <w:lang w:eastAsia="pl-PL"/>
        </w:rPr>
        <w:t xml:space="preserve"> prawa (Dz. U. poz. 1414, z późn. zm.) projekt został udostępniony w</w:t>
      </w:r>
      <w:r w:rsidR="00EF1270">
        <w:rPr>
          <w:rFonts w:ascii="Times" w:eastAsia="Times New Roman" w:hAnsi="Times" w:cs="Arial"/>
          <w:sz w:val="24"/>
          <w:szCs w:val="20"/>
          <w:lang w:eastAsia="pl-PL"/>
        </w:rPr>
        <w:t> </w:t>
      </w:r>
      <w:r w:rsidRPr="00C1086D">
        <w:rPr>
          <w:rFonts w:ascii="Times" w:eastAsia="Times New Roman" w:hAnsi="Times" w:cs="Arial"/>
          <w:sz w:val="24"/>
          <w:szCs w:val="20"/>
          <w:lang w:eastAsia="pl-PL"/>
        </w:rPr>
        <w:t>Biuletynie Informacji Publicznej Rządowego Centrum Legislacji w zakładce Rządowy Proces Legislacyjny oraz w Biuletynie Informacji Publicz</w:t>
      </w:r>
      <w:r w:rsidR="00EF1270">
        <w:rPr>
          <w:rFonts w:ascii="Times" w:eastAsia="Times New Roman" w:hAnsi="Times" w:cs="Arial"/>
          <w:sz w:val="24"/>
          <w:szCs w:val="20"/>
          <w:lang w:eastAsia="pl-PL"/>
        </w:rPr>
        <w:t xml:space="preserve">nej Ministra Spraw Wewnętrznych </w:t>
      </w:r>
      <w:r w:rsidRPr="00C1086D">
        <w:rPr>
          <w:rFonts w:ascii="Times" w:eastAsia="Times New Roman" w:hAnsi="Times" w:cs="Arial"/>
          <w:sz w:val="24"/>
          <w:szCs w:val="20"/>
          <w:lang w:eastAsia="pl-PL"/>
        </w:rPr>
        <w:t>i Administracji.</w:t>
      </w:r>
    </w:p>
    <w:p w:rsidR="00C1086D" w:rsidRPr="00C1086D" w:rsidRDefault="00C1086D" w:rsidP="00EF1270">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C1086D">
        <w:rPr>
          <w:rFonts w:ascii="Times" w:eastAsia="Times New Roman" w:hAnsi="Times" w:cs="Arial"/>
          <w:bCs/>
          <w:sz w:val="24"/>
          <w:szCs w:val="20"/>
          <w:lang w:eastAsia="pl-PL"/>
        </w:rPr>
        <w:t>Przedmiot niniejszej regulacji nie jest objęty prawem Unii Europejskiej.</w:t>
      </w:r>
    </w:p>
    <w:p w:rsidR="00EF1270" w:rsidRPr="00FD7EA0" w:rsidRDefault="00C1086D" w:rsidP="00FD7EA0">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C1086D">
        <w:rPr>
          <w:rFonts w:ascii="Times" w:eastAsia="Times New Roman" w:hAnsi="Times" w:cs="Arial"/>
          <w:bCs/>
          <w:sz w:val="24"/>
          <w:szCs w:val="20"/>
          <w:lang w:eastAsia="pl-PL"/>
        </w:rPr>
        <w:t>Projekt nie podlega procedurze notyfikacji w rozumieniu przepisów rozporządzenia Rady Ministrów z dnia 23 grudnia 2002 r. w sprawie sposobu funkcjonowania krajowego systemu notyfikacji norm i aktów prawnych (Dz. U. poz. 2039, z późn. zm.).</w:t>
      </w:r>
    </w:p>
    <w:sectPr w:rsidR="00EF1270" w:rsidRPr="00FD7EA0" w:rsidSect="00EF1270">
      <w:footerReference w:type="default" r:id="rId7"/>
      <w:footerReference w:type="first" r:id="rId8"/>
      <w:footnotePr>
        <w:numRestart w:val="eachSect"/>
      </w:footnotePr>
      <w:pgSz w:w="11906" w:h="16838" w:code="9"/>
      <w:pgMar w:top="1588" w:right="1418" w:bottom="1418" w:left="1985" w:header="709" w:footer="709" w:gutter="0"/>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1270" w:rsidRDefault="00EF1270" w:rsidP="00EF1270">
      <w:pPr>
        <w:spacing w:after="0" w:line="240" w:lineRule="auto"/>
      </w:pPr>
      <w:r>
        <w:separator/>
      </w:r>
    </w:p>
  </w:endnote>
  <w:endnote w:type="continuationSeparator" w:id="0">
    <w:p w:rsidR="00EF1270" w:rsidRDefault="00EF1270" w:rsidP="00EF12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33081791"/>
      <w:docPartObj>
        <w:docPartGallery w:val="Page Numbers (Bottom of Page)"/>
        <w:docPartUnique/>
      </w:docPartObj>
    </w:sdtPr>
    <w:sdtEndPr>
      <w:rPr>
        <w:rFonts w:ascii="Times New Roman" w:hAnsi="Times New Roman" w:cs="Times New Roman"/>
        <w:sz w:val="24"/>
        <w:szCs w:val="24"/>
      </w:rPr>
    </w:sdtEndPr>
    <w:sdtContent>
      <w:p w:rsidR="00EF1270" w:rsidRPr="00EF1270" w:rsidRDefault="00EF1270" w:rsidP="00EF1270">
        <w:pPr>
          <w:pStyle w:val="Stopka"/>
          <w:jc w:val="center"/>
          <w:rPr>
            <w:rFonts w:ascii="Times New Roman" w:hAnsi="Times New Roman" w:cs="Times New Roman"/>
            <w:sz w:val="24"/>
            <w:szCs w:val="24"/>
          </w:rPr>
        </w:pPr>
        <w:r w:rsidRPr="00EF1270">
          <w:rPr>
            <w:rFonts w:ascii="Times New Roman" w:hAnsi="Times New Roman" w:cs="Times New Roman"/>
            <w:sz w:val="24"/>
            <w:szCs w:val="24"/>
          </w:rPr>
          <w:fldChar w:fldCharType="begin"/>
        </w:r>
        <w:r w:rsidRPr="00EF1270">
          <w:rPr>
            <w:rFonts w:ascii="Times New Roman" w:hAnsi="Times New Roman" w:cs="Times New Roman"/>
            <w:sz w:val="24"/>
            <w:szCs w:val="24"/>
          </w:rPr>
          <w:instrText>PAGE   \* MERGEFORMAT</w:instrText>
        </w:r>
        <w:r w:rsidRPr="00EF1270">
          <w:rPr>
            <w:rFonts w:ascii="Times New Roman" w:hAnsi="Times New Roman" w:cs="Times New Roman"/>
            <w:sz w:val="24"/>
            <w:szCs w:val="24"/>
          </w:rPr>
          <w:fldChar w:fldCharType="separate"/>
        </w:r>
        <w:r w:rsidR="00F93755">
          <w:rPr>
            <w:rFonts w:ascii="Times New Roman" w:hAnsi="Times New Roman" w:cs="Times New Roman"/>
            <w:noProof/>
            <w:sz w:val="24"/>
            <w:szCs w:val="24"/>
          </w:rPr>
          <w:t>6</w:t>
        </w:r>
        <w:r w:rsidRPr="00EF1270">
          <w:rPr>
            <w:rFonts w:ascii="Times New Roman" w:hAnsi="Times New Roman" w:cs="Times New Roman"/>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1270" w:rsidRDefault="00EF1270" w:rsidP="00EF1270">
    <w:pPr>
      <w:pStyle w:val="Stopka"/>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1270" w:rsidRDefault="00EF1270" w:rsidP="00EF1270">
      <w:pPr>
        <w:spacing w:after="0" w:line="240" w:lineRule="auto"/>
      </w:pPr>
      <w:r>
        <w:separator/>
      </w:r>
    </w:p>
  </w:footnote>
  <w:footnote w:type="continuationSeparator" w:id="0">
    <w:p w:rsidR="00EF1270" w:rsidRDefault="00EF1270" w:rsidP="00EF127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086D"/>
    <w:rsid w:val="0005052A"/>
    <w:rsid w:val="00175A27"/>
    <w:rsid w:val="0023582A"/>
    <w:rsid w:val="00250305"/>
    <w:rsid w:val="00282157"/>
    <w:rsid w:val="003A3122"/>
    <w:rsid w:val="003C7B6E"/>
    <w:rsid w:val="005C2B37"/>
    <w:rsid w:val="0069354A"/>
    <w:rsid w:val="006F0C92"/>
    <w:rsid w:val="00777034"/>
    <w:rsid w:val="008130B3"/>
    <w:rsid w:val="008B5AB9"/>
    <w:rsid w:val="008C3334"/>
    <w:rsid w:val="008F214C"/>
    <w:rsid w:val="009A480B"/>
    <w:rsid w:val="009D2651"/>
    <w:rsid w:val="00A61B74"/>
    <w:rsid w:val="00AA4052"/>
    <w:rsid w:val="00AD6A67"/>
    <w:rsid w:val="00BC3A9E"/>
    <w:rsid w:val="00BE4B65"/>
    <w:rsid w:val="00C1086D"/>
    <w:rsid w:val="00C13A6C"/>
    <w:rsid w:val="00C64C3C"/>
    <w:rsid w:val="00C70323"/>
    <w:rsid w:val="00CF2F2A"/>
    <w:rsid w:val="00D5365D"/>
    <w:rsid w:val="00D57D64"/>
    <w:rsid w:val="00D80F9E"/>
    <w:rsid w:val="00E0726F"/>
    <w:rsid w:val="00E46F2E"/>
    <w:rsid w:val="00E95F97"/>
    <w:rsid w:val="00EF1270"/>
    <w:rsid w:val="00F67AFF"/>
    <w:rsid w:val="00F93755"/>
    <w:rsid w:val="00FC5B88"/>
    <w:rsid w:val="00FD7EA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C1086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C1086D"/>
  </w:style>
  <w:style w:type="paragraph" w:styleId="Stopka">
    <w:name w:val="footer"/>
    <w:basedOn w:val="Normalny"/>
    <w:link w:val="StopkaZnak"/>
    <w:uiPriority w:val="99"/>
    <w:unhideWhenUsed/>
    <w:rsid w:val="00EF127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F1270"/>
  </w:style>
  <w:style w:type="paragraph" w:styleId="Tekstdymka">
    <w:name w:val="Balloon Text"/>
    <w:basedOn w:val="Normalny"/>
    <w:link w:val="TekstdymkaZnak"/>
    <w:uiPriority w:val="99"/>
    <w:semiHidden/>
    <w:unhideWhenUsed/>
    <w:rsid w:val="008C3334"/>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8C3334"/>
    <w:rPr>
      <w:rFonts w:ascii="Tahoma" w:hAnsi="Tahoma" w:cs="Tahoma"/>
      <w:sz w:val="16"/>
      <w:szCs w:val="16"/>
    </w:rPr>
  </w:style>
  <w:style w:type="character" w:styleId="Odwoaniedokomentarza">
    <w:name w:val="annotation reference"/>
    <w:basedOn w:val="Domylnaczcionkaakapitu"/>
    <w:uiPriority w:val="99"/>
    <w:semiHidden/>
    <w:unhideWhenUsed/>
    <w:rsid w:val="00F67AFF"/>
    <w:rPr>
      <w:sz w:val="16"/>
      <w:szCs w:val="16"/>
    </w:rPr>
  </w:style>
  <w:style w:type="paragraph" w:styleId="Tekstkomentarza">
    <w:name w:val="annotation text"/>
    <w:basedOn w:val="Normalny"/>
    <w:link w:val="TekstkomentarzaZnak"/>
    <w:uiPriority w:val="99"/>
    <w:semiHidden/>
    <w:unhideWhenUsed/>
    <w:rsid w:val="00F67AFF"/>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F67AFF"/>
    <w:rPr>
      <w:sz w:val="20"/>
      <w:szCs w:val="20"/>
    </w:rPr>
  </w:style>
  <w:style w:type="paragraph" w:styleId="Tematkomentarza">
    <w:name w:val="annotation subject"/>
    <w:basedOn w:val="Tekstkomentarza"/>
    <w:next w:val="Tekstkomentarza"/>
    <w:link w:val="TematkomentarzaZnak"/>
    <w:uiPriority w:val="99"/>
    <w:semiHidden/>
    <w:unhideWhenUsed/>
    <w:rsid w:val="00F67AFF"/>
    <w:rPr>
      <w:b/>
      <w:bCs/>
    </w:rPr>
  </w:style>
  <w:style w:type="character" w:customStyle="1" w:styleId="TematkomentarzaZnak">
    <w:name w:val="Temat komentarza Znak"/>
    <w:basedOn w:val="TekstkomentarzaZnak"/>
    <w:link w:val="Tematkomentarza"/>
    <w:uiPriority w:val="99"/>
    <w:semiHidden/>
    <w:rsid w:val="00F67AFF"/>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C1086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C1086D"/>
  </w:style>
  <w:style w:type="paragraph" w:styleId="Stopka">
    <w:name w:val="footer"/>
    <w:basedOn w:val="Normalny"/>
    <w:link w:val="StopkaZnak"/>
    <w:uiPriority w:val="99"/>
    <w:unhideWhenUsed/>
    <w:rsid w:val="00EF127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F1270"/>
  </w:style>
  <w:style w:type="paragraph" w:styleId="Tekstdymka">
    <w:name w:val="Balloon Text"/>
    <w:basedOn w:val="Normalny"/>
    <w:link w:val="TekstdymkaZnak"/>
    <w:uiPriority w:val="99"/>
    <w:semiHidden/>
    <w:unhideWhenUsed/>
    <w:rsid w:val="008C3334"/>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8C3334"/>
    <w:rPr>
      <w:rFonts w:ascii="Tahoma" w:hAnsi="Tahoma" w:cs="Tahoma"/>
      <w:sz w:val="16"/>
      <w:szCs w:val="16"/>
    </w:rPr>
  </w:style>
  <w:style w:type="character" w:styleId="Odwoaniedokomentarza">
    <w:name w:val="annotation reference"/>
    <w:basedOn w:val="Domylnaczcionkaakapitu"/>
    <w:uiPriority w:val="99"/>
    <w:semiHidden/>
    <w:unhideWhenUsed/>
    <w:rsid w:val="00F67AFF"/>
    <w:rPr>
      <w:sz w:val="16"/>
      <w:szCs w:val="16"/>
    </w:rPr>
  </w:style>
  <w:style w:type="paragraph" w:styleId="Tekstkomentarza">
    <w:name w:val="annotation text"/>
    <w:basedOn w:val="Normalny"/>
    <w:link w:val="TekstkomentarzaZnak"/>
    <w:uiPriority w:val="99"/>
    <w:semiHidden/>
    <w:unhideWhenUsed/>
    <w:rsid w:val="00F67AFF"/>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F67AFF"/>
    <w:rPr>
      <w:sz w:val="20"/>
      <w:szCs w:val="20"/>
    </w:rPr>
  </w:style>
  <w:style w:type="paragraph" w:styleId="Tematkomentarza">
    <w:name w:val="annotation subject"/>
    <w:basedOn w:val="Tekstkomentarza"/>
    <w:next w:val="Tekstkomentarza"/>
    <w:link w:val="TematkomentarzaZnak"/>
    <w:uiPriority w:val="99"/>
    <w:semiHidden/>
    <w:unhideWhenUsed/>
    <w:rsid w:val="00F67AFF"/>
    <w:rPr>
      <w:b/>
      <w:bCs/>
    </w:rPr>
  </w:style>
  <w:style w:type="character" w:customStyle="1" w:styleId="TematkomentarzaZnak">
    <w:name w:val="Temat komentarza Znak"/>
    <w:basedOn w:val="TekstkomentarzaZnak"/>
    <w:link w:val="Tematkomentarza"/>
    <w:uiPriority w:val="99"/>
    <w:semiHidden/>
    <w:rsid w:val="00F67AF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1836</Words>
  <Characters>11017</Characters>
  <Application>Microsoft Office Word</Application>
  <DocSecurity>0</DocSecurity>
  <Lines>91</Lines>
  <Paragraphs>25</Paragraphs>
  <ScaleCrop>false</ScaleCrop>
  <HeadingPairs>
    <vt:vector size="2" baseType="variant">
      <vt:variant>
        <vt:lpstr>Tytuł</vt:lpstr>
      </vt:variant>
      <vt:variant>
        <vt:i4>1</vt:i4>
      </vt:variant>
    </vt:vector>
  </HeadingPairs>
  <TitlesOfParts>
    <vt:vector size="1" baseType="lpstr">
      <vt:lpstr/>
    </vt:vector>
  </TitlesOfParts>
  <Company>KPRM</Company>
  <LinksUpToDate>false</LinksUpToDate>
  <CharactersWithSpaces>12828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Roza Chmielewska</dc:creator>
  <cp:lastModifiedBy>Ewa A. Genert</cp:lastModifiedBy>
  <cp:revision>2</cp:revision>
  <dcterms:created xsi:type="dcterms:W3CDTF">2016-11-22T13:58:00Z</dcterms:created>
  <dcterms:modified xsi:type="dcterms:W3CDTF">2016-11-22T13:58:00Z</dcterms:modified>
</cp:coreProperties>
</file>