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97E" w:rsidRPr="00CE297E" w:rsidRDefault="00CE297E" w:rsidP="00CE297E">
      <w:pPr>
        <w:pStyle w:val="TYTUAKTUprzedmiotregulacjiustawylubrozporzdzenia"/>
        <w:spacing w:before="0" w:after="240"/>
        <w:rPr>
          <w:b w:val="0"/>
        </w:rPr>
      </w:pPr>
      <w:bookmarkStart w:id="0" w:name="_GoBack"/>
      <w:bookmarkEnd w:id="0"/>
      <w:r w:rsidRPr="00CE297E">
        <w:rPr>
          <w:b w:val="0"/>
        </w:rPr>
        <w:t>UZASADNIENIE</w:t>
      </w:r>
    </w:p>
    <w:p w:rsidR="00CE297E" w:rsidRDefault="00CE297E" w:rsidP="00CE297E">
      <w:pPr>
        <w:pStyle w:val="NIEARTTEKSTtekstnieartykuowanynppodstprawnarozplubpreambua"/>
      </w:pPr>
      <w:r>
        <w:t xml:space="preserve">Rozwiązania zawarte w projektowanej ustawie przewidują powierzenie Służbie Więziennej zadań związanych z zapewnieniem bezpieczeństwa i porządku w Ministerstwie Sprawiedliwości oraz Prokuraturze Krajowej. Szczególny charakter zadań wykonywanych przez Ministra Sprawiedliwości </w:t>
      </w:r>
      <w:r w:rsidR="00630CC0">
        <w:t>–</w:t>
      </w:r>
      <w:r>
        <w:t xml:space="preserve"> Prokuratora Generalnego może wiązać się z występowaniem zagrożeń dla bezpieczeństwa urzędu obsługującego Ministra Sprawiedliwości, pełniącego jednocześnie funkcję Prokuratora Generalnego, a także dla bezpieczeństwa Prokuratury Krajowej, zapewniającej obsługę Prokuratora Generalnego, wobec których to zagrożeń może okazać się niewystarczające zapewnienie adekwatnego poziomu ochrony przez podmioty wykonujące zadania na podstawie ustawy z dnia 22 sierpnia 1997 r. o ochronie osób i mienia (Dz. U. z 2016 r. poz. 1432). Zasadne jest zatem uzupełnienie porządku prawnego o przepisy przewidujące powierzenie zadań z tego zakresu Służbie Więziennej, będącej formacją dysponującą zarówno wiedzą i doświadczeniem z zakresu zapewnienia ochrony zakładów karnych i aresztów śledczych przed działaniami świata przestępczego, w tym zorganizowanych grup przestępczych, jak i odpowiednio przeszkolonymi funkcjonariuszami. O zakresie realizacji powierzanych zadań będzie decydował Minister Sprawiedliwości jako zwierzchnik Służby Więziennej, przy uwzględnieniu okoliczności, że zarówno urząd obsługujący Ministra Sprawiedliwości, jak i Prokuratura Krajowa </w:t>
      </w:r>
      <w:r w:rsidR="00E91426">
        <w:t xml:space="preserve">są </w:t>
      </w:r>
      <w:r>
        <w:t>usytuowane w kilku lokalizacjach, przy czym nie każda z nich, z racji realizowanych zadań, wymagać będzie zapewniania porządku i bezpieczeństwa przez funkcjonariuszy Służby Więziennej.</w:t>
      </w:r>
    </w:p>
    <w:p w:rsidR="00CE297E" w:rsidRDefault="00CE297E" w:rsidP="00CE297E">
      <w:pPr>
        <w:pStyle w:val="NIEARTTEKSTtekstnieartykuowanynppodstprawnarozplubpreambua"/>
      </w:pPr>
      <w:r>
        <w:t>Przy wykonywaniu zadań określonych w projektowanym przepisie art. 2 ust. 2b ustawy z dnia 9 kwietnia 2010 r. o Służbie Więziennej (Dz. U. z 2016 r. poz.</w:t>
      </w:r>
      <w:r w:rsidR="00630CC0">
        <w:t xml:space="preserve"> </w:t>
      </w:r>
      <w:r>
        <w:t>713, z późn. zm.) Służba Więzienna korzystać będzie z przyznanych jej ustawowo uprawnień, w tym uprawnień określonych w rozdziale 3 w</w:t>
      </w:r>
      <w:r w:rsidR="001D2646">
        <w:t xml:space="preserve">yżej </w:t>
      </w:r>
      <w:r>
        <w:t>w</w:t>
      </w:r>
      <w:r w:rsidR="001D2646">
        <w:t>ymienionej</w:t>
      </w:r>
      <w:r>
        <w:t xml:space="preserve"> ustawy. Ponieważ przepisy tego rozdziału posługują się przy określaniu niektórych uprawnień pojęciem „jednostki organizacyjnej”, którego znaczenie </w:t>
      </w:r>
      <w:r w:rsidR="00630CC0">
        <w:t>–</w:t>
      </w:r>
      <w:r>
        <w:t xml:space="preserve"> stosownie do art. 8 ust. 1 ustawy </w:t>
      </w:r>
      <w:r w:rsidR="00630CC0">
        <w:t>–</w:t>
      </w:r>
      <w:r>
        <w:t xml:space="preserve"> ogranicza się wyłącznie do jednostek organizacyjnych Służby Więziennej, niezbędne stało się uzupełnienie tego rozdziału o</w:t>
      </w:r>
      <w:r w:rsidR="001D2646">
        <w:t> </w:t>
      </w:r>
      <w:r>
        <w:t>projektowany przepis art. 23a, wskazujący, że w zakresie wykonywania zadań określonych w art. 2 ust. 2b przez jednostkę organizacyjną w rozumieniu tych przepisów należy rozumieć także urząd obsługujący Ministra Sprawiedliwości i Prokuraturę Krajową.</w:t>
      </w:r>
    </w:p>
    <w:p w:rsidR="00CE297E" w:rsidRDefault="00CE297E" w:rsidP="00CE297E">
      <w:pPr>
        <w:pStyle w:val="NIEARTTEKSTtekstnieartykuowanynppodstprawnarozplubpreambua"/>
      </w:pPr>
      <w:r>
        <w:t xml:space="preserve">Podobnie, w celu zachowania spójności systemowej i zapewnienia możliwości zastosowania przepisów regulujących zasady podejmowania przez funkcjonariuszy czynności </w:t>
      </w:r>
      <w:r>
        <w:lastRenderedPageBreak/>
        <w:t>służbowych we wszystkich przypadkach wynikających z poszerzanego projektowaną ustawą zakresu zadań Służby Więziennej, niezbędne stało się zaproponowanie nowelizacji przepisu art. 35 ust. 2 pkt 10 ustawy z dnia 24 maja 2013 r. o środkach przymusu bezpośredniego i broni palnej (Dz. U. poz. 628, z późn. zm.), określającego przypadki, w których funkcjonariusz Służby Więziennej jest uprawniony do podjęcia decyzji o użyciu lub wykorzystaniu środków przymusu bezpośredniego. W proponowanym nowym brzmieniu tego przepisu obok już w nim przewidzianego uprawnienia do podjęcia decyzji o użyciu lub wykorzystaniu środków przymusu bezpośredniego w przypadku usiłowania bezpośredniego, bezprawnego zamachu na życie lub zdrowie uprawnionego lub innej osoby, usiłowania ucieczki przez osobę pozbawioną wolności, a także w pościgu za osobą pozbawioną wolności oraz w pościgu za osobą, która dokonała bezpośredniego, bezprawnego zamachu na obiekty zakładu karnego lub aresztu śledczego, należało uzupełnić ten przepis w odniesieniu do przypadku pościgu za osobą, która dokonała bezpośredniego, bezprawnego zamachu na obiekty innej jednostki organizacyjnej, w której Służba Więzienna zapewnia porządek i bezpieczeństwo. W pozostałym zakresie do przypadków związanych z koniecznością użycia lub wykorzystania środków przymusu bezpośredniego znajdzie zastosowanie niewymagający nowelizacj</w:t>
      </w:r>
      <w:r w:rsidR="001D2646">
        <w:t>i przepis art. 35 ust. 2 pkt 9 wyżej wymienionej</w:t>
      </w:r>
      <w:r>
        <w:t xml:space="preserve"> ustawy, zgodnie z którym decyzję w tym zakresie w przypadku wykonywania czynności służbowych poza jednostką organizacyjną Służby Więziennej przez kilku funkcjonariuszy podejmuje funkcjonariusz wyznaczony jako dowodzący.</w:t>
      </w:r>
    </w:p>
    <w:p w:rsidR="00CE297E" w:rsidRDefault="00CE297E" w:rsidP="00CE297E">
      <w:pPr>
        <w:pStyle w:val="NIEARTTEKSTtekstnieartykuowanynppodstprawnarozplubpreambua"/>
      </w:pPr>
      <w:r>
        <w:t xml:space="preserve">Zmiana art. 40 § 2 ustawy z dnia 28 stycznia 2016 r. </w:t>
      </w:r>
      <w:r w:rsidR="00630CC0">
        <w:t>–</w:t>
      </w:r>
      <w:r>
        <w:t xml:space="preserve"> Prawo o prokuraturze (Dz. U. poz. 177 i 1579) stanowi konsekwencję zmian wprowadzanych do ustawy o Służbie Więziennej i ma na celu zapewnienie systemowej spójności tej regulacji przewidującej obecnie, iż zapewnianie bezpieczeństwa w jednostkach organizacyjnych prokuratury realizują podmioty wykonujące zadania na podstawie ustawy o ochronie osób i mienia, z wprowadzanymi przepisami umożliwiającymi wykonywanie tych zadań, w odniesieniu do Prokuratury Krajowej, przez Służbę Więzienną. </w:t>
      </w:r>
    </w:p>
    <w:p w:rsidR="00CE297E" w:rsidRDefault="00CE297E" w:rsidP="00CE297E">
      <w:pPr>
        <w:pStyle w:val="NIEARTTEKSTtekstnieartykuowanynppodstprawnarozplubpreambua"/>
      </w:pPr>
      <w:r>
        <w:t xml:space="preserve">Powierzenie Służbie Więziennej zadań związanych z zapewnieniem porządku i bezpieczeństwa w jednostce organizacyjnej prokuratury </w:t>
      </w:r>
      <w:r w:rsidR="00630CC0">
        <w:t>–</w:t>
      </w:r>
      <w:r>
        <w:t xml:space="preserve"> Prokuraturze Krajowej, w lokalizacji mieszczącej się w Warszawie, przy ul. Rakowieckiej 26/30, zostanie sfinansowane ze środków, które obecnie Prokuratura Krajowa wydaje na ochronę swoich obiektów w ramach zakupu usług ochrony osób i mienia (ok. 450 tys. zł).</w:t>
      </w:r>
    </w:p>
    <w:p w:rsidR="00CE297E" w:rsidRDefault="00CE297E" w:rsidP="00CE297E">
      <w:pPr>
        <w:pStyle w:val="ARTartustawynprozporzdzenia"/>
      </w:pPr>
      <w:r>
        <w:lastRenderedPageBreak/>
        <w:t xml:space="preserve">Wdrożenie projektowanych rozwiązań nastąpi wyłącznie z wykorzystaniem środków w ramach przyznanych limitów wydatkowych. </w:t>
      </w:r>
    </w:p>
    <w:p w:rsidR="00CE297E" w:rsidRDefault="00CE297E" w:rsidP="00CE297E">
      <w:pPr>
        <w:pStyle w:val="ARTartustawynprozporzdzenia"/>
      </w:pPr>
      <w:r>
        <w:t xml:space="preserve">Przewidywana data wejścia w życie ustawy </w:t>
      </w:r>
      <w:r w:rsidR="00630CC0">
        <w:t>–</w:t>
      </w:r>
      <w:r>
        <w:t xml:space="preserve"> </w:t>
      </w:r>
      <w:r w:rsidR="001D2646">
        <w:t>z</w:t>
      </w:r>
      <w:r>
        <w:t xml:space="preserve"> dni</w:t>
      </w:r>
      <w:r w:rsidR="001D2646">
        <w:t>em</w:t>
      </w:r>
      <w:r>
        <w:t xml:space="preserve"> następującym po dniu ogłoszenia </w:t>
      </w:r>
      <w:r w:rsidR="00630CC0">
        <w:t>–</w:t>
      </w:r>
      <w:r>
        <w:t xml:space="preserve"> podyktowana jest faktem, iż realizowana w chwili obecnej, przez podmioty działające na podstawie ustawy o ochronie osób i mienia, ochrona budynków Prokuratury Krajowej zakończy się, w związku z wygaśnięciem umowy, w dniu 31 grudnia 2016 r. Powyższe uzasadnia zaś pilne wejście w życie projektowanej ustawy, co umożliwi zapewnienie bezpieczeństwa Ministrowi Sprawiedliwości </w:t>
      </w:r>
      <w:r w:rsidR="00630CC0">
        <w:t>–</w:t>
      </w:r>
      <w:r>
        <w:t xml:space="preserve"> Prokuratorowi Generalnemu oraz Prokuraturze Krajowej, od dnia 1 stycznia 2017 r., przez funkcjonariuszy Służby Więziennej, bez konieczności zawierania kolejnej umowy dotyczącej ochrony. Za skróconym okresem </w:t>
      </w:r>
      <w:r w:rsidRPr="00CE297E">
        <w:rPr>
          <w:i/>
        </w:rPr>
        <w:t>vacatio legis</w:t>
      </w:r>
      <w:r>
        <w:t xml:space="preserve"> przemawia zatem istotny interes publiczny, przy czym uwzględniając adresatów projektowanych norm – zasady demokratycznego państwa prawnego nie stoją temu na przeszkodzie. </w:t>
      </w:r>
    </w:p>
    <w:p w:rsidR="00CE297E" w:rsidRDefault="00CE297E" w:rsidP="00CE297E">
      <w:pPr>
        <w:pStyle w:val="NIEARTTEKSTtekstnieartykuowanynppodstprawnarozplubpreambua"/>
      </w:pPr>
      <w:r>
        <w:t>Projekt nie zawiera przepisów technicznych w rozumieniu rozporządzenia Rady Ministrów z dnia 23 grudnia 2002 r. w sprawie sposobu funkcjonowania krajowego systemu notyfikacji norm i aktów prawnych (Dz. U. poz. 2039, z późn. zm.) i nie podlega notyfikacji w trybie przewidzianym w tym rozporządzeniu.</w:t>
      </w:r>
    </w:p>
    <w:p w:rsidR="00CE297E" w:rsidRDefault="00CE297E" w:rsidP="00CE297E">
      <w:pPr>
        <w:pStyle w:val="NIEARTTEKSTtekstnieartykuowanynppodstprawnarozplubpreambua"/>
      </w:pPr>
      <w:r>
        <w:t>Projekt nie podlega zaopiniowaniu przez właściwe instytucje i organy Unii Europejskiej</w:t>
      </w:r>
      <w:r w:rsidR="00630CC0">
        <w:t>, w tym</w:t>
      </w:r>
      <w:r>
        <w:t xml:space="preserve"> przez Europejski Bank Centralny.</w:t>
      </w:r>
    </w:p>
    <w:p w:rsidR="00CE297E" w:rsidRDefault="00CE297E" w:rsidP="00CE297E">
      <w:pPr>
        <w:pStyle w:val="NIEARTTEKSTtekstnieartykuowanynppodstprawnarozplubpreambua"/>
      </w:pPr>
      <w:r>
        <w:t>Projekt ustawy, zgodnie z art. 5 ustawy z dnia 7 lipca 2005 r. o działalności lobbingowej w procesie stanowienia prawa (Dz. U. poz. 1414, z późn. zm.) oraz § 52 ust. 1 uchwały nr 190 Rady Ministrów z dnia 29 października 2013 r. – Regulamin pracy Rady Ministrów (M.P. </w:t>
      </w:r>
      <w:r w:rsidR="00C32727" w:rsidRPr="00C32727">
        <w:t xml:space="preserve"> </w:t>
      </w:r>
      <w:r w:rsidR="00C32727">
        <w:t>z 2016 r. poz. 1006</w:t>
      </w:r>
      <w:r>
        <w:t>), został udostępniony w Biuletynie Informacji Publicznej na stronie podmiotowej Rządowego Centrum Legislacji w serwisie Rządowy Proces Legislacyjny, zaś w Biuletynie Informacji Publicznej Ministerstwa Sprawiedliwości został zamieszczony odnośnik kierujący do odpowiedniej strony w BIP RCL.</w:t>
      </w:r>
    </w:p>
    <w:p w:rsidR="00CE297E" w:rsidRDefault="00CE297E" w:rsidP="00CE297E">
      <w:pPr>
        <w:pStyle w:val="ARTartustawynprozporzdzenia"/>
      </w:pPr>
      <w:r>
        <w:t>Żaden podmiot nie zgłosił zainteresowania pracami nad projektem ustawy w trybie art. 7 wyżej wymienionej ustawy.</w:t>
      </w:r>
    </w:p>
    <w:p w:rsidR="00CE297E" w:rsidRDefault="00CE297E" w:rsidP="00CE297E">
      <w:pPr>
        <w:pStyle w:val="NIEARTTEKSTtekstnieartykuowanynppodstprawnarozplubpreambua"/>
      </w:pPr>
      <w:r>
        <w:t xml:space="preserve">Wnioskodawca projektu nie był zobowiązany do uzyskania stanowiska koordynatora OSR do przygotowanego dokumentu OSR w trybie określonym w § 32 uchwały nr 190 Rady Ministrów z dnia 29 października 2013 r. </w:t>
      </w:r>
      <w:r w:rsidR="00630CC0">
        <w:t>–</w:t>
      </w:r>
      <w:r>
        <w:t xml:space="preserve"> Regulamin pracy Rady Ministrów. </w:t>
      </w:r>
    </w:p>
    <w:p w:rsidR="00CE297E" w:rsidRDefault="00CE297E" w:rsidP="00CE297E">
      <w:pPr>
        <w:pStyle w:val="ARTartustawynprozporzdzenia"/>
      </w:pPr>
      <w:r>
        <w:lastRenderedPageBreak/>
        <w:t xml:space="preserve">W toku uzgodnień międzyresortowych i opiniowania uwagi do projektu zgłosili: Prezes RCL, Minister </w:t>
      </w:r>
      <w:r w:rsidR="00657F52">
        <w:t>–</w:t>
      </w:r>
      <w:r>
        <w:t xml:space="preserve"> Członek Rady Ministrów Pan Henryk Kowalczyk oraz Prokuratura Krajowa. NSZZ Funkcjonariuszy i Pracowników Więziennictwa zwrócił się natomiast z pytaniem, czy zostaną przydzielone nowe etaty Służbie Więziennej w związku z realizacją nowych zadań. </w:t>
      </w:r>
    </w:p>
    <w:p w:rsidR="00CE297E" w:rsidRDefault="00CE297E" w:rsidP="00CE297E">
      <w:pPr>
        <w:pStyle w:val="ARTartustawynprozporzdzenia"/>
      </w:pPr>
      <w:r>
        <w:t xml:space="preserve">Wątpliwości Prezes RCL dotyczące potrzeby zmiany nomenklatury zadań Służby Więziennej powierzanych projektowaną ustawą przez ich dostosowanie do wynikającej z ustawy o ochronie osób i mienia, potrzeby wprowadzenia odrębnej normy kompetencyjnej umożliwiającej Ministrowi Sprawiedliwości powierzanie Służbie Więziennej obowiązków związanych z ochroną Ministerstwa Sprawiedliwości oraz Prokuratury Krajowej oraz stosownej procedury w zakresie rozpatrywania wniosku Prokuratora Krajowego, a także potrzeby doprecyzowania zakresu uprawnień funkcjonariuszy Służby Więziennej w związku z powierzanymi zadaniami zostały wyjaśnione w piśmie z dnia 26 października 2016 r. Uwzględniono natomiast uwagę dotyczącą doprecyzowania projektowanego art. 40 § 2 ustawy </w:t>
      </w:r>
      <w:r w:rsidR="00657F52">
        <w:t>–</w:t>
      </w:r>
      <w:r>
        <w:t xml:space="preserve"> Prawo o prokuraturze (czyniąc tym samym zadość także uwadze Prokuratury Krajowej) oraz uzupełniono uzasadnienie projektu ustawy o informację w przedmiocie braku konieczności uzyskiwania przez wnioskodawcę projektu stanowiska koordynatora OSR do przygotowanego dokumentu OSR w trybie określonym w § 32 Regulaminu pracy Rady Ministrów. </w:t>
      </w:r>
    </w:p>
    <w:p w:rsidR="00CE297E" w:rsidRDefault="00CE297E" w:rsidP="00CE297E">
      <w:pPr>
        <w:pStyle w:val="ARTartustawynprozporzdzenia"/>
      </w:pPr>
      <w:r>
        <w:t xml:space="preserve">Uwagi Ministra </w:t>
      </w:r>
      <w:r w:rsidR="00657F52">
        <w:t>–</w:t>
      </w:r>
      <w:r>
        <w:t xml:space="preserve"> Członka Rady Ministrów Pana Henryka Kowalczyka, dotyczące wątpliwości odnoszących się do obligatoryjności </w:t>
      </w:r>
      <w:r w:rsidR="001D2646">
        <w:t>albo</w:t>
      </w:r>
      <w:r>
        <w:t xml:space="preserve"> fakultatywności korzystania w urzędzie obsługującym Ministra Sprawiedliwości oraz Prokuraturze Krajowej z usług funkcjonariuszy Służby Więziennej w zakresie zapewniania porządku i bezpieczeństwa oraz wpływu regulacji na przedsiębiorców działających w sektorze ochrony osób i mienia</w:t>
      </w:r>
      <w:r w:rsidR="00C32727">
        <w:t>,</w:t>
      </w:r>
      <w:r>
        <w:t xml:space="preserve"> zostały wyjaśnione. </w:t>
      </w:r>
    </w:p>
    <w:p w:rsidR="004E339B" w:rsidRDefault="00CE297E" w:rsidP="00CE297E">
      <w:pPr>
        <w:pStyle w:val="ARTartustawynprozporzdzenia"/>
      </w:pPr>
      <w:r>
        <w:t>Odnosząc się do wątpliwości NSZZ Funkcjonariuszy i Pracowników Więziennictwa</w:t>
      </w:r>
      <w:r w:rsidR="001D2646">
        <w:t>,</w:t>
      </w:r>
      <w:r>
        <w:t xml:space="preserve"> należy wskazać, iż zgodnie z informacjami zawartymi w uzasadnieniu i OSR dodatkowe środki na zadania Służby Więziennej, w kwocie ok. 450</w:t>
      </w:r>
      <w:r w:rsidR="00C32727">
        <w:t> </w:t>
      </w:r>
      <w:r>
        <w:t>000 zł</w:t>
      </w:r>
      <w:r w:rsidR="00C32727">
        <w:t>,</w:t>
      </w:r>
      <w:r>
        <w:t xml:space="preserve"> będą wynikały z oszczędności poczynionych na zakupie usług ochrony osób i mienia. </w:t>
      </w:r>
    </w:p>
    <w:sectPr w:rsidR="004E339B" w:rsidSect="00CE297E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97E" w:rsidRDefault="00CE297E" w:rsidP="00CE297E">
      <w:pPr>
        <w:spacing w:after="0" w:line="240" w:lineRule="auto"/>
      </w:pPr>
      <w:r>
        <w:separator/>
      </w:r>
    </w:p>
  </w:endnote>
  <w:endnote w:type="continuationSeparator" w:id="0">
    <w:p w:rsidR="00CE297E" w:rsidRDefault="00CE297E" w:rsidP="00CE2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6200448"/>
      <w:docPartObj>
        <w:docPartGallery w:val="Page Numbers (Bottom of Page)"/>
        <w:docPartUnique/>
      </w:docPartObj>
    </w:sdtPr>
    <w:sdtEndPr/>
    <w:sdtContent>
      <w:p w:rsidR="00CE297E" w:rsidRDefault="00CE297E" w:rsidP="00CE297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32D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97E" w:rsidRDefault="00CE297E" w:rsidP="00CE297E">
      <w:pPr>
        <w:spacing w:after="0" w:line="240" w:lineRule="auto"/>
      </w:pPr>
      <w:r>
        <w:separator/>
      </w:r>
    </w:p>
  </w:footnote>
  <w:footnote w:type="continuationSeparator" w:id="0">
    <w:p w:rsidR="00CE297E" w:rsidRDefault="00CE297E" w:rsidP="00CE29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1F3"/>
    <w:rsid w:val="001D2646"/>
    <w:rsid w:val="001F2593"/>
    <w:rsid w:val="004E339B"/>
    <w:rsid w:val="00630CC0"/>
    <w:rsid w:val="00657F52"/>
    <w:rsid w:val="00C15C4B"/>
    <w:rsid w:val="00C32727"/>
    <w:rsid w:val="00CE297E"/>
    <w:rsid w:val="00D231F3"/>
    <w:rsid w:val="00E91426"/>
    <w:rsid w:val="00F0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2593"/>
    <w:pPr>
      <w:spacing w:after="120" w:line="36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CE297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CE297E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CE297E"/>
    <w:rPr>
      <w:bCs/>
    </w:rPr>
  </w:style>
  <w:style w:type="paragraph" w:styleId="Nagwek">
    <w:name w:val="header"/>
    <w:basedOn w:val="Normalny"/>
    <w:link w:val="NagwekZnak"/>
    <w:uiPriority w:val="99"/>
    <w:unhideWhenUsed/>
    <w:rsid w:val="00CE29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297E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CE29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297E"/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0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0C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2593"/>
    <w:pPr>
      <w:spacing w:after="120" w:line="36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CE297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CE297E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CE297E"/>
    <w:rPr>
      <w:bCs/>
    </w:rPr>
  </w:style>
  <w:style w:type="paragraph" w:styleId="Nagwek">
    <w:name w:val="header"/>
    <w:basedOn w:val="Normalny"/>
    <w:link w:val="NagwekZnak"/>
    <w:uiPriority w:val="99"/>
    <w:unhideWhenUsed/>
    <w:rsid w:val="00CE29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297E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CE29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297E"/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0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0C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1388</Words>
  <Characters>8331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Binkowska Joanna</dc:creator>
  <cp:lastModifiedBy>Ewa A. Genert</cp:lastModifiedBy>
  <cp:revision>2</cp:revision>
  <dcterms:created xsi:type="dcterms:W3CDTF">2016-11-25T14:23:00Z</dcterms:created>
  <dcterms:modified xsi:type="dcterms:W3CDTF">2016-11-25T14:23:00Z</dcterms:modified>
</cp:coreProperties>
</file>