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2B2F" w:rsidRPr="00E800EC" w:rsidRDefault="007B2B2F" w:rsidP="007B2B2F">
      <w:pPr>
        <w:shd w:val="clear" w:color="auto" w:fill="FFFFFF"/>
        <w:spacing w:after="0" w:line="360" w:lineRule="auto"/>
        <w:jc w:val="right"/>
        <w:rPr>
          <w:rFonts w:ascii="Tahoma" w:eastAsia="Times New Roman" w:hAnsi="Tahoma" w:cs="Tahoma"/>
          <w:bCs/>
          <w:sz w:val="24"/>
          <w:szCs w:val="24"/>
          <w:lang w:eastAsia="pl-PL"/>
        </w:rPr>
      </w:pPr>
      <w:bookmarkStart w:id="0" w:name="_GoBack"/>
      <w:bookmarkEnd w:id="0"/>
      <w:r w:rsidRPr="00E800EC">
        <w:rPr>
          <w:rFonts w:ascii="Tahoma" w:eastAsia="Times New Roman" w:hAnsi="Tahoma" w:cs="Tahoma"/>
          <w:bCs/>
          <w:sz w:val="24"/>
          <w:szCs w:val="24"/>
          <w:lang w:eastAsia="pl-PL"/>
        </w:rPr>
        <w:t>projekt</w:t>
      </w:r>
    </w:p>
    <w:p w:rsidR="007B2B2F" w:rsidRPr="00E800EC" w:rsidRDefault="007B2B2F" w:rsidP="007B2B2F">
      <w:pPr>
        <w:shd w:val="clear" w:color="auto" w:fill="FFFFFF"/>
        <w:spacing w:after="0" w:line="360" w:lineRule="auto"/>
        <w:jc w:val="center"/>
        <w:rPr>
          <w:rFonts w:ascii="Tahoma" w:eastAsia="Times New Roman" w:hAnsi="Tahoma" w:cs="Tahoma"/>
          <w:b/>
          <w:bCs/>
          <w:sz w:val="24"/>
          <w:szCs w:val="24"/>
          <w:lang w:eastAsia="pl-PL"/>
        </w:rPr>
      </w:pPr>
      <w:r w:rsidRPr="00E800EC">
        <w:rPr>
          <w:rFonts w:ascii="Tahoma" w:eastAsia="Times New Roman" w:hAnsi="Tahoma" w:cs="Tahoma"/>
          <w:b/>
          <w:bCs/>
          <w:sz w:val="24"/>
          <w:szCs w:val="24"/>
          <w:lang w:eastAsia="pl-PL"/>
        </w:rPr>
        <w:t xml:space="preserve">USTAWA </w:t>
      </w:r>
    </w:p>
    <w:p w:rsidR="007B2B2F" w:rsidRPr="00E800EC" w:rsidRDefault="007B2B2F" w:rsidP="007B2B2F">
      <w:pPr>
        <w:shd w:val="clear" w:color="auto" w:fill="FFFFFF"/>
        <w:spacing w:after="0" w:line="360" w:lineRule="auto"/>
        <w:jc w:val="center"/>
        <w:rPr>
          <w:rFonts w:ascii="Tahoma" w:eastAsia="Times New Roman" w:hAnsi="Tahoma" w:cs="Tahoma"/>
          <w:b/>
          <w:bCs/>
          <w:sz w:val="24"/>
          <w:szCs w:val="24"/>
          <w:lang w:eastAsia="pl-PL"/>
        </w:rPr>
      </w:pPr>
      <w:r w:rsidRPr="00E800EC">
        <w:rPr>
          <w:rFonts w:ascii="Tahoma" w:eastAsia="Times New Roman" w:hAnsi="Tahoma" w:cs="Tahoma"/>
          <w:b/>
          <w:bCs/>
          <w:sz w:val="24"/>
          <w:szCs w:val="24"/>
          <w:lang w:eastAsia="pl-PL"/>
        </w:rPr>
        <w:t>z dnia ………….. 2016r.</w:t>
      </w:r>
    </w:p>
    <w:p w:rsidR="007B2B2F" w:rsidRPr="00E800EC" w:rsidRDefault="007B2B2F" w:rsidP="007B2B2F">
      <w:pPr>
        <w:shd w:val="clear" w:color="auto" w:fill="FFFFFF"/>
        <w:spacing w:after="0" w:line="360" w:lineRule="auto"/>
        <w:jc w:val="center"/>
        <w:rPr>
          <w:rFonts w:ascii="Tahoma" w:eastAsia="Times New Roman" w:hAnsi="Tahoma" w:cs="Tahoma"/>
          <w:b/>
          <w:bCs/>
          <w:sz w:val="24"/>
          <w:szCs w:val="24"/>
          <w:lang w:eastAsia="pl-PL"/>
        </w:rPr>
      </w:pPr>
      <w:r w:rsidRPr="00E800EC">
        <w:rPr>
          <w:rFonts w:ascii="Tahoma" w:eastAsia="Times New Roman" w:hAnsi="Tahoma" w:cs="Tahoma"/>
          <w:b/>
          <w:bCs/>
          <w:sz w:val="24"/>
          <w:szCs w:val="24"/>
          <w:lang w:eastAsia="pl-PL"/>
        </w:rPr>
        <w:t>o zmianie ustawy – Kodeks postępowania karnego</w:t>
      </w:r>
    </w:p>
    <w:p w:rsidR="007B2B2F" w:rsidRPr="00E800EC" w:rsidRDefault="007B2B2F" w:rsidP="007B2B2F">
      <w:pPr>
        <w:shd w:val="clear" w:color="auto" w:fill="FFFFFF"/>
        <w:spacing w:after="0" w:line="360" w:lineRule="auto"/>
        <w:jc w:val="both"/>
        <w:rPr>
          <w:rFonts w:ascii="Tahoma" w:eastAsia="Times New Roman" w:hAnsi="Tahoma" w:cs="Tahoma"/>
          <w:b/>
          <w:bCs/>
          <w:sz w:val="24"/>
          <w:szCs w:val="24"/>
          <w:lang w:eastAsia="pl-PL"/>
        </w:rPr>
      </w:pPr>
    </w:p>
    <w:p w:rsidR="007B2B2F" w:rsidRPr="00E800EC" w:rsidRDefault="007B2B2F" w:rsidP="007B2B2F">
      <w:pPr>
        <w:shd w:val="clear" w:color="auto" w:fill="FFFFFF"/>
        <w:spacing w:after="0" w:line="360" w:lineRule="auto"/>
        <w:ind w:firstLine="567"/>
        <w:jc w:val="both"/>
        <w:rPr>
          <w:rFonts w:ascii="Tahoma" w:eastAsia="Times New Roman" w:hAnsi="Tahoma" w:cs="Tahoma"/>
          <w:bCs/>
          <w:sz w:val="24"/>
          <w:szCs w:val="24"/>
          <w:lang w:eastAsia="pl-PL"/>
        </w:rPr>
      </w:pPr>
      <w:r w:rsidRPr="00E800EC">
        <w:rPr>
          <w:rFonts w:ascii="Tahoma" w:eastAsia="Times New Roman" w:hAnsi="Tahoma" w:cs="Tahoma"/>
          <w:bCs/>
          <w:sz w:val="24"/>
          <w:szCs w:val="24"/>
          <w:lang w:eastAsia="pl-PL"/>
        </w:rPr>
        <w:t xml:space="preserve">Art.1. W ustawie z dnia 6 czerwca 1997 r. - </w:t>
      </w:r>
      <w:r w:rsidRPr="00E800EC">
        <w:rPr>
          <w:rFonts w:ascii="Tahoma" w:eastAsia="Times New Roman" w:hAnsi="Tahoma" w:cs="Tahoma"/>
          <w:bCs/>
          <w:kern w:val="36"/>
          <w:sz w:val="24"/>
          <w:szCs w:val="24"/>
          <w:lang w:eastAsia="pl-PL"/>
        </w:rPr>
        <w:t xml:space="preserve">Kodeks postępowania karnego </w:t>
      </w:r>
      <w:r w:rsidRPr="00E800EC">
        <w:rPr>
          <w:rFonts w:ascii="Tahoma" w:eastAsia="Times New Roman" w:hAnsi="Tahoma" w:cs="Tahoma"/>
          <w:bCs/>
          <w:sz w:val="24"/>
          <w:szCs w:val="24"/>
          <w:lang w:eastAsia="pl-PL"/>
        </w:rPr>
        <w:t>(Dz.U. z 2016 r. poz. 1749) wprowadza się następujące zmiany:</w:t>
      </w:r>
    </w:p>
    <w:p w:rsidR="007B2B2F" w:rsidRPr="00E800EC" w:rsidRDefault="007B2B2F" w:rsidP="007B2B2F">
      <w:pPr>
        <w:pStyle w:val="Akapitzlist"/>
        <w:numPr>
          <w:ilvl w:val="0"/>
          <w:numId w:val="2"/>
        </w:numPr>
        <w:shd w:val="clear" w:color="auto" w:fill="FFFFFF"/>
        <w:spacing w:after="0" w:line="360" w:lineRule="auto"/>
        <w:jc w:val="both"/>
        <w:rPr>
          <w:rFonts w:ascii="Tahoma" w:eastAsia="Times New Roman" w:hAnsi="Tahoma" w:cs="Tahoma"/>
          <w:bCs/>
          <w:sz w:val="24"/>
          <w:szCs w:val="24"/>
          <w:lang w:eastAsia="pl-PL"/>
        </w:rPr>
      </w:pPr>
      <w:r w:rsidRPr="00E800EC">
        <w:rPr>
          <w:rFonts w:ascii="Tahoma" w:eastAsia="Times New Roman" w:hAnsi="Tahoma" w:cs="Tahoma"/>
          <w:bCs/>
          <w:sz w:val="24"/>
          <w:szCs w:val="24"/>
          <w:lang w:eastAsia="pl-PL"/>
        </w:rPr>
        <w:t>w art. 209:</w:t>
      </w:r>
    </w:p>
    <w:p w:rsidR="007B2B2F" w:rsidRDefault="007B2B2F" w:rsidP="007B2B2F">
      <w:pPr>
        <w:pStyle w:val="Akapitzlist"/>
        <w:numPr>
          <w:ilvl w:val="0"/>
          <w:numId w:val="1"/>
        </w:numPr>
        <w:shd w:val="clear" w:color="auto" w:fill="FFFFFF"/>
        <w:spacing w:after="0" w:line="360" w:lineRule="auto"/>
        <w:ind w:left="993" w:hanging="284"/>
        <w:jc w:val="both"/>
        <w:rPr>
          <w:rFonts w:ascii="Tahoma" w:eastAsia="Times New Roman" w:hAnsi="Tahoma" w:cs="Tahoma"/>
          <w:sz w:val="24"/>
          <w:szCs w:val="24"/>
          <w:lang w:eastAsia="pl-PL"/>
        </w:rPr>
      </w:pPr>
      <w:r w:rsidRPr="00E800EC">
        <w:rPr>
          <w:rFonts w:ascii="Tahoma" w:eastAsia="Times New Roman" w:hAnsi="Tahoma" w:cs="Tahoma"/>
          <w:bCs/>
          <w:sz w:val="24"/>
          <w:szCs w:val="24"/>
          <w:lang w:eastAsia="pl-PL"/>
        </w:rPr>
        <w:t xml:space="preserve"> </w:t>
      </w:r>
      <w:r w:rsidRPr="00E800EC">
        <w:rPr>
          <w:rFonts w:ascii="Tahoma" w:eastAsia="Times New Roman" w:hAnsi="Tahoma" w:cs="Tahoma"/>
          <w:sz w:val="24"/>
          <w:szCs w:val="24"/>
          <w:lang w:eastAsia="pl-PL"/>
        </w:rPr>
        <w:t>§ 1 otrzymuje brzmienie:</w:t>
      </w:r>
    </w:p>
    <w:p w:rsidR="007B2B2F" w:rsidRDefault="007B2B2F" w:rsidP="007B2B2F">
      <w:pPr>
        <w:pStyle w:val="Akapitzlist"/>
        <w:shd w:val="clear" w:color="auto" w:fill="FFFFFF"/>
        <w:spacing w:after="0" w:line="360" w:lineRule="auto"/>
        <w:ind w:left="993" w:firstLine="423"/>
        <w:jc w:val="both"/>
        <w:rPr>
          <w:rFonts w:ascii="Tahoma" w:eastAsia="Times New Roman" w:hAnsi="Tahoma" w:cs="Tahoma"/>
          <w:sz w:val="24"/>
          <w:szCs w:val="24"/>
          <w:lang w:eastAsia="pl-PL"/>
        </w:rPr>
      </w:pPr>
      <w:r w:rsidRPr="00E800EC">
        <w:rPr>
          <w:rFonts w:ascii="Tahoma" w:eastAsia="Times New Roman" w:hAnsi="Tahoma" w:cs="Tahoma"/>
          <w:sz w:val="24"/>
          <w:szCs w:val="24"/>
          <w:lang w:eastAsia="pl-PL"/>
        </w:rPr>
        <w:t>„§ 1. Jeżeli zachodzi podejrzenie przestępnego spowodowania śmierci, przeprowadza się </w:t>
      </w:r>
      <w:hyperlink r:id="rId6" w:history="1">
        <w:r w:rsidRPr="00E800EC">
          <w:rPr>
            <w:rFonts w:ascii="Tahoma" w:eastAsia="Times New Roman" w:hAnsi="Tahoma" w:cs="Tahoma"/>
            <w:sz w:val="24"/>
            <w:szCs w:val="24"/>
            <w:lang w:eastAsia="pl-PL"/>
          </w:rPr>
          <w:t>oględziny</w:t>
        </w:r>
      </w:hyperlink>
      <w:r w:rsidRPr="00E800EC">
        <w:rPr>
          <w:rFonts w:ascii="Tahoma" w:eastAsia="Times New Roman" w:hAnsi="Tahoma" w:cs="Tahoma"/>
          <w:sz w:val="24"/>
          <w:szCs w:val="24"/>
          <w:lang w:eastAsia="pl-PL"/>
        </w:rPr>
        <w:t> i otwarcie zwłok, z zastrzeżeniem § 6”;</w:t>
      </w:r>
    </w:p>
    <w:p w:rsidR="007B2B2F" w:rsidRDefault="007B2B2F" w:rsidP="007B2B2F">
      <w:pPr>
        <w:pStyle w:val="Akapitzlist"/>
        <w:numPr>
          <w:ilvl w:val="0"/>
          <w:numId w:val="1"/>
        </w:numPr>
        <w:shd w:val="clear" w:color="auto" w:fill="FFFFFF"/>
        <w:spacing w:after="0" w:line="360" w:lineRule="auto"/>
        <w:ind w:left="993" w:hanging="284"/>
        <w:jc w:val="both"/>
        <w:rPr>
          <w:rFonts w:ascii="Tahoma" w:hAnsi="Tahoma" w:cs="Tahoma"/>
          <w:sz w:val="24"/>
          <w:szCs w:val="24"/>
        </w:rPr>
      </w:pPr>
      <w:r w:rsidRPr="00E800EC">
        <w:rPr>
          <w:rFonts w:ascii="Tahoma" w:eastAsia="Times New Roman" w:hAnsi="Tahoma" w:cs="Tahoma"/>
          <w:sz w:val="24"/>
          <w:szCs w:val="24"/>
          <w:lang w:eastAsia="pl-PL"/>
        </w:rPr>
        <w:t xml:space="preserve"> po § 5 dodaje się § 6 w brzmieniu:</w:t>
      </w:r>
    </w:p>
    <w:p w:rsidR="007B2B2F" w:rsidRDefault="007B2B2F" w:rsidP="007B2B2F">
      <w:pPr>
        <w:pStyle w:val="Akapitzlist"/>
        <w:shd w:val="clear" w:color="auto" w:fill="FFFFFF"/>
        <w:spacing w:after="0" w:line="360" w:lineRule="auto"/>
        <w:ind w:left="993" w:firstLine="423"/>
        <w:jc w:val="both"/>
        <w:rPr>
          <w:rFonts w:ascii="Tahoma" w:eastAsia="Times New Roman" w:hAnsi="Tahoma" w:cs="Tahoma"/>
          <w:sz w:val="24"/>
          <w:szCs w:val="24"/>
          <w:lang w:eastAsia="pl-PL"/>
        </w:rPr>
      </w:pPr>
      <w:r w:rsidRPr="00E800EC">
        <w:rPr>
          <w:rFonts w:ascii="Tahoma" w:eastAsia="Times New Roman" w:hAnsi="Tahoma" w:cs="Tahoma"/>
          <w:sz w:val="24"/>
          <w:szCs w:val="24"/>
          <w:lang w:eastAsia="pl-PL"/>
        </w:rPr>
        <w:t>„§ 6. W uzasadnionych przypadkach prokurator</w:t>
      </w:r>
      <w:r>
        <w:rPr>
          <w:rFonts w:ascii="Tahoma" w:eastAsia="Times New Roman" w:hAnsi="Tahoma" w:cs="Tahoma"/>
          <w:sz w:val="24"/>
          <w:szCs w:val="24"/>
          <w:lang w:eastAsia="pl-PL"/>
        </w:rPr>
        <w:t xml:space="preserve"> albo sąd</w:t>
      </w:r>
      <w:r w:rsidRPr="00E800EC">
        <w:rPr>
          <w:rFonts w:ascii="Tahoma" w:eastAsia="Times New Roman" w:hAnsi="Tahoma" w:cs="Tahoma"/>
          <w:sz w:val="24"/>
          <w:szCs w:val="24"/>
          <w:lang w:eastAsia="pl-PL"/>
        </w:rPr>
        <w:t xml:space="preserve"> może odstąpić od przeprowadzenia </w:t>
      </w:r>
      <w:r>
        <w:rPr>
          <w:rFonts w:ascii="Tahoma" w:eastAsia="Times New Roman" w:hAnsi="Tahoma" w:cs="Tahoma"/>
          <w:sz w:val="24"/>
          <w:szCs w:val="24"/>
          <w:lang w:eastAsia="pl-PL"/>
        </w:rPr>
        <w:t xml:space="preserve">oględzin lub </w:t>
      </w:r>
      <w:r w:rsidRPr="00E800EC">
        <w:rPr>
          <w:rFonts w:ascii="Tahoma" w:eastAsia="Times New Roman" w:hAnsi="Tahoma" w:cs="Tahoma"/>
          <w:sz w:val="24"/>
          <w:szCs w:val="24"/>
          <w:lang w:eastAsia="pl-PL"/>
        </w:rPr>
        <w:t>otwarcia zwłok, o którym mowa w  §</w:t>
      </w:r>
      <w:r>
        <w:rPr>
          <w:rFonts w:ascii="Tahoma" w:eastAsia="Times New Roman" w:hAnsi="Tahoma" w:cs="Tahoma"/>
          <w:sz w:val="24"/>
          <w:szCs w:val="24"/>
          <w:lang w:eastAsia="pl-PL"/>
        </w:rPr>
        <w:t xml:space="preserve"> </w:t>
      </w:r>
      <w:r w:rsidRPr="00E800EC">
        <w:rPr>
          <w:rFonts w:ascii="Tahoma" w:eastAsia="Times New Roman" w:hAnsi="Tahoma" w:cs="Tahoma"/>
          <w:sz w:val="24"/>
          <w:szCs w:val="24"/>
          <w:lang w:eastAsia="pl-PL"/>
        </w:rPr>
        <w:t>1.”.</w:t>
      </w:r>
    </w:p>
    <w:p w:rsidR="007B2B2F" w:rsidRPr="00E800EC" w:rsidRDefault="007B2B2F" w:rsidP="007B2B2F">
      <w:pPr>
        <w:pStyle w:val="Akapitzlist"/>
        <w:numPr>
          <w:ilvl w:val="0"/>
          <w:numId w:val="2"/>
        </w:numPr>
        <w:shd w:val="clear" w:color="auto" w:fill="FFFFFF"/>
        <w:spacing w:after="0" w:line="360" w:lineRule="auto"/>
        <w:jc w:val="both"/>
        <w:rPr>
          <w:rFonts w:ascii="Tahoma" w:eastAsia="Times New Roman" w:hAnsi="Tahoma" w:cs="Tahoma"/>
          <w:bCs/>
          <w:sz w:val="24"/>
          <w:szCs w:val="24"/>
          <w:lang w:eastAsia="pl-PL"/>
        </w:rPr>
      </w:pPr>
      <w:r w:rsidRPr="00E800EC">
        <w:rPr>
          <w:rFonts w:ascii="Tahoma" w:eastAsia="Times New Roman" w:hAnsi="Tahoma" w:cs="Tahoma"/>
          <w:bCs/>
          <w:sz w:val="24"/>
          <w:szCs w:val="24"/>
          <w:lang w:eastAsia="pl-PL"/>
        </w:rPr>
        <w:t>art. 210 otrzymuje brzmienie:</w:t>
      </w:r>
    </w:p>
    <w:p w:rsidR="007B2B2F" w:rsidRDefault="007B2B2F" w:rsidP="007B2B2F">
      <w:pPr>
        <w:pStyle w:val="Akapitzlist"/>
        <w:shd w:val="clear" w:color="auto" w:fill="FFFFFF"/>
        <w:spacing w:after="0" w:line="360" w:lineRule="auto"/>
        <w:ind w:firstLine="556"/>
        <w:jc w:val="both"/>
        <w:rPr>
          <w:rFonts w:ascii="Tahoma" w:eastAsia="Times New Roman" w:hAnsi="Tahoma" w:cs="Tahoma"/>
          <w:sz w:val="24"/>
          <w:szCs w:val="24"/>
          <w:lang w:eastAsia="pl-PL"/>
        </w:rPr>
      </w:pPr>
      <w:r w:rsidRPr="00E800EC">
        <w:rPr>
          <w:rFonts w:ascii="Tahoma" w:eastAsia="Times New Roman" w:hAnsi="Tahoma" w:cs="Tahoma"/>
          <w:sz w:val="24"/>
          <w:szCs w:val="24"/>
          <w:lang w:eastAsia="pl-PL"/>
        </w:rPr>
        <w:t>„Art. 210 § 1. W celu dokonania oględzin lub otwarcia zwłok prokurator albo sąd</w:t>
      </w:r>
      <w:r>
        <w:rPr>
          <w:rFonts w:ascii="Tahoma" w:eastAsia="Times New Roman" w:hAnsi="Tahoma" w:cs="Tahoma"/>
          <w:sz w:val="24"/>
          <w:szCs w:val="24"/>
          <w:lang w:eastAsia="pl-PL"/>
        </w:rPr>
        <w:t xml:space="preserve"> w drodze postanowienia</w:t>
      </w:r>
      <w:r w:rsidRPr="00E800EC">
        <w:rPr>
          <w:rFonts w:ascii="Tahoma" w:eastAsia="Times New Roman" w:hAnsi="Tahoma" w:cs="Tahoma"/>
          <w:sz w:val="24"/>
          <w:szCs w:val="24"/>
          <w:lang w:eastAsia="pl-PL"/>
        </w:rPr>
        <w:t xml:space="preserve"> może zarządzić wyjęcie zwłok z grobu. </w:t>
      </w:r>
    </w:p>
    <w:p w:rsidR="007B2B2F" w:rsidRPr="004526C5" w:rsidRDefault="007B2B2F" w:rsidP="007B2B2F">
      <w:pPr>
        <w:pStyle w:val="Akapitzlist"/>
        <w:shd w:val="clear" w:color="auto" w:fill="FFFFFF"/>
        <w:spacing w:after="0" w:line="360" w:lineRule="auto"/>
        <w:ind w:firstLine="556"/>
        <w:jc w:val="both"/>
        <w:rPr>
          <w:rFonts w:ascii="Tahoma" w:eastAsia="Times New Roman" w:hAnsi="Tahoma" w:cs="Tahoma"/>
          <w:sz w:val="24"/>
          <w:szCs w:val="24"/>
          <w:lang w:eastAsia="pl-PL"/>
        </w:rPr>
      </w:pPr>
      <w:r w:rsidRPr="004526C5">
        <w:rPr>
          <w:rFonts w:ascii="Tahoma" w:eastAsia="Times New Roman" w:hAnsi="Tahoma" w:cs="Tahoma"/>
          <w:sz w:val="24"/>
          <w:szCs w:val="24"/>
          <w:lang w:eastAsia="pl-PL"/>
        </w:rPr>
        <w:t xml:space="preserve">§ 2. Na </w:t>
      </w:r>
      <w:r>
        <w:rPr>
          <w:rFonts w:ascii="Tahoma" w:eastAsia="Times New Roman" w:hAnsi="Tahoma" w:cs="Tahoma"/>
          <w:sz w:val="24"/>
          <w:szCs w:val="24"/>
          <w:lang w:eastAsia="pl-PL"/>
        </w:rPr>
        <w:t>postanowienie</w:t>
      </w:r>
      <w:r w:rsidRPr="004526C5">
        <w:rPr>
          <w:rFonts w:ascii="Tahoma" w:eastAsia="Times New Roman" w:hAnsi="Tahoma" w:cs="Tahoma"/>
          <w:sz w:val="24"/>
          <w:szCs w:val="24"/>
          <w:lang w:eastAsia="pl-PL"/>
        </w:rPr>
        <w:t xml:space="preserve">, o którym mowa w § 1 przysługuje zażalenie. </w:t>
      </w:r>
      <w:r>
        <w:rPr>
          <w:rFonts w:ascii="Tahoma" w:eastAsia="Times New Roman" w:hAnsi="Tahoma" w:cs="Tahoma"/>
          <w:sz w:val="24"/>
          <w:szCs w:val="24"/>
          <w:lang w:eastAsia="pl-PL"/>
        </w:rPr>
        <w:t xml:space="preserve"> </w:t>
      </w:r>
    </w:p>
    <w:p w:rsidR="007B2B2F" w:rsidRPr="004526C5" w:rsidRDefault="007B2B2F" w:rsidP="007B2B2F">
      <w:pPr>
        <w:pStyle w:val="Akapitzlist"/>
        <w:shd w:val="clear" w:color="auto" w:fill="FFFFFF"/>
        <w:spacing w:after="0" w:line="360" w:lineRule="auto"/>
        <w:ind w:firstLine="556"/>
        <w:jc w:val="both"/>
        <w:rPr>
          <w:rFonts w:ascii="Tahoma" w:eastAsia="Times New Roman" w:hAnsi="Tahoma" w:cs="Tahoma"/>
          <w:sz w:val="24"/>
          <w:szCs w:val="24"/>
          <w:lang w:eastAsia="pl-PL"/>
        </w:rPr>
      </w:pPr>
      <w:r w:rsidRPr="00524699">
        <w:rPr>
          <w:rFonts w:ascii="Tahoma" w:hAnsi="Tahoma" w:cs="Tahoma"/>
          <w:sz w:val="24"/>
          <w:szCs w:val="24"/>
        </w:rPr>
        <w:t xml:space="preserve">§ 3. Złożenie zażalenia wstrzymuje wykonanie </w:t>
      </w:r>
      <w:r>
        <w:rPr>
          <w:rFonts w:ascii="Tahoma" w:hAnsi="Tahoma" w:cs="Tahoma"/>
          <w:sz w:val="24"/>
          <w:szCs w:val="24"/>
        </w:rPr>
        <w:t xml:space="preserve">postanowienia, o którym mowa w </w:t>
      </w:r>
      <w:r w:rsidRPr="004526C5">
        <w:rPr>
          <w:rFonts w:ascii="Tahoma" w:eastAsia="Times New Roman" w:hAnsi="Tahoma" w:cs="Tahoma"/>
          <w:sz w:val="24"/>
          <w:szCs w:val="24"/>
          <w:lang w:eastAsia="pl-PL"/>
        </w:rPr>
        <w:t>§ 1</w:t>
      </w:r>
      <w:r>
        <w:rPr>
          <w:rFonts w:ascii="Tahoma" w:eastAsia="Times New Roman" w:hAnsi="Tahoma" w:cs="Tahoma"/>
          <w:sz w:val="24"/>
          <w:szCs w:val="24"/>
          <w:lang w:eastAsia="pl-PL"/>
        </w:rPr>
        <w:t>.</w:t>
      </w:r>
    </w:p>
    <w:p w:rsidR="007B2B2F" w:rsidRDefault="007B2B2F" w:rsidP="007B2B2F">
      <w:pPr>
        <w:pStyle w:val="Akapitzlist"/>
        <w:shd w:val="clear" w:color="auto" w:fill="FFFFFF"/>
        <w:spacing w:after="0" w:line="360" w:lineRule="auto"/>
        <w:ind w:firstLine="556"/>
        <w:jc w:val="both"/>
        <w:rPr>
          <w:rFonts w:ascii="Tahoma" w:eastAsia="Times New Roman" w:hAnsi="Tahoma" w:cs="Tahoma"/>
          <w:sz w:val="24"/>
          <w:szCs w:val="24"/>
          <w:lang w:eastAsia="pl-PL"/>
        </w:rPr>
      </w:pPr>
      <w:r w:rsidRPr="00524699">
        <w:rPr>
          <w:rFonts w:ascii="Tahoma" w:hAnsi="Tahoma" w:cs="Tahoma"/>
          <w:sz w:val="24"/>
          <w:szCs w:val="24"/>
        </w:rPr>
        <w:t xml:space="preserve">§ 4. </w:t>
      </w:r>
      <w:r w:rsidRPr="004526C5">
        <w:rPr>
          <w:rFonts w:ascii="Tahoma" w:eastAsia="Times New Roman" w:hAnsi="Tahoma" w:cs="Tahoma"/>
          <w:sz w:val="24"/>
          <w:szCs w:val="24"/>
          <w:lang w:eastAsia="pl-PL"/>
        </w:rPr>
        <w:t>Przepisy rozdziału 50 stosuje się odpowiednio.”.</w:t>
      </w:r>
    </w:p>
    <w:p w:rsidR="007B2B2F" w:rsidRPr="00E670A5" w:rsidRDefault="007B2B2F" w:rsidP="007B2B2F">
      <w:pPr>
        <w:shd w:val="clear" w:color="auto" w:fill="FFFFFF"/>
        <w:spacing w:after="0" w:line="360" w:lineRule="auto"/>
        <w:ind w:firstLine="567"/>
        <w:jc w:val="both"/>
        <w:rPr>
          <w:rFonts w:ascii="Tahoma" w:eastAsia="Times New Roman" w:hAnsi="Tahoma" w:cs="Tahoma"/>
          <w:sz w:val="24"/>
          <w:szCs w:val="24"/>
          <w:lang w:eastAsia="pl-PL"/>
        </w:rPr>
      </w:pPr>
      <w:r w:rsidRPr="00E670A5">
        <w:rPr>
          <w:rFonts w:ascii="Tahoma" w:eastAsia="Times New Roman" w:hAnsi="Tahoma" w:cs="Tahoma"/>
          <w:sz w:val="24"/>
          <w:szCs w:val="24"/>
          <w:lang w:eastAsia="pl-PL"/>
        </w:rPr>
        <w:t xml:space="preserve">Art. 2 </w:t>
      </w:r>
      <w:r w:rsidRPr="00E670A5">
        <w:rPr>
          <w:rFonts w:ascii="Tahoma" w:hAnsi="Tahoma" w:cs="Tahoma"/>
          <w:sz w:val="24"/>
          <w:szCs w:val="24"/>
        </w:rPr>
        <w:t xml:space="preserve">§ 1. </w:t>
      </w:r>
      <w:r w:rsidRPr="00E670A5">
        <w:rPr>
          <w:rFonts w:ascii="Tahoma" w:eastAsia="Times New Roman" w:hAnsi="Tahoma" w:cs="Tahoma"/>
          <w:sz w:val="24"/>
          <w:szCs w:val="24"/>
          <w:lang w:eastAsia="pl-PL"/>
        </w:rPr>
        <w:t>Termin</w:t>
      </w:r>
      <w:r w:rsidRPr="005633A7">
        <w:rPr>
          <w:rFonts w:ascii="Tahoma" w:eastAsia="Times New Roman" w:hAnsi="Tahoma" w:cs="Tahoma"/>
          <w:sz w:val="24"/>
          <w:szCs w:val="24"/>
          <w:lang w:eastAsia="pl-PL"/>
        </w:rPr>
        <w:t xml:space="preserve"> </w:t>
      </w:r>
      <w:r w:rsidRPr="00E670A5">
        <w:rPr>
          <w:rFonts w:ascii="Tahoma" w:eastAsia="Times New Roman" w:hAnsi="Tahoma" w:cs="Tahoma"/>
          <w:sz w:val="24"/>
          <w:szCs w:val="24"/>
          <w:lang w:eastAsia="pl-PL"/>
        </w:rPr>
        <w:t>na wniesienie zażalenia, o którym mowa w art.</w:t>
      </w:r>
      <w:r>
        <w:rPr>
          <w:rFonts w:ascii="Tahoma" w:eastAsia="Times New Roman" w:hAnsi="Tahoma" w:cs="Tahoma"/>
          <w:sz w:val="24"/>
          <w:szCs w:val="24"/>
          <w:lang w:eastAsia="pl-PL"/>
        </w:rPr>
        <w:t xml:space="preserve"> </w:t>
      </w:r>
      <w:r w:rsidRPr="00E670A5">
        <w:rPr>
          <w:rFonts w:ascii="Tahoma" w:eastAsia="Times New Roman" w:hAnsi="Tahoma" w:cs="Tahoma"/>
          <w:sz w:val="24"/>
          <w:szCs w:val="24"/>
          <w:lang w:eastAsia="pl-PL"/>
        </w:rPr>
        <w:t xml:space="preserve">460 ustawy zmienianej w art. 1, na </w:t>
      </w:r>
      <w:r>
        <w:rPr>
          <w:rFonts w:ascii="Tahoma" w:eastAsia="Times New Roman" w:hAnsi="Tahoma" w:cs="Tahoma"/>
          <w:sz w:val="24"/>
          <w:szCs w:val="24"/>
          <w:lang w:eastAsia="pl-PL"/>
        </w:rPr>
        <w:t>postanowienie</w:t>
      </w:r>
      <w:r w:rsidRPr="00E670A5">
        <w:rPr>
          <w:rFonts w:ascii="Tahoma" w:eastAsia="Times New Roman" w:hAnsi="Tahoma" w:cs="Tahoma"/>
          <w:sz w:val="24"/>
          <w:szCs w:val="24"/>
          <w:lang w:eastAsia="pl-PL"/>
        </w:rPr>
        <w:t xml:space="preserve"> prokuratora</w:t>
      </w:r>
      <w:r>
        <w:rPr>
          <w:rFonts w:ascii="Tahoma" w:eastAsia="Times New Roman" w:hAnsi="Tahoma" w:cs="Tahoma"/>
          <w:sz w:val="24"/>
          <w:szCs w:val="24"/>
          <w:lang w:eastAsia="pl-PL"/>
        </w:rPr>
        <w:t xml:space="preserve"> albo sądu</w:t>
      </w:r>
      <w:r w:rsidRPr="00E670A5">
        <w:rPr>
          <w:rFonts w:ascii="Tahoma" w:eastAsia="Times New Roman" w:hAnsi="Tahoma" w:cs="Tahoma"/>
          <w:sz w:val="24"/>
          <w:szCs w:val="24"/>
          <w:lang w:eastAsia="pl-PL"/>
        </w:rPr>
        <w:t xml:space="preserve"> o wyjęciu zwłok z grobu, o którym mowa w art. 210 ustawy</w:t>
      </w:r>
      <w:r>
        <w:rPr>
          <w:rFonts w:ascii="Tahoma" w:eastAsia="Times New Roman" w:hAnsi="Tahoma" w:cs="Tahoma"/>
          <w:sz w:val="24"/>
          <w:szCs w:val="24"/>
          <w:lang w:eastAsia="pl-PL"/>
        </w:rPr>
        <w:t xml:space="preserve"> zmienianej </w:t>
      </w:r>
      <w:r w:rsidRPr="00E670A5">
        <w:rPr>
          <w:rFonts w:ascii="Tahoma" w:eastAsia="Times New Roman" w:hAnsi="Tahoma" w:cs="Tahoma"/>
          <w:sz w:val="24"/>
          <w:szCs w:val="24"/>
          <w:lang w:eastAsia="pl-PL"/>
        </w:rPr>
        <w:t xml:space="preserve">w art. 1, wydane przed dniem wejścia w życie niniejszej ustawy, biegnie od dnia wejścia w życie ustawy. </w:t>
      </w:r>
    </w:p>
    <w:p w:rsidR="007B2B2F" w:rsidRPr="00E800EC" w:rsidRDefault="007B2B2F" w:rsidP="007B2B2F">
      <w:pPr>
        <w:shd w:val="clear" w:color="auto" w:fill="FFFFFF"/>
        <w:spacing w:after="0" w:line="360" w:lineRule="auto"/>
        <w:jc w:val="both"/>
        <w:rPr>
          <w:rFonts w:ascii="Tahoma" w:eastAsia="Times New Roman" w:hAnsi="Tahoma" w:cs="Tahoma"/>
          <w:sz w:val="24"/>
          <w:szCs w:val="24"/>
          <w:lang w:eastAsia="pl-PL"/>
        </w:rPr>
      </w:pPr>
      <w:r w:rsidRPr="00E670A5">
        <w:rPr>
          <w:rFonts w:ascii="Tahoma" w:hAnsi="Tahoma" w:cs="Tahoma"/>
          <w:sz w:val="24"/>
          <w:szCs w:val="24"/>
        </w:rPr>
        <w:t xml:space="preserve">§ 2. Przepis  § 1 ma zastosowanie do </w:t>
      </w:r>
      <w:r>
        <w:rPr>
          <w:rFonts w:ascii="Tahoma" w:hAnsi="Tahoma" w:cs="Tahoma"/>
          <w:sz w:val="24"/>
          <w:szCs w:val="24"/>
        </w:rPr>
        <w:t>postanowień</w:t>
      </w:r>
      <w:r w:rsidRPr="00E670A5">
        <w:rPr>
          <w:rFonts w:ascii="Tahoma" w:hAnsi="Tahoma" w:cs="Tahoma"/>
          <w:sz w:val="24"/>
          <w:szCs w:val="24"/>
        </w:rPr>
        <w:t xml:space="preserve"> niewykonanych. </w:t>
      </w:r>
    </w:p>
    <w:p w:rsidR="007B2B2F" w:rsidRDefault="007B2B2F" w:rsidP="007B2B2F">
      <w:pPr>
        <w:pStyle w:val="Akapitzlist"/>
        <w:shd w:val="clear" w:color="auto" w:fill="FFFFFF"/>
        <w:spacing w:after="0" w:line="360" w:lineRule="auto"/>
        <w:ind w:left="567" w:hanging="12"/>
        <w:jc w:val="both"/>
        <w:rPr>
          <w:rFonts w:ascii="Tahoma" w:hAnsi="Tahoma" w:cs="Tahoma"/>
          <w:sz w:val="24"/>
          <w:szCs w:val="24"/>
        </w:rPr>
      </w:pPr>
      <w:r w:rsidRPr="00E800EC">
        <w:rPr>
          <w:rFonts w:ascii="Tahoma" w:eastAsia="Times New Roman" w:hAnsi="Tahoma" w:cs="Tahoma"/>
          <w:sz w:val="24"/>
          <w:szCs w:val="24"/>
          <w:lang w:eastAsia="pl-PL"/>
        </w:rPr>
        <w:t xml:space="preserve">Art. </w:t>
      </w:r>
      <w:r>
        <w:rPr>
          <w:rFonts w:ascii="Tahoma" w:eastAsia="Times New Roman" w:hAnsi="Tahoma" w:cs="Tahoma"/>
          <w:sz w:val="24"/>
          <w:szCs w:val="24"/>
          <w:lang w:eastAsia="pl-PL"/>
        </w:rPr>
        <w:t>3</w:t>
      </w:r>
      <w:r w:rsidRPr="00E800EC">
        <w:rPr>
          <w:rFonts w:ascii="Tahoma" w:eastAsia="Times New Roman" w:hAnsi="Tahoma" w:cs="Tahoma"/>
          <w:sz w:val="24"/>
          <w:szCs w:val="24"/>
          <w:lang w:eastAsia="pl-PL"/>
        </w:rPr>
        <w:t xml:space="preserve">. Ustawa uchodzi w życie po upływie 14 dni od dnia ogłoszenia.  </w:t>
      </w:r>
    </w:p>
    <w:p w:rsidR="007B2B2F" w:rsidRDefault="007B2B2F" w:rsidP="007B2B2F"/>
    <w:p w:rsidR="007B2B2F" w:rsidRPr="00E800EC" w:rsidRDefault="007B2B2F" w:rsidP="007B2B2F"/>
    <w:p w:rsidR="007B2B2F" w:rsidRDefault="007B2B2F" w:rsidP="00173763">
      <w:pPr>
        <w:jc w:val="center"/>
        <w:rPr>
          <w:rFonts w:ascii="Tahoma" w:hAnsi="Tahoma" w:cs="Tahoma"/>
          <w:b/>
          <w:sz w:val="24"/>
          <w:szCs w:val="24"/>
        </w:rPr>
      </w:pPr>
    </w:p>
    <w:p w:rsidR="007B2B2F" w:rsidRDefault="007B2B2F" w:rsidP="00173763">
      <w:pPr>
        <w:jc w:val="center"/>
        <w:rPr>
          <w:rFonts w:ascii="Tahoma" w:hAnsi="Tahoma" w:cs="Tahoma"/>
          <w:b/>
          <w:sz w:val="24"/>
          <w:szCs w:val="24"/>
        </w:rPr>
      </w:pPr>
    </w:p>
    <w:p w:rsidR="007B2B2F" w:rsidRDefault="007B2B2F" w:rsidP="00173763">
      <w:pPr>
        <w:jc w:val="center"/>
        <w:rPr>
          <w:rFonts w:ascii="Tahoma" w:hAnsi="Tahoma" w:cs="Tahoma"/>
          <w:b/>
          <w:sz w:val="24"/>
          <w:szCs w:val="24"/>
        </w:rPr>
      </w:pPr>
    </w:p>
    <w:p w:rsidR="004B4E0A" w:rsidRPr="004B4E0A" w:rsidRDefault="004B4E0A" w:rsidP="00173763">
      <w:pPr>
        <w:jc w:val="center"/>
        <w:rPr>
          <w:rFonts w:ascii="Tahoma" w:hAnsi="Tahoma" w:cs="Tahoma"/>
          <w:b/>
          <w:sz w:val="24"/>
          <w:szCs w:val="24"/>
        </w:rPr>
      </w:pPr>
      <w:r w:rsidRPr="004B4E0A">
        <w:rPr>
          <w:rFonts w:ascii="Tahoma" w:hAnsi="Tahoma" w:cs="Tahoma"/>
          <w:b/>
          <w:sz w:val="24"/>
          <w:szCs w:val="24"/>
        </w:rPr>
        <w:lastRenderedPageBreak/>
        <w:t>Uzasadnienie</w:t>
      </w:r>
    </w:p>
    <w:p w:rsidR="004B4E0A" w:rsidRDefault="004B4E0A">
      <w:pPr>
        <w:rPr>
          <w:rFonts w:ascii="Tahoma" w:hAnsi="Tahoma" w:cs="Tahoma"/>
          <w:sz w:val="24"/>
          <w:szCs w:val="24"/>
        </w:rPr>
      </w:pPr>
    </w:p>
    <w:p w:rsidR="00EF71EF" w:rsidRDefault="004B4E0A">
      <w:pPr>
        <w:rPr>
          <w:rFonts w:ascii="Tahoma" w:hAnsi="Tahoma" w:cs="Tahoma"/>
          <w:b/>
          <w:sz w:val="24"/>
          <w:szCs w:val="24"/>
        </w:rPr>
      </w:pPr>
      <w:r w:rsidRPr="004B4E0A">
        <w:rPr>
          <w:rFonts w:ascii="Tahoma" w:hAnsi="Tahoma" w:cs="Tahoma"/>
          <w:b/>
          <w:sz w:val="24"/>
          <w:szCs w:val="24"/>
        </w:rPr>
        <w:t>I Potrzeba i cel wydania ustawy</w:t>
      </w:r>
    </w:p>
    <w:p w:rsidR="00011BA0" w:rsidRDefault="00AA2770" w:rsidP="000776B3">
      <w:pPr>
        <w:spacing w:line="360" w:lineRule="auto"/>
        <w:jc w:val="both"/>
        <w:rPr>
          <w:rFonts w:ascii="Tahoma" w:hAnsi="Tahoma" w:cs="Tahoma"/>
          <w:sz w:val="24"/>
          <w:szCs w:val="24"/>
        </w:rPr>
      </w:pPr>
      <w:r>
        <w:rPr>
          <w:rFonts w:ascii="Tahoma" w:hAnsi="Tahoma" w:cs="Tahoma"/>
          <w:sz w:val="24"/>
          <w:szCs w:val="24"/>
        </w:rPr>
        <w:t xml:space="preserve">Celem projektowanej zmiany jest dodanie do art. 209 </w:t>
      </w:r>
      <w:r w:rsidR="002B4C6E">
        <w:rPr>
          <w:rFonts w:ascii="Tahoma" w:hAnsi="Tahoma" w:cs="Tahoma"/>
          <w:sz w:val="24"/>
          <w:szCs w:val="24"/>
        </w:rPr>
        <w:t xml:space="preserve">ustawy z dnia 6 czerwca </w:t>
      </w:r>
      <w:r w:rsidR="002B4C6E">
        <w:rPr>
          <w:rFonts w:ascii="Tahoma" w:hAnsi="Tahoma" w:cs="Tahoma"/>
          <w:sz w:val="24"/>
          <w:szCs w:val="24"/>
        </w:rPr>
        <w:br/>
        <w:t>1977 r. Kodeks postępowania karnego (</w:t>
      </w:r>
      <w:r w:rsidR="00215959">
        <w:rPr>
          <w:rFonts w:ascii="Tahoma" w:hAnsi="Tahoma" w:cs="Tahoma"/>
          <w:sz w:val="24"/>
          <w:szCs w:val="24"/>
        </w:rPr>
        <w:t>Dz.U.2016.1749</w:t>
      </w:r>
      <w:r w:rsidR="002B4C6E">
        <w:rPr>
          <w:rFonts w:ascii="Tahoma" w:hAnsi="Tahoma" w:cs="Tahoma"/>
          <w:sz w:val="24"/>
          <w:szCs w:val="24"/>
        </w:rPr>
        <w:t>) (dalej również: „</w:t>
      </w:r>
      <w:r>
        <w:rPr>
          <w:rFonts w:ascii="Tahoma" w:hAnsi="Tahoma" w:cs="Tahoma"/>
          <w:sz w:val="24"/>
          <w:szCs w:val="24"/>
        </w:rPr>
        <w:t>k.p.k</w:t>
      </w:r>
      <w:r w:rsidR="00173763">
        <w:rPr>
          <w:rFonts w:ascii="Tahoma" w:hAnsi="Tahoma" w:cs="Tahoma"/>
          <w:sz w:val="24"/>
          <w:szCs w:val="24"/>
        </w:rPr>
        <w:t>.</w:t>
      </w:r>
      <w:r w:rsidR="002B4C6E">
        <w:rPr>
          <w:rFonts w:ascii="Tahoma" w:hAnsi="Tahoma" w:cs="Tahoma"/>
          <w:sz w:val="24"/>
          <w:szCs w:val="24"/>
        </w:rPr>
        <w:t xml:space="preserve">”) </w:t>
      </w:r>
      <w:r>
        <w:rPr>
          <w:rFonts w:ascii="Tahoma" w:hAnsi="Tahoma" w:cs="Tahoma"/>
          <w:sz w:val="24"/>
          <w:szCs w:val="24"/>
        </w:rPr>
        <w:t>zapisów umożliwiających prokuratorowi odstąpienie od prze</w:t>
      </w:r>
      <w:r w:rsidR="00173763">
        <w:rPr>
          <w:rFonts w:ascii="Tahoma" w:hAnsi="Tahoma" w:cs="Tahoma"/>
          <w:sz w:val="24"/>
          <w:szCs w:val="24"/>
        </w:rPr>
        <w:t>prowadzenia otwarcia zwłok</w:t>
      </w:r>
      <w:r w:rsidR="004448D9">
        <w:rPr>
          <w:rFonts w:ascii="Tahoma" w:hAnsi="Tahoma" w:cs="Tahoma"/>
          <w:sz w:val="24"/>
          <w:szCs w:val="24"/>
        </w:rPr>
        <w:t xml:space="preserve"> w przypadku, </w:t>
      </w:r>
      <w:r w:rsidR="00C915E1">
        <w:rPr>
          <w:rFonts w:ascii="Tahoma" w:hAnsi="Tahoma" w:cs="Tahoma"/>
          <w:sz w:val="24"/>
          <w:szCs w:val="24"/>
        </w:rPr>
        <w:t>w którym</w:t>
      </w:r>
      <w:r w:rsidR="004448D9">
        <w:rPr>
          <w:rFonts w:ascii="Tahoma" w:hAnsi="Tahoma" w:cs="Tahoma"/>
          <w:sz w:val="24"/>
          <w:szCs w:val="24"/>
        </w:rPr>
        <w:t xml:space="preserve"> w toku śledztwa uzna</w:t>
      </w:r>
      <w:r w:rsidR="00C915E1">
        <w:rPr>
          <w:rFonts w:ascii="Tahoma" w:hAnsi="Tahoma" w:cs="Tahoma"/>
          <w:sz w:val="24"/>
          <w:szCs w:val="24"/>
        </w:rPr>
        <w:t xml:space="preserve"> on</w:t>
      </w:r>
      <w:r w:rsidR="004448D9">
        <w:rPr>
          <w:rFonts w:ascii="Tahoma" w:hAnsi="Tahoma" w:cs="Tahoma"/>
          <w:sz w:val="24"/>
          <w:szCs w:val="24"/>
        </w:rPr>
        <w:t>, że przeprowadzanie takiego dowodu przestało być uzasadnione, a także</w:t>
      </w:r>
      <w:r>
        <w:rPr>
          <w:rFonts w:ascii="Tahoma" w:hAnsi="Tahoma" w:cs="Tahoma"/>
          <w:sz w:val="24"/>
          <w:szCs w:val="24"/>
        </w:rPr>
        <w:t xml:space="preserve"> wprowadzenie możliwości odwoł</w:t>
      </w:r>
      <w:r w:rsidR="002B4C6E">
        <w:rPr>
          <w:rFonts w:ascii="Tahoma" w:hAnsi="Tahoma" w:cs="Tahoma"/>
          <w:sz w:val="24"/>
          <w:szCs w:val="24"/>
        </w:rPr>
        <w:t xml:space="preserve">ania się od postanowień organów </w:t>
      </w:r>
      <w:r>
        <w:rPr>
          <w:rFonts w:ascii="Tahoma" w:hAnsi="Tahoma" w:cs="Tahoma"/>
          <w:sz w:val="24"/>
          <w:szCs w:val="24"/>
        </w:rPr>
        <w:t>wymienionych w art. 210 k.</w:t>
      </w:r>
      <w:r w:rsidR="002B4C6E">
        <w:rPr>
          <w:rFonts w:ascii="Tahoma" w:hAnsi="Tahoma" w:cs="Tahoma"/>
          <w:sz w:val="24"/>
          <w:szCs w:val="24"/>
        </w:rPr>
        <w:t>p.</w:t>
      </w:r>
      <w:r>
        <w:rPr>
          <w:rFonts w:ascii="Tahoma" w:hAnsi="Tahoma" w:cs="Tahoma"/>
          <w:sz w:val="24"/>
          <w:szCs w:val="24"/>
        </w:rPr>
        <w:t xml:space="preserve">k. </w:t>
      </w:r>
    </w:p>
    <w:p w:rsidR="00AA2770" w:rsidRDefault="00AA2770" w:rsidP="000776B3">
      <w:pPr>
        <w:spacing w:line="360" w:lineRule="auto"/>
        <w:jc w:val="both"/>
        <w:rPr>
          <w:rFonts w:ascii="Tahoma" w:hAnsi="Tahoma" w:cs="Tahoma"/>
          <w:sz w:val="24"/>
          <w:szCs w:val="24"/>
        </w:rPr>
      </w:pPr>
      <w:r>
        <w:rPr>
          <w:rFonts w:ascii="Tahoma" w:hAnsi="Tahoma" w:cs="Tahoma"/>
          <w:sz w:val="24"/>
          <w:szCs w:val="24"/>
        </w:rPr>
        <w:t xml:space="preserve">Wprowadzenie niniejszej zmiany w art. 210 k.p.k. </w:t>
      </w:r>
      <w:r w:rsidR="00215959">
        <w:rPr>
          <w:rFonts w:ascii="Tahoma" w:hAnsi="Tahoma" w:cs="Tahoma"/>
          <w:sz w:val="24"/>
          <w:szCs w:val="24"/>
        </w:rPr>
        <w:t xml:space="preserve">stworzy możliwość wniesienia </w:t>
      </w:r>
      <w:r w:rsidR="00011BA0">
        <w:rPr>
          <w:rFonts w:ascii="Tahoma" w:hAnsi="Tahoma" w:cs="Tahoma"/>
          <w:sz w:val="24"/>
          <w:szCs w:val="24"/>
        </w:rPr>
        <w:t>zażalenia na wydane</w:t>
      </w:r>
      <w:r w:rsidR="004448D9">
        <w:rPr>
          <w:rFonts w:ascii="Tahoma" w:hAnsi="Tahoma" w:cs="Tahoma"/>
          <w:sz w:val="24"/>
          <w:szCs w:val="24"/>
        </w:rPr>
        <w:t xml:space="preserve"> postanowienie</w:t>
      </w:r>
      <w:r>
        <w:rPr>
          <w:rFonts w:ascii="Tahoma" w:hAnsi="Tahoma" w:cs="Tahoma"/>
          <w:sz w:val="24"/>
          <w:szCs w:val="24"/>
        </w:rPr>
        <w:t xml:space="preserve"> w sprawie ekshumacji. Ponadto proponowana zmiana poszerzy kompetencje prokura</w:t>
      </w:r>
      <w:r w:rsidR="000776B3">
        <w:rPr>
          <w:rFonts w:ascii="Tahoma" w:hAnsi="Tahoma" w:cs="Tahoma"/>
          <w:sz w:val="24"/>
          <w:szCs w:val="24"/>
        </w:rPr>
        <w:t xml:space="preserve">tora o możliwość odstąpienia od </w:t>
      </w:r>
      <w:r>
        <w:rPr>
          <w:rFonts w:ascii="Tahoma" w:hAnsi="Tahoma" w:cs="Tahoma"/>
          <w:sz w:val="24"/>
          <w:szCs w:val="24"/>
        </w:rPr>
        <w:t xml:space="preserve">przeprowadzenia otwarcia zwłok. </w:t>
      </w:r>
    </w:p>
    <w:p w:rsidR="00832CD8" w:rsidRDefault="00832CD8" w:rsidP="000776B3">
      <w:pPr>
        <w:spacing w:line="360" w:lineRule="auto"/>
        <w:jc w:val="both"/>
        <w:rPr>
          <w:rFonts w:ascii="Tahoma" w:hAnsi="Tahoma" w:cs="Tahoma"/>
          <w:sz w:val="24"/>
          <w:szCs w:val="24"/>
        </w:rPr>
      </w:pPr>
      <w:r>
        <w:rPr>
          <w:rFonts w:ascii="Tahoma" w:hAnsi="Tahoma" w:cs="Tahoma"/>
          <w:sz w:val="24"/>
          <w:szCs w:val="24"/>
        </w:rPr>
        <w:t>Ponadto należy wskazać, że zgodnie z zasadami ogólnymi decyzje prokuratora podlegają zewnętrznej kontroli, którą urzeczywistniają n</w:t>
      </w:r>
      <w:r w:rsidR="00F64845">
        <w:rPr>
          <w:rFonts w:ascii="Tahoma" w:hAnsi="Tahoma" w:cs="Tahoma"/>
          <w:sz w:val="24"/>
          <w:szCs w:val="24"/>
        </w:rPr>
        <w:t>a gruncie Kodeksu postępowania k</w:t>
      </w:r>
      <w:r>
        <w:rPr>
          <w:rFonts w:ascii="Tahoma" w:hAnsi="Tahoma" w:cs="Tahoma"/>
          <w:sz w:val="24"/>
          <w:szCs w:val="24"/>
        </w:rPr>
        <w:t xml:space="preserve">arnego zaproponowane zmiany. </w:t>
      </w:r>
      <w:r w:rsidR="009A01CD">
        <w:rPr>
          <w:rFonts w:ascii="Tahoma" w:hAnsi="Tahoma" w:cs="Tahoma"/>
          <w:sz w:val="24"/>
          <w:szCs w:val="24"/>
        </w:rPr>
        <w:t>Za wprowadzeniem projektowanych przepisów przemawiają</w:t>
      </w:r>
      <w:r w:rsidR="00712E11">
        <w:rPr>
          <w:rFonts w:ascii="Tahoma" w:hAnsi="Tahoma" w:cs="Tahoma"/>
          <w:sz w:val="24"/>
          <w:szCs w:val="24"/>
        </w:rPr>
        <w:t xml:space="preserve"> obowiązujące standardy konstytucyjne takie jakie prawo do sądu, prawo do ochrony prawnej życia prywatnego, czy w końcu prawo do zaskarżenia decyzji.</w:t>
      </w:r>
    </w:p>
    <w:p w:rsidR="004B4E0A" w:rsidRDefault="004B4E0A">
      <w:pPr>
        <w:rPr>
          <w:rFonts w:ascii="Tahoma" w:hAnsi="Tahoma" w:cs="Tahoma"/>
          <w:sz w:val="24"/>
          <w:szCs w:val="24"/>
        </w:rPr>
      </w:pPr>
    </w:p>
    <w:p w:rsidR="004B4E0A" w:rsidRPr="004B4E0A" w:rsidRDefault="004B4E0A">
      <w:pPr>
        <w:rPr>
          <w:rFonts w:ascii="Tahoma" w:hAnsi="Tahoma" w:cs="Tahoma"/>
          <w:b/>
          <w:sz w:val="24"/>
          <w:szCs w:val="24"/>
        </w:rPr>
      </w:pPr>
      <w:r w:rsidRPr="004B4E0A">
        <w:rPr>
          <w:rFonts w:ascii="Tahoma" w:hAnsi="Tahoma" w:cs="Tahoma"/>
          <w:b/>
          <w:sz w:val="24"/>
          <w:szCs w:val="24"/>
        </w:rPr>
        <w:t>II Rzeczywisty stan dziedziny, która ma być unormowana</w:t>
      </w:r>
    </w:p>
    <w:p w:rsidR="004B4E0A" w:rsidRDefault="00F70601" w:rsidP="000776B3">
      <w:pPr>
        <w:spacing w:line="360" w:lineRule="auto"/>
        <w:jc w:val="both"/>
        <w:rPr>
          <w:rFonts w:ascii="Tahoma" w:hAnsi="Tahoma" w:cs="Tahoma"/>
          <w:sz w:val="24"/>
          <w:szCs w:val="24"/>
        </w:rPr>
      </w:pPr>
      <w:r>
        <w:rPr>
          <w:rFonts w:ascii="Tahoma" w:hAnsi="Tahoma" w:cs="Tahoma"/>
          <w:sz w:val="24"/>
          <w:szCs w:val="24"/>
        </w:rPr>
        <w:t xml:space="preserve">W obowiązującym stanie prawnym zagadnienia dotyczące otwarcia zwłok, przeprowadzenia sekcji oraz ekshumacja zostały uregulowane  w art. 209 i 210 k.p.k. Zgodnie z obowiązującymi przepisami w przypadku śmierci w wyniku przestępstwa przeprowadza się oględziny i otwarcie zwłok. W zależności od </w:t>
      </w:r>
      <w:r w:rsidR="008B46D5">
        <w:rPr>
          <w:rFonts w:ascii="Tahoma" w:hAnsi="Tahoma" w:cs="Tahoma"/>
          <w:sz w:val="24"/>
          <w:szCs w:val="24"/>
        </w:rPr>
        <w:t>etapu</w:t>
      </w:r>
      <w:r>
        <w:rPr>
          <w:rFonts w:ascii="Tahoma" w:hAnsi="Tahoma" w:cs="Tahoma"/>
          <w:sz w:val="24"/>
          <w:szCs w:val="24"/>
        </w:rPr>
        <w:t xml:space="preserve"> postepowania </w:t>
      </w:r>
      <w:r w:rsidR="008B46D5">
        <w:rPr>
          <w:rFonts w:ascii="Tahoma" w:hAnsi="Tahoma" w:cs="Tahoma"/>
          <w:sz w:val="24"/>
          <w:szCs w:val="24"/>
        </w:rPr>
        <w:t xml:space="preserve">sąd </w:t>
      </w:r>
      <w:r w:rsidR="00832CD8">
        <w:rPr>
          <w:rFonts w:ascii="Tahoma" w:hAnsi="Tahoma" w:cs="Tahoma"/>
          <w:sz w:val="24"/>
          <w:szCs w:val="24"/>
        </w:rPr>
        <w:t>albo</w:t>
      </w:r>
      <w:r w:rsidR="008B46D5">
        <w:rPr>
          <w:rFonts w:ascii="Tahoma" w:hAnsi="Tahoma" w:cs="Tahoma"/>
          <w:sz w:val="24"/>
          <w:szCs w:val="24"/>
        </w:rPr>
        <w:t xml:space="preserve"> prokurator dokonuje </w:t>
      </w:r>
      <w:r>
        <w:rPr>
          <w:rFonts w:ascii="Tahoma" w:hAnsi="Tahoma" w:cs="Tahoma"/>
          <w:sz w:val="24"/>
          <w:szCs w:val="24"/>
        </w:rPr>
        <w:t xml:space="preserve">oględzin. W obecnym stanie prawnym w celu dokonania oględzin lub otwarcia zwłok prokurator albo sąd może </w:t>
      </w:r>
      <w:r w:rsidR="00832CD8">
        <w:rPr>
          <w:rFonts w:ascii="Tahoma" w:hAnsi="Tahoma" w:cs="Tahoma"/>
          <w:sz w:val="24"/>
          <w:szCs w:val="24"/>
        </w:rPr>
        <w:t xml:space="preserve">w drodze postanowienia </w:t>
      </w:r>
      <w:r>
        <w:rPr>
          <w:rFonts w:ascii="Tahoma" w:hAnsi="Tahoma" w:cs="Tahoma"/>
          <w:sz w:val="24"/>
          <w:szCs w:val="24"/>
        </w:rPr>
        <w:t xml:space="preserve">zarządzić wyjęcie zwłok z grobu. </w:t>
      </w:r>
      <w:r w:rsidR="00E25E76">
        <w:rPr>
          <w:rFonts w:ascii="Tahoma" w:hAnsi="Tahoma" w:cs="Tahoma"/>
          <w:sz w:val="24"/>
          <w:szCs w:val="24"/>
        </w:rPr>
        <w:t xml:space="preserve">Na wspomniane </w:t>
      </w:r>
      <w:r w:rsidR="00832CD8">
        <w:rPr>
          <w:rFonts w:ascii="Tahoma" w:hAnsi="Tahoma" w:cs="Tahoma"/>
          <w:sz w:val="24"/>
          <w:szCs w:val="24"/>
        </w:rPr>
        <w:t>postanowienie</w:t>
      </w:r>
      <w:r w:rsidR="00E25E76">
        <w:rPr>
          <w:rFonts w:ascii="Tahoma" w:hAnsi="Tahoma" w:cs="Tahoma"/>
          <w:sz w:val="24"/>
          <w:szCs w:val="24"/>
        </w:rPr>
        <w:t xml:space="preserve"> nie przysługuje żaden środek odwoławczy.</w:t>
      </w:r>
    </w:p>
    <w:p w:rsidR="004B4E0A" w:rsidRDefault="004B4E0A">
      <w:pPr>
        <w:rPr>
          <w:rFonts w:ascii="Tahoma" w:hAnsi="Tahoma" w:cs="Tahoma"/>
          <w:sz w:val="24"/>
          <w:szCs w:val="24"/>
        </w:rPr>
      </w:pPr>
    </w:p>
    <w:p w:rsidR="004B4E0A" w:rsidRPr="004B4E0A" w:rsidRDefault="004B4E0A">
      <w:pPr>
        <w:rPr>
          <w:rFonts w:ascii="Tahoma" w:hAnsi="Tahoma" w:cs="Tahoma"/>
          <w:b/>
          <w:sz w:val="24"/>
          <w:szCs w:val="24"/>
        </w:rPr>
      </w:pPr>
      <w:r w:rsidRPr="004B4E0A">
        <w:rPr>
          <w:rFonts w:ascii="Tahoma" w:hAnsi="Tahoma" w:cs="Tahoma"/>
          <w:b/>
          <w:sz w:val="24"/>
          <w:szCs w:val="24"/>
        </w:rPr>
        <w:lastRenderedPageBreak/>
        <w:t>III Różnica między dotychczasowym a projektowanym stanem prawnym</w:t>
      </w:r>
    </w:p>
    <w:p w:rsidR="004B4E0A" w:rsidRDefault="002B4C6E" w:rsidP="000776B3">
      <w:pPr>
        <w:spacing w:line="360" w:lineRule="auto"/>
        <w:jc w:val="both"/>
        <w:rPr>
          <w:rFonts w:ascii="Tahoma" w:hAnsi="Tahoma" w:cs="Tahoma"/>
          <w:sz w:val="24"/>
          <w:szCs w:val="24"/>
        </w:rPr>
      </w:pPr>
      <w:r>
        <w:rPr>
          <w:rFonts w:ascii="Tahoma" w:hAnsi="Tahoma" w:cs="Tahoma"/>
          <w:sz w:val="24"/>
          <w:szCs w:val="24"/>
        </w:rPr>
        <w:t>W przeciwieństwie do obowiązujących przepisów k.p.k. p</w:t>
      </w:r>
      <w:r w:rsidR="00F70601">
        <w:rPr>
          <w:rFonts w:ascii="Tahoma" w:hAnsi="Tahoma" w:cs="Tahoma"/>
          <w:sz w:val="24"/>
          <w:szCs w:val="24"/>
        </w:rPr>
        <w:t>rojektowana zmia</w:t>
      </w:r>
      <w:r w:rsidR="00E25E76">
        <w:rPr>
          <w:rFonts w:ascii="Tahoma" w:hAnsi="Tahoma" w:cs="Tahoma"/>
          <w:sz w:val="24"/>
          <w:szCs w:val="24"/>
        </w:rPr>
        <w:t>na umożliwia prokuratorowi</w:t>
      </w:r>
      <w:r w:rsidR="00DF3747">
        <w:rPr>
          <w:rFonts w:ascii="Tahoma" w:hAnsi="Tahoma" w:cs="Tahoma"/>
          <w:sz w:val="24"/>
          <w:szCs w:val="24"/>
        </w:rPr>
        <w:t xml:space="preserve"> w uzasadnionych przypadkach odstąpienie od </w:t>
      </w:r>
      <w:r w:rsidR="00E25E76">
        <w:rPr>
          <w:rFonts w:ascii="Tahoma" w:hAnsi="Tahoma" w:cs="Tahoma"/>
          <w:sz w:val="24"/>
          <w:szCs w:val="24"/>
        </w:rPr>
        <w:t>przeprowadzenia oględzin i otwarcia zwłok. Kolejną różnicą pomiędzy projektowanym</w:t>
      </w:r>
      <w:r w:rsidR="00E25E76" w:rsidRPr="00E25E76">
        <w:rPr>
          <w:rFonts w:ascii="Tahoma" w:hAnsi="Tahoma" w:cs="Tahoma"/>
          <w:sz w:val="24"/>
          <w:szCs w:val="24"/>
        </w:rPr>
        <w:t xml:space="preserve"> </w:t>
      </w:r>
      <w:r w:rsidR="00E25E76">
        <w:rPr>
          <w:rFonts w:ascii="Tahoma" w:hAnsi="Tahoma" w:cs="Tahoma"/>
          <w:sz w:val="24"/>
          <w:szCs w:val="24"/>
        </w:rPr>
        <w:t xml:space="preserve">a dotychczasowym stanem prawnym jest umożliwienie złożenia zażalenia na </w:t>
      </w:r>
      <w:r w:rsidR="003309FD">
        <w:rPr>
          <w:rFonts w:ascii="Tahoma" w:hAnsi="Tahoma" w:cs="Tahoma"/>
          <w:sz w:val="24"/>
          <w:szCs w:val="24"/>
        </w:rPr>
        <w:t xml:space="preserve">postanowienie </w:t>
      </w:r>
      <w:r w:rsidR="00E25E76">
        <w:rPr>
          <w:rFonts w:ascii="Tahoma" w:hAnsi="Tahoma" w:cs="Tahoma"/>
          <w:sz w:val="24"/>
          <w:szCs w:val="24"/>
        </w:rPr>
        <w:t xml:space="preserve">o wyjęciu zwłok z grobu. </w:t>
      </w:r>
      <w:r w:rsidR="00360907">
        <w:rPr>
          <w:rFonts w:ascii="Tahoma" w:hAnsi="Tahoma" w:cs="Tahoma"/>
          <w:sz w:val="24"/>
          <w:szCs w:val="24"/>
        </w:rPr>
        <w:t>Skutkiem złoże</w:t>
      </w:r>
      <w:r>
        <w:rPr>
          <w:rFonts w:ascii="Tahoma" w:hAnsi="Tahoma" w:cs="Tahoma"/>
          <w:sz w:val="24"/>
          <w:szCs w:val="24"/>
        </w:rPr>
        <w:t>nia zażalenia będzie wstrzymanie</w:t>
      </w:r>
      <w:r w:rsidR="00360907">
        <w:rPr>
          <w:rFonts w:ascii="Tahoma" w:hAnsi="Tahoma" w:cs="Tahoma"/>
          <w:sz w:val="24"/>
          <w:szCs w:val="24"/>
        </w:rPr>
        <w:t xml:space="preserve"> wykonania </w:t>
      </w:r>
      <w:r w:rsidR="003309FD">
        <w:rPr>
          <w:rFonts w:ascii="Tahoma" w:hAnsi="Tahoma" w:cs="Tahoma"/>
          <w:sz w:val="24"/>
          <w:szCs w:val="24"/>
        </w:rPr>
        <w:t>postanowienia</w:t>
      </w:r>
      <w:r w:rsidR="00360907">
        <w:rPr>
          <w:rFonts w:ascii="Tahoma" w:hAnsi="Tahoma" w:cs="Tahoma"/>
          <w:sz w:val="24"/>
          <w:szCs w:val="24"/>
        </w:rPr>
        <w:t xml:space="preserve"> o</w:t>
      </w:r>
      <w:r w:rsidR="003309FD">
        <w:rPr>
          <w:rFonts w:ascii="Tahoma" w:hAnsi="Tahoma" w:cs="Tahoma"/>
          <w:sz w:val="24"/>
          <w:szCs w:val="24"/>
        </w:rPr>
        <w:t xml:space="preserve"> przeprowadzeniu</w:t>
      </w:r>
      <w:r w:rsidR="00360907">
        <w:rPr>
          <w:rFonts w:ascii="Tahoma" w:hAnsi="Tahoma" w:cs="Tahoma"/>
          <w:sz w:val="24"/>
          <w:szCs w:val="24"/>
        </w:rPr>
        <w:t xml:space="preserve"> ekshumacji. </w:t>
      </w:r>
    </w:p>
    <w:p w:rsidR="001C6514" w:rsidRDefault="001C6514" w:rsidP="000776B3">
      <w:pPr>
        <w:spacing w:line="360" w:lineRule="auto"/>
        <w:jc w:val="both"/>
        <w:rPr>
          <w:rFonts w:ascii="Tahoma" w:hAnsi="Tahoma" w:cs="Tahoma"/>
          <w:sz w:val="24"/>
          <w:szCs w:val="24"/>
        </w:rPr>
      </w:pPr>
      <w:r>
        <w:rPr>
          <w:rFonts w:ascii="Tahoma" w:hAnsi="Tahoma" w:cs="Tahoma"/>
          <w:sz w:val="24"/>
          <w:szCs w:val="24"/>
        </w:rPr>
        <w:t>Konieczność wprowadzenia przepisu zakładającego możliwość wniesienia zażalenia od niewykonanych postanowień w terminie 14 dni od dnia wejścia w życie proje</w:t>
      </w:r>
      <w:r w:rsidR="00F64845">
        <w:rPr>
          <w:rFonts w:ascii="Tahoma" w:hAnsi="Tahoma" w:cs="Tahoma"/>
          <w:sz w:val="24"/>
          <w:szCs w:val="24"/>
        </w:rPr>
        <w:t>ktowanej ustawy podyktowana jest</w:t>
      </w:r>
      <w:r>
        <w:rPr>
          <w:rFonts w:ascii="Tahoma" w:hAnsi="Tahoma" w:cs="Tahoma"/>
          <w:sz w:val="24"/>
          <w:szCs w:val="24"/>
        </w:rPr>
        <w:t xml:space="preserve"> brzmieniem art. 460 k.p.k</w:t>
      </w:r>
      <w:r w:rsidR="007B2B2F">
        <w:rPr>
          <w:rFonts w:ascii="Tahoma" w:hAnsi="Tahoma" w:cs="Tahoma"/>
          <w:sz w:val="24"/>
          <w:szCs w:val="24"/>
        </w:rPr>
        <w:t>.</w:t>
      </w:r>
      <w:r>
        <w:rPr>
          <w:rFonts w:ascii="Tahoma" w:hAnsi="Tahoma" w:cs="Tahoma"/>
          <w:sz w:val="24"/>
          <w:szCs w:val="24"/>
        </w:rPr>
        <w:t xml:space="preserve">, który stanowi, że zażalenie lub sprzeciw wnosi się w terminie 7 dni od daty ogłoszenia postanowienia, a jeżeli ustawa nakazuje doręczenie postanowienia – od daty doręczenia. </w:t>
      </w:r>
    </w:p>
    <w:p w:rsidR="004B4E0A" w:rsidRDefault="004B4E0A">
      <w:pPr>
        <w:rPr>
          <w:rFonts w:ascii="Tahoma" w:hAnsi="Tahoma" w:cs="Tahoma"/>
          <w:sz w:val="24"/>
          <w:szCs w:val="24"/>
        </w:rPr>
      </w:pPr>
    </w:p>
    <w:p w:rsidR="004B4E0A" w:rsidRDefault="004B4E0A">
      <w:pPr>
        <w:rPr>
          <w:rFonts w:ascii="Tahoma" w:hAnsi="Tahoma" w:cs="Tahoma"/>
          <w:b/>
          <w:sz w:val="24"/>
          <w:szCs w:val="24"/>
        </w:rPr>
      </w:pPr>
      <w:r w:rsidRPr="004B4E0A">
        <w:rPr>
          <w:rFonts w:ascii="Tahoma" w:hAnsi="Tahoma" w:cs="Tahoma"/>
          <w:b/>
          <w:sz w:val="24"/>
          <w:szCs w:val="24"/>
        </w:rPr>
        <w:t>IV Przewidywane skutki społeczne, gospodarcze, finansowe i prawne</w:t>
      </w:r>
    </w:p>
    <w:p w:rsidR="00360907" w:rsidRPr="002B4C6E" w:rsidRDefault="00215959" w:rsidP="000776B3">
      <w:pPr>
        <w:spacing w:line="360" w:lineRule="auto"/>
        <w:jc w:val="both"/>
        <w:rPr>
          <w:rFonts w:ascii="Tahoma" w:hAnsi="Tahoma" w:cs="Tahoma"/>
          <w:sz w:val="24"/>
          <w:szCs w:val="24"/>
        </w:rPr>
      </w:pPr>
      <w:r w:rsidRPr="00215959">
        <w:rPr>
          <w:rFonts w:ascii="Tahoma" w:hAnsi="Tahoma" w:cs="Tahoma"/>
          <w:sz w:val="24"/>
          <w:szCs w:val="24"/>
        </w:rPr>
        <w:t xml:space="preserve">Powodem wprowadzenia projektowanych zmian jest odpowiedź na apel rodzin ofiar katastrofy smoleńskiej, które wzywają do zaprzestania ponownej sekcji zwłok ich bliskich. Projektowane zmiany mają umożliwić podjęcie czynności prawnych przez rodziny zmarłych, które nie zgadzają się na ekshumację swoich bliskich </w:t>
      </w:r>
      <w:r w:rsidRPr="00215959">
        <w:rPr>
          <w:rFonts w:ascii="Tahoma" w:hAnsi="Tahoma" w:cs="Tahoma"/>
          <w:sz w:val="24"/>
          <w:szCs w:val="24"/>
        </w:rPr>
        <w:br/>
        <w:t>i przeprowadzenie ponownego otwarcia zwłok.</w:t>
      </w:r>
      <w:r>
        <w:rPr>
          <w:rFonts w:ascii="Tahoma" w:hAnsi="Tahoma" w:cs="Tahoma"/>
          <w:sz w:val="24"/>
          <w:szCs w:val="24"/>
        </w:rPr>
        <w:t xml:space="preserve"> </w:t>
      </w:r>
      <w:r w:rsidR="00360907" w:rsidRPr="002B4C6E">
        <w:rPr>
          <w:rFonts w:ascii="Tahoma" w:hAnsi="Tahoma" w:cs="Tahoma"/>
          <w:sz w:val="24"/>
          <w:szCs w:val="24"/>
        </w:rPr>
        <w:t xml:space="preserve">Przewiduje się, że projektowana zmiana w dużym stopniu zaspokoi oczekiwania rodzin ofiar, które bronią kultu najbliższych im zmarłych. Wprowadzone przepisy nie wpłyną w pozostałym zakresie na sferę publiczną. </w:t>
      </w:r>
    </w:p>
    <w:p w:rsidR="004B4E0A" w:rsidRDefault="004B4E0A">
      <w:pPr>
        <w:rPr>
          <w:rFonts w:ascii="Tahoma" w:hAnsi="Tahoma" w:cs="Tahoma"/>
          <w:sz w:val="24"/>
          <w:szCs w:val="24"/>
        </w:rPr>
      </w:pPr>
    </w:p>
    <w:p w:rsidR="004B4E0A" w:rsidRPr="004B4E0A" w:rsidRDefault="004B4E0A">
      <w:pPr>
        <w:rPr>
          <w:rFonts w:ascii="Tahoma" w:hAnsi="Tahoma" w:cs="Tahoma"/>
          <w:b/>
          <w:sz w:val="24"/>
          <w:szCs w:val="24"/>
        </w:rPr>
      </w:pPr>
      <w:r w:rsidRPr="004B4E0A">
        <w:rPr>
          <w:rFonts w:ascii="Tahoma" w:hAnsi="Tahoma" w:cs="Tahoma"/>
          <w:b/>
          <w:sz w:val="24"/>
          <w:szCs w:val="24"/>
        </w:rPr>
        <w:t>V Źródła finansowania</w:t>
      </w:r>
    </w:p>
    <w:p w:rsidR="004B4E0A" w:rsidRDefault="004B4E0A" w:rsidP="000776B3">
      <w:pPr>
        <w:spacing w:line="360" w:lineRule="auto"/>
        <w:jc w:val="both"/>
        <w:rPr>
          <w:rFonts w:ascii="Tahoma" w:hAnsi="Tahoma" w:cs="Tahoma"/>
          <w:sz w:val="24"/>
          <w:szCs w:val="24"/>
        </w:rPr>
      </w:pPr>
      <w:r>
        <w:rPr>
          <w:rFonts w:ascii="Tahoma" w:hAnsi="Tahoma" w:cs="Tahoma"/>
          <w:sz w:val="24"/>
          <w:szCs w:val="24"/>
        </w:rPr>
        <w:t>P</w:t>
      </w:r>
      <w:r w:rsidRPr="004B4E0A">
        <w:rPr>
          <w:rFonts w:ascii="Tahoma" w:hAnsi="Tahoma" w:cs="Tahoma"/>
          <w:sz w:val="24"/>
          <w:szCs w:val="24"/>
        </w:rPr>
        <w:t xml:space="preserve">rojekt ustawy </w:t>
      </w:r>
      <w:r>
        <w:rPr>
          <w:rFonts w:ascii="Tahoma" w:hAnsi="Tahoma" w:cs="Tahoma"/>
          <w:sz w:val="24"/>
          <w:szCs w:val="24"/>
        </w:rPr>
        <w:t xml:space="preserve">nie </w:t>
      </w:r>
      <w:r w:rsidRPr="004B4E0A">
        <w:rPr>
          <w:rFonts w:ascii="Tahoma" w:hAnsi="Tahoma" w:cs="Tahoma"/>
          <w:sz w:val="24"/>
          <w:szCs w:val="24"/>
        </w:rPr>
        <w:t>pociąga za sobą obciążeni</w:t>
      </w:r>
      <w:r>
        <w:rPr>
          <w:rFonts w:ascii="Tahoma" w:hAnsi="Tahoma" w:cs="Tahoma"/>
          <w:sz w:val="24"/>
          <w:szCs w:val="24"/>
        </w:rPr>
        <w:t>a</w:t>
      </w:r>
      <w:r w:rsidRPr="004B4E0A">
        <w:rPr>
          <w:rFonts w:ascii="Tahoma" w:hAnsi="Tahoma" w:cs="Tahoma"/>
          <w:sz w:val="24"/>
          <w:szCs w:val="24"/>
        </w:rPr>
        <w:t xml:space="preserve"> budżetu państwa lub budżetów jednostek samorządu terytorialnego</w:t>
      </w:r>
      <w:r>
        <w:rPr>
          <w:rFonts w:ascii="Tahoma" w:hAnsi="Tahoma" w:cs="Tahoma"/>
          <w:sz w:val="24"/>
          <w:szCs w:val="24"/>
        </w:rPr>
        <w:t>.</w:t>
      </w:r>
    </w:p>
    <w:p w:rsidR="004B4E0A" w:rsidRDefault="004B4E0A">
      <w:pPr>
        <w:rPr>
          <w:rFonts w:ascii="Tahoma" w:hAnsi="Tahoma" w:cs="Tahoma"/>
          <w:sz w:val="24"/>
          <w:szCs w:val="24"/>
        </w:rPr>
      </w:pPr>
    </w:p>
    <w:p w:rsidR="004B4E0A" w:rsidRDefault="004B4E0A">
      <w:pPr>
        <w:rPr>
          <w:rFonts w:ascii="Tahoma" w:hAnsi="Tahoma" w:cs="Tahoma"/>
          <w:b/>
          <w:sz w:val="24"/>
          <w:szCs w:val="24"/>
        </w:rPr>
      </w:pPr>
      <w:r w:rsidRPr="004B4E0A">
        <w:rPr>
          <w:rFonts w:ascii="Tahoma" w:hAnsi="Tahoma" w:cs="Tahoma"/>
          <w:b/>
          <w:sz w:val="24"/>
          <w:szCs w:val="24"/>
        </w:rPr>
        <w:t>VI Założenia projektów podstawowych aktów wykonawczych</w:t>
      </w:r>
    </w:p>
    <w:p w:rsidR="00555B70" w:rsidRPr="00555B70" w:rsidRDefault="00555B70" w:rsidP="000776B3">
      <w:pPr>
        <w:jc w:val="both"/>
        <w:rPr>
          <w:rFonts w:ascii="Tahoma" w:hAnsi="Tahoma" w:cs="Tahoma"/>
          <w:sz w:val="24"/>
          <w:szCs w:val="24"/>
        </w:rPr>
      </w:pPr>
      <w:r>
        <w:rPr>
          <w:rFonts w:ascii="Tahoma" w:hAnsi="Tahoma" w:cs="Tahoma"/>
          <w:sz w:val="24"/>
          <w:szCs w:val="24"/>
        </w:rPr>
        <w:lastRenderedPageBreak/>
        <w:t>Przedmiotowa n</w:t>
      </w:r>
      <w:r w:rsidRPr="00555B70">
        <w:rPr>
          <w:rFonts w:ascii="Tahoma" w:hAnsi="Tahoma" w:cs="Tahoma"/>
          <w:sz w:val="24"/>
          <w:szCs w:val="24"/>
        </w:rPr>
        <w:t>oweliz</w:t>
      </w:r>
      <w:r w:rsidR="006523B3">
        <w:rPr>
          <w:rFonts w:ascii="Tahoma" w:hAnsi="Tahoma" w:cs="Tahoma"/>
          <w:sz w:val="24"/>
          <w:szCs w:val="24"/>
        </w:rPr>
        <w:t>acja nie wymaga wprowadzenia lub</w:t>
      </w:r>
      <w:r w:rsidRPr="00555B70">
        <w:rPr>
          <w:rFonts w:ascii="Tahoma" w:hAnsi="Tahoma" w:cs="Tahoma"/>
          <w:sz w:val="24"/>
          <w:szCs w:val="24"/>
        </w:rPr>
        <w:t xml:space="preserve"> zmiany aktów wykonawczych.</w:t>
      </w:r>
    </w:p>
    <w:p w:rsidR="004B4E0A" w:rsidRDefault="004B4E0A">
      <w:pPr>
        <w:rPr>
          <w:rFonts w:ascii="Tahoma" w:hAnsi="Tahoma" w:cs="Tahoma"/>
          <w:sz w:val="24"/>
          <w:szCs w:val="24"/>
        </w:rPr>
      </w:pPr>
    </w:p>
    <w:p w:rsidR="004B4E0A" w:rsidRPr="004B4E0A" w:rsidRDefault="004B4E0A" w:rsidP="000776B3">
      <w:pPr>
        <w:jc w:val="both"/>
        <w:rPr>
          <w:rFonts w:ascii="Tahoma" w:hAnsi="Tahoma" w:cs="Tahoma"/>
          <w:b/>
          <w:sz w:val="24"/>
          <w:szCs w:val="24"/>
        </w:rPr>
      </w:pPr>
      <w:r w:rsidRPr="004B4E0A">
        <w:rPr>
          <w:rFonts w:ascii="Tahoma" w:hAnsi="Tahoma" w:cs="Tahoma"/>
          <w:b/>
          <w:sz w:val="24"/>
          <w:szCs w:val="24"/>
        </w:rPr>
        <w:t xml:space="preserve">VII </w:t>
      </w:r>
      <w:r w:rsidR="002B4C6E" w:rsidRPr="002B4C6E">
        <w:rPr>
          <w:rFonts w:ascii="Tahoma" w:hAnsi="Tahoma" w:cs="Tahoma"/>
          <w:sz w:val="24"/>
          <w:szCs w:val="24"/>
        </w:rPr>
        <w:t>P</w:t>
      </w:r>
      <w:r w:rsidRPr="002B4C6E">
        <w:rPr>
          <w:rFonts w:ascii="Tahoma" w:hAnsi="Tahoma" w:cs="Tahoma"/>
          <w:sz w:val="24"/>
          <w:szCs w:val="24"/>
        </w:rPr>
        <w:t>rzedmiot projektowanej regulacji nie jest objęty prawem Unii Europejskiej</w:t>
      </w:r>
    </w:p>
    <w:sectPr w:rsidR="004B4E0A" w:rsidRPr="004B4E0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BF5CDD"/>
    <w:multiLevelType w:val="hybridMultilevel"/>
    <w:tmpl w:val="61186DD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58B149D8"/>
    <w:multiLevelType w:val="hybridMultilevel"/>
    <w:tmpl w:val="3AEA77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8B5"/>
    <w:rsid w:val="00007B9B"/>
    <w:rsid w:val="00011BA0"/>
    <w:rsid w:val="000776B3"/>
    <w:rsid w:val="000A79CA"/>
    <w:rsid w:val="00102120"/>
    <w:rsid w:val="00173763"/>
    <w:rsid w:val="001C6514"/>
    <w:rsid w:val="00215959"/>
    <w:rsid w:val="002B4C6E"/>
    <w:rsid w:val="00320B0E"/>
    <w:rsid w:val="003309FD"/>
    <w:rsid w:val="00360907"/>
    <w:rsid w:val="00372003"/>
    <w:rsid w:val="004448D9"/>
    <w:rsid w:val="004B4E0A"/>
    <w:rsid w:val="00555B70"/>
    <w:rsid w:val="006523B3"/>
    <w:rsid w:val="00687AA6"/>
    <w:rsid w:val="00712E11"/>
    <w:rsid w:val="0072067C"/>
    <w:rsid w:val="007441ED"/>
    <w:rsid w:val="007B2B2F"/>
    <w:rsid w:val="007B3EBA"/>
    <w:rsid w:val="007D69B8"/>
    <w:rsid w:val="007F7175"/>
    <w:rsid w:val="00832CD8"/>
    <w:rsid w:val="008B46D5"/>
    <w:rsid w:val="009A01CD"/>
    <w:rsid w:val="00AA2770"/>
    <w:rsid w:val="00B7370B"/>
    <w:rsid w:val="00C915E1"/>
    <w:rsid w:val="00D068B5"/>
    <w:rsid w:val="00D80459"/>
    <w:rsid w:val="00DF3747"/>
    <w:rsid w:val="00E25E76"/>
    <w:rsid w:val="00E8230C"/>
    <w:rsid w:val="00EF71EF"/>
    <w:rsid w:val="00F64845"/>
    <w:rsid w:val="00F7060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068B5"/>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068B5"/>
    <w:pPr>
      <w:ind w:left="720"/>
      <w:contextualSpacing/>
    </w:pPr>
  </w:style>
  <w:style w:type="paragraph" w:styleId="Tekstdymka">
    <w:name w:val="Balloon Text"/>
    <w:basedOn w:val="Normalny"/>
    <w:link w:val="TekstdymkaZnak"/>
    <w:uiPriority w:val="99"/>
    <w:semiHidden/>
    <w:unhideWhenUsed/>
    <w:rsid w:val="00D068B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068B5"/>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068B5"/>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D068B5"/>
    <w:pPr>
      <w:ind w:left="720"/>
      <w:contextualSpacing/>
    </w:pPr>
  </w:style>
  <w:style w:type="paragraph" w:styleId="Tekstdymka">
    <w:name w:val="Balloon Text"/>
    <w:basedOn w:val="Normalny"/>
    <w:link w:val="TekstdymkaZnak"/>
    <w:uiPriority w:val="99"/>
    <w:semiHidden/>
    <w:unhideWhenUsed/>
    <w:rsid w:val="00D068B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068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ip.legalis.pl/urlSearch.seam?HitlistCaption=Odes%C5%82ania&amp;pap_group=25005347&amp;sortField=document-date&amp;filterByUniqueVersionBaseId=tru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742</Words>
  <Characters>4454</Characters>
  <Application>Microsoft Office Word</Application>
  <DocSecurity>0</DocSecurity>
  <Lines>37</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 Szewczak</dc:creator>
  <cp:lastModifiedBy>Ewa A. Genert</cp:lastModifiedBy>
  <cp:revision>2</cp:revision>
  <cp:lastPrinted>2016-11-25T14:05:00Z</cp:lastPrinted>
  <dcterms:created xsi:type="dcterms:W3CDTF">2016-12-16T10:46:00Z</dcterms:created>
  <dcterms:modified xsi:type="dcterms:W3CDTF">2016-12-16T10:46:00Z</dcterms:modified>
</cp:coreProperties>
</file>