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9C2" w:rsidRPr="00F019C2" w:rsidRDefault="00F019C2" w:rsidP="00F019C2">
      <w:pPr>
        <w:keepNext/>
        <w:spacing w:before="120" w:after="0" w:line="360" w:lineRule="auto"/>
        <w:jc w:val="center"/>
        <w:rPr>
          <w:rFonts w:ascii="Times" w:eastAsia="Times New Roman" w:hAnsi="Times" w:cs="Arial"/>
          <w:bCs/>
          <w:caps/>
          <w:kern w:val="24"/>
          <w:sz w:val="24"/>
          <w:szCs w:val="24"/>
          <w:lang w:eastAsia="pl-PL"/>
        </w:rPr>
      </w:pPr>
      <w:bookmarkStart w:id="0" w:name="_GoBack"/>
      <w:bookmarkEnd w:id="0"/>
      <w:r w:rsidRPr="00F019C2">
        <w:rPr>
          <w:rFonts w:ascii="Times" w:eastAsia="Times New Roman" w:hAnsi="Times" w:cs="Arial"/>
          <w:bCs/>
          <w:caps/>
          <w:kern w:val="24"/>
          <w:sz w:val="24"/>
          <w:szCs w:val="24"/>
          <w:lang w:eastAsia="pl-PL"/>
        </w:rPr>
        <w:t>UZASADNIENIE</w:t>
      </w:r>
    </w:p>
    <w:p w:rsidR="00F019C2" w:rsidRPr="009764D3" w:rsidRDefault="00F019C2" w:rsidP="00E51638">
      <w:pPr>
        <w:tabs>
          <w:tab w:val="left" w:pos="426"/>
        </w:tabs>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9764D3">
        <w:rPr>
          <w:rFonts w:ascii="Times" w:eastAsia="Times New Roman" w:hAnsi="Times" w:cs="Arial"/>
          <w:sz w:val="24"/>
          <w:szCs w:val="20"/>
          <w:lang w:eastAsia="pl-PL"/>
        </w:rPr>
        <w:t>I.</w:t>
      </w:r>
      <w:r w:rsidRPr="009764D3">
        <w:rPr>
          <w:rFonts w:ascii="Times" w:eastAsia="Times New Roman" w:hAnsi="Times" w:cs="Arial"/>
          <w:sz w:val="24"/>
          <w:szCs w:val="20"/>
          <w:lang w:eastAsia="pl-PL"/>
        </w:rPr>
        <w:tab/>
        <w:t>Potrzeba i cel regulacji</w:t>
      </w:r>
    </w:p>
    <w:p w:rsidR="00F019C2" w:rsidRPr="00F019C2" w:rsidRDefault="00F019C2" w:rsidP="00E516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Projekt ustawy został przygotowany w celu usprawnienia przygotowania i realizacji inwestycji „Budowa drogi wodnej łączącej Zalew Wiślany z Zatoką Gdańską – realizowanej ze środków budżetu państwa na podstawie uchwały </w:t>
      </w:r>
      <w:r w:rsidR="00575D78">
        <w:rPr>
          <w:rFonts w:ascii="Times" w:eastAsia="Times New Roman" w:hAnsi="Times" w:cs="Arial"/>
          <w:bCs/>
          <w:sz w:val="24"/>
          <w:szCs w:val="20"/>
          <w:lang w:eastAsia="pl-PL"/>
        </w:rPr>
        <w:t>n</w:t>
      </w:r>
      <w:r w:rsidRPr="00F019C2">
        <w:rPr>
          <w:rFonts w:ascii="Times" w:eastAsia="Times New Roman" w:hAnsi="Times" w:cs="Arial"/>
          <w:bCs/>
          <w:sz w:val="24"/>
          <w:szCs w:val="20"/>
          <w:lang w:eastAsia="pl-PL"/>
        </w:rPr>
        <w:t>r 57/2016 Rady Ministrów z dnia 24</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maja 2016 r. w sprawie ustanowienia Programu wieloletniego pn. „Budowa drogi wodnej łączącej Zalew Wiślany z Zatoką Gdańską”,</w:t>
      </w:r>
      <w:r w:rsidR="00D064C3">
        <w:rPr>
          <w:rFonts w:ascii="Times" w:eastAsia="Times New Roman" w:hAnsi="Times" w:cs="Arial"/>
          <w:bCs/>
          <w:sz w:val="24"/>
          <w:szCs w:val="20"/>
          <w:lang w:eastAsia="pl-PL"/>
        </w:rPr>
        <w:t xml:space="preserve"> na lata 2016–</w:t>
      </w:r>
      <w:r w:rsidRPr="00F019C2">
        <w:rPr>
          <w:rFonts w:ascii="Times" w:eastAsia="Times New Roman" w:hAnsi="Times" w:cs="Arial"/>
          <w:bCs/>
          <w:sz w:val="24"/>
          <w:szCs w:val="20"/>
          <w:lang w:eastAsia="pl-PL"/>
        </w:rPr>
        <w:t>2022.</w:t>
      </w:r>
    </w:p>
    <w:p w:rsidR="00F019C2" w:rsidRPr="00F019C2" w:rsidRDefault="00F019C2" w:rsidP="00E516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Budowa kanału żeglugowego, realizowana będzie przede wszystkim z powodów o</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charakterze zasadniczym, wynikających z nadrzędnego interesu publicznego jakim jest zapewnienie bezpieczeństwa publicznego w regionie. Zapewnienie bezpieczeństwa publicznego, jest najważniejszym zadaniem państwa i jego najważniejszą funkcją. Bezpieczeństwo publiczne jest przede wszystkim wartością konstytucyjną. Zgodnie z</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art. 31 ust. 3 Konstytucji RP bezpieczeństwo publiczne, obok porządku publicznego, ochrony środowiska, zdrowia i moralności publicznej, traktowane jest jako wartość wchodząca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skład interesu publicznego, dla której ochrony możliwe jest nawet ograniczenie korzystania przez obywatela z jego konstytucyjnych wolności i praw.</w:t>
      </w:r>
    </w:p>
    <w:p w:rsidR="00F019C2" w:rsidRPr="00F019C2" w:rsidRDefault="00F019C2" w:rsidP="00E516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Ustawa ma charakter jednostkowy i służy realizacji dobra publicznego, jakim jest budowa nowej drogi wodnej. Doświadczenia wywiedzione z budowy dróg lądowych wskazują, że bez posługiwania się regulacją szczególną i skupienia w jednej decyzji kompleksowych skutków administracyjno-rzeczowych, nie jest możliwe efektywne i</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rozsądne w czasie realizowanie inwestycji dotyczących dróg komunikacyjnych. Mimo że ostateczny wariant lokalizacyjny inwestycji zostanie określony na etapie wydawania decyzji środowiskowej, to możliwe warianty w sposób minimalny ingerują w prawa osób trzecich, gdyż zasadniczo przebiegają na gruntach Skarbu Państwa. Ochrona środowiska zostanie zapewniona w toku oceny oddziaływania na środowisko. Należy również mieć na względzie, że transport wodny jest jednym z najbardziej korzystnych środowiskowo sposobów transportu</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powodując najmniejszą emisję w przeliczeniu na jednostkę ładunku. Szybkie i skuteczne wykonanie nowej drogi wodnej wymaga skrócenia postępowania administracyjnego i</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konsolidacji wydawanych obecnie odrębnie decyzji (decyzji o warunkach zabudowy lub</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decyzji o ustaleniu lokalizacji inwestycji celu publicznego i decyzji o pozwoleniu na budowę) w jednym akcie administracyjnym, a także wyłączenia z fazy planowania inwestycji ustaleń </w:t>
      </w:r>
      <w:r w:rsidRPr="00F019C2">
        <w:rPr>
          <w:rFonts w:ascii="Times" w:eastAsia="Times New Roman" w:hAnsi="Times" w:cs="Arial"/>
          <w:bCs/>
          <w:sz w:val="24"/>
          <w:szCs w:val="20"/>
          <w:lang w:eastAsia="pl-PL"/>
        </w:rPr>
        <w:lastRenderedPageBreak/>
        <w:t>dotyczących wysokości odszkodowania za wywłaszczone nieruchomości. Zasadne jest bowiem z punktu widzenia uproszczenia procesu inwestycyjnego stworzenie takiego mechanizmu, w którym podmiot realizujący określone przedsięwzięcie będzie miał możliwość wykonania go w możliwie najkrótszym terminie, z uwzględnieniem zarówno interesu jednostki jak i bezpieczeństwa państwa. Taką regulację przewiduje projektowana zmiana. Jeżeli dojdzie do ograniczenia praw własności obywateli będą one rekompensowane słusznym odszkodowaniem. Ponieważ wszystkie rozważane obecnie lokalizacje inwestycji występują na gruntach Skarbu Państwa, ingerencja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prawa własności innych podmiotów nie wystąpi lub będzie znikoma.</w:t>
      </w:r>
    </w:p>
    <w:p w:rsidR="00F019C2" w:rsidRPr="00F019C2" w:rsidRDefault="00F019C2" w:rsidP="00E516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Pilna realizacja inwestycji jest niezbędna w celu umożliwienia swobodnego i</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 xml:space="preserve">nieograniczonego dostępu jednostek Marynarki Wojennej i </w:t>
      </w:r>
      <w:r w:rsidR="006D787A">
        <w:rPr>
          <w:rFonts w:ascii="Times" w:eastAsia="Times New Roman" w:hAnsi="Times" w:cs="Arial"/>
          <w:bCs/>
          <w:sz w:val="24"/>
          <w:szCs w:val="20"/>
          <w:lang w:eastAsia="pl-PL"/>
        </w:rPr>
        <w:t>S</w:t>
      </w:r>
      <w:r w:rsidRPr="00F019C2">
        <w:rPr>
          <w:rFonts w:ascii="Times" w:eastAsia="Times New Roman" w:hAnsi="Times" w:cs="Arial"/>
          <w:bCs/>
          <w:sz w:val="24"/>
          <w:szCs w:val="20"/>
          <w:lang w:eastAsia="pl-PL"/>
        </w:rPr>
        <w:t>traży Granicznej do portów Zalewu Wiślanego. Budowa drogi wodnej umożliwi również rozwój gospodarczy regionu, co jednak nie jest nadrzędnym celem realizacji tej inwestycji.</w:t>
      </w:r>
    </w:p>
    <w:p w:rsidR="00F019C2" w:rsidRPr="00F019C2" w:rsidRDefault="00F019C2" w:rsidP="00E516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Z punktu widzenia zapewnienia bezpieczeństwa Rzeczypospolitej Polskiej, realizacja przedmiotowego programu pozostaje w obszarze operacyjnego zainteresowania Marynarki Wojennej RP. Budowa nowej drogi wodnej, zgodnie z opiniami przedstawionymi przez Dowództwo Generalne Rodzajów Sił Zbrojnych RP oraz Sztab Generalny WP:</w:t>
      </w:r>
    </w:p>
    <w:p w:rsidR="00F019C2" w:rsidRPr="00F019C2" w:rsidRDefault="00F019C2" w:rsidP="00D064C3">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1</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ab/>
        <w:t>zapewni swobodny dostęp do wód Zalewu Wiślanego oraz rozszerzenie wachlarza działań małych okrętów Marynarki Wojennej RP (jednostki hydrograficzne, patrolowe, rozminowania, ratownictwa morskiego SAR oraz reagowania kryzysowego);</w:t>
      </w:r>
    </w:p>
    <w:p w:rsidR="00F019C2" w:rsidRPr="00F019C2" w:rsidRDefault="00F019C2" w:rsidP="00D064C3">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2</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ab/>
        <w:t>umożliwi wykonywanie zadań operacyjnych (antyterrorystycznych) przez jednostki specjalne stacjonujące w garnizonie Gdańsk i Gdynia, w tym „FORMO</w:t>
      </w:r>
      <w:r w:rsidR="00D064C3">
        <w:rPr>
          <w:rFonts w:ascii="Times" w:eastAsia="Times New Roman" w:hAnsi="Times" w:cs="Arial"/>
          <w:bCs/>
          <w:sz w:val="24"/>
          <w:szCs w:val="20"/>
          <w:lang w:eastAsia="pl-PL"/>
        </w:rPr>
        <w:t>ZA” i „GROM”</w:t>
      </w:r>
      <w:r w:rsidRPr="00F019C2">
        <w:rPr>
          <w:rFonts w:ascii="Times" w:eastAsia="Times New Roman" w:hAnsi="Times" w:cs="Arial"/>
          <w:bCs/>
          <w:sz w:val="24"/>
          <w:szCs w:val="20"/>
          <w:lang w:eastAsia="pl-PL"/>
        </w:rPr>
        <w:t>,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wykorzystaniem środków pływających, bez konieczności transportu drogą lądową;</w:t>
      </w:r>
    </w:p>
    <w:p w:rsidR="00F019C2" w:rsidRPr="00F019C2" w:rsidRDefault="00F019C2" w:rsidP="00D064C3">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3</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ab/>
        <w:t>zwiększy możliwości przerzutu oraz zaopatrywania pododdziałów 16 Dywizji Zmechanizowanej drogą morską;</w:t>
      </w:r>
    </w:p>
    <w:p w:rsidR="00F019C2" w:rsidRPr="00F019C2" w:rsidRDefault="00F019C2" w:rsidP="00D064C3">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4</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ab/>
        <w:t>umożliwi przeprowadzanie prac sondażowych i hydrograficznych przez motorówki hydrograficzne Marynarki Wojennej RP.</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Realizacja Programu wpłynie na poprawę bezpieczeństwa również w kontekście użycia jednostek ratownictwa morskiego SAR, jednostek rozminowania, antyterrorystycznych </w:t>
      </w:r>
      <w:r w:rsidRPr="00F019C2">
        <w:rPr>
          <w:rFonts w:ascii="Times" w:eastAsia="Times New Roman" w:hAnsi="Times" w:cs="Arial"/>
          <w:bCs/>
          <w:sz w:val="24"/>
          <w:szCs w:val="20"/>
          <w:lang w:eastAsia="pl-PL"/>
        </w:rPr>
        <w:lastRenderedPageBreak/>
        <w:t>itp. Reasumując, wykonanie Programu pozwoli na pełne wykorzystanie istniejącego potencjału logistycznego Sil Zbrojnych RP, co ma charakter priorytetowy.</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Obecnie dostępność dla poszczególnych typów jednostek jest całkowicie uzależniona od aktualnego stanowiska władz Federacji Rosyjskiej, jednostka płynąca z/lub do portu Elbląg nie ma gwarancji, że w momencie dotarcia do wód terytorialnych Federacji Rosyjskiej droga będzie dla niej nadal otwarta.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Stan techniczny toru wodnego, w tym jego głębokości, od granicy Państwa do cieśniny Piławskiej całkowicie zależny jest od decyzji władz Federacji Rosyjskiej.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Projektowana specustawa wprowadza ułatwienia proceduralne oraz reguluje kompetencje poszczególnych organów, wydających decyzje. Przepisy projektowanej ustawy będą miały zastosowanie do podmiotów zaangażowanych w realizację inwestycji prowadzonych na podstawie specustawy, a więc do: Dyrektora Urzędu Morskiego w Gdyni oraz do wojewodów (w tym: </w:t>
      </w:r>
      <w:r w:rsidR="00575D78">
        <w:rPr>
          <w:rFonts w:ascii="Times" w:eastAsia="Times New Roman" w:hAnsi="Times" w:cs="Arial"/>
          <w:bCs/>
          <w:sz w:val="24"/>
          <w:szCs w:val="20"/>
          <w:lang w:eastAsia="pl-PL"/>
        </w:rPr>
        <w:t>W</w:t>
      </w:r>
      <w:r w:rsidRPr="00F019C2">
        <w:rPr>
          <w:rFonts w:ascii="Times" w:eastAsia="Times New Roman" w:hAnsi="Times" w:cs="Arial"/>
          <w:bCs/>
          <w:sz w:val="24"/>
          <w:szCs w:val="20"/>
          <w:lang w:eastAsia="pl-PL"/>
        </w:rPr>
        <w:t xml:space="preserve">ojewoda </w:t>
      </w:r>
      <w:r w:rsidR="00575D78">
        <w:rPr>
          <w:rFonts w:ascii="Times" w:eastAsia="Times New Roman" w:hAnsi="Times" w:cs="Arial"/>
          <w:bCs/>
          <w:sz w:val="24"/>
          <w:szCs w:val="20"/>
          <w:lang w:eastAsia="pl-PL"/>
        </w:rPr>
        <w:t>P</w:t>
      </w:r>
      <w:r w:rsidRPr="00F019C2">
        <w:rPr>
          <w:rFonts w:ascii="Times" w:eastAsia="Times New Roman" w:hAnsi="Times" w:cs="Arial"/>
          <w:bCs/>
          <w:sz w:val="24"/>
          <w:szCs w:val="20"/>
          <w:lang w:eastAsia="pl-PL"/>
        </w:rPr>
        <w:t>omorski we współpracy z</w:t>
      </w:r>
      <w:r w:rsidR="00D064C3">
        <w:rPr>
          <w:rFonts w:ascii="Times" w:eastAsia="Times New Roman" w:hAnsi="Times" w:cs="Arial"/>
          <w:bCs/>
          <w:sz w:val="24"/>
          <w:szCs w:val="20"/>
          <w:lang w:eastAsia="pl-PL"/>
        </w:rPr>
        <w:t> </w:t>
      </w:r>
      <w:r w:rsidR="00575D78">
        <w:rPr>
          <w:rFonts w:ascii="Times" w:eastAsia="Times New Roman" w:hAnsi="Times" w:cs="Arial"/>
          <w:bCs/>
          <w:sz w:val="24"/>
          <w:szCs w:val="20"/>
          <w:lang w:eastAsia="pl-PL"/>
        </w:rPr>
        <w:t>W</w:t>
      </w:r>
      <w:r w:rsidRPr="00F019C2">
        <w:rPr>
          <w:rFonts w:ascii="Times" w:eastAsia="Times New Roman" w:hAnsi="Times" w:cs="Arial"/>
          <w:bCs/>
          <w:sz w:val="24"/>
          <w:szCs w:val="20"/>
          <w:lang w:eastAsia="pl-PL"/>
        </w:rPr>
        <w:t xml:space="preserve">ojewodą </w:t>
      </w:r>
      <w:r w:rsidR="00575D78">
        <w:rPr>
          <w:rFonts w:ascii="Times" w:eastAsia="Times New Roman" w:hAnsi="Times" w:cs="Arial"/>
          <w:bCs/>
          <w:sz w:val="24"/>
          <w:szCs w:val="20"/>
          <w:lang w:eastAsia="pl-PL"/>
        </w:rPr>
        <w:t>W</w:t>
      </w:r>
      <w:r w:rsidR="00351A59">
        <w:rPr>
          <w:rFonts w:ascii="Times" w:eastAsia="Times New Roman" w:hAnsi="Times" w:cs="Arial"/>
          <w:bCs/>
          <w:sz w:val="24"/>
          <w:szCs w:val="20"/>
          <w:lang w:eastAsia="pl-PL"/>
        </w:rPr>
        <w:t>armińsko-</w:t>
      </w:r>
      <w:r w:rsidR="00575D78">
        <w:rPr>
          <w:rFonts w:ascii="Times" w:eastAsia="Times New Roman" w:hAnsi="Times" w:cs="Arial"/>
          <w:bCs/>
          <w:sz w:val="24"/>
          <w:szCs w:val="20"/>
          <w:lang w:eastAsia="pl-PL"/>
        </w:rPr>
        <w:t>M</w:t>
      </w:r>
      <w:r w:rsidRPr="00F019C2">
        <w:rPr>
          <w:rFonts w:ascii="Times" w:eastAsia="Times New Roman" w:hAnsi="Times" w:cs="Arial"/>
          <w:bCs/>
          <w:sz w:val="24"/>
          <w:szCs w:val="20"/>
          <w:lang w:eastAsia="pl-PL"/>
        </w:rPr>
        <w:t>azurskim, ponieważ inwestycja realizowana będzi</w:t>
      </w:r>
      <w:r w:rsidR="009D0F0B">
        <w:rPr>
          <w:rFonts w:ascii="Times" w:eastAsia="Times New Roman" w:hAnsi="Times" w:cs="Arial"/>
          <w:bCs/>
          <w:sz w:val="24"/>
          <w:szCs w:val="20"/>
          <w:lang w:eastAsia="pl-PL"/>
        </w:rPr>
        <w:t>e na obszarze dwóch województw)</w:t>
      </w:r>
      <w:r w:rsidRPr="00F019C2">
        <w:rPr>
          <w:rFonts w:ascii="Times" w:eastAsia="Times New Roman" w:hAnsi="Times" w:cs="Arial"/>
          <w:bCs/>
          <w:sz w:val="24"/>
          <w:szCs w:val="20"/>
          <w:lang w:eastAsia="pl-PL"/>
        </w:rPr>
        <w:t xml:space="preserve"> jako organów wydających decyzję o zezwoleniu na realizację ww</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inwestycji w zakresie infrastruktury dostępowej. Egzekucja ewentualnych obowiązków określonych w decyzji o zezwoleniu na realizację inwestycji w zakresie infrastruktury dostępowej oraz postępowań wpadkowych będzie realizowana w trybie egzekucji administracyjnej.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Projektowana ustawa będzie również dotyczyć właścicieli, użytkowników wieczystych gruntów oraz osób, którym przysługują ograniczone prawa rzeczowe. W części ustawa odnosi się również do organów wydających decyzje pomocnicze dla realizacji inwestycji (pozwolenie wodnoprawne, decyzja o środowiskowych uwarunkowaniach realizacji przedsięwzięcia), to jest do marszałków województw oraz regionalnych dyrektorów ochrony środowiska.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Celem projektowanej ustawy jest wprowadzenie ułatwień proceduralnych, umożliwiających sprawną realizację ww</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strategicznych przedsięwzięć z punktu widzenia interesów państwa. Zasadnicze skrócenie ścieżki pozyskiwania niezbędnych pozwoleń przyczyni się do efektywnego wydatkowania środków publicznych. Rozwiązania specustawy opierają się w głównej mierze na sprawdzonych rozwiązaniach innych specustaw,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szczególności specustawy drogowej. Ustawa uwzględnia jednocześnie specyfikę inwestycji w drogi wodne oraz specyfikę inwestora, </w:t>
      </w:r>
      <w:r w:rsidRPr="00F019C2">
        <w:rPr>
          <w:rFonts w:ascii="Times" w:eastAsia="Times New Roman" w:hAnsi="Times" w:cs="Arial"/>
          <w:bCs/>
          <w:sz w:val="24"/>
          <w:szCs w:val="20"/>
          <w:lang w:eastAsia="pl-PL"/>
        </w:rPr>
        <w:lastRenderedPageBreak/>
        <w:t xml:space="preserve">którym będzie </w:t>
      </w:r>
      <w:r w:rsidR="00746571">
        <w:rPr>
          <w:rFonts w:ascii="Times" w:eastAsia="Times New Roman" w:hAnsi="Times" w:cs="Arial"/>
          <w:bCs/>
          <w:sz w:val="24"/>
          <w:szCs w:val="20"/>
          <w:lang w:eastAsia="pl-PL"/>
        </w:rPr>
        <w:t>p</w:t>
      </w:r>
      <w:r w:rsidRPr="00F019C2">
        <w:rPr>
          <w:rFonts w:ascii="Times" w:eastAsia="Times New Roman" w:hAnsi="Times" w:cs="Arial"/>
          <w:bCs/>
          <w:sz w:val="24"/>
          <w:szCs w:val="20"/>
          <w:lang w:eastAsia="pl-PL"/>
        </w:rPr>
        <w:t xml:space="preserve">aństwowa </w:t>
      </w:r>
      <w:r w:rsidR="00746571">
        <w:rPr>
          <w:rFonts w:ascii="Times" w:eastAsia="Times New Roman" w:hAnsi="Times" w:cs="Arial"/>
          <w:bCs/>
          <w:sz w:val="24"/>
          <w:szCs w:val="20"/>
          <w:lang w:eastAsia="pl-PL"/>
        </w:rPr>
        <w:t>j</w:t>
      </w:r>
      <w:r w:rsidRPr="00F019C2">
        <w:rPr>
          <w:rFonts w:ascii="Times" w:eastAsia="Times New Roman" w:hAnsi="Times" w:cs="Arial"/>
          <w:bCs/>
          <w:sz w:val="24"/>
          <w:szCs w:val="20"/>
          <w:lang w:eastAsia="pl-PL"/>
        </w:rPr>
        <w:t xml:space="preserve">ednostka </w:t>
      </w:r>
      <w:r w:rsidR="00746571">
        <w:rPr>
          <w:rFonts w:ascii="Times" w:eastAsia="Times New Roman" w:hAnsi="Times" w:cs="Arial"/>
          <w:bCs/>
          <w:sz w:val="24"/>
          <w:szCs w:val="20"/>
          <w:lang w:eastAsia="pl-PL"/>
        </w:rPr>
        <w:t>b</w:t>
      </w:r>
      <w:r w:rsidRPr="00F019C2">
        <w:rPr>
          <w:rFonts w:ascii="Times" w:eastAsia="Times New Roman" w:hAnsi="Times" w:cs="Arial"/>
          <w:bCs/>
          <w:sz w:val="24"/>
          <w:szCs w:val="20"/>
          <w:lang w:eastAsia="pl-PL"/>
        </w:rPr>
        <w:t>udżetowa (Urząd Morski w Gdyni), zapobiegając ponoszeniu zbędnych opłat i kosztów o charakterze administracyjnym.</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Proponowane przepisy nie spowodują wzrostu wydatków publicznych ani nie ustanawiają żadnych nowych dochodów publicznych. Inwestycje w zakresie budowy drogi wodnej będą finansowane z budżetu państwa na podstawie przyjętego przez Radę Ministrów programu wieloletniego, z tego powodu przyjmuje się, że sama ustawa nie stanowi podstawy wydatków publicznych. Organy zaangażowane w proces decyzyjny, nawet w sytuacji braku niniejszej ustawy, są zobowiązane na podstawie istniejących przepisów do wydania niezbędnych do realizacji inwestycji decyzji i postanowień. Ze względu na projektowaną budowę dwóch mostów drogowych w ramach realizowanego Programu wieloletniego zostanie wydłużona droga wojewódzka o ok. 200 m, co może spowodować dodatkowe koszty utrzymania tej nawierzchni drogi przez Zarządcę drogi (sprzątanie, odśnieżanie). Na obecnym etapie ewentualne dodatkowe koszty nie są możliwe do oszacowania przez projektodawcę, jak i Zarządcę drogi (zwiększenie zakresu o ok. 0,25% utrzymania w stosunku do stanu obecnego drogi o długości 78</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km).</w:t>
      </w:r>
    </w:p>
    <w:p w:rsidR="00F019C2" w:rsidRPr="009764D3" w:rsidRDefault="00F019C2" w:rsidP="00D064C3">
      <w:pPr>
        <w:tabs>
          <w:tab w:val="left" w:pos="567"/>
        </w:tabs>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9764D3">
        <w:rPr>
          <w:rFonts w:ascii="Times" w:eastAsia="Times New Roman" w:hAnsi="Times" w:cs="Arial"/>
          <w:bCs/>
          <w:sz w:val="24"/>
          <w:szCs w:val="20"/>
          <w:lang w:eastAsia="pl-PL"/>
        </w:rPr>
        <w:t>II.</w:t>
      </w:r>
      <w:r w:rsidRPr="009764D3">
        <w:rPr>
          <w:rFonts w:ascii="Times" w:eastAsia="Times New Roman" w:hAnsi="Times" w:cs="Arial"/>
          <w:bCs/>
          <w:sz w:val="24"/>
          <w:szCs w:val="20"/>
          <w:lang w:eastAsia="pl-PL"/>
        </w:rPr>
        <w:tab/>
        <w:t>Zakres projektowanej regulacji</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Zasadnicza część rozwiązań ustawy bazuje na sprawdzonych w praktyce zapisach innych „specustaw”, w szczególności specustawy drogowej.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 zawiera zakres regulacji ustawy oraz definicje. Zaakcentowano potrzebę regulacji z uwagi na istotny interes bezpieczeństwa państwa. Definicje określają zakres przedmiotowy robót w zakresie drogi wodnej łączącej Zalew Wiślany z Zatoką Gdańską. Przyjęto kompleksowy zakres regulacji – wyszczególniono planowane obiekty hydrotechniczne oraz zasadnicze elementy robót. Wprowadzono określenie infrastruktury dostępowej jako określenia dla urządzeń i obiektów niezbędnych do zbudowania i funkcjonowania drogi wodnej łączącej Zalew Wiślany z Zatoką Gdańską oraz jej funkcjonowania.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2 statuuje cel publiczny inwestycji oraz wskazuje na źródło finansowania, którym jest program wieloletni. Nie wykluczono jednocześnie innych źródeł finansowania.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lastRenderedPageBreak/>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 określa właściwość organu wydającego decyzje o zezwoleniu na realizację inwestycji w zakresie infrastruktury dostępowej, określając jako organ właściwy dla budowy drogi wodnej – Wojewodę Pomorskiego.</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4 określa zawartość wniosku o wydanie decyzji o zezwoleniu na realizację inwestycji w zakresie infrastruktury dostępowej.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5 określa termin wydania decyzji o zezwoleniu na realizację inwestycji w zakresie infrastruktury dostępowej, określając ten termin na 60 dni. Sankcją za niedotrzymanie terminu jest wymierzenie kary organowi wydającemu decyzję. Wszystkie nieuiszczone kary podlegają egzekucji administracyjnej.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6 określa podmioty zawiadamiane o wszczęciu postępowania oraz ograniczenia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obrocie nieruchomościami dla gruntów publicznych oraz inne skutki związane ze</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wszczęciem postępowania.</w:t>
      </w:r>
    </w:p>
    <w:p w:rsidR="00F019C2" w:rsidRPr="00F019C2" w:rsidRDefault="00F019C2" w:rsidP="00F019C2">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Wariant lokalizacji kanału zostanie określony w toku procedury oddziaływania na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środowisko. Przyjęte warianty lokalizacyjne nie przewidują realizacji inwestycji na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gruntach prywatnych ani na terenach rodzinnych ogrodów działkowych.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7 określa zakres stosowania przepisów Kodeksu postępowania administracyjnego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wyjątkami), ustawy z dnia 7 lipca 1994 r</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 xml:space="preserve"> Prawo budowlane oraz przepisów ustawy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dnia 9 października 2015 r. o rewitalizacji – z uwagi na kompleksowość zapisów ustawy.</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8 określa zawartość decyzji o zezwoleniu na realizację inwestycji w zakresie infrastruktury dostępowej, w tym w szczególności zawartość techniczną oraz dotyczącą przejścia i ograniczenia własności i innych praw rzeczowych.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9 statuuje brak przeszkód do wydania decyzji w razie braku uregulowania stanu prawnego nieruchomości.</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10 określa sposób doręczenia decyzji o zezwoleniu na realizację inwestycji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 xml:space="preserve">zakresie infrastruktury dostępowej.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11 wyłącza stosowanie ustawy z dnia 27 marca 2003 r. o planowaniu i</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zagospodarowaniu przestrzennym, z wyjątkiem art. 57 ust. 1 i 4 oraz określa skutki decyzji o zezwoleniu na realizację inwestycji w zakresie infrastruktury dostępowej dla planowania i</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zagospodarowania przestrzennego oraz realizacji innych inwestycji.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lastRenderedPageBreak/>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12 określa podstawę wpisu do ksiąg wieczystych, związanie zarządcy drogi publicznej decyzją oraz określa przekazanie dróg publicznych powstałych w wyniku realizacji inwestycji właściwemu zarządcy drogi. Ustawa jednoznacznie określa, że</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zarządzanie ruchomymi obiektami mostowymi na drodze wodnej łączącej Zalew Wiślany z Zatoką Gdańską, zlokalizowanymi na Mierzei Wiślanej, będzie realizował Urząd Morski w Gdyni. Jest to niezbędne dla zapewnienia właściwego bezkolizyjnego funkcjonowania drogi wodnej.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13 określa brak przeszkód dla realizacji robót budowlanych w razie zmiany oznaczeń nieruchomości w katastrze.</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14 statuuje podstawę w decyzji o zezwoleniu na realizację inwestycji w zakresie infrastruktury dostępowej do wycinki drzew i krzewów. Z uwagi na to, że inwestorem jest Skarb Państwa, zrezygnowano z naliczania opłat za usunięcie drzew i krzewów.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możliwych wariantach lokalizacyjnych co do zasady nie przewiduje się wycinki innej, niż</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na gruntach będących w zarządzie Lasów Państwowych. Wprowadzono również dodatkowe wymagania dla wniosku o wydanie decyzji w razie konieczności usunięcia drzew i krzewów oraz uprawnienie dla wojewody do nakazania wykonania obowiązku przesadzeń lub </w:t>
      </w:r>
      <w:proofErr w:type="spellStart"/>
      <w:r w:rsidRPr="00F019C2">
        <w:rPr>
          <w:rFonts w:ascii="Times" w:eastAsia="Times New Roman" w:hAnsi="Times" w:cs="Arial"/>
          <w:bCs/>
          <w:sz w:val="24"/>
          <w:szCs w:val="20"/>
          <w:lang w:eastAsia="pl-PL"/>
        </w:rPr>
        <w:t>nasadzeń</w:t>
      </w:r>
      <w:proofErr w:type="spellEnd"/>
      <w:r w:rsidRPr="00F019C2">
        <w:rPr>
          <w:rFonts w:ascii="Times" w:eastAsia="Times New Roman" w:hAnsi="Times" w:cs="Arial"/>
          <w:bCs/>
          <w:sz w:val="24"/>
          <w:szCs w:val="20"/>
          <w:lang w:eastAsia="pl-PL"/>
        </w:rPr>
        <w:t xml:space="preserve"> zastępczych.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15 określa organ właściwy do wydania pozwolenia na użytkowanie.</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16 określa termin i organy właściwe do wydania pozwolenia wodnoprawnego, wskazując na właściwość w tym zakresie Marszałka Województwa Pomorskiego, z</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zastrzeżeniem obowiązku uzyskania opinii Marszałka Województwa Warmińsko</w:t>
      </w:r>
      <w:r w:rsidR="00575D78">
        <w:rPr>
          <w:rFonts w:ascii="Times" w:eastAsia="Times New Roman" w:hAnsi="Times" w:cs="Arial"/>
          <w:bCs/>
          <w:sz w:val="24"/>
          <w:szCs w:val="20"/>
          <w:lang w:eastAsia="pl-PL"/>
        </w:rPr>
        <w:t>-</w:t>
      </w:r>
      <w:r w:rsidR="00D064C3">
        <w:rPr>
          <w:rFonts w:ascii="Times" w:eastAsia="Times New Roman" w:hAnsi="Times" w:cs="Arial"/>
          <w:bCs/>
          <w:sz w:val="24"/>
          <w:szCs w:val="20"/>
          <w:lang w:eastAsia="pl-PL"/>
        </w:rPr>
        <w:br/>
      </w:r>
      <w:r w:rsidRPr="00F019C2">
        <w:rPr>
          <w:rFonts w:ascii="Times" w:eastAsia="Times New Roman" w:hAnsi="Times" w:cs="Arial"/>
          <w:bCs/>
          <w:sz w:val="24"/>
          <w:szCs w:val="20"/>
          <w:lang w:eastAsia="pl-PL"/>
        </w:rPr>
        <w:t>-Mazurskiego dla inwestycji drogi wodnej zlokalizowanej na obszarze województwa warmińsko-mazurskiego.</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17 określa termin wydania decyzji o środowiskowych uwarunkowaniach realizacji inwestycji oraz organy właściwe w tych sprawach. Ustanowiono właściwość regionalnego dyrektora ochrony środowiska w Olsztynie – przy obowiązku niezbędnych konsultacji regionalnego dyrektora ochrony środowiska w Gdańsku.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18 określa tryb postępowania administracyjnego w sytuacji występowania złóż kopalin, w szczególności w sytuacji rozpoznania złoża bursztynu. Statuuje odpowiednie stosowanie przepisów ustawy z dnia 9 czerwca 2011 r</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w:t>
      </w:r>
      <w:r w:rsidR="00575D78">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Prawo geologiczne i górnicze (Dz.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U. z 2016 r. poz. 1131</w:t>
      </w:r>
      <w:r w:rsidR="00E03AE9">
        <w:rPr>
          <w:rFonts w:ascii="Times" w:eastAsia="Times New Roman" w:hAnsi="Times" w:cs="Arial"/>
          <w:bCs/>
          <w:sz w:val="24"/>
          <w:szCs w:val="20"/>
          <w:lang w:eastAsia="pl-PL"/>
        </w:rPr>
        <w:t xml:space="preserve">, z </w:t>
      </w:r>
      <w:proofErr w:type="spellStart"/>
      <w:r w:rsidR="00E03AE9">
        <w:rPr>
          <w:rFonts w:ascii="Times" w:eastAsia="Times New Roman" w:hAnsi="Times" w:cs="Arial"/>
          <w:bCs/>
          <w:sz w:val="24"/>
          <w:szCs w:val="20"/>
          <w:lang w:eastAsia="pl-PL"/>
        </w:rPr>
        <w:t>późn</w:t>
      </w:r>
      <w:proofErr w:type="spellEnd"/>
      <w:r w:rsidR="00E03AE9">
        <w:rPr>
          <w:rFonts w:ascii="Times" w:eastAsia="Times New Roman" w:hAnsi="Times" w:cs="Arial"/>
          <w:bCs/>
          <w:sz w:val="24"/>
          <w:szCs w:val="20"/>
          <w:lang w:eastAsia="pl-PL"/>
        </w:rPr>
        <w:t>. zm.</w:t>
      </w:r>
      <w:r w:rsidRPr="00F019C2">
        <w:rPr>
          <w:rFonts w:ascii="Times" w:eastAsia="Times New Roman" w:hAnsi="Times" w:cs="Arial"/>
          <w:bCs/>
          <w:sz w:val="24"/>
          <w:szCs w:val="20"/>
          <w:lang w:eastAsia="pl-PL"/>
        </w:rPr>
        <w:t>), w kwestii poszukiwania oraz wydobywania kopalin ze złóż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trakcie wykonywania robót związanych z realizacją </w:t>
      </w:r>
      <w:r w:rsidRPr="00F019C2">
        <w:rPr>
          <w:rFonts w:ascii="Times" w:eastAsia="Times New Roman" w:hAnsi="Times" w:cs="Arial"/>
          <w:bCs/>
          <w:sz w:val="24"/>
          <w:szCs w:val="20"/>
          <w:lang w:eastAsia="pl-PL"/>
        </w:rPr>
        <w:lastRenderedPageBreak/>
        <w:t>i</w:t>
      </w:r>
      <w:r w:rsidR="00E03AE9">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funkcjonowaniem inwestycji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zakresie infrastruktury dostępowej. Określa uproszczony tryb uzyskiwania koncesji,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wyłączeniem stosowania niektórych przepisów ww</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ustawy.</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19 określa skutki rzeczowe decyzji o zezwoleniu na realizację inwestycji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zakresie infrastruktury dostępowej, statuując przejście na własność Skarbu Państwa niezbędnych nieruchomości oraz inne ograniczenia praw rzeczowych, za odszkodowaniem.</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20 wskazuje, że decyzja o zezwoleniu na realizację inwestycji w zakresie infrastruktury dostępowej uprawnia inwestora do dysponowania nieruchomościami na cele budowlane.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21 stanowi podstawę do wygaśnięcia decyzji o trwałym zarządzie ustanowionym na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nieruchomościach wskazanych w treści decyzji, przeznaczonych na inwestycję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zakresie budowy i modernizacji infrastruktury dostępowej stanowiących własność Skarbu Państwa lub jednostek samorządu terytorialnego oraz wygaśnięcia zarządu Państwowego Gospodarstwa Leśnego Lasy Państwowe ustanowionego na gruntach stanowiących własność Skarbu Państwa.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22 określa tryb i zasady wypłaty odszkodowań, statuując pierwszeństwo trybu negocjacyjnego, a następnie właściwość wojewody dla określenia odszkodowań. Przepis ust. 12 stanowi, że podmiotem zobowiązanym do wypłaty odszkodowań jest inwestor.</w:t>
      </w:r>
    </w:p>
    <w:p w:rsidR="00F019C2" w:rsidRPr="00F019C2" w:rsidRDefault="00F019C2" w:rsidP="00F019C2">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Środki na ten cel zostały zabezpieczone w Programie Wieloletnim, na podstawie przyjętego harmonogramu rzeczowo-finansowego, stanowiącego załącznik do </w:t>
      </w:r>
      <w:r w:rsidR="00575D78">
        <w:rPr>
          <w:rFonts w:ascii="Times" w:eastAsia="Times New Roman" w:hAnsi="Times" w:cs="Arial"/>
          <w:bCs/>
          <w:sz w:val="24"/>
          <w:szCs w:val="20"/>
          <w:lang w:eastAsia="pl-PL"/>
        </w:rPr>
        <w:t>u</w:t>
      </w:r>
      <w:r w:rsidRPr="00F019C2">
        <w:rPr>
          <w:rFonts w:ascii="Times" w:eastAsia="Times New Roman" w:hAnsi="Times" w:cs="Arial"/>
          <w:bCs/>
          <w:sz w:val="24"/>
          <w:szCs w:val="20"/>
          <w:lang w:eastAsia="pl-PL"/>
        </w:rPr>
        <w:t xml:space="preserve">chwały </w:t>
      </w:r>
      <w:r w:rsidR="00575D78">
        <w:rPr>
          <w:rFonts w:ascii="Times" w:eastAsia="Times New Roman" w:hAnsi="Times" w:cs="Arial"/>
          <w:bCs/>
          <w:sz w:val="24"/>
          <w:szCs w:val="20"/>
          <w:lang w:eastAsia="pl-PL"/>
        </w:rPr>
        <w:t>n</w:t>
      </w:r>
      <w:r w:rsidRPr="00F019C2">
        <w:rPr>
          <w:rFonts w:ascii="Times" w:eastAsia="Times New Roman" w:hAnsi="Times" w:cs="Arial"/>
          <w:bCs/>
          <w:sz w:val="24"/>
          <w:szCs w:val="20"/>
          <w:lang w:eastAsia="pl-PL"/>
        </w:rPr>
        <w:t>r 57/2016 Rady Ministrów z dnia 24 maja 2016 r. w sprawie ustanowienia Programu wieloletniego pn.</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„Budowa drogi wodnej łączącej Zalew Wiślany </w:t>
      </w:r>
      <w:r w:rsidR="00D064C3">
        <w:rPr>
          <w:rFonts w:ascii="Times" w:eastAsia="Times New Roman" w:hAnsi="Times" w:cs="Arial"/>
          <w:bCs/>
          <w:sz w:val="24"/>
          <w:szCs w:val="20"/>
          <w:lang w:eastAsia="pl-PL"/>
        </w:rPr>
        <w:t>z Zatoką Gdańską”, na lata 2016–</w:t>
      </w:r>
      <w:r w:rsidRPr="00F019C2">
        <w:rPr>
          <w:rFonts w:ascii="Times" w:eastAsia="Times New Roman" w:hAnsi="Times" w:cs="Arial"/>
          <w:bCs/>
          <w:sz w:val="24"/>
          <w:szCs w:val="20"/>
          <w:lang w:eastAsia="pl-PL"/>
        </w:rPr>
        <w:t>2022.</w:t>
      </w:r>
    </w:p>
    <w:p w:rsidR="00F019C2" w:rsidRPr="00F019C2" w:rsidRDefault="00F019C2" w:rsidP="00F019C2">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Zgodnie z ww</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uchwałą ogólna kwota środków w całym okresie realizacji Programu wieloletniego wyniesie 880 mln zł.</w:t>
      </w:r>
    </w:p>
    <w:p w:rsidR="00F019C2" w:rsidRPr="00F019C2" w:rsidRDefault="00F019C2" w:rsidP="00F019C2">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Wysokość odszkodowania przysługującego dotychczasowemu właścicielowi lub użytkownikowi wieczystemu tej nieruchomości, zamieszkałemu w tym budynku albo lokalu powiększa się o kwotę 10 000 zł. Nie przewiduje się konieczności wywłaszczania nieruchomości zabudowanej budynkiem mieszkalnym na potrzeby </w:t>
      </w:r>
      <w:r w:rsidR="00D064C3">
        <w:rPr>
          <w:rFonts w:ascii="Times" w:eastAsia="Times New Roman" w:hAnsi="Times" w:cs="Arial"/>
          <w:bCs/>
          <w:sz w:val="24"/>
          <w:szCs w:val="20"/>
          <w:lang w:eastAsia="pl-PL"/>
        </w:rPr>
        <w:lastRenderedPageBreak/>
        <w:t>inwestycji. Kwota 10 </w:t>
      </w:r>
      <w:r w:rsidRPr="00F019C2">
        <w:rPr>
          <w:rFonts w:ascii="Times" w:eastAsia="Times New Roman" w:hAnsi="Times" w:cs="Arial"/>
          <w:bCs/>
          <w:sz w:val="24"/>
          <w:szCs w:val="20"/>
          <w:lang w:eastAsia="pl-PL"/>
        </w:rPr>
        <w:t>000 zł i kwota 5% premii określonej w art. 22 ust. 8 są kwot</w:t>
      </w:r>
      <w:r w:rsidR="006010F0">
        <w:rPr>
          <w:rFonts w:ascii="Times" w:eastAsia="Times New Roman" w:hAnsi="Times" w:cs="Arial"/>
          <w:bCs/>
          <w:sz w:val="24"/>
          <w:szCs w:val="20"/>
          <w:lang w:eastAsia="pl-PL"/>
        </w:rPr>
        <w:t>ami</w:t>
      </w:r>
      <w:r w:rsidRPr="00F019C2">
        <w:rPr>
          <w:rFonts w:ascii="Times" w:eastAsia="Times New Roman" w:hAnsi="Times" w:cs="Arial"/>
          <w:bCs/>
          <w:sz w:val="24"/>
          <w:szCs w:val="20"/>
          <w:lang w:eastAsia="pl-PL"/>
        </w:rPr>
        <w:t xml:space="preserve"> ponad odszkodowanie odpowiadając</w:t>
      </w:r>
      <w:r w:rsidR="006D787A">
        <w:rPr>
          <w:rFonts w:ascii="Times" w:eastAsia="Times New Roman" w:hAnsi="Times" w:cs="Arial"/>
          <w:bCs/>
          <w:sz w:val="24"/>
          <w:szCs w:val="20"/>
          <w:lang w:eastAsia="pl-PL"/>
        </w:rPr>
        <w:t>e</w:t>
      </w:r>
      <w:r w:rsidRPr="00F019C2">
        <w:rPr>
          <w:rFonts w:ascii="Times" w:eastAsia="Times New Roman" w:hAnsi="Times" w:cs="Arial"/>
          <w:bCs/>
          <w:sz w:val="24"/>
          <w:szCs w:val="20"/>
          <w:lang w:eastAsia="pl-PL"/>
        </w:rPr>
        <w:t xml:space="preserve"> wartości wywłaszczanych praw.</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23 określa uprawnienia dla wojewody do ograniczenia w decyzji sposobu korzystania z nieruchomości w celu zapewnienia prawa do wejścia na teren nieruchomości dla prowadzenia na nich robót budowlanych w zakresie budowy i</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modernizacji infrastruktury dostępowej, a także prac związanych z konserwacją lub usuwaniem awarii – za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odszkodowaniem.</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24 statuuje uprawnienie dla inwestora do nieodpłatnego zajęcia terenów wód płynących, dróg publicznych, bądź terenów linii kolejowej – dla celów przejścia przez nie inwestycji.</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25 określa obowiązek dla Państwowego Gospodarstwa Leśnego Lasy Państwowe do dokonania wycinki drzew i krzewów. Inwestor będzie ponosił koszty wycinki (które zostały zabezpieczone w Programie wieloletnim), zaś drewno pozostaje własnością Lasów Państwowych.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26 wyłącza stosowanie przepisów o ochronie gruntów rolnych i leśnych do nieruchomości objętych inwestycją.</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27 określa organ wyższego stopnia </w:t>
      </w:r>
      <w:r w:rsidR="00575D78">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ministra właściwego do spraw budownictwa, planowania i zagospodarowania przestrzennego oraz mieszkalnictwa.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28 statuuje odpowiednie stosowanie przepisów ustawy z dnia 21 sierpnia 1997 r. o</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gospodarce nieruchomościami w sprawach nieuregulowanych w ustawie.</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29 określa zasady udzielenia zamówień na realizację inwestycji w zakresie infrastruktury dostępowej, statuując możliwość zawierania umów na okres dłuższy, niż 4 lata oraz skrócenie terminu kontroli uprzedniej Prezesa Urzędu Zamówień Publicznych.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30 określa zmiany w zakresie postępowania administracyjnego związane z</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koniecznością jego przyspieszenia i sprawnego procedowania spraw określonych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ustawie, w tym w ust. 1 przewiduje możliwość nadania decyzji o zezwoleniu na realizacje infrastruktury dostępowej rygoru natychmiastowej wykonalności. Rygor ten nadawany jest na wniosek inwestora uzasadniony nadrzędnym interesem publicznym.</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31 skraca termin przekazania skargi do sądu administracyjnego oraz wyznacza krótszy termin jej rozpoznania.</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lastRenderedPageBreak/>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32 ogranicza możliwość stwierdzenia nieważności decyzji o zezwoleniu na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realizację inwestycji w zakresie infrastruktury dostępowej, wyłączając taką możliwość jeżeli wniosek o stwierdzenie nieważności tej decyzji został złożony po upływie 14 dni od dnia, w którym decyzja stała się ostateczna, a inwestor rozpoczął roboty budowlane. Z kolei w przypadku uwzględnienia skargi na decyzję o zezwoleniu na realizację inwestycji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zakresie infrastruktury dostępowej, sąd administracyjny po upływie 30 dni od dnia rozpoczęcia robót budowlanych może stwierdzić jedynie, że decyzja narusza prawo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przyczyn wyszczególnionych w art. 145 lub </w:t>
      </w:r>
      <w:r w:rsidR="00575D78">
        <w:rPr>
          <w:rFonts w:ascii="Times" w:eastAsia="Times New Roman" w:hAnsi="Times" w:cs="Arial"/>
          <w:bCs/>
          <w:sz w:val="24"/>
          <w:szCs w:val="20"/>
          <w:lang w:eastAsia="pl-PL"/>
        </w:rPr>
        <w:t xml:space="preserve">art. </w:t>
      </w:r>
      <w:r w:rsidRPr="00F019C2">
        <w:rPr>
          <w:rFonts w:ascii="Times" w:eastAsia="Times New Roman" w:hAnsi="Times" w:cs="Arial"/>
          <w:bCs/>
          <w:sz w:val="24"/>
          <w:szCs w:val="20"/>
          <w:lang w:eastAsia="pl-PL"/>
        </w:rPr>
        <w:t>156 Kodeksu postępowania administracyjnego – wykluczona jest możliwość stwierdzenia nieważności decyzji. Podkreślić należy, że celem ustawy jest umożliwienie terminowej budowy drogi wodnej, która jest inwestycją celu publicznego realizowaną dla dobra wspólnego, podobnie jak budowa dróg publicznych. Bezpieczeństwo publiczne jest przede wszystkim wartością konstytucyjną, dla</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której ochrony możliwe jest ograniczenie korzystania przez obywatela z jego konstytucyjnych wolności i praw. Należy również mieć na względzie, że w każdym z możliwych, rozważanych wariantów lokalizacyjnych, inwestycja niemal w całości będzie przebiegała na terenie gruntów będących własnością Skarbu Państwa. Zakres ingerencji w nieruchomości prywatne będzie wysoce ograniczony, a decyzja o zezwoleniu na realizację inwestycji d</w:t>
      </w:r>
      <w:r w:rsidR="006D0153">
        <w:rPr>
          <w:rFonts w:ascii="Times" w:eastAsia="Times New Roman" w:hAnsi="Times" w:cs="Arial"/>
          <w:bCs/>
          <w:sz w:val="24"/>
          <w:szCs w:val="20"/>
          <w:lang w:eastAsia="pl-PL"/>
        </w:rPr>
        <w:t>ostępowej</w:t>
      </w:r>
      <w:r w:rsidRPr="00F019C2">
        <w:rPr>
          <w:rFonts w:ascii="Times" w:eastAsia="Times New Roman" w:hAnsi="Times" w:cs="Arial"/>
          <w:bCs/>
          <w:sz w:val="24"/>
          <w:szCs w:val="20"/>
          <w:lang w:eastAsia="pl-PL"/>
        </w:rPr>
        <w:t xml:space="preserve"> będzie poprzedzona decyzją o środowiskowych uwarunkowaniach. Zakres i charakter liniowy inwestycji oraz jej skala przemawiają za tym, aby po rozpoczęciu robót budowlanych wzmocnić pewność prawną decyzji będącej podstawą prowadzenia robót.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33 określa niestosowanie zmodyfikowanych przepisów proceduralnych do</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niektórych postępowań i postępowań wpadkowych określonych w ustawie.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34 określa właściwość wojewody jako organu egzekucyjnego niektórych obowiązków określonych w ustawie. </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xml:space="preserve">35 i </w:t>
      </w:r>
      <w:r w:rsidR="00575D78">
        <w:rPr>
          <w:rFonts w:ascii="Times" w:eastAsia="Times New Roman" w:hAnsi="Times" w:cs="Arial"/>
          <w:bCs/>
          <w:sz w:val="24"/>
          <w:szCs w:val="20"/>
          <w:lang w:eastAsia="pl-PL"/>
        </w:rPr>
        <w:t xml:space="preserve">art. </w:t>
      </w:r>
      <w:r w:rsidRPr="00F019C2">
        <w:rPr>
          <w:rFonts w:ascii="Times" w:eastAsia="Times New Roman" w:hAnsi="Times" w:cs="Arial"/>
          <w:bCs/>
          <w:sz w:val="24"/>
          <w:szCs w:val="20"/>
          <w:lang w:eastAsia="pl-PL"/>
        </w:rPr>
        <w:t xml:space="preserve">36 określają zmiany w przepisach obowiązujących. </w:t>
      </w:r>
    </w:p>
    <w:p w:rsid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Art.</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37 i art. 38 to przepis przejściowy i końcowy. Statuują one odpowiednio, że do postępowań w sprawach dotyczących inwestycji w zakresie infrastruktury dostępowej, wszczętych i niezakończonych do dnia wejścia w życie niniejszej ustawy decyzją ostateczną, stosuje się przepisy dotychczasowe oraz że ustawa wchodzi w życie po upływie 14 dni od</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dnia ogłoszenia.</w:t>
      </w:r>
    </w:p>
    <w:p w:rsidR="00D064C3" w:rsidRPr="00D064C3" w:rsidRDefault="00D064C3"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p>
    <w:p w:rsidR="00F019C2" w:rsidRPr="009764D3"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764D3">
        <w:rPr>
          <w:rFonts w:ascii="Times" w:eastAsia="Times New Roman" w:hAnsi="Times" w:cs="Arial"/>
          <w:bCs/>
          <w:sz w:val="24"/>
          <w:szCs w:val="20"/>
          <w:lang w:eastAsia="pl-PL"/>
        </w:rPr>
        <w:lastRenderedPageBreak/>
        <w:t>III.</w:t>
      </w:r>
      <w:r w:rsidRPr="009764D3">
        <w:rPr>
          <w:rFonts w:ascii="Times" w:eastAsia="Times New Roman" w:hAnsi="Times" w:cs="Arial"/>
          <w:bCs/>
          <w:sz w:val="24"/>
          <w:szCs w:val="20"/>
          <w:lang w:eastAsia="pl-PL"/>
        </w:rPr>
        <w:tab/>
        <w:t>Zgłoszenie lobbingowe</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 xml:space="preserve">Stosownie do art. 5 ustawy z </w:t>
      </w:r>
      <w:r w:rsidR="00575D78">
        <w:rPr>
          <w:rFonts w:ascii="Times" w:eastAsia="Times New Roman" w:hAnsi="Times" w:cs="Arial"/>
          <w:bCs/>
          <w:sz w:val="24"/>
          <w:szCs w:val="20"/>
          <w:lang w:eastAsia="pl-PL"/>
        </w:rPr>
        <w:t xml:space="preserve">dnia </w:t>
      </w:r>
      <w:r w:rsidRPr="00F019C2">
        <w:rPr>
          <w:rFonts w:ascii="Times" w:eastAsia="Times New Roman" w:hAnsi="Times" w:cs="Arial"/>
          <w:bCs/>
          <w:sz w:val="24"/>
          <w:szCs w:val="20"/>
          <w:lang w:eastAsia="pl-PL"/>
        </w:rPr>
        <w:t xml:space="preserve">7 lipca 2005 r. o działalności lobbingowej w procesie stanowienia prawa oraz art. 52 § 1 uchwały </w:t>
      </w:r>
      <w:r w:rsidR="00575D78">
        <w:rPr>
          <w:rFonts w:ascii="Times" w:eastAsia="Times New Roman" w:hAnsi="Times" w:cs="Arial"/>
          <w:bCs/>
          <w:sz w:val="24"/>
          <w:szCs w:val="20"/>
          <w:lang w:eastAsia="pl-PL"/>
        </w:rPr>
        <w:t>n</w:t>
      </w:r>
      <w:r w:rsidRPr="00F019C2">
        <w:rPr>
          <w:rFonts w:ascii="Times" w:eastAsia="Times New Roman" w:hAnsi="Times" w:cs="Arial"/>
          <w:bCs/>
          <w:sz w:val="24"/>
          <w:szCs w:val="20"/>
          <w:lang w:eastAsia="pl-PL"/>
        </w:rPr>
        <w:t xml:space="preserve">r 190 Rady Ministrów z </w:t>
      </w:r>
      <w:r w:rsidR="000C1026">
        <w:rPr>
          <w:rFonts w:ascii="Times" w:eastAsia="Times New Roman" w:hAnsi="Times" w:cs="Arial"/>
          <w:bCs/>
          <w:sz w:val="24"/>
          <w:szCs w:val="20"/>
          <w:lang w:eastAsia="pl-PL"/>
        </w:rPr>
        <w:t>dnia 29 </w:t>
      </w:r>
      <w:r w:rsidRPr="00F019C2">
        <w:rPr>
          <w:rFonts w:ascii="Times" w:eastAsia="Times New Roman" w:hAnsi="Times" w:cs="Arial"/>
          <w:bCs/>
          <w:sz w:val="24"/>
          <w:szCs w:val="20"/>
          <w:lang w:eastAsia="pl-PL"/>
        </w:rPr>
        <w:t xml:space="preserve">października 2013 r. </w:t>
      </w:r>
      <w:r w:rsidR="00D064C3">
        <w:rPr>
          <w:rFonts w:ascii="Times" w:eastAsia="Times New Roman" w:hAnsi="Times" w:cs="Arial"/>
          <w:bCs/>
          <w:sz w:val="24"/>
          <w:szCs w:val="20"/>
          <w:lang w:eastAsia="pl-PL"/>
        </w:rPr>
        <w:t>–</w:t>
      </w:r>
      <w:r w:rsidRPr="00F019C2">
        <w:rPr>
          <w:rFonts w:ascii="Times" w:eastAsia="Times New Roman" w:hAnsi="Times" w:cs="Arial"/>
          <w:bCs/>
          <w:sz w:val="24"/>
          <w:szCs w:val="20"/>
          <w:lang w:eastAsia="pl-PL"/>
        </w:rPr>
        <w:t xml:space="preserve"> Regulamin pracy Rady Ministrów projekt ustawy został udostępniony w BIP Rządowego Centrum Legislacji, w serwisie Rządowy Proces Legislacyjny.</w:t>
      </w:r>
    </w:p>
    <w:p w:rsidR="00F019C2" w:rsidRPr="009764D3" w:rsidRDefault="00F019C2" w:rsidP="00D064C3">
      <w:pPr>
        <w:tabs>
          <w:tab w:val="left" w:pos="567"/>
        </w:tabs>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9764D3">
        <w:rPr>
          <w:rFonts w:ascii="Times" w:eastAsia="Times New Roman" w:hAnsi="Times" w:cs="Arial"/>
          <w:bCs/>
          <w:sz w:val="24"/>
          <w:szCs w:val="20"/>
          <w:lang w:eastAsia="pl-PL"/>
        </w:rPr>
        <w:t>IV.</w:t>
      </w:r>
      <w:r w:rsidRPr="009764D3">
        <w:rPr>
          <w:rFonts w:ascii="Times" w:eastAsia="Times New Roman" w:hAnsi="Times" w:cs="Arial"/>
          <w:bCs/>
          <w:sz w:val="24"/>
          <w:szCs w:val="20"/>
          <w:lang w:eastAsia="pl-PL"/>
        </w:rPr>
        <w:tab/>
      </w:r>
      <w:r w:rsidRPr="009764D3">
        <w:rPr>
          <w:rFonts w:ascii="Times" w:eastAsia="Times New Roman" w:hAnsi="Times" w:cs="Arial"/>
          <w:bCs/>
          <w:sz w:val="24"/>
          <w:szCs w:val="20"/>
          <w:lang w:eastAsia="pl-PL"/>
        </w:rPr>
        <w:tab/>
        <w:t>Oświadczenie o zgodności projektowanych regulacji z prawem Unii Europejskiej</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Projekt ustawy jest zgodny z prawem Unii Europejskiej. Projekt ustawy nie podlega konieczności przedstawienia organom lub instytucjom Unii Europejskiej, o których mowa w</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 39 uchwały nr 190 Rady Ministrów z dnia 29 października 2013 r. – Regulamin pracy Rady Ministrów (M.P. z 2016 r. poz. 1006).</w:t>
      </w:r>
    </w:p>
    <w:p w:rsidR="00F019C2" w:rsidRPr="009764D3" w:rsidRDefault="00F019C2" w:rsidP="00D064C3">
      <w:pPr>
        <w:tabs>
          <w:tab w:val="left" w:pos="567"/>
        </w:tabs>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9764D3">
        <w:rPr>
          <w:rFonts w:ascii="Times" w:eastAsia="Times New Roman" w:hAnsi="Times" w:cs="Arial"/>
          <w:bCs/>
          <w:sz w:val="24"/>
          <w:szCs w:val="20"/>
          <w:lang w:eastAsia="pl-PL"/>
        </w:rPr>
        <w:t>V.</w:t>
      </w:r>
      <w:r w:rsidRPr="009764D3">
        <w:rPr>
          <w:rFonts w:ascii="Times" w:eastAsia="Times New Roman" w:hAnsi="Times" w:cs="Arial"/>
          <w:bCs/>
          <w:sz w:val="24"/>
          <w:szCs w:val="20"/>
          <w:lang w:eastAsia="pl-PL"/>
        </w:rPr>
        <w:tab/>
        <w:t>Ocena, czy projekt ustawy będzie podlegał notyfikacji, zgodnie z przepisami dotyczącymi funkcjonowania krajowego systemu notyfikacji norm i aktów prawnych</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Zawarte w projekcie ustawy regulacje nie stanowią przepisów technicznych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 xml:space="preserve">rozumieniu przepisów rozporządzenia Rady Ministrów z </w:t>
      </w:r>
      <w:r w:rsidR="00575D78">
        <w:rPr>
          <w:rFonts w:ascii="Times" w:eastAsia="Times New Roman" w:hAnsi="Times" w:cs="Arial"/>
          <w:bCs/>
          <w:sz w:val="24"/>
          <w:szCs w:val="20"/>
          <w:lang w:eastAsia="pl-PL"/>
        </w:rPr>
        <w:t xml:space="preserve">dnia </w:t>
      </w:r>
      <w:r w:rsidRPr="00F019C2">
        <w:rPr>
          <w:rFonts w:ascii="Times" w:eastAsia="Times New Roman" w:hAnsi="Times" w:cs="Arial"/>
          <w:bCs/>
          <w:sz w:val="24"/>
          <w:szCs w:val="20"/>
          <w:lang w:eastAsia="pl-PL"/>
        </w:rPr>
        <w:t>23 grudnia 2002 r. w</w:t>
      </w:r>
      <w:r w:rsidR="00D064C3">
        <w:rPr>
          <w:rFonts w:ascii="Times" w:eastAsia="Times New Roman" w:hAnsi="Times" w:cs="Arial"/>
          <w:bCs/>
          <w:sz w:val="24"/>
          <w:szCs w:val="20"/>
          <w:lang w:eastAsia="pl-PL"/>
        </w:rPr>
        <w:t> </w:t>
      </w:r>
      <w:r w:rsidRPr="00F019C2">
        <w:rPr>
          <w:rFonts w:ascii="Times" w:eastAsia="Times New Roman" w:hAnsi="Times" w:cs="Arial"/>
          <w:bCs/>
          <w:sz w:val="24"/>
          <w:szCs w:val="20"/>
          <w:lang w:eastAsia="pl-PL"/>
        </w:rPr>
        <w:t xml:space="preserve">sprawie sposobu funkcjonowania krajowego systemu notyfikacji norm </w:t>
      </w:r>
      <w:r w:rsidR="000D3355">
        <w:rPr>
          <w:rFonts w:ascii="Times" w:eastAsia="Times New Roman" w:hAnsi="Times" w:cs="Arial"/>
          <w:bCs/>
          <w:sz w:val="24"/>
          <w:szCs w:val="20"/>
          <w:lang w:eastAsia="pl-PL"/>
        </w:rPr>
        <w:t xml:space="preserve">i </w:t>
      </w:r>
      <w:r w:rsidRPr="00F019C2">
        <w:rPr>
          <w:rFonts w:ascii="Times" w:eastAsia="Times New Roman" w:hAnsi="Times" w:cs="Arial"/>
          <w:bCs/>
          <w:sz w:val="24"/>
          <w:szCs w:val="20"/>
          <w:lang w:eastAsia="pl-PL"/>
        </w:rPr>
        <w:t>aktów prawnych, w związku z</w:t>
      </w:r>
      <w:r w:rsidR="00D064C3">
        <w:rPr>
          <w:rFonts w:ascii="Times" w:eastAsia="Times New Roman" w:hAnsi="Times" w:cs="Arial"/>
          <w:bCs/>
          <w:sz w:val="24"/>
          <w:szCs w:val="20"/>
          <w:lang w:eastAsia="pl-PL"/>
        </w:rPr>
        <w:t xml:space="preserve"> </w:t>
      </w:r>
      <w:r w:rsidRPr="00F019C2">
        <w:rPr>
          <w:rFonts w:ascii="Times" w:eastAsia="Times New Roman" w:hAnsi="Times" w:cs="Arial"/>
          <w:bCs/>
          <w:sz w:val="24"/>
          <w:szCs w:val="20"/>
          <w:lang w:eastAsia="pl-PL"/>
        </w:rPr>
        <w:t>tym projekt nie będzie podlegał notyfikacji.</w:t>
      </w:r>
    </w:p>
    <w:p w:rsidR="00F019C2" w:rsidRPr="009764D3" w:rsidRDefault="00F019C2" w:rsidP="00D064C3">
      <w:pPr>
        <w:tabs>
          <w:tab w:val="left" w:pos="567"/>
        </w:tabs>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9764D3">
        <w:rPr>
          <w:rFonts w:ascii="Times" w:eastAsia="Times New Roman" w:hAnsi="Times" w:cs="Arial"/>
          <w:bCs/>
          <w:sz w:val="24"/>
          <w:szCs w:val="20"/>
          <w:lang w:eastAsia="pl-PL"/>
        </w:rPr>
        <w:t>VI.</w:t>
      </w:r>
      <w:r w:rsidRPr="009764D3">
        <w:rPr>
          <w:rFonts w:ascii="Times" w:eastAsia="Times New Roman" w:hAnsi="Times" w:cs="Arial"/>
          <w:bCs/>
          <w:sz w:val="24"/>
          <w:szCs w:val="20"/>
          <w:lang w:eastAsia="pl-PL"/>
        </w:rPr>
        <w:tab/>
      </w:r>
      <w:r w:rsidRPr="009764D3">
        <w:rPr>
          <w:rFonts w:ascii="Times" w:eastAsia="Times New Roman" w:hAnsi="Times" w:cs="Arial"/>
          <w:bCs/>
          <w:sz w:val="24"/>
          <w:szCs w:val="20"/>
          <w:lang w:eastAsia="pl-PL"/>
        </w:rPr>
        <w:tab/>
        <w:t>Termin wejścia w życie</w:t>
      </w:r>
    </w:p>
    <w:p w:rsidR="00F019C2" w:rsidRPr="00F019C2" w:rsidRDefault="00F019C2" w:rsidP="00D064C3">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019C2">
        <w:rPr>
          <w:rFonts w:ascii="Times" w:eastAsia="Times New Roman" w:hAnsi="Times" w:cs="Arial"/>
          <w:bCs/>
          <w:sz w:val="24"/>
          <w:szCs w:val="20"/>
          <w:lang w:eastAsia="pl-PL"/>
        </w:rPr>
        <w:t>Planuje się, że ustawa wej</w:t>
      </w:r>
      <w:r w:rsidR="007B44CB">
        <w:rPr>
          <w:rFonts w:ascii="Times" w:eastAsia="Times New Roman" w:hAnsi="Times" w:cs="Arial"/>
          <w:bCs/>
          <w:sz w:val="24"/>
          <w:szCs w:val="20"/>
          <w:lang w:eastAsia="pl-PL"/>
        </w:rPr>
        <w:t>dzie</w:t>
      </w:r>
      <w:r w:rsidRPr="00F019C2">
        <w:rPr>
          <w:rFonts w:ascii="Times" w:eastAsia="Times New Roman" w:hAnsi="Times" w:cs="Arial"/>
          <w:bCs/>
          <w:sz w:val="24"/>
          <w:szCs w:val="20"/>
          <w:lang w:eastAsia="pl-PL"/>
        </w:rPr>
        <w:t xml:space="preserve"> w życie na początku 2017 r., co umożliwi zakończenie procedur administracyjnych i rozpoczęcie robót budowlanych w 2018 r. oraz ich zakończenie w 2022 r.</w:t>
      </w:r>
    </w:p>
    <w:sectPr w:rsidR="00F019C2" w:rsidRPr="00F019C2" w:rsidSect="00D064C3">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9F8" w:rsidRDefault="00EB59F8" w:rsidP="00D064C3">
      <w:pPr>
        <w:spacing w:after="0" w:line="240" w:lineRule="auto"/>
      </w:pPr>
      <w:r>
        <w:separator/>
      </w:r>
    </w:p>
  </w:endnote>
  <w:endnote w:type="continuationSeparator" w:id="0">
    <w:p w:rsidR="00EB59F8" w:rsidRDefault="00EB59F8" w:rsidP="00D0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2527318"/>
      <w:docPartObj>
        <w:docPartGallery w:val="Page Numbers (Bottom of Page)"/>
        <w:docPartUnique/>
      </w:docPartObj>
    </w:sdtPr>
    <w:sdtEndPr>
      <w:rPr>
        <w:rFonts w:ascii="Times New Roman" w:hAnsi="Times New Roman" w:cs="Times New Roman"/>
        <w:sz w:val="24"/>
        <w:szCs w:val="24"/>
      </w:rPr>
    </w:sdtEndPr>
    <w:sdtContent>
      <w:p w:rsidR="00D064C3" w:rsidRPr="00D064C3" w:rsidRDefault="001045B4" w:rsidP="00D064C3">
        <w:pPr>
          <w:pStyle w:val="Stopka"/>
          <w:jc w:val="center"/>
          <w:rPr>
            <w:rFonts w:ascii="Times New Roman" w:hAnsi="Times New Roman" w:cs="Times New Roman"/>
            <w:sz w:val="24"/>
            <w:szCs w:val="24"/>
          </w:rPr>
        </w:pPr>
        <w:r w:rsidRPr="00D064C3">
          <w:rPr>
            <w:rFonts w:ascii="Times New Roman" w:hAnsi="Times New Roman" w:cs="Times New Roman"/>
            <w:sz w:val="24"/>
            <w:szCs w:val="24"/>
          </w:rPr>
          <w:fldChar w:fldCharType="begin"/>
        </w:r>
        <w:r w:rsidR="00D064C3" w:rsidRPr="00D064C3">
          <w:rPr>
            <w:rFonts w:ascii="Times New Roman" w:hAnsi="Times New Roman" w:cs="Times New Roman"/>
            <w:sz w:val="24"/>
            <w:szCs w:val="24"/>
          </w:rPr>
          <w:instrText>PAGE   \* MERGEFORMAT</w:instrText>
        </w:r>
        <w:r w:rsidRPr="00D064C3">
          <w:rPr>
            <w:rFonts w:ascii="Times New Roman" w:hAnsi="Times New Roman" w:cs="Times New Roman"/>
            <w:sz w:val="24"/>
            <w:szCs w:val="24"/>
          </w:rPr>
          <w:fldChar w:fldCharType="separate"/>
        </w:r>
        <w:r w:rsidR="00F57F30">
          <w:rPr>
            <w:rFonts w:ascii="Times New Roman" w:hAnsi="Times New Roman" w:cs="Times New Roman"/>
            <w:noProof/>
            <w:sz w:val="24"/>
            <w:szCs w:val="24"/>
          </w:rPr>
          <w:t>10</w:t>
        </w:r>
        <w:r w:rsidRPr="00D064C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9F8" w:rsidRDefault="00EB59F8" w:rsidP="00D064C3">
      <w:pPr>
        <w:spacing w:after="0" w:line="240" w:lineRule="auto"/>
      </w:pPr>
      <w:r>
        <w:separator/>
      </w:r>
    </w:p>
  </w:footnote>
  <w:footnote w:type="continuationSeparator" w:id="0">
    <w:p w:rsidR="00EB59F8" w:rsidRDefault="00EB59F8" w:rsidP="00D064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9C2"/>
    <w:rsid w:val="000C1026"/>
    <w:rsid w:val="000D3355"/>
    <w:rsid w:val="001045B4"/>
    <w:rsid w:val="00175A27"/>
    <w:rsid w:val="00250305"/>
    <w:rsid w:val="00282157"/>
    <w:rsid w:val="00351A59"/>
    <w:rsid w:val="00575D78"/>
    <w:rsid w:val="006010F0"/>
    <w:rsid w:val="0069354A"/>
    <w:rsid w:val="006A7EE3"/>
    <w:rsid w:val="006D0153"/>
    <w:rsid w:val="006D787A"/>
    <w:rsid w:val="00737833"/>
    <w:rsid w:val="00746571"/>
    <w:rsid w:val="00777034"/>
    <w:rsid w:val="007B44CB"/>
    <w:rsid w:val="009764D3"/>
    <w:rsid w:val="009A480B"/>
    <w:rsid w:val="009D0F0B"/>
    <w:rsid w:val="00A61B74"/>
    <w:rsid w:val="00AA4052"/>
    <w:rsid w:val="00AD6A67"/>
    <w:rsid w:val="00B648DD"/>
    <w:rsid w:val="00BE4B65"/>
    <w:rsid w:val="00C5100E"/>
    <w:rsid w:val="00C64C3C"/>
    <w:rsid w:val="00C70323"/>
    <w:rsid w:val="00D064C3"/>
    <w:rsid w:val="00E03AE9"/>
    <w:rsid w:val="00E51638"/>
    <w:rsid w:val="00EB59F8"/>
    <w:rsid w:val="00F019C2"/>
    <w:rsid w:val="00F57F30"/>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019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019C2"/>
  </w:style>
  <w:style w:type="paragraph" w:styleId="Stopka">
    <w:name w:val="footer"/>
    <w:basedOn w:val="Normalny"/>
    <w:link w:val="StopkaZnak"/>
    <w:uiPriority w:val="99"/>
    <w:unhideWhenUsed/>
    <w:rsid w:val="00D064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64C3"/>
  </w:style>
  <w:style w:type="paragraph" w:styleId="Tekstdymka">
    <w:name w:val="Balloon Text"/>
    <w:basedOn w:val="Normalny"/>
    <w:link w:val="TekstdymkaZnak"/>
    <w:uiPriority w:val="99"/>
    <w:semiHidden/>
    <w:unhideWhenUsed/>
    <w:rsid w:val="00575D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5D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019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019C2"/>
  </w:style>
  <w:style w:type="paragraph" w:styleId="Stopka">
    <w:name w:val="footer"/>
    <w:basedOn w:val="Normalny"/>
    <w:link w:val="StopkaZnak"/>
    <w:uiPriority w:val="99"/>
    <w:unhideWhenUsed/>
    <w:rsid w:val="00D064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64C3"/>
  </w:style>
  <w:style w:type="paragraph" w:styleId="Tekstdymka">
    <w:name w:val="Balloon Text"/>
    <w:basedOn w:val="Normalny"/>
    <w:link w:val="TekstdymkaZnak"/>
    <w:uiPriority w:val="99"/>
    <w:semiHidden/>
    <w:unhideWhenUsed/>
    <w:rsid w:val="00575D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5D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B4AC9-D316-4B6E-85BE-F4E5C65D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3060</Words>
  <Characters>18365</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2017-01-03T13:44:00Z</dcterms:created>
  <dcterms:modified xsi:type="dcterms:W3CDTF">2017-01-03T13:44:00Z</dcterms:modified>
</cp:coreProperties>
</file>