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CF0" w:rsidRPr="007D7496" w:rsidRDefault="00065CF0" w:rsidP="003205CF">
      <w:pPr>
        <w:suppressAutoHyphens/>
        <w:spacing w:after="0" w:line="360" w:lineRule="auto"/>
        <w:jc w:val="center"/>
        <w:rPr>
          <w:rFonts w:ascii="Times New Roman" w:eastAsia="Times New Roman" w:hAnsi="Times New Roman" w:cs="Times New Roman"/>
          <w:bCs/>
          <w:sz w:val="24"/>
          <w:szCs w:val="24"/>
          <w:lang w:eastAsia="pl-PL"/>
        </w:rPr>
      </w:pPr>
      <w:bookmarkStart w:id="0" w:name="_GoBack"/>
      <w:bookmarkEnd w:id="0"/>
      <w:r w:rsidRPr="007D7496">
        <w:rPr>
          <w:rFonts w:ascii="Times New Roman" w:eastAsia="Times New Roman" w:hAnsi="Times New Roman" w:cs="Times New Roman"/>
          <w:bCs/>
          <w:sz w:val="24"/>
          <w:szCs w:val="24"/>
          <w:lang w:eastAsia="pl-PL"/>
        </w:rPr>
        <w:t>UZASADNIENIE</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1. Uwagi ogólne</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Projekt ustawy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zmianie ustawy </w:t>
      </w:r>
      <w:r w:rsidR="0084490C"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Kodeks karny oraz niektórych innych ustaw zmierza do wprowadzenia do polskiego prawa karnego materialnego, procesowego i</w:t>
      </w:r>
      <w:r w:rsidR="00E64D9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wykonawczego zmian poprawiających efektywność mechanizmów służących pozbawianiu sprawców przestępstw korzyści osiągniętych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popełnienia czynów zabronionych.</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Propozycje obejmują zwiększenie efektywności przepadku mienia.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odniesieniu do szczególnie poważnych przestępstw gospodarczych popełnianych przy użyciu przedsiębiorstwa, stanowiącego narzędzie czynu, przewiduje się umożliwienie przepadku takiego przedsiębiorstwa, chociażby nie stanowiło ono własności sprawcy. Projektuje się rozszerzenie możliwości stosowania przepadku opierającego się na przeniesieniu ciężaru dowodu, jak również wprowadzenie –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pewnych sytuacjach – możliwości orzekania przepadku korzyści pochodzących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pomimo istnienia przeszkód dla wydania wyroku skazującego. Ponadto proponuje się wprowadzenie zmian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zakresie prawa karnego wykonawczego usprawniających egzekucję orzeczonego przepadku korzyści majątkowej osiągniętej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Projekt zawiera również przepisy umożliwiające –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poważniejszych sprawach – stosowanie środków kontroli operacyjnej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celu ujawnienia mienia zagrożonego przepadkiem.</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Celem ustawy jest również implementacja dyrektywy Parlamentu Europejskiego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Rady 2014/42/UE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kwietnia 2014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 zabezpieczenia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konfiskaty narzędzi służących do popełnienia przestępstwa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korzyści pochodzących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Unii Europejskiej (Dz. Urz. UE L 127</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w:t>
      </w:r>
      <w:r w:rsidR="00D2432C" w:rsidRPr="007D7496">
        <w:rPr>
          <w:rFonts w:ascii="Times New Roman" w:eastAsia="Times New Roman" w:hAnsi="Times New Roman" w:cs="Times New Roman"/>
          <w:bCs/>
          <w:sz w:val="24"/>
          <w:szCs w:val="24"/>
          <w:lang w:eastAsia="pl-PL"/>
        </w:rPr>
        <w:t xml:space="preserve"> </w:t>
      </w:r>
      <w:r w:rsidR="00F703FE">
        <w:rPr>
          <w:rFonts w:ascii="Times New Roman" w:eastAsia="Times New Roman" w:hAnsi="Times New Roman" w:cs="Times New Roman"/>
          <w:bCs/>
          <w:sz w:val="24"/>
          <w:szCs w:val="24"/>
          <w:lang w:eastAsia="pl-PL"/>
        </w:rPr>
        <w:t>29.04.</w:t>
      </w:r>
      <w:r w:rsidRPr="007D7496">
        <w:rPr>
          <w:rFonts w:ascii="Times New Roman" w:eastAsia="Times New Roman" w:hAnsi="Times New Roman" w:cs="Times New Roman"/>
          <w:bCs/>
          <w:sz w:val="24"/>
          <w:szCs w:val="24"/>
          <w:lang w:eastAsia="pl-PL"/>
        </w:rPr>
        <w:t>2014, str. 39).</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Ponadto ustawa zawiera zmiany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zakresu procedury europejskiego nakazu aresztowania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ekstradycji, procedury przekazywania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przejmowania wykonania orzeczeń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skazaniu na karę pozbawienia wolności oraz zwalczania finasowania terroryzmu, wynikające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międzynarodowych zobowiązań Polski, jak również zmiany porządkujące w przepisach dotyczących tzw. przestępstw komputerowych.</w:t>
      </w:r>
    </w:p>
    <w:p w:rsidR="00065CF0" w:rsidRPr="007D7496" w:rsidRDefault="00065CF0" w:rsidP="00404A9A">
      <w:pPr>
        <w:keepNext/>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lastRenderedPageBreak/>
        <w:t>2. Standardy konstytucyjne przepadku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Polsce</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Podstawowym przepisem konstytucyjnym, odnoszącym się do przepadku</w:t>
      </w:r>
      <w:r w:rsidR="000878D8">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jest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46</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Konstytucji</w:t>
      </w:r>
      <w:r w:rsidR="000878D8">
        <w:rPr>
          <w:rFonts w:ascii="Times New Roman" w:eastAsia="Times New Roman" w:hAnsi="Times New Roman" w:cs="Times New Roman"/>
          <w:bCs/>
          <w:sz w:val="24"/>
          <w:szCs w:val="24"/>
          <w:lang w:eastAsia="pl-PL"/>
        </w:rPr>
        <w:t xml:space="preserve"> Rzeczypospolitej Polskiej</w:t>
      </w:r>
      <w:r w:rsidRPr="007D7496">
        <w:rPr>
          <w:rFonts w:ascii="Times New Roman" w:eastAsia="Times New Roman" w:hAnsi="Times New Roman" w:cs="Times New Roman"/>
          <w:bCs/>
          <w:sz w:val="24"/>
          <w:szCs w:val="24"/>
          <w:lang w:eastAsia="pl-PL"/>
        </w:rPr>
        <w:t>: „Przepadek rzeczy może nastąpić tylko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przypadkach określonych w</w:t>
      </w:r>
      <w:r w:rsidR="00E64D9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ustawie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tylko na podstawie prawomocnego orzeczenia sądu”. Pojęcie „rzeczy” użyte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przepisie powinno być rozumiane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sposób autonomiczny,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sposób przyjęty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prawie cywilnym. Wynika to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ogólnej zasady autonomicznej wykładni pojęć konstytucyjnych (por. wyrok TK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27</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kwietnia 2005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 P 1/05). Z</w:t>
      </w:r>
      <w:r w:rsidR="00E64D9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tego względu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46</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Konstytucji </w:t>
      </w:r>
      <w:r w:rsidR="000878D8">
        <w:rPr>
          <w:rFonts w:ascii="Times New Roman" w:eastAsia="Times New Roman" w:hAnsi="Times New Roman" w:cs="Times New Roman"/>
          <w:bCs/>
          <w:sz w:val="24"/>
          <w:szCs w:val="24"/>
          <w:lang w:eastAsia="pl-PL"/>
        </w:rPr>
        <w:t xml:space="preserve">RP </w:t>
      </w:r>
      <w:r w:rsidRPr="007D7496">
        <w:rPr>
          <w:rFonts w:ascii="Times New Roman" w:eastAsia="Times New Roman" w:hAnsi="Times New Roman" w:cs="Times New Roman"/>
          <w:bCs/>
          <w:sz w:val="24"/>
          <w:szCs w:val="24"/>
          <w:lang w:eastAsia="pl-PL"/>
        </w:rPr>
        <w:t>obejmuje także przepadek przedsiębiorstwa lub prawa majątkowego. Należy go interpretować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ten sposób, że przepadek powinien mieć – co do zasady – związek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popełnieniem przez właściciela rzeczy przestępstwa lub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innego typu zachowaniem, negatywnie ocenianym przez ustawodawcę. Innymi słowy, nie jest dopuszczalne orzekanie o</w:t>
      </w:r>
      <w:r w:rsidR="00C8229B">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przepadku bez uprzedniej indywidualnej oceny zachowania właściciela rzeczy (por. wyroki TK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29</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czerwca 2005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 SK 34/04 oraz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28</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października 2015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 SK 59/13).</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Ze sformułowania „tylko na podstawie prawomocnego orzeczenia sądu” wynika, że przepadek nie powinien być stosowany automatycznie, po spełnieniu przesłanek ustawowych, lecz powinien wynikać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orzeczenia sądowego. Ponadto sąd powinien dysponować pewnym zakresem swobody oceny indywidualnej sytuacji osoby, wobec której przepadek jest orzekany. Wynika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tego, że generalnie nie jest dopuszczalne, aby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pewnych okolicznościach sąd był zobligowany przez ustawodawcę do wydania orzeczenia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przepadku, bez możliwości uwzględnienia specyfiki danego stanu faktycznego. Tego typu automatyzm byłby obejściem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46</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Konstytucji (por. wyrok TK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czerwca 2008</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 P 4/06).</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ocenie projektodawcy realizacja koncepcji rozszerzonego przepadku mienia oraz przepadku bez wyroku skazującego nie narusza zasady proporcjonalności, wyrażonej w</w:t>
      </w:r>
      <w:r w:rsidR="00E64D9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31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Konstytucji</w:t>
      </w:r>
      <w:r w:rsidR="000878D8">
        <w:rPr>
          <w:rFonts w:ascii="Times New Roman" w:eastAsia="Times New Roman" w:hAnsi="Times New Roman" w:cs="Times New Roman"/>
          <w:bCs/>
          <w:sz w:val="24"/>
          <w:szCs w:val="24"/>
          <w:lang w:eastAsia="pl-PL"/>
        </w:rPr>
        <w:t xml:space="preserve"> RP</w:t>
      </w:r>
      <w:r w:rsidRPr="007D7496">
        <w:rPr>
          <w:rFonts w:ascii="Times New Roman" w:eastAsia="Times New Roman" w:hAnsi="Times New Roman" w:cs="Times New Roman"/>
          <w:bCs/>
          <w:sz w:val="24"/>
          <w:szCs w:val="24"/>
          <w:lang w:eastAsia="pl-PL"/>
        </w:rPr>
        <w:t>. Ocena regulacji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punktu widzenia tej zasady – jak zostało to już ukształtowane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orzecznictwie Trybunału Konstytucyjnego – polega na udzieleniu odpowiedzi na trzy zasadnicze pytania dotyczące analizowanych norm: czy są one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stanie doprowadzić do zamierzonego przez ustawodawcę skutku (test przydatności normy), czy są one niezbędne do ochrony interesu publicznego,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którym została powiązana reakcja ustawodawcy (test niezbędności)</w:t>
      </w:r>
      <w:r w:rsidR="000878D8">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oraz czy jej efekty </w:t>
      </w:r>
      <w:r w:rsidRPr="007D7496">
        <w:rPr>
          <w:rFonts w:ascii="Times New Roman" w:eastAsia="Times New Roman" w:hAnsi="Times New Roman" w:cs="Times New Roman"/>
          <w:bCs/>
          <w:sz w:val="24"/>
          <w:szCs w:val="24"/>
          <w:lang w:eastAsia="pl-PL"/>
        </w:rPr>
        <w:lastRenderedPageBreak/>
        <w:t>pozostają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proporcji do nałożonych obowiązków, skutków czy sankcji (test proporcjonalności </w:t>
      </w:r>
      <w:r w:rsidRPr="007D7496">
        <w:rPr>
          <w:rFonts w:ascii="Times New Roman" w:eastAsia="Times New Roman" w:hAnsi="Times New Roman" w:cs="Times New Roman"/>
          <w:bCs/>
          <w:i/>
          <w:sz w:val="24"/>
          <w:szCs w:val="24"/>
          <w:lang w:eastAsia="pl-PL"/>
        </w:rPr>
        <w:t>sensu stricto</w:t>
      </w:r>
      <w:r w:rsidRPr="007D7496">
        <w:rPr>
          <w:rFonts w:ascii="Times New Roman" w:eastAsia="Times New Roman" w:hAnsi="Times New Roman" w:cs="Times New Roman"/>
          <w:bCs/>
          <w:sz w:val="24"/>
          <w:szCs w:val="24"/>
          <w:lang w:eastAsia="pl-PL"/>
        </w:rPr>
        <w:t>).</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Wszystkie powyższe testy badawcze prowadzą do pozytywnej odpowiedzi.</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Celem proponowanych rozwiązań jest przede wszystkim pozbawienie sprawców określonej kategorii przestępstw środków finansowych, stanowiących bazę ekonomiczną dla ich działalności kryminalnej. Działanie takie zmierza do potwierdzenia wobec sprawcy tezy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nieopłacalności przestępstwa. Tym samym proponowana regulacja stanowi wzmocnienie prewencji ogólnej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indywidualnej w</w:t>
      </w:r>
      <w:r w:rsidR="001E6BF1"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przypadku wskazanej kategorii sprawców.</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Dotychczasowe środki karne służące temu celowi okazały się mało skuteczne. Proponowane rozwiązania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pewnością prowadzą do osiągnięcia założonego celu, a</w:t>
      </w:r>
      <w:r w:rsidR="001E6BF1"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więc pozytywnie weryfikują się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teście przydatności.</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Niewątpliwie też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interesie społecznym leży, aby odpowiedzialność sprawców określonego rodzaju groźnych przestępstw nie ograniczała się do odbycia kary, ale aby nie mogli oni również korzystać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majątku zdobytego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drodze przestępczej,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samym, aby pozbawieni byli podstaw finansowych do kontynuowania działalności przestępczej. Tak sformułowany interes społeczny wymaga zdecydowanej reakcji ustawodawczej, co także pozytywnie weryfikuje proponowane rozwiązania według testu niezbędności. Nie ma wątpliwości, że ścisłe wykazanie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procesie karnym związków między popełnionymi przestępstwami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stanem majątkowym sprawcy oraz kontrahentów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obrocie mieniem pochodzącym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nie jest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pełni możliwe. Stąd adekwatnym dla tego celu jest posłużenie się proponowanym instrumentarium dowodowym, które wszak nie pozbawia ani sprawcy przestępstwa ani osób, co do których zachodzi domniemanie, że uczestniczą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korzystaniu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owoców przestępstw, wystarczających środków obrony, polegających na wykazaniu legalności nabytego mienia,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konsekwencji wyłączeniu go spod skutków przepadku. Takie ułożenie domniemań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przeciwstawnych im środków obrony nie tworzy dla osób nimi dotkniętych nadmiernych trudności dowodowych,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zatem nie godzi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zasadę proporcjonalności </w:t>
      </w:r>
      <w:r w:rsidRPr="007D7496">
        <w:rPr>
          <w:rFonts w:ascii="Times New Roman" w:eastAsia="Times New Roman" w:hAnsi="Times New Roman" w:cs="Times New Roman"/>
          <w:bCs/>
          <w:i/>
          <w:sz w:val="24"/>
          <w:szCs w:val="24"/>
          <w:lang w:eastAsia="pl-PL"/>
        </w:rPr>
        <w:t>sensu stricto</w:t>
      </w:r>
      <w:r w:rsidRPr="007D7496">
        <w:rPr>
          <w:rFonts w:ascii="Times New Roman" w:eastAsia="Times New Roman" w:hAnsi="Times New Roman" w:cs="Times New Roman"/>
          <w:bCs/>
          <w:sz w:val="24"/>
          <w:szCs w:val="24"/>
          <w:lang w:eastAsia="pl-PL"/>
        </w:rPr>
        <w:t>. Tak więc testy zgodności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31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Konstytucji </w:t>
      </w:r>
      <w:r w:rsidR="000878D8">
        <w:rPr>
          <w:rFonts w:ascii="Times New Roman" w:eastAsia="Times New Roman" w:hAnsi="Times New Roman" w:cs="Times New Roman"/>
          <w:bCs/>
          <w:sz w:val="24"/>
          <w:szCs w:val="24"/>
          <w:lang w:eastAsia="pl-PL"/>
        </w:rPr>
        <w:t xml:space="preserve">RP </w:t>
      </w:r>
      <w:r w:rsidRPr="007D7496">
        <w:rPr>
          <w:rFonts w:ascii="Times New Roman" w:eastAsia="Times New Roman" w:hAnsi="Times New Roman" w:cs="Times New Roman"/>
          <w:bCs/>
          <w:sz w:val="24"/>
          <w:szCs w:val="24"/>
          <w:lang w:eastAsia="pl-PL"/>
        </w:rPr>
        <w:t>prowadzą do wniosku, że proponowane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projekcie rozwiązania nie naruszają zasady proporcjonalności we wszystkich jej aspektach.</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lastRenderedPageBreak/>
        <w:t>Oprócz standardów konstytucyjnych, nowym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istotnym elementem ram prawnych przepadku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Polsce jest również zmiana systematyki Kodeksu karnego wprowadzona ustawą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20</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lutego 2015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zmianie ustawy – Kodeks karny oraz niektórych innych ustaw (Dz.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2015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poz.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396). Ustawodawca wyodrębnił osobny rozdział </w:t>
      </w:r>
      <w:proofErr w:type="spellStart"/>
      <w:r w:rsidRPr="007D7496">
        <w:rPr>
          <w:rFonts w:ascii="Times New Roman" w:eastAsia="Times New Roman" w:hAnsi="Times New Roman" w:cs="Times New Roman"/>
          <w:bCs/>
          <w:sz w:val="24"/>
          <w:szCs w:val="24"/>
          <w:lang w:eastAsia="pl-PL"/>
        </w:rPr>
        <w:t>Va</w:t>
      </w:r>
      <w:proofErr w:type="spellEnd"/>
      <w:r w:rsidRPr="007D7496">
        <w:rPr>
          <w:rFonts w:ascii="Times New Roman" w:eastAsia="Times New Roman" w:hAnsi="Times New Roman" w:cs="Times New Roman"/>
          <w:bCs/>
          <w:sz w:val="24"/>
          <w:szCs w:val="24"/>
          <w:lang w:eastAsia="pl-PL"/>
        </w:rPr>
        <w:t xml:space="preserve"> części ogólnej k.k., zatytułowany „Przepadek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środki kompensacyjne”, co świadczy o</w:t>
      </w:r>
      <w:r w:rsidR="00C8229B">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tym, że poczynając od dnia wejścia noweli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życie,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zatem od dnia 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lipca 2015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przepadek nie może być już uważany ani za karę, ani za środek karny. Jest to środek swoisty prawa karnego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charakterze zarówno represyjnym, jak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prewencyjnym. Ta zmiana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istotny sposób rozszerza możliwości jego stosowania.</w:t>
      </w:r>
    </w:p>
    <w:p w:rsidR="00065CF0" w:rsidRPr="007D7496" w:rsidRDefault="00065CF0" w:rsidP="001E6BF1">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3. Istota propozycji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ich kontekst międzynarodowy</w:t>
      </w:r>
    </w:p>
    <w:p w:rsidR="00065CF0" w:rsidRPr="007D7496" w:rsidRDefault="00065CF0" w:rsidP="001E6BF1">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3.1. Przepadek przedsiębiorstwa nienależącego do sprawcy</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Niektóre szczególnie poważne przestępstwa gospodarcze mogą być popełniane z</w:t>
      </w:r>
      <w:r w:rsidR="001E6BF1"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wykorzystaniem istniejących przedsiębiorstw, zarówno prowadzących legalną działalność gospodarczą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dodatkowo wykorzystywanych do celów przestępczych, jak również utworzonych wyłącznie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zamiarze popełnienia przestępstwa. Katalog czynów zabronionych, które mogą być popełnione przy wykorzystaniu podmiotu gospodarczego, obejmuje poważne występki, takie jak oszustwa czy pranie brudnych pieniędzy. Fakt, że przedsiębiorstwo nie stanowi własności sprawcy, skutecznie uniemożliwia lub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znacznym stopniu utrudnia zwalczanie takiej przestępczości. Z</w:t>
      </w:r>
      <w:r w:rsidR="001E6BF1"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uwagi na ograniczenie represji wyłącznie do osoby sprawcy, prowadzone postępowanie karne zazwyczaj pozostaje bez wpływu na status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kondycję finansową zaangażowanego przedsiębiorstwa. Zważywszy na wpływ poważnej przestępczości gospodarczej na bezpieczeństwo ekonomiczne państwa oraz prawidłowość i pewność obrotu gospodarczego, projektodawca założył, że usprawiedliwia on skorzystanie z</w:t>
      </w:r>
      <w:r w:rsidR="001E6BF1"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nadzwyczajnej, lecz dobrze znanej polskiemu prawu instytucji przepadku mienia, niestanowiącego – przynajmniej formalnie – własności sprawcy.</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Pojmowanie przedsiębiorstwa, jako możliwego narzędzia przestępstwa, wywieść można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memorandum wyjaśniającego do konwencji Rady Europy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16</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maja 2005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praniu, ujawnianiu, zajmowaniu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konfiskacie dochodów pochodzących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oraz o</w:t>
      </w:r>
      <w:r w:rsidR="001E6BF1"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finansowaniu terroryzmu, sporządzonej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Warszawie dnia 16</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maja 2005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którą Polska jest związana od jej wejścia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życie, czyli od dnia 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maja 2008</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punkcie 36</w:t>
      </w:r>
      <w:r w:rsidR="001E6BF1"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 xml:space="preserve">tego dokumentu stwierdza się, że termin „narzędzia przestępstwa” winien być, </w:t>
      </w:r>
      <w:r w:rsidRPr="007D7496">
        <w:rPr>
          <w:rFonts w:ascii="Times New Roman" w:eastAsia="Times New Roman" w:hAnsi="Times New Roman" w:cs="Times New Roman"/>
          <w:bCs/>
          <w:sz w:val="24"/>
          <w:szCs w:val="24"/>
          <w:lang w:eastAsia="pl-PL"/>
        </w:rPr>
        <w:lastRenderedPageBreak/>
        <w:t>w</w:t>
      </w:r>
      <w:r w:rsidR="001E6BF1"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kontekście tego instrumentu i</w:t>
      </w:r>
      <w:r w:rsidR="00D2432C" w:rsidRPr="007D7496">
        <w:rPr>
          <w:rFonts w:ascii="Times New Roman" w:eastAsia="Times New Roman" w:hAnsi="Times New Roman" w:cs="Times New Roman"/>
          <w:bCs/>
          <w:sz w:val="24"/>
          <w:szCs w:val="24"/>
          <w:lang w:eastAsia="pl-PL"/>
        </w:rPr>
        <w:t xml:space="preserve"> </w:t>
      </w:r>
      <w:r w:rsidR="000878D8">
        <w:rPr>
          <w:rFonts w:ascii="Times New Roman" w:eastAsia="Times New Roman" w:hAnsi="Times New Roman" w:cs="Times New Roman"/>
          <w:bCs/>
          <w:sz w:val="24"/>
          <w:szCs w:val="24"/>
          <w:lang w:eastAsia="pl-PL"/>
        </w:rPr>
        <w:t>na potrzeby</w:t>
      </w:r>
      <w:r w:rsidRPr="007D7496">
        <w:rPr>
          <w:rFonts w:ascii="Times New Roman" w:eastAsia="Times New Roman" w:hAnsi="Times New Roman" w:cs="Times New Roman"/>
          <w:bCs/>
          <w:sz w:val="24"/>
          <w:szCs w:val="24"/>
          <w:lang w:eastAsia="pl-PL"/>
        </w:rPr>
        <w:t xml:space="preserve"> współpracy międzynarodowej, rozumiany możliwie jak najszerzej.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szczególności mienie, które ułatwiło popełnienie przestępstwa, winno być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pewnych sytuacjach objęte tym pojęciem. Niewątpliwie może to mieć zastosowanie także wobec przedsiębiorstwa,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prowadzącego – obok działalności przestępczej – również aktywność legalną.</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trakcie ewaluacji Polski dokonywanej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2012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r. przez komitet Rady Europy </w:t>
      </w:r>
      <w:proofErr w:type="spellStart"/>
      <w:r w:rsidRPr="007D7496">
        <w:rPr>
          <w:rFonts w:ascii="Times New Roman" w:eastAsia="Times New Roman" w:hAnsi="Times New Roman" w:cs="Times New Roman"/>
          <w:bCs/>
          <w:sz w:val="24"/>
          <w:szCs w:val="24"/>
          <w:lang w:eastAsia="pl-PL"/>
        </w:rPr>
        <w:t>Moneyval</w:t>
      </w:r>
      <w:proofErr w:type="spellEnd"/>
      <w:r w:rsidRPr="007D7496">
        <w:rPr>
          <w:rFonts w:ascii="Times New Roman" w:eastAsia="Times New Roman" w:hAnsi="Times New Roman" w:cs="Times New Roman"/>
          <w:bCs/>
          <w:sz w:val="24"/>
          <w:szCs w:val="24"/>
          <w:lang w:eastAsia="pl-PL"/>
        </w:rPr>
        <w:t>, oceniający m.in. krajową legislację pod kątem zgodności ze wspomnianą konwencją, kwestia ta została wyraźnie podniesiona. Eksperci komitetu stwierdzili, że polskie ustawodawstwo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zakresie przepadku pozostaje niekompletne, gdyż uniemożliwia przepadek narzędzi służących do prania brudnych pieniędzy, jeżeli nie stanowią one własności sprawcy. Narzędziem takim może być również przedsiębiorstwo.</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Podobne stanowisko zajęli eksperci Konferencji Stron wspomnianej konwencji w</w:t>
      </w:r>
      <w:r w:rsidR="001E6BF1"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raporcie na temat Polski pochodzącym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2013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państwach europejskich przepadek przedsiębiorstwa jest stosunkowo często stosowany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Zjednoczonym Królestwie i</w:t>
      </w:r>
      <w:r w:rsidR="00D2432C" w:rsidRPr="007D7496">
        <w:rPr>
          <w:rFonts w:ascii="Times New Roman" w:eastAsia="Times New Roman" w:hAnsi="Times New Roman" w:cs="Times New Roman"/>
          <w:bCs/>
          <w:sz w:val="24"/>
          <w:szCs w:val="24"/>
          <w:lang w:eastAsia="pl-PL"/>
        </w:rPr>
        <w:t xml:space="preserve"> </w:t>
      </w:r>
      <w:r w:rsidR="000878D8">
        <w:rPr>
          <w:rFonts w:ascii="Times New Roman" w:eastAsia="Times New Roman" w:hAnsi="Times New Roman" w:cs="Times New Roman"/>
          <w:bCs/>
          <w:sz w:val="24"/>
          <w:szCs w:val="24"/>
          <w:lang w:eastAsia="pl-PL"/>
        </w:rPr>
        <w:t xml:space="preserve">we </w:t>
      </w:r>
      <w:r w:rsidRPr="007D7496">
        <w:rPr>
          <w:rFonts w:ascii="Times New Roman" w:eastAsia="Times New Roman" w:hAnsi="Times New Roman" w:cs="Times New Roman"/>
          <w:bCs/>
          <w:sz w:val="24"/>
          <w:szCs w:val="24"/>
          <w:lang w:eastAsia="pl-PL"/>
        </w:rPr>
        <w:t>Włoszech.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tych krajach instytucja ta stanowi istotne narzędzie zwalczania przestępczości zorganizowanej, zwłaszcza gospodarczej.</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 xml:space="preserve">Projektodawca przyjął zatem, że przedsiębiorstwo może być szczególnego rodzaju narzędziem przestępstwa. Przy zachowaniu omówionych wyżej standardów konstytucyjnych, możliwe jest wprowadzenie środka prawnego polegającego na przepadku takiego przedsiębiorstwa. Przepadek taki może nastąpić jeżeli właścicielowi przedsiębiorstwa </w:t>
      </w:r>
      <w:r w:rsidR="0084490C"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będącemu osobą fizyczną </w:t>
      </w:r>
      <w:r w:rsidR="0084490C"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można zarzucić naganność zachowania. Odnosi się to również do osoby trzeciej, czyli osoby niebędącej sprawcą czynu zabronionego (por. wyrok TK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28</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października 2015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 SK 59/13). Warunkiem wprowadzenia takiej konstrukcji jest jej fakultatywny charakter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ustawowy test naganności zachowania właściciela przedsiębiorstwa.</w:t>
      </w:r>
    </w:p>
    <w:p w:rsidR="00065CF0" w:rsidRPr="007D7496" w:rsidRDefault="00065CF0" w:rsidP="001E6BF1">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3.2. Rozszerzony przepadek mienia</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Podstawową trudnością, na którą napotyka wymiar sprawiedliwości przy orzekaniu przepadku korzyści majątkowej, jest dowiedzenie, że wskazany składnik majątkowy pochodzi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określonego przestępstwa, za które oskarżony ponosi odpowiedzialność </w:t>
      </w:r>
      <w:r w:rsidRPr="007D7496">
        <w:rPr>
          <w:rFonts w:ascii="Times New Roman" w:eastAsia="Times New Roman" w:hAnsi="Times New Roman" w:cs="Times New Roman"/>
          <w:bCs/>
          <w:sz w:val="24"/>
          <w:szCs w:val="24"/>
          <w:lang w:eastAsia="pl-PL"/>
        </w:rPr>
        <w:lastRenderedPageBreak/>
        <w:t>karną. Problem ten ujawnia się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sposób szczególnie dotkliwy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przypadku członków zorganizowanych grup przestępczych oraz przestępców profesjonalnych.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praktyce procesowej niejednokrotnie zachodzi uzasadnione przypuszczenie, że oprócz czynów przypisanych skazanym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konkretnym wyroku skazującym, dopuścili się oni wielu innych przestępstw, które pozostały nieujawnione lub których sprawstwa im nie dowiedziono. Narzucone ograniczenia prawne co do zakresu orzekanego przepadku stają się wówczas istotnym mankamentem utrudniającym możliwość likwidacji podstaw finansowych takiej przestępczości.</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stosunku do przestępczości zorganizowanej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profesjonalnej przepadek korzyści pochodzących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jest środkiem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charakterze nie tylko represyjnym, ale również prewencyjnym. Pozbawienie sprawców tych przestępstw środków finansowych, stanowiących bazę ekonomiczną dla ich dalszej aktywności kryminalnej, stanowić może znacznie bardziej efektywne narzędzie ich zwalczania niż nawet długoletnia kara pozbawienia wolności. Stąd nieodzowna okazała się zmiana tradycyjnego podejścia do niektórych instytucji prawa karnego. Wyrazem nowego podejścia jest wypracowanie konstrukcji tzw. „konfiskaty rozszerzonej” czy też „rozszerzonego przepadku mienia”.</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Podstawą powyższej instytucji jest zastosowanie zespołu domniemań prawnych, których skutkiem jest przerzucenie ciężaru dowodu legalnego pochodzenia mienia zagrożonego przepadkiem na oskarżonego lub inną osobę, dysponującą tym mieniem. Przesłanką zastosowania domniemań jest np. udowodnienie sprawcy popełnienia czynów zabronionych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ramach zorganizowanej grupy przestępczej lub uczynienie z</w:t>
      </w:r>
      <w:r w:rsidR="000E67B7"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przestępstwa stałego źródła dochodów albo popełnienie przestępstwa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określonym ciężarze gatunkowym. Wnioskiem domniemania jest najczęściej przestępcze pochodzenie całego lub części mienia znajdującego się we władaniu sprawcy. Dodatkowo konstrukcja ta często jest uzupełniona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rozwiązania pozwalające orzec przepadek mienia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stosunku do osób trzecich, którym sprawca przekazał mienie.</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Rozszerzony przepadek mienia nie jest instytucją nową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systemach prawnych państw demokratycznych. Wprost przeciwnie, założenia projektowanej ustawy zostały zaczerpnięte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ugruntowanych wzorców stosowanych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szeregu państw członkowskich Unii Europejskiej. Przepadek rozszerzony znany jest bowiem prawie wszystkim systemom prawnym państw członkowskich UE, jakkolwiek poszczególne rozwiązania </w:t>
      </w:r>
      <w:r w:rsidRPr="007D7496">
        <w:rPr>
          <w:rFonts w:ascii="Times New Roman" w:eastAsia="Times New Roman" w:hAnsi="Times New Roman" w:cs="Times New Roman"/>
          <w:bCs/>
          <w:sz w:val="24"/>
          <w:szCs w:val="24"/>
          <w:lang w:eastAsia="pl-PL"/>
        </w:rPr>
        <w:lastRenderedPageBreak/>
        <w:t>znacząco się różnią.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większości państw jest on wariantem standardowego przepadku, orzekanym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trakcie postępowania karnego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wyroku skazującym. Przesłanką jego orzeczenia jest zazwyczaj przypuszczenie, że mienie, którym dysponuje sprawca, pochodzi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Wymaga to uprawdopodobnienia, nie zaś dowiedzenia (Niemcy, Hiszpania, Włochy, Litwa, Łotwa).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odpowiedzi sprawca może dowieść, że mienie zostało nabyte legalnie (odwrócony ciężar dowodu). Dodatkową przesłanką może być również niewspółmierność wartości mienia sprawcy wobec jego legalnych dochodów (Włochy).</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Niekiedy zamiast konieczności uprawdopodobnienia, że mienie pochodzi z</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przestępstwa, wystarczające jest stwierdzenie, iż czyn zarzucony sprawcy spełnia określone kryteria, np. jest zagrożony odpowiednio wysoką karą albo wprost wskazany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ustawie (Francja, Portugalia). Jest to rozwiązanie zbliżone do obecnych regulacji polskich (art. 45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33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k.k.s.).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Finlandii stosuje się obydwie te przesłanki łącznie.</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wielu państwach przewiduje się możliwość badania legalności pochodzenia mienia nabytego przez sprawcę nie tylko po dniu popełnienia przestępstwa, ale również wcześniej.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reguły jest to 5, 6 lub 7</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lat poprzedzających przestępstwo (Belgia, Portugalia, Zjednoczone Królestwo, Litwa). Wyjątkowo długi okres badania przewiduje się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Bułgarii (15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lat</w:t>
      </w:r>
      <w:r w:rsidR="000878D8">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liczą</w:t>
      </w:r>
      <w:r w:rsidR="000878D8">
        <w:rPr>
          <w:rFonts w:ascii="Times New Roman" w:eastAsia="Times New Roman" w:hAnsi="Times New Roman" w:cs="Times New Roman"/>
          <w:bCs/>
          <w:sz w:val="24"/>
          <w:szCs w:val="24"/>
          <w:lang w:eastAsia="pl-PL"/>
        </w:rPr>
        <w:t>c</w:t>
      </w:r>
      <w:r w:rsidRPr="007D7496">
        <w:rPr>
          <w:rFonts w:ascii="Times New Roman" w:eastAsia="Times New Roman" w:hAnsi="Times New Roman" w:cs="Times New Roman"/>
          <w:bCs/>
          <w:sz w:val="24"/>
          <w:szCs w:val="24"/>
          <w:lang w:eastAsia="pl-PL"/>
        </w:rPr>
        <w:t xml:space="preserve"> od daty wszczęcia postępowania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 przepadku).</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Poza państwami członkowskimi UE instytucja rozszerzonego przepadku jest znana również m.in.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Stanach Zjednoczonych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Szwajcarii. Rozwiązania te przewidują znacznie dalej idące rozwiązania niż istniejące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systemie polskim. Na tym tle należy stwierdzić, że Polska dąży dopiero do ustanowienia bardziej powszechnych i</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skuteczniejszych standardów zwalczania najpoważniejszej przestępczości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tej sferze.</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Choć przyjmowane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poszczególnych państwach rozwiązania mają,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zależności od miejscowych tradycji prawnych, niejednolity charakter, wszystkie opierają się na rozszerzeniu klasycznego modelu przepadku. Polega to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szczególności na zastosowaniu wymienionego powyżej domniemania prawnego nielegalnego pochodzenia mienia. Konstrukcje domniemań przyjętych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analizowanych systemach prawnych są zazwyczaj bardziej rozbudowane niż te przewidziane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polskiego Kodeksu karnego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odpowiadającym mu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Kodeksu karnego skarbowego. Dotyczy </w:t>
      </w:r>
      <w:r w:rsidRPr="007D7496">
        <w:rPr>
          <w:rFonts w:ascii="Times New Roman" w:eastAsia="Times New Roman" w:hAnsi="Times New Roman" w:cs="Times New Roman"/>
          <w:bCs/>
          <w:sz w:val="24"/>
          <w:szCs w:val="24"/>
          <w:lang w:eastAsia="pl-PL"/>
        </w:rPr>
        <w:lastRenderedPageBreak/>
        <w:t>to zarówno podstawy domniemania, jak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jego części wnioskowej. Analiza ta prowadzi do wniosku, że konieczna jest reforma dotychczasowych polskich standardów.</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Ze względu na szczególny charakter rozszerzonego przepadku mienia,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toku rozwoju tej instytucji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poszczególnych państwach było nieuniknione zmierzenie się z</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wątpliwościami, jakie mogły powstawać na tle jej zgodności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gwarancjami praw jednostki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postępowaniu karnym,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szczególności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zasadą domniemania niewinności.</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Problem ten był przedmiotem orzecznictwa Europejskiego Trybunału Praw Człowieka (ETPCz). Trybunał konsekwentnie stwierdzał brak naruszenia tak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Konwencji o</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Ochronie Praw Człowieka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Podstawowych Wolności (prawo do rzetelnego procesu), jak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Protokołu nr</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do Konwencji (ochrona własności). Za reprezentatywne w</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tym zakresie można uznać stanowisko ETPCz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 41087/98, Philips przeciwko Wielkiej Brytanii, gdzie stwierdzono, że gwarantowane domniemanie niewinności oskarżonego nie jest absolutne, jako że domniemania dotyczące faktów lub prawa działają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każdym systemie prawa karnego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nie są zakazane tak długo</w:t>
      </w:r>
      <w:r w:rsidR="000878D8">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jak pozostają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ramach pewnych ograniczeń, przy uwzględnieniu wagi spraw, które wchodzą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grę, oraz zachowania prawa do obrony. Zdaniem ETPCz domniemanie przyjęte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odpowiednim ustawodawstwie brytyjskim, przewidujące możliwość orzeczenia konfiskaty rozszerzonej przy odwróceniu ciężaru dowodu, mogło być obalone, jeśli wnioskodawca wykazał, na zasadzie prawdopodobieństwa, że nabył mienie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inny sposób niż poprzez popełnianie przestępstw. Taka gwarancja jest wystarczająca dla uznania przepadku rozszerzonego za zgodny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zasadą domniemania niewinności (por. pkt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40</w:t>
      </w:r>
      <w:r w:rsidR="0084490C"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43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wyroku).</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Trybunał stwierdzał konsekwentnie również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innych sprawach (sprawa 12954/87, Raimondo przeciwko Włochom, sprawa 17440/90, Welch przeciwko Wielkiej Brytanii, sprawa 41661/98, Butler przeciwko Wielkiej Brytanii, sprawa 54024/99, </w:t>
      </w:r>
      <w:proofErr w:type="spellStart"/>
      <w:r w:rsidRPr="007D7496">
        <w:rPr>
          <w:rFonts w:ascii="Times New Roman" w:eastAsia="Times New Roman" w:hAnsi="Times New Roman" w:cs="Times New Roman"/>
          <w:bCs/>
          <w:sz w:val="24"/>
          <w:szCs w:val="24"/>
          <w:lang w:eastAsia="pl-PL"/>
        </w:rPr>
        <w:t>Arcuri</w:t>
      </w:r>
      <w:proofErr w:type="spellEnd"/>
      <w:r w:rsidRPr="007D7496">
        <w:rPr>
          <w:rFonts w:ascii="Times New Roman" w:eastAsia="Times New Roman" w:hAnsi="Times New Roman" w:cs="Times New Roman"/>
          <w:bCs/>
          <w:sz w:val="24"/>
          <w:szCs w:val="24"/>
          <w:lang w:eastAsia="pl-PL"/>
        </w:rPr>
        <w:t xml:space="preserve"> przeciwko Włochom, sprawa 75909/01, </w:t>
      </w:r>
      <w:proofErr w:type="spellStart"/>
      <w:r w:rsidRPr="007D7496">
        <w:rPr>
          <w:rFonts w:ascii="Times New Roman" w:eastAsia="Times New Roman" w:hAnsi="Times New Roman" w:cs="Times New Roman"/>
          <w:bCs/>
          <w:sz w:val="24"/>
          <w:szCs w:val="24"/>
          <w:lang w:eastAsia="pl-PL"/>
        </w:rPr>
        <w:t>Sud</w:t>
      </w:r>
      <w:proofErr w:type="spellEnd"/>
      <w:r w:rsidRPr="007D7496">
        <w:rPr>
          <w:rFonts w:ascii="Times New Roman" w:eastAsia="Times New Roman" w:hAnsi="Times New Roman" w:cs="Times New Roman"/>
          <w:bCs/>
          <w:sz w:val="24"/>
          <w:szCs w:val="24"/>
          <w:lang w:eastAsia="pl-PL"/>
        </w:rPr>
        <w:t xml:space="preserve"> </w:t>
      </w:r>
      <w:proofErr w:type="spellStart"/>
      <w:r w:rsidRPr="007D7496">
        <w:rPr>
          <w:rFonts w:ascii="Times New Roman" w:eastAsia="Times New Roman" w:hAnsi="Times New Roman" w:cs="Times New Roman"/>
          <w:bCs/>
          <w:sz w:val="24"/>
          <w:szCs w:val="24"/>
          <w:lang w:eastAsia="pl-PL"/>
        </w:rPr>
        <w:t>Fondi</w:t>
      </w:r>
      <w:proofErr w:type="spellEnd"/>
      <w:r w:rsidRPr="007D7496">
        <w:rPr>
          <w:rFonts w:ascii="Times New Roman" w:eastAsia="Times New Roman" w:hAnsi="Times New Roman" w:cs="Times New Roman"/>
          <w:bCs/>
          <w:sz w:val="24"/>
          <w:szCs w:val="24"/>
          <w:lang w:eastAsia="pl-PL"/>
        </w:rPr>
        <w:t xml:space="preserve">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inni przeciwko Włochom, sprawy połączone 19955/05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15085/06, </w:t>
      </w:r>
      <w:proofErr w:type="spellStart"/>
      <w:r w:rsidRPr="007D7496">
        <w:rPr>
          <w:rFonts w:ascii="Times New Roman" w:eastAsia="Times New Roman" w:hAnsi="Times New Roman" w:cs="Times New Roman"/>
          <w:bCs/>
          <w:sz w:val="24"/>
          <w:szCs w:val="24"/>
          <w:lang w:eastAsia="pl-PL"/>
        </w:rPr>
        <w:t>Grayson</w:t>
      </w:r>
      <w:proofErr w:type="spellEnd"/>
      <w:r w:rsidRPr="007D7496">
        <w:rPr>
          <w:rFonts w:ascii="Times New Roman" w:eastAsia="Times New Roman" w:hAnsi="Times New Roman" w:cs="Times New Roman"/>
          <w:bCs/>
          <w:sz w:val="24"/>
          <w:szCs w:val="24"/>
          <w:lang w:eastAsia="pl-PL"/>
        </w:rPr>
        <w:t xml:space="preserve"> i</w:t>
      </w:r>
      <w:r w:rsidR="00D2432C" w:rsidRPr="007D7496">
        <w:rPr>
          <w:rFonts w:ascii="Times New Roman" w:eastAsia="Times New Roman" w:hAnsi="Times New Roman" w:cs="Times New Roman"/>
          <w:bCs/>
          <w:sz w:val="24"/>
          <w:szCs w:val="24"/>
          <w:lang w:eastAsia="pl-PL"/>
        </w:rPr>
        <w:t xml:space="preserve"> </w:t>
      </w:r>
      <w:proofErr w:type="spellStart"/>
      <w:r w:rsidRPr="007D7496">
        <w:rPr>
          <w:rFonts w:ascii="Times New Roman" w:eastAsia="Times New Roman" w:hAnsi="Times New Roman" w:cs="Times New Roman"/>
          <w:bCs/>
          <w:sz w:val="24"/>
          <w:szCs w:val="24"/>
          <w:lang w:eastAsia="pl-PL"/>
        </w:rPr>
        <w:t>Barnham</w:t>
      </w:r>
      <w:proofErr w:type="spellEnd"/>
      <w:r w:rsidRPr="007D7496">
        <w:rPr>
          <w:rFonts w:ascii="Times New Roman" w:eastAsia="Times New Roman" w:hAnsi="Times New Roman" w:cs="Times New Roman"/>
          <w:bCs/>
          <w:sz w:val="24"/>
          <w:szCs w:val="24"/>
          <w:lang w:eastAsia="pl-PL"/>
        </w:rPr>
        <w:t xml:space="preserve"> przeciwko Wielkiej Brytanii), że przeniesienie ciężaru dowodu nie stanowi samo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sobie naruszenia Konwencji tak długo, jak zapewnione są gwarancje rzetelnego procesu,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szczególności, jeżeli oskarżony ma sposobność wykazania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toku procesu legalności pochodzenia mienia. Stosowanie tego rodzaju środków karnych może być zaś proporcjonalnym narzędziem służącym szczególnemu celowi, jakim jest zwalczanie najpoważniejszej przestępczości.</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lastRenderedPageBreak/>
        <w:t>W tym świetle trzeba podkreślić, że przeniesienie ciężaru dowodu dotyczy wyłącznie kwestii przepadku mienia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żaden sposób nie dotyczy innych elementów postępowania karnego,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szczególności ustalenia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udowodnienia sprawstwa i winy oskarżonego. Co więcej, rozszerzony przepadek mienia nie dotyczy wszystkich sprawców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wszystkich czynów zabronionych. Jest on traktowany jako wyjątek od reguły, odnoszący się wyłącznie do najpoważniejszych przestępstw. Ponadto przepadek taki jest ograniczony tylko do tych rzeczy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praw majątkowych, których legalnego pochodzenia sprawca nie dowiedzie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trakcie postępowania karnego. Reglamentacja rozszerzonego przepadku mienia ma zatem charakter zarówno podmiotowy, jak i</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przedmiotowy, co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dostatecznym stopniu gwarantuje prawa osób, których środek ten może dotyczyć.</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Warto też zwrócić uwagę na fakt, że instytucja przeniesienia ciężaru dowodowego funkcjonuje również obecnie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polskim prawie karnym,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mianowicie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45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 i</w:t>
      </w:r>
      <w:r w:rsidR="00D2432C" w:rsidRPr="007D7496">
        <w:rPr>
          <w:rFonts w:ascii="Times New Roman" w:eastAsia="Times New Roman" w:hAnsi="Times New Roman" w:cs="Times New Roman"/>
          <w:bCs/>
          <w:sz w:val="24"/>
          <w:szCs w:val="24"/>
          <w:lang w:eastAsia="pl-PL"/>
        </w:rPr>
        <w:t xml:space="preserve"> </w:t>
      </w:r>
      <w:r w:rsidR="000878D8">
        <w:rPr>
          <w:rFonts w:ascii="Times New Roman" w:eastAsia="Times New Roman" w:hAnsi="Times New Roman" w:cs="Times New Roman"/>
          <w:bCs/>
          <w:sz w:val="24"/>
          <w:szCs w:val="24"/>
          <w:lang w:eastAsia="pl-PL"/>
        </w:rPr>
        <w:t xml:space="preserve">art. </w:t>
      </w:r>
      <w:r w:rsidRPr="007D7496">
        <w:rPr>
          <w:rFonts w:ascii="Times New Roman" w:eastAsia="Times New Roman" w:hAnsi="Times New Roman" w:cs="Times New Roman"/>
          <w:bCs/>
          <w:sz w:val="24"/>
          <w:szCs w:val="24"/>
          <w:lang w:eastAsia="pl-PL"/>
        </w:rPr>
        <w:t>33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k.k.s. Przepisy te nie były nigdy przedmiotem skargi konstytucyjnej ani skargi do Europejskiego Trybunału Praw Człowieka.</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ETPCz nigdy dotychczas nie rozstrzygał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odpowiedzialności majątkowej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tytułu przepadku mienia osób niebędących sprawcami przestępstw,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jedynie nabywcami mienia podlegającego przepadkowi. Jak natomiast zaznaczono, istnieje szereg europejskich systemów prawnych przewidujących taką odpowiedzialność (np.</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Finlandia, Portugalia, Węgry). Zgodność tych przepisów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Konwencji o</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Ochronie Praw Człowieka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Podstawowych Wolności nigdy nie była kwestionowana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drodze skargi do ETPCz. Co więcej,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sprawie 26315/03, </w:t>
      </w:r>
      <w:proofErr w:type="spellStart"/>
      <w:r w:rsidRPr="007D7496">
        <w:rPr>
          <w:rFonts w:ascii="Times New Roman" w:eastAsia="Times New Roman" w:hAnsi="Times New Roman" w:cs="Times New Roman"/>
          <w:bCs/>
          <w:sz w:val="24"/>
          <w:szCs w:val="24"/>
          <w:lang w:eastAsia="pl-PL"/>
        </w:rPr>
        <w:t>Dogmoch</w:t>
      </w:r>
      <w:proofErr w:type="spellEnd"/>
      <w:r w:rsidRPr="007D7496">
        <w:rPr>
          <w:rFonts w:ascii="Times New Roman" w:eastAsia="Times New Roman" w:hAnsi="Times New Roman" w:cs="Times New Roman"/>
          <w:bCs/>
          <w:sz w:val="24"/>
          <w:szCs w:val="24"/>
          <w:lang w:eastAsia="pl-PL"/>
        </w:rPr>
        <w:t xml:space="preserve"> przeciwko Niemcom, pośrednio dotyczącej omawianej materii, Trybunał stwierdził dopuszczalność – pod określonymi warunkami – zabezpieczenia prowadzącego do przepadku mienia stanowiącego własność osoby trzeciej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postępowaniu karnym niedotyczącym tej osoby.</w:t>
      </w:r>
    </w:p>
    <w:p w:rsidR="00065CF0" w:rsidRPr="007D7496" w:rsidRDefault="00065CF0" w:rsidP="00813CAA">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3.3. Rozszerzony przepadek mienia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umowach międzynarodowych</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Przyjmowane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poszczególnych państwach rozwiązania prawne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zakresie przepadku rozszerzonego doprowadziły do tego, że konstrukcja ta stała się przedmiotem zainteresowania organizacji międzynarodowych.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efekcie rozszerzone formy przepadku zostały zawarte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kilku najnowszych konwencjach, przewidujących możliwość przeniesienia na sprawcę ciężaru dowodu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zakresie legalnego pochodzenia </w:t>
      </w:r>
      <w:r w:rsidRPr="007D7496">
        <w:rPr>
          <w:rFonts w:ascii="Times New Roman" w:eastAsia="Times New Roman" w:hAnsi="Times New Roman" w:cs="Times New Roman"/>
          <w:bCs/>
          <w:sz w:val="24"/>
          <w:szCs w:val="24"/>
          <w:lang w:eastAsia="pl-PL"/>
        </w:rPr>
        <w:lastRenderedPageBreak/>
        <w:t>domniemanych dochodów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lub innego mienia podlegającego przepadkowi na rzecz państwa.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konsekwencji, przy spełnieniu określonych przesłanek wstępnych, przepadek mienia nie jest ograniczony do przedmiotów majątkowych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praw stanowiących korzyść majątkową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którego dokonanie zostało sprawcy przypisane. Zastosowanie omawianej reguły oznacza, że przepadkowi podlegać może mienie, którego przestępcze pochodzenie nie zostało dowiedzione; wystarczającą przesłanką jest niewykazanie przez sprawcę czynu lub inną osobę zainteresowaną legalnego źródła pochodzenia mienia objętego przepadkiem.</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Możliwość przeniesienia na sprawcę ciężaru dowodu legalności pochodzenia mienia przewidziana została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12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7</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Konwencji Narodów Zjednoczonych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12</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grudnia 2000</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przeciwko międzynarodowej przestępczości zorganizowanej. Przepis ten stanowi, że Państwa</w:t>
      </w:r>
      <w:r w:rsidRPr="007D7496">
        <w:rPr>
          <w:rFonts w:ascii="Times New Roman" w:eastAsia="Times New Roman" w:hAnsi="Times New Roman" w:cs="Times New Roman"/>
          <w:bCs/>
          <w:sz w:val="24"/>
          <w:szCs w:val="24"/>
          <w:lang w:eastAsia="pl-PL"/>
        </w:rPr>
        <w:softHyphen/>
      </w:r>
      <w:r w:rsidRPr="007D7496">
        <w:rPr>
          <w:rFonts w:ascii="Times New Roman" w:eastAsia="Times New Roman" w:hAnsi="Times New Roman" w:cs="Times New Roman"/>
          <w:bCs/>
          <w:sz w:val="24"/>
          <w:szCs w:val="24"/>
          <w:lang w:eastAsia="pl-PL"/>
        </w:rPr>
        <w:noBreakHyphen/>
        <w:t>Strony mogą rozważyć możliwość stosowania wymogu, aby sprawca wykazał legalne pochodzenie domniemanych dochodów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lub innego mienia podlegającego konfiskacie,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zakresie,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jakim taki wymóg jest zgodny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zasadami ich prawa wewnętrznego oraz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charakterem postępowań sądowych oraz innych postępowań. Podobne rozwiązanie jest zawarte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31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8</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Konwencji Narodów Zjednoczonych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31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października 2003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przeciwko korupcji. Przywołane przepisy mają charakter zaleceń skierowanych do Państw</w:t>
      </w:r>
      <w:r w:rsidRPr="007D7496">
        <w:rPr>
          <w:rFonts w:ascii="Times New Roman" w:eastAsia="Times New Roman" w:hAnsi="Times New Roman" w:cs="Times New Roman"/>
          <w:bCs/>
          <w:sz w:val="24"/>
          <w:szCs w:val="24"/>
          <w:lang w:eastAsia="pl-PL"/>
        </w:rPr>
        <w:softHyphen/>
      </w:r>
      <w:r w:rsidRPr="007D7496">
        <w:rPr>
          <w:rFonts w:ascii="Times New Roman" w:eastAsia="Times New Roman" w:hAnsi="Times New Roman" w:cs="Times New Roman"/>
          <w:bCs/>
          <w:sz w:val="24"/>
          <w:szCs w:val="24"/>
          <w:lang w:eastAsia="pl-PL"/>
        </w:rPr>
        <w:noBreakHyphen/>
        <w:t>Stron. Zalecenia te odnoszą się także do Polski, która jest stroną obydwu konwencji.</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Bardziej stanowczy charakter ma natomiast przepis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Konwencji Rady Europy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16</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maja 2005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praniu, ujawnianiu, zajmowaniu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konfiskacie dochodów pochodzących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oraz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finansowaniu terroryzmu. Przepis ten zobowiązuje strony Konwencji,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Polskę, do przyjęcia środków ustawodawczych i</w:t>
      </w:r>
      <w:r w:rsidR="0036153D">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innych, koniecznych do wymagania, aby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przypadku poważnego przestępstwa lub przestępstw, zgodnie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przepisami prawa krajowego, sprawca wykazywał źródło pochodzenia zakwestionowanych dochodów lub innego mienia podlegającego konfiskacie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zakresie,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jakim wymóg ten jest zgodny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zasadami prawa krajowego.</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Przepisy tych aktów wskazują, co najmniej pośrednio, na dopuszczalność czy wręcz konieczność rozszerzenia klasycznej konstrukcji przepadku. Dotyczy to w</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szczególności przeniesienia ciężaru dowodowego, co do legalności pochodzenia mienia, które może być objęte konfiskatą.</w:t>
      </w:r>
    </w:p>
    <w:p w:rsidR="00065CF0" w:rsidRPr="007D7496" w:rsidRDefault="00065CF0" w:rsidP="00813CAA">
      <w:pPr>
        <w:keepNext/>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lastRenderedPageBreak/>
        <w:t>Projekt nawiązuje również do licznych rekomendacji prezentowanych przez różne gremia międzynarodowe,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których zaleca się wprowadzenie nowoczesnych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wysoce skutecznych rozwiązań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zakresie. Na uwagę zasługują m.in. Międzynarodowe Standardy Przeciwdziałania Praniu Pieniędzy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Finansowaniu Terroryzmu oraz Proliferacji wydane przez Grupę Specjalną ds. Przeciwdziałania Praniu Pieniędzy (FATF)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zrewidowane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2012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Zaleca się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nich przyjęcie takich środków, które pozwoliłyby na konfiskatę przychodów bądź narzędzi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bez konieczności wcześniejszego skazania, bądź środków, które wymagałyby od sprawcy wykazania źródła pochodzenia tych przychodów lub narzędzi. Także w</w:t>
      </w:r>
      <w:r w:rsidR="00D2432C" w:rsidRPr="007D7496">
        <w:rPr>
          <w:rFonts w:ascii="Times New Roman" w:eastAsia="Times New Roman" w:hAnsi="Times New Roman" w:cs="Times New Roman"/>
          <w:bCs/>
          <w:sz w:val="24"/>
          <w:szCs w:val="24"/>
          <w:lang w:eastAsia="pl-PL"/>
        </w:rPr>
        <w:t xml:space="preserve"> </w:t>
      </w:r>
      <w:r w:rsidR="00813CAA" w:rsidRPr="007D7496">
        <w:rPr>
          <w:rFonts w:ascii="Times New Roman" w:eastAsia="Times New Roman" w:hAnsi="Times New Roman" w:cs="Times New Roman"/>
          <w:bCs/>
          <w:sz w:val="24"/>
          <w:szCs w:val="24"/>
          <w:lang w:eastAsia="pl-PL"/>
        </w:rPr>
        <w:t>raporcie końcowym V </w:t>
      </w:r>
      <w:r w:rsidRPr="007D7496">
        <w:rPr>
          <w:rFonts w:ascii="Times New Roman" w:eastAsia="Times New Roman" w:hAnsi="Times New Roman" w:cs="Times New Roman"/>
          <w:bCs/>
          <w:sz w:val="24"/>
          <w:szCs w:val="24"/>
          <w:lang w:eastAsia="pl-PL"/>
        </w:rPr>
        <w:t>rundy ewaluacji wzajemnych organizowanych przez Radę Unii Europejskiej w</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sprawie śledztw finansowych (dokument Rady UE nr</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12657/2/12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3</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października 2012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znalazły się zalecenia dotyczące przepadku rozszerzonego oraz przepadku bez uprzedniego wyroku skazującego.</w:t>
      </w:r>
    </w:p>
    <w:p w:rsidR="00065CF0" w:rsidRPr="007D7496" w:rsidRDefault="00065CF0" w:rsidP="003205CF">
      <w:pPr>
        <w:widowControl w:val="0"/>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3.4. Przepadek bez wyroku skazującego</w:t>
      </w:r>
    </w:p>
    <w:p w:rsidR="00065CF0" w:rsidRPr="007D7496" w:rsidRDefault="00065CF0" w:rsidP="003205CF">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Instytucja ta sprowadza się do umożliwienia –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różnych, ściśle określonych okolicznościach – skutecznego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względnie ostatecznego rozporządzenia mieniem zajętym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trakcie postępowania karnego, pomimo istnienia negatywnych przesłanek wydania końcowego wyroku skazującego. Elementy tej instytucji są znane polskiemu prawu. Od wielu lat przepadek był stosowany jako szczególny środek zabezpieczający, orzekany, gdy zachodziła okoliczność wyłączająca karanie sprawcy czynu zabronionego (d.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100</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 Identyczną funkcję pełni swoisty środek przewidziany w</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obecnie obowiązującym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45a k.k. Zastosowanie tego przepisu jest jednakże mocno ograniczone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niewystarczające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punktu widzenia potrzeby skutecznego zwalczania finansowego zaplecza poważniejszej przestępczości,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zwłaszcza zorganizowanej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profesjonalnej. Co więcej, porównując rozwiązania polskie z</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regulacjami</w:t>
      </w:r>
      <w:r w:rsidR="000878D8">
        <w:rPr>
          <w:rFonts w:ascii="Times New Roman" w:eastAsia="Times New Roman" w:hAnsi="Times New Roman" w:cs="Times New Roman"/>
          <w:bCs/>
          <w:sz w:val="24"/>
          <w:szCs w:val="24"/>
          <w:lang w:eastAsia="pl-PL"/>
        </w:rPr>
        <w:t xml:space="preserve"> w</w:t>
      </w:r>
      <w:r w:rsidRPr="007D7496">
        <w:rPr>
          <w:rFonts w:ascii="Times New Roman" w:eastAsia="Times New Roman" w:hAnsi="Times New Roman" w:cs="Times New Roman"/>
          <w:bCs/>
          <w:sz w:val="24"/>
          <w:szCs w:val="24"/>
          <w:lang w:eastAsia="pl-PL"/>
        </w:rPr>
        <w:t xml:space="preserve"> innych państwach członkowskich UE, dostrzega się dużo wyższy stopień zaawansowania tych drugich.</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trakcie prac nad wspomnianą wyżej dyrektywą 2014/42/UE, przeprowadzon</w:t>
      </w:r>
      <w:r w:rsidR="000878D8">
        <w:rPr>
          <w:rFonts w:ascii="Times New Roman" w:eastAsia="Times New Roman" w:hAnsi="Times New Roman" w:cs="Times New Roman"/>
          <w:bCs/>
          <w:sz w:val="24"/>
          <w:szCs w:val="24"/>
          <w:lang w:eastAsia="pl-PL"/>
        </w:rPr>
        <w:t>e</w:t>
      </w:r>
      <w:r w:rsidRPr="007D7496">
        <w:rPr>
          <w:rFonts w:ascii="Times New Roman" w:eastAsia="Times New Roman" w:hAnsi="Times New Roman" w:cs="Times New Roman"/>
          <w:bCs/>
          <w:sz w:val="24"/>
          <w:szCs w:val="24"/>
          <w:lang w:eastAsia="pl-PL"/>
        </w:rPr>
        <w:t xml:space="preserve"> zostało badanie stanu prawnego obowiązującego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tej mierze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poszczególnych państwach członkowskich (dokument Rady UE 12219/12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lipca 2012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Wyniki tej analizy wskazują, że we wszystkich państwach członkowskich UE poza Polską i</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 xml:space="preserve">Rumunią istnieją rozbudowane rozwiązania umożliwiające przepadek mienia pomimo </w:t>
      </w:r>
      <w:r w:rsidRPr="007D7496">
        <w:rPr>
          <w:rFonts w:ascii="Times New Roman" w:eastAsia="Times New Roman" w:hAnsi="Times New Roman" w:cs="Times New Roman"/>
          <w:bCs/>
          <w:sz w:val="24"/>
          <w:szCs w:val="24"/>
          <w:lang w:eastAsia="pl-PL"/>
        </w:rPr>
        <w:lastRenderedPageBreak/>
        <w:t>braku wyroku skazującego. Poszczególne modele różnią się między sobą. Część z</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państw członkowskich stosuje system konfiskaty cywilnej, która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ogóle nie jest uzależniona od postępowania karnego (Bułgaria, Wielka Brytania, Irlandia, Słowenia).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tych państwach, które traktują konfiskatę bez wyroku skazującego jako swoiste uzupełnienie postępowania karnego, przesłankami orz</w:t>
      </w:r>
      <w:r w:rsidR="00813CAA" w:rsidRPr="007D7496">
        <w:rPr>
          <w:rFonts w:ascii="Times New Roman" w:eastAsia="Times New Roman" w:hAnsi="Times New Roman" w:cs="Times New Roman"/>
          <w:bCs/>
          <w:sz w:val="24"/>
          <w:szCs w:val="24"/>
          <w:lang w:eastAsia="pl-PL"/>
        </w:rPr>
        <w:t>eczenia takiego przepadku są m.</w:t>
      </w:r>
      <w:r w:rsidRPr="007D7496">
        <w:rPr>
          <w:rFonts w:ascii="Times New Roman" w:eastAsia="Times New Roman" w:hAnsi="Times New Roman" w:cs="Times New Roman"/>
          <w:bCs/>
          <w:sz w:val="24"/>
          <w:szCs w:val="24"/>
          <w:lang w:eastAsia="pl-PL"/>
        </w:rPr>
        <w:t>in. śmierć sprawcy (Słowacja, Dania, Szwecja), przedawnienie karalności (Słowacja, Niemcy), wystąpienie ujemnych przesłanek wydania wyroku skazującego (Czechy, Słowacja, Niemcy), nielegalne pochodzenia zajętego mienia (Hiszpania, Włochy, Portugalia),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także choroba, ucieczka lub niewykrycie sprawcy, czyli przesłanki co do zasady przemijające (Niemcy, Portugalia).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niektórych państwach przepadek taki orzeka się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odrębnych postępowaniach toczących się przed sądem karnym (Finlandia, Litwa, Łotwa, Węgry).</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Przepadek bez wyroku skazującego był przedmiotem orzecznictwa ETPCz. Trybunał w</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większości spraw stwierdzał, że przepadek taki nie narusza zasady legalizmu i</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domniemania niewinności. Podkreślając bardziej prewencyjną niż represyjną naturę tego środka, akcentując jego charakter rzeczowy (in rem)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wskazując, że nie łączy się on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formalnym stwierdzeniem winy, ETPCz uznawał, że orzeczenie przepadku w</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 xml:space="preserve">odrębnym postępowaniu, bez wyroku skazującego, co do zasady nie narusza standardów konwencyjnych (sprawa 52024/99, </w:t>
      </w:r>
      <w:proofErr w:type="spellStart"/>
      <w:r w:rsidRPr="007D7496">
        <w:rPr>
          <w:rFonts w:ascii="Times New Roman" w:eastAsia="Times New Roman" w:hAnsi="Times New Roman" w:cs="Times New Roman"/>
          <w:bCs/>
          <w:sz w:val="24"/>
          <w:szCs w:val="24"/>
          <w:lang w:eastAsia="pl-PL"/>
        </w:rPr>
        <w:t>Arcuri</w:t>
      </w:r>
      <w:proofErr w:type="spellEnd"/>
      <w:r w:rsidRPr="007D7496">
        <w:rPr>
          <w:rFonts w:ascii="Times New Roman" w:eastAsia="Times New Roman" w:hAnsi="Times New Roman" w:cs="Times New Roman"/>
          <w:bCs/>
          <w:sz w:val="24"/>
          <w:szCs w:val="24"/>
          <w:lang w:eastAsia="pl-PL"/>
        </w:rPr>
        <w:t xml:space="preserve"> przeciwko Włochom). Niemniej jednak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orzeczeniu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sprawie 30810/03, </w:t>
      </w:r>
      <w:proofErr w:type="spellStart"/>
      <w:r w:rsidRPr="007D7496">
        <w:rPr>
          <w:rFonts w:ascii="Times New Roman" w:eastAsia="Times New Roman" w:hAnsi="Times New Roman" w:cs="Times New Roman"/>
          <w:bCs/>
          <w:sz w:val="24"/>
          <w:szCs w:val="24"/>
          <w:lang w:eastAsia="pl-PL"/>
        </w:rPr>
        <w:t>Geerings</w:t>
      </w:r>
      <w:proofErr w:type="spellEnd"/>
      <w:r w:rsidRPr="007D7496">
        <w:rPr>
          <w:rFonts w:ascii="Times New Roman" w:eastAsia="Times New Roman" w:hAnsi="Times New Roman" w:cs="Times New Roman"/>
          <w:bCs/>
          <w:sz w:val="24"/>
          <w:szCs w:val="24"/>
          <w:lang w:eastAsia="pl-PL"/>
        </w:rPr>
        <w:t xml:space="preserve"> przeciwko Niderlandom, </w:t>
      </w:r>
      <w:proofErr w:type="spellStart"/>
      <w:r w:rsidRPr="007D7496">
        <w:rPr>
          <w:rFonts w:ascii="Times New Roman" w:eastAsia="Times New Roman" w:hAnsi="Times New Roman" w:cs="Times New Roman"/>
          <w:bCs/>
          <w:sz w:val="24"/>
          <w:szCs w:val="24"/>
          <w:lang w:eastAsia="pl-PL"/>
        </w:rPr>
        <w:t>ETPCz</w:t>
      </w:r>
      <w:proofErr w:type="spellEnd"/>
      <w:r w:rsidRPr="007D7496">
        <w:rPr>
          <w:rFonts w:ascii="Times New Roman" w:eastAsia="Times New Roman" w:hAnsi="Times New Roman" w:cs="Times New Roman"/>
          <w:bCs/>
          <w:sz w:val="24"/>
          <w:szCs w:val="24"/>
          <w:lang w:eastAsia="pl-PL"/>
        </w:rPr>
        <w:t xml:space="preserve"> wyznaczył granicę tego liberalnego podejścia, stwierdzając, że jeżeli oskarżony został uniewinniony od popełnienia zarzuconego mu czynu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tego względu, że postępowanie karne nie dostarczyło przekonujących dowodów jego winy, następne wszczęcie wobec niego procedury przepadku bez wyroku skazującego narusza domniemanie niewinności. Zdaniem ETPCz wyrok uniewinniający ostatecznie rozstrzyga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braku winy oskarżonego,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zatem następne stosowanie środków wywołujących skutki zbliżone do karnych jest niedopuszczalnym naruszeniem domniemania niewinności (por. pkt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41</w:t>
      </w:r>
      <w:r w:rsidR="0084490C"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48 wyroku). Argument ten nie znajduje jednak zastosowania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wypadku środków stosowanych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innych wypadkach niemożności kontynuowania procesu niż jego prawomocne uniewinnienie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braku dowodów winy, takich jak wskazane wyżej śmierć lub choroba sprawcy, jego ucieczka lub niewykrycie albo przedawnienie karalności.</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Innym orzeczeniem wyznaczającym granicę dopuszczalności konfiskaty bez skazania jest wyrok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sprawie 17440/90, Welch przeciwko Zjednoczonemu Królestwu. Trybunał </w:t>
      </w:r>
      <w:r w:rsidRPr="007D7496">
        <w:rPr>
          <w:rFonts w:ascii="Times New Roman" w:eastAsia="Times New Roman" w:hAnsi="Times New Roman" w:cs="Times New Roman"/>
          <w:bCs/>
          <w:sz w:val="24"/>
          <w:szCs w:val="24"/>
          <w:lang w:eastAsia="pl-PL"/>
        </w:rPr>
        <w:lastRenderedPageBreak/>
        <w:t>uznał, że w realiach tej sprawy doszło do takiej kumulacji dolegliwości, że orzeczony przepadek był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istocie środkiem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charakterze represyjnym, nie zaś prewencyjnym. Elementami tymi były m.in.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pełni uznaniowy charakter przepadku, jego zakres przedmiotowy, polegający na przejęciu całego majątku sprawcy,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nie tylko korzyści z</w:t>
      </w:r>
      <w:r w:rsidR="00813CAA"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przestępstwa oraz określenie zastępczej kary pozbawienia wolności.</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Także we wspomnianych wyżej Międzynarodowych Standardach Przeciwdziałania Praniu Pieniędzy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Finansowaniu Terroryzmu oraz Proliferacji wydanych przez FATF zaleca się przyjęcie takich środków, które pozwoliłyby na konfiskatę przychodów bądź narzędzi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bez konieczności wcześniejszego skazania. Przepadek bez wyroku skazującego zarekomendowany został również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przytoczonym raporcie końcowym V rundy ewaluacji wzajemnych organizowanych przez Radę Unii Europejskiej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 śledztw finansowych.</w:t>
      </w:r>
    </w:p>
    <w:p w:rsidR="00065CF0" w:rsidRPr="007D7496" w:rsidRDefault="00065CF0" w:rsidP="003205CF">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3.5. Przepadek rozszerzony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przepadek bez wyroku skazującego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prawie Unii Europejskiej</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Najdalej idące zobowiązania do zbliżenia przepisów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przedmiocie przepadku rozszerzonego przyjęte zostały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ramach Unii Europejskiej. Po raz pierwszy kwestia ta została podniesiona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decyzji ramowej Rady 2005/212/</w:t>
      </w:r>
      <w:proofErr w:type="spellStart"/>
      <w:r w:rsidRPr="007D7496">
        <w:rPr>
          <w:rFonts w:ascii="Times New Roman" w:eastAsia="Times New Roman" w:hAnsi="Times New Roman" w:cs="Times New Roman"/>
          <w:bCs/>
          <w:sz w:val="24"/>
          <w:szCs w:val="24"/>
          <w:lang w:eastAsia="pl-PL"/>
        </w:rPr>
        <w:t>WSiSW</w:t>
      </w:r>
      <w:proofErr w:type="spellEnd"/>
      <w:r w:rsidRPr="007D7496">
        <w:rPr>
          <w:rFonts w:ascii="Times New Roman" w:eastAsia="Times New Roman" w:hAnsi="Times New Roman" w:cs="Times New Roman"/>
          <w:bCs/>
          <w:sz w:val="24"/>
          <w:szCs w:val="24"/>
          <w:lang w:eastAsia="pl-PL"/>
        </w:rPr>
        <w:t xml:space="preserv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24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lutego 2005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 konfiskaty korzyści, narzędzi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mienia pochodzących z</w:t>
      </w:r>
      <w:r w:rsidR="00D2432C" w:rsidRPr="007D7496">
        <w:rPr>
          <w:rFonts w:ascii="Times New Roman" w:eastAsia="Times New Roman" w:hAnsi="Times New Roman" w:cs="Times New Roman"/>
          <w:bCs/>
          <w:sz w:val="24"/>
          <w:szCs w:val="24"/>
          <w:lang w:eastAsia="pl-PL"/>
        </w:rPr>
        <w:t xml:space="preserve"> </w:t>
      </w:r>
      <w:r w:rsidR="00813CAA" w:rsidRPr="007D7496">
        <w:rPr>
          <w:rFonts w:ascii="Times New Roman" w:eastAsia="Times New Roman" w:hAnsi="Times New Roman" w:cs="Times New Roman"/>
          <w:bCs/>
          <w:sz w:val="24"/>
          <w:szCs w:val="24"/>
          <w:lang w:eastAsia="pl-PL"/>
        </w:rPr>
        <w:t>przestępstwa (Dz. </w:t>
      </w:r>
      <w:r w:rsidRPr="007D7496">
        <w:rPr>
          <w:rFonts w:ascii="Times New Roman" w:eastAsia="Times New Roman" w:hAnsi="Times New Roman" w:cs="Times New Roman"/>
          <w:bCs/>
          <w:sz w:val="24"/>
          <w:szCs w:val="24"/>
          <w:lang w:eastAsia="pl-PL"/>
        </w:rPr>
        <w:t>Urz. UE L 68</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15.03.2005, s. 49).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preambule tego aktu podkreśla się, że:</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„Główny bodziec dla transgranicznej przestępczości zorganizowanej stanowi korzyść finansowa. Aby działać skutecznie, każda próba zapobieżenia takiej przestępczości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jej zwalczaniu musi koncentrować się na wykryciu, zamrożeniu, ujęciu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konfiskacie korzyści pochodzących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Jest to jednak utrudnione m.in. na skutek różnic między ustawodawstwami Państw Członkowskich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tej dziedzinie.”.</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Pomimo pozytywnej oceny tych rozwiązań, mechanizmy ukształtowane przed ponad 10</w:t>
      </w:r>
      <w:r w:rsidR="0036153D">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laty okazały się niewystarczające.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konsekwencji prawodawca unijny zastąpił decyzję ramową znacznie dalej idącą dyrektywą 2014/42/UE.</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Dyrektywa ma na celu ułatwienie państwom członkowskim konfiskaty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odzyskiwania zysków, pochodzących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poważnej transgranicznej przestępczości zorganizowanej. Powołany akt prawny zakłada wprowadzenie we wszystkich państwach członkowskich następujących rodzajów przepadku: przepadku narzędzi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korzyści pochodzących </w:t>
      </w:r>
      <w:r w:rsidRPr="007D7496">
        <w:rPr>
          <w:rFonts w:ascii="Times New Roman" w:eastAsia="Times New Roman" w:hAnsi="Times New Roman" w:cs="Times New Roman"/>
          <w:bCs/>
          <w:sz w:val="24"/>
          <w:szCs w:val="24"/>
          <w:lang w:eastAsia="pl-PL"/>
        </w:rPr>
        <w:lastRenderedPageBreak/>
        <w:t>z</w:t>
      </w:r>
      <w:r w:rsidR="00154A48"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przestępstwa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związku ze skazaniem, rozszerzonego przepadku mienia należącego do osoby skazanej przy zastosowaniu mechanizmu przeniesienia ciężaru dowodu, konfiskaty narzędzi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korzyści pochodzących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bez uprzedniego wyroku skazującego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przypadku niemożności kontynuowania postępowania karnego oraz konfiskaty mienia przekazanego przez sprawcę osobom trzecim. Ponadto zawiera ona przepisy odnoszące się do zabezpieczenia mienia zagrożonego przepadkiem oraz skutecznego zarządzania takim mieniem.</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porównaniu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decyzją ramową, dyrektywa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nieco inaczej formułuje wymóg wprowadzenia przepadku rozszerzonego. Skomplikowany system trzech alternatywnych domniemań przestępczego pochodzenia mienia zastąpiony został bardziej elastycznym sformułowaniem, pozwalającym ustawodawcy krajowemu na dostosowanie sposobu implementacji do zasad własnego porządku prawnego.</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Dyrektywa wprowadza nieznany decyzji ramowej wspólny standard odnoszący się do umożliwienia przepadku pomimo zaistnienia przeszkód do wydania wyroku skazującego.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myśl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 jeżeli nie jest możliwe wydanie wyroku skazującego i</w:t>
      </w:r>
      <w:r w:rsidR="00154A48"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łączącego się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nim przepadek korzyści pochodzącej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lub narzędzi przestępstwa wskutek choroby lub ucieczki oskarżonego, państwa członkowskie są zobowiązane do umożliwienia takiego przepadku.</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Zgodnie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dyrektywy, państwa członkowskie są zobowiązane do podjęcia środków mających na celu orzeczenie przepadku korzyści pochodzącej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lub jej równowartości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wypadku, gdy korzyść taka została bezpośrednio lub pośrednio przekazana osobie trzeciej, przynajmniej wówczas, gdy osoba ta wiedziała lub powinna była wiedzieć, że celem przekazania było uniknięcie konfiskaty. Rozwiązanie to zostało znacząco rozszerzone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skonkretyzowane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porównaniu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odpowiadającym mu przepisem decyzji ramowej.</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7</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dyrektywy prawodawca europejski zobowiązuje państwa członkowskie do wprowadzenia skutecznych mechanizmów zabezpieczenia mienia zagrożonego przepadkiem,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10</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zaś do sprawnego zarządzania zajętym mieniem.</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Analiza przepisów dyrektywy 2014/42/UE prowadzi do wniosku, że obecne uregulowania polskie tylko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pewnej części odpowiadają wymogom postawionym przez prawodawcę unijnego. Transpozycja tego aktu prawnego wymaga zmian w</w:t>
      </w:r>
      <w:r w:rsidR="00154A48"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 xml:space="preserve">zakresie przepadku rozszerzonego, przepadku od osób trzecich, zabezpieczenia </w:t>
      </w:r>
      <w:r w:rsidRPr="007D7496">
        <w:rPr>
          <w:rFonts w:ascii="Times New Roman" w:eastAsia="Times New Roman" w:hAnsi="Times New Roman" w:cs="Times New Roman"/>
          <w:bCs/>
          <w:sz w:val="24"/>
          <w:szCs w:val="24"/>
          <w:lang w:eastAsia="pl-PL"/>
        </w:rPr>
        <w:lastRenderedPageBreak/>
        <w:t>mienia zagrożonego przepadkiem oraz zarządzania takim mieniem. Konieczne jest również umożliwienie przepadku mienia pomimo braku wyroku skazującego. Proponowane rozwiązania wraz ze wskazaniem braków obecnego stanu prawnego zostały omówione poniżej.</w:t>
      </w:r>
    </w:p>
    <w:p w:rsidR="00065CF0" w:rsidRPr="007D7496" w:rsidRDefault="00065CF0" w:rsidP="00154A48">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4. Projektowane zmiany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prawie materialnym, procesowym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wykonawczym z</w:t>
      </w:r>
      <w:r w:rsidR="00154A48"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zakresu przepadku</w:t>
      </w:r>
    </w:p>
    <w:p w:rsidR="00065CF0" w:rsidRPr="007D7496" w:rsidRDefault="00065CF0" w:rsidP="00154A48">
      <w:pPr>
        <w:suppressAutoHyphens/>
        <w:autoSpaceDE w:val="0"/>
        <w:autoSpaceDN w:val="0"/>
        <w:adjustRightInd w:val="0"/>
        <w:spacing w:before="240" w:after="0" w:line="360" w:lineRule="auto"/>
        <w:jc w:val="both"/>
        <w:rPr>
          <w:rFonts w:ascii="Times New Roman" w:eastAsia="Times New Roman" w:hAnsi="Times New Roman" w:cs="Times New Roman"/>
          <w:sz w:val="24"/>
          <w:szCs w:val="24"/>
          <w:lang w:val="en-US" w:eastAsia="pl-PL"/>
        </w:rPr>
      </w:pPr>
      <w:r w:rsidRPr="007D7496">
        <w:rPr>
          <w:rFonts w:ascii="Times New Roman" w:eastAsia="Times New Roman" w:hAnsi="Times New Roman" w:cs="Times New Roman"/>
          <w:sz w:val="24"/>
          <w:szCs w:val="24"/>
          <w:lang w:val="en-US" w:eastAsia="pl-PL"/>
        </w:rPr>
        <w:t xml:space="preserve">4.1. Art. 44a </w:t>
      </w:r>
      <w:proofErr w:type="spellStart"/>
      <w:r w:rsidRPr="007D7496">
        <w:rPr>
          <w:rFonts w:ascii="Times New Roman" w:eastAsia="Times New Roman" w:hAnsi="Times New Roman" w:cs="Times New Roman"/>
          <w:sz w:val="24"/>
          <w:szCs w:val="24"/>
          <w:lang w:val="en-US" w:eastAsia="pl-PL"/>
        </w:rPr>
        <w:t>k.k.</w:t>
      </w:r>
      <w:proofErr w:type="spellEnd"/>
      <w:r w:rsidRPr="007D7496">
        <w:rPr>
          <w:rFonts w:ascii="Times New Roman" w:eastAsia="Times New Roman" w:hAnsi="Times New Roman" w:cs="Times New Roman"/>
          <w:sz w:val="24"/>
          <w:szCs w:val="24"/>
          <w:lang w:val="en-US" w:eastAsia="pl-PL"/>
        </w:rPr>
        <w:t>, art.</w:t>
      </w:r>
      <w:r w:rsidR="00D2432C" w:rsidRPr="007D7496">
        <w:rPr>
          <w:rFonts w:ascii="Times New Roman" w:eastAsia="Times New Roman" w:hAnsi="Times New Roman" w:cs="Times New Roman"/>
          <w:sz w:val="24"/>
          <w:szCs w:val="24"/>
          <w:lang w:val="en-US" w:eastAsia="pl-PL"/>
        </w:rPr>
        <w:t xml:space="preserve"> </w:t>
      </w:r>
      <w:r w:rsidRPr="007D7496">
        <w:rPr>
          <w:rFonts w:ascii="Times New Roman" w:eastAsia="Times New Roman" w:hAnsi="Times New Roman" w:cs="Times New Roman"/>
          <w:sz w:val="24"/>
          <w:szCs w:val="24"/>
          <w:lang w:val="en-US" w:eastAsia="pl-PL"/>
        </w:rPr>
        <w:t xml:space="preserve">48a </w:t>
      </w:r>
      <w:proofErr w:type="spellStart"/>
      <w:r w:rsidRPr="007D7496">
        <w:rPr>
          <w:rFonts w:ascii="Times New Roman" w:eastAsia="Times New Roman" w:hAnsi="Times New Roman" w:cs="Times New Roman"/>
          <w:sz w:val="24"/>
          <w:szCs w:val="24"/>
          <w:lang w:val="en-US" w:eastAsia="pl-PL"/>
        </w:rPr>
        <w:t>k.k.</w:t>
      </w:r>
      <w:proofErr w:type="spellEnd"/>
      <w:r w:rsidRPr="007D7496">
        <w:rPr>
          <w:rFonts w:ascii="Times New Roman" w:eastAsia="Times New Roman" w:hAnsi="Times New Roman" w:cs="Times New Roman"/>
          <w:sz w:val="24"/>
          <w:szCs w:val="24"/>
          <w:lang w:val="en-US" w:eastAsia="pl-PL"/>
        </w:rPr>
        <w:t xml:space="preserve">, </w:t>
      </w:r>
      <w:r w:rsidR="00692F2A">
        <w:rPr>
          <w:rFonts w:ascii="Times New Roman" w:eastAsia="Times New Roman" w:hAnsi="Times New Roman" w:cs="Times New Roman"/>
          <w:sz w:val="24"/>
          <w:szCs w:val="24"/>
          <w:lang w:val="en-US" w:eastAsia="pl-PL"/>
        </w:rPr>
        <w:t xml:space="preserve">art. </w:t>
      </w:r>
      <w:r w:rsidR="00692F2A" w:rsidRPr="00692F2A">
        <w:rPr>
          <w:rFonts w:ascii="Times New Roman" w:eastAsia="Times New Roman" w:hAnsi="Times New Roman" w:cs="Times New Roman"/>
          <w:sz w:val="24"/>
          <w:szCs w:val="24"/>
          <w:lang w:val="en-US" w:eastAsia="pl-PL"/>
        </w:rPr>
        <w:t xml:space="preserve">187a k.k.w., </w:t>
      </w:r>
      <w:r w:rsidRPr="007D7496">
        <w:rPr>
          <w:rFonts w:ascii="Times New Roman" w:eastAsia="Times New Roman" w:hAnsi="Times New Roman" w:cs="Times New Roman"/>
          <w:sz w:val="24"/>
          <w:szCs w:val="24"/>
          <w:lang w:val="en-US" w:eastAsia="pl-PL"/>
        </w:rPr>
        <w:t>art.</w:t>
      </w:r>
      <w:r w:rsidR="00D2432C" w:rsidRPr="007D7496">
        <w:rPr>
          <w:rFonts w:ascii="Times New Roman" w:eastAsia="Times New Roman" w:hAnsi="Times New Roman" w:cs="Times New Roman"/>
          <w:sz w:val="24"/>
          <w:szCs w:val="24"/>
          <w:lang w:val="en-US" w:eastAsia="pl-PL"/>
        </w:rPr>
        <w:t xml:space="preserve"> </w:t>
      </w:r>
      <w:r w:rsidRPr="007D7496">
        <w:rPr>
          <w:rFonts w:ascii="Times New Roman" w:eastAsia="Times New Roman" w:hAnsi="Times New Roman" w:cs="Times New Roman"/>
          <w:sz w:val="24"/>
          <w:szCs w:val="24"/>
          <w:lang w:val="en-US" w:eastAsia="pl-PL"/>
        </w:rPr>
        <w:t>188 §</w:t>
      </w:r>
      <w:r w:rsidR="00D2432C" w:rsidRPr="007D7496">
        <w:rPr>
          <w:rFonts w:ascii="Times New Roman" w:eastAsia="Times New Roman" w:hAnsi="Times New Roman" w:cs="Times New Roman"/>
          <w:sz w:val="24"/>
          <w:szCs w:val="24"/>
          <w:lang w:val="en-US" w:eastAsia="pl-PL"/>
        </w:rPr>
        <w:t xml:space="preserve"> </w:t>
      </w:r>
      <w:r w:rsidRPr="007D7496">
        <w:rPr>
          <w:rFonts w:ascii="Times New Roman" w:eastAsia="Times New Roman" w:hAnsi="Times New Roman" w:cs="Times New Roman"/>
          <w:sz w:val="24"/>
          <w:szCs w:val="24"/>
          <w:lang w:val="en-US" w:eastAsia="pl-PL"/>
        </w:rPr>
        <w:t>2a k.k.w., art. 189a k.k.w., art.</w:t>
      </w:r>
      <w:r w:rsidR="00D2432C" w:rsidRPr="007D7496">
        <w:rPr>
          <w:rFonts w:ascii="Times New Roman" w:eastAsia="Times New Roman" w:hAnsi="Times New Roman" w:cs="Times New Roman"/>
          <w:sz w:val="24"/>
          <w:szCs w:val="24"/>
          <w:lang w:val="en-US" w:eastAsia="pl-PL"/>
        </w:rPr>
        <w:t xml:space="preserve"> </w:t>
      </w:r>
      <w:r w:rsidRPr="007D7496">
        <w:rPr>
          <w:rFonts w:ascii="Times New Roman" w:eastAsia="Times New Roman" w:hAnsi="Times New Roman" w:cs="Times New Roman"/>
          <w:sz w:val="24"/>
          <w:szCs w:val="24"/>
          <w:lang w:val="en-US" w:eastAsia="pl-PL"/>
        </w:rPr>
        <w:t>195c k.k.w.</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Projekt zakłada wprowadzenie –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odniesieniu do niektórych, szczególnie poważnych przestępstw, zwłaszcza gospodarczych,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których osiągnięto korzyść majątkową znacznej wartości, możliwości przepadku przedsiębiorstwa nienależącego do sprawcy, które stanowiło narzędzie popełnienia tego przestępstwa. Co do zasady, instytucja przepadku mienia służącego lub przeznaczonego do popełnienia przestępstwa, które nie należy do sprawcy</w:t>
      </w:r>
      <w:r w:rsidR="000878D8">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 xml:space="preserve"> jest znana zarówno prawu karnemu jak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karnemu skarbowemu. W</w:t>
      </w:r>
      <w:r w:rsidR="00975241" w:rsidRPr="007D7496">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2005</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r. instytucja ta została poddana testowi konstytucyjnemu.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wyroku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dnia 29</w:t>
      </w:r>
      <w:r w:rsidR="00975241" w:rsidRPr="007D7496">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czerwca 2005</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r.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sprawie SK 34/04</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Trybunał Konstytucyjny orzekł, że nieobowiązujące obecnie przepisy k.k.s. są niezgodne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 xml:space="preserve">wieloma przepisami Konstytucji </w:t>
      </w:r>
      <w:r w:rsidR="000878D8">
        <w:rPr>
          <w:rFonts w:ascii="Times New Roman" w:eastAsia="Times New Roman" w:hAnsi="Times New Roman" w:cs="Times New Roman"/>
          <w:sz w:val="24"/>
          <w:szCs w:val="24"/>
          <w:lang w:eastAsia="pl-PL"/>
        </w:rPr>
        <w:t xml:space="preserve">RP </w:t>
      </w:r>
      <w:r w:rsidRPr="007D7496">
        <w:rPr>
          <w:rFonts w:ascii="Times New Roman" w:eastAsia="Times New Roman" w:hAnsi="Times New Roman" w:cs="Times New Roman"/>
          <w:sz w:val="24"/>
          <w:szCs w:val="24"/>
          <w:lang w:eastAsia="pl-PL"/>
        </w:rPr>
        <w:t>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zakresie,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jakim ustanawiają obligatoryjny przepadek przedmiotów przestępstwa stanowiących własność osoby trzeciej. Zdaniem sądu konstytucyjnego, nie sam fakt przepadku mienia należącego do osoby trzeciej, ale jego automatyczny, niepodlegający weryfikacji charakter, stanowiły o</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niezgodności kwestionowanej instytucji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 xml:space="preserve">ustawą zasadniczą. Konsekwencją automatyzmu przepadku było bowiem pozbawienie sądu orzekającego </w:t>
      </w:r>
      <w:r w:rsidRPr="000878D8">
        <w:rPr>
          <w:rFonts w:ascii="Times New Roman" w:eastAsia="Times New Roman" w:hAnsi="Times New Roman" w:cs="Times New Roman"/>
          <w:i/>
          <w:sz w:val="24"/>
          <w:szCs w:val="24"/>
          <w:lang w:eastAsia="pl-PL"/>
        </w:rPr>
        <w:t>in concreto</w:t>
      </w:r>
      <w:r w:rsidRPr="007D7496">
        <w:rPr>
          <w:rFonts w:ascii="Times New Roman" w:eastAsia="Times New Roman" w:hAnsi="Times New Roman" w:cs="Times New Roman"/>
          <w:sz w:val="24"/>
          <w:szCs w:val="24"/>
          <w:lang w:eastAsia="pl-PL"/>
        </w:rPr>
        <w:t xml:space="preserve"> jakiejkolwiek możliwości badania stanu faktycznego pod kątem słuszności, proporcjonalności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celowości zastosowania tego środka.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uzasadnieniu wyroku Trybunał dopuścił wręcz możliwość obligatoryjnego przepadku narzędzi przestępstwa należących do osoby trzeciej, jeżeli by tylko mógł on być poprzedzony stosownym postępowaniem dowodowym, obejmującym również związek pomiędzy właścicielem narzędzia a</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przestępstwem. Ówczesny stan prawny badanie takie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całości wykluczał, co przesądziło o</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jego niezgodności z</w:t>
      </w:r>
      <w:r w:rsidR="00D2432C" w:rsidRPr="007D7496">
        <w:rPr>
          <w:rFonts w:ascii="Times New Roman" w:eastAsia="Times New Roman" w:hAnsi="Times New Roman" w:cs="Times New Roman"/>
          <w:sz w:val="24"/>
          <w:szCs w:val="24"/>
          <w:lang w:eastAsia="pl-PL"/>
        </w:rPr>
        <w:t xml:space="preserve"> </w:t>
      </w:r>
      <w:r w:rsidR="000878D8">
        <w:rPr>
          <w:rFonts w:ascii="Times New Roman" w:eastAsia="Times New Roman" w:hAnsi="Times New Roman" w:cs="Times New Roman"/>
          <w:sz w:val="24"/>
          <w:szCs w:val="24"/>
          <w:lang w:eastAsia="pl-PL"/>
        </w:rPr>
        <w:t>K</w:t>
      </w:r>
      <w:r w:rsidRPr="007D7496">
        <w:rPr>
          <w:rFonts w:ascii="Times New Roman" w:eastAsia="Times New Roman" w:hAnsi="Times New Roman" w:cs="Times New Roman"/>
          <w:sz w:val="24"/>
          <w:szCs w:val="24"/>
          <w:lang w:eastAsia="pl-PL"/>
        </w:rPr>
        <w:t>onstytucją</w:t>
      </w:r>
      <w:r w:rsidR="000878D8">
        <w:rPr>
          <w:rFonts w:ascii="Times New Roman" w:eastAsia="Times New Roman" w:hAnsi="Times New Roman" w:cs="Times New Roman"/>
          <w:sz w:val="24"/>
          <w:szCs w:val="24"/>
          <w:lang w:eastAsia="pl-PL"/>
        </w:rPr>
        <w:t xml:space="preserve"> RP</w:t>
      </w:r>
      <w:r w:rsidRPr="007D7496">
        <w:rPr>
          <w:rFonts w:ascii="Times New Roman" w:eastAsia="Times New Roman" w:hAnsi="Times New Roman" w:cs="Times New Roman"/>
          <w:sz w:val="24"/>
          <w:szCs w:val="24"/>
          <w:lang w:eastAsia="pl-PL"/>
        </w:rPr>
        <w:t>.</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 xml:space="preserve">Wyrok Trybunału odnosił się do przepisów prawa karnego skarbowego. Należy jednak przyjąć, że zaprezentowana wykładnia winna mieć zastosowanie także do innych gałęzi </w:t>
      </w:r>
      <w:r w:rsidRPr="007D7496">
        <w:rPr>
          <w:rFonts w:ascii="Times New Roman" w:eastAsia="Times New Roman" w:hAnsi="Times New Roman" w:cs="Times New Roman"/>
          <w:sz w:val="24"/>
          <w:szCs w:val="24"/>
          <w:lang w:eastAsia="pl-PL"/>
        </w:rPr>
        <w:lastRenderedPageBreak/>
        <w:t>prawa represyjnego, posługujących się omawianym modelem przepadku,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tym do prawa karnego. Przyjąć zatem należy, że przepadek narzędzi przestępstwa nienależących do sprawcy nie jest niezgodny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Konstytucją</w:t>
      </w:r>
      <w:r w:rsidR="000878D8">
        <w:rPr>
          <w:rFonts w:ascii="Times New Roman" w:eastAsia="Times New Roman" w:hAnsi="Times New Roman" w:cs="Times New Roman"/>
          <w:sz w:val="24"/>
          <w:szCs w:val="24"/>
          <w:lang w:eastAsia="pl-PL"/>
        </w:rPr>
        <w:t xml:space="preserve"> RP</w:t>
      </w:r>
      <w:r w:rsidRPr="007D7496">
        <w:rPr>
          <w:rFonts w:ascii="Times New Roman" w:eastAsia="Times New Roman" w:hAnsi="Times New Roman" w:cs="Times New Roman"/>
          <w:sz w:val="24"/>
          <w:szCs w:val="24"/>
          <w:lang w:eastAsia="pl-PL"/>
        </w:rPr>
        <w:t>, jeżeli jego zastosowanie jest poprzedzone odpowiednim postępowaniem dowodowym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nie ma automatycznego charakteru.</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Opierając się o</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to założenie projekt wprowadza do Kodeksu karnego dodatkową podstawę prawną przepadku narzędzi przestępstwa nienależących do sprawcy, ogólnie przewidzianego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blankietowej dyspozycji zawartej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obecnie obowiązującym art.</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44 §</w:t>
      </w:r>
      <w:r w:rsidR="00975241" w:rsidRPr="007D7496">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7</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 xml:space="preserve">k.k. </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Projektuje się zatem wprowadzenie do k.k. fakultatywnego przepadku przedsiębiorstwa, służącego lub przeznaczonego do popełnienia przestępstwa,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którego sprawca osiągnął, chociażby pośrednio, korzyść majątkową znacznej wartości, albo ukrycia pochodzącej z</w:t>
      </w:r>
      <w:r w:rsidR="00975241" w:rsidRPr="007D7496">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niego korzyści. Pojęcie przedsiębiorstwa rozumieć należy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sposób przedmiotowy, przewidziany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art.</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55</w:t>
      </w:r>
      <w:r w:rsidRPr="007D7496">
        <w:rPr>
          <w:rFonts w:ascii="Times New Roman" w:eastAsia="Times New Roman" w:hAnsi="Times New Roman" w:cs="Times New Roman"/>
          <w:sz w:val="24"/>
          <w:szCs w:val="24"/>
          <w:vertAlign w:val="superscript"/>
          <w:lang w:eastAsia="pl-PL"/>
        </w:rPr>
        <w:t>1</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Kodeksu cywilnego, a</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zatem jako zorganizowany zespół składników niematerialnych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materialnych przeznaczonych do prowadzenia działalności gospodarczej,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tym wymienionych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art.</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55</w:t>
      </w:r>
      <w:r w:rsidRPr="007D7496">
        <w:rPr>
          <w:rFonts w:ascii="Times New Roman" w:eastAsia="Times New Roman" w:hAnsi="Times New Roman" w:cs="Times New Roman"/>
          <w:sz w:val="24"/>
          <w:szCs w:val="24"/>
          <w:vertAlign w:val="superscript"/>
          <w:lang w:eastAsia="pl-PL"/>
        </w:rPr>
        <w:t>1</w:t>
      </w:r>
      <w:r w:rsidRPr="007D7496">
        <w:rPr>
          <w:rFonts w:ascii="Times New Roman" w:eastAsia="Times New Roman" w:hAnsi="Times New Roman" w:cs="Times New Roman"/>
          <w:sz w:val="24"/>
          <w:szCs w:val="24"/>
          <w:lang w:eastAsia="pl-PL"/>
        </w:rPr>
        <w:t xml:space="preserve"> §</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2</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k.c. Definicja ta ma zastosowanie także do proponowanej regulacji karnej. Zgodnie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ustalonym orzecznictwem Trybunału Konstytucyjnego, „terminy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pojęcia używane przez kodeksy traktuje się jako wzorcowe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domniemywa się, iż inne ustawy nadają im takie samo znaczenie” (orzeczenie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18</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października 1994</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r., OTK ZU nr</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2/1994, poz.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36). Pogląd ten przyjęty został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9</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załącznika do rozporządzenia Prezesa Rady Ministrów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dnia 20</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czerwca 2002</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r.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sprawie „Zasad techniki p</w:t>
      </w:r>
      <w:r w:rsidR="00975241" w:rsidRPr="007D7496">
        <w:rPr>
          <w:rFonts w:ascii="Times New Roman" w:eastAsia="Times New Roman" w:hAnsi="Times New Roman" w:cs="Times New Roman"/>
          <w:sz w:val="24"/>
          <w:szCs w:val="24"/>
          <w:lang w:eastAsia="pl-PL"/>
        </w:rPr>
        <w:t>rawodawczej” stanowiącym, że „w </w:t>
      </w:r>
      <w:r w:rsidRPr="007D7496">
        <w:rPr>
          <w:rFonts w:ascii="Times New Roman" w:eastAsia="Times New Roman" w:hAnsi="Times New Roman" w:cs="Times New Roman"/>
          <w:sz w:val="24"/>
          <w:szCs w:val="24"/>
          <w:lang w:eastAsia="pl-PL"/>
        </w:rPr>
        <w:t>ustawie należy posługiwać się określeniami, które zostały użyte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ustawie podstawowej dla danej dziedziny spraw,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szczególności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ustawie określanej jako kodeks lub prawo”.</w:t>
      </w:r>
    </w:p>
    <w:p w:rsidR="00692F2A" w:rsidRPr="00692F2A" w:rsidRDefault="00065CF0" w:rsidP="00692F2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Adresatem represji jest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 xml:space="preserve">projektowanym przepisie właściciel przedsiębiorstwa, będący osobą fizyczną. </w:t>
      </w:r>
      <w:r w:rsidR="00692F2A" w:rsidRPr="00692F2A">
        <w:rPr>
          <w:rFonts w:ascii="Times New Roman" w:eastAsia="Times New Roman" w:hAnsi="Times New Roman" w:cs="Times New Roman"/>
          <w:sz w:val="24"/>
          <w:szCs w:val="24"/>
          <w:lang w:eastAsia="pl-PL"/>
        </w:rPr>
        <w:t>Przewiduje się możliwość przepadku przedsiębiorstwa wówczas, gdy jego właściciel jest jednocześnie sprawcą przestępstwa, co stanowi w istocie dopełnienie obecnej regulacji przewidzianej w art. 44 k.k.</w:t>
      </w:r>
    </w:p>
    <w:p w:rsidR="00065CF0" w:rsidRPr="007D7496" w:rsidRDefault="00692F2A" w:rsidP="00692F2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92F2A">
        <w:rPr>
          <w:rFonts w:ascii="Times New Roman" w:eastAsia="Times New Roman" w:hAnsi="Times New Roman" w:cs="Times New Roman"/>
          <w:sz w:val="24"/>
          <w:szCs w:val="24"/>
          <w:lang w:eastAsia="pl-PL"/>
        </w:rPr>
        <w:t>Bardziej złożona jest sytuacja</w:t>
      </w:r>
      <w:r w:rsidR="00065CF0" w:rsidRPr="007D7496">
        <w:rPr>
          <w:rFonts w:ascii="Times New Roman" w:eastAsia="Times New Roman" w:hAnsi="Times New Roman" w:cs="Times New Roman"/>
          <w:sz w:val="24"/>
          <w:szCs w:val="24"/>
          <w:lang w:eastAsia="pl-PL"/>
        </w:rPr>
        <w:t xml:space="preserve"> właściciela </w:t>
      </w:r>
      <w:r w:rsidRPr="00692F2A">
        <w:rPr>
          <w:rFonts w:ascii="Times New Roman" w:eastAsia="Times New Roman" w:hAnsi="Times New Roman" w:cs="Times New Roman"/>
          <w:sz w:val="24"/>
          <w:szCs w:val="24"/>
          <w:lang w:eastAsia="pl-PL"/>
        </w:rPr>
        <w:t>przedsiębiorstwa niebędącego sprawcą przestępstwa. Zachowanie takiego właściciela</w:t>
      </w:r>
      <w:r w:rsidR="00065CF0" w:rsidRPr="007D7496">
        <w:rPr>
          <w:rFonts w:ascii="Times New Roman" w:eastAsia="Times New Roman" w:hAnsi="Times New Roman" w:cs="Times New Roman"/>
          <w:sz w:val="24"/>
          <w:szCs w:val="24"/>
          <w:lang w:eastAsia="pl-PL"/>
        </w:rPr>
        <w:t xml:space="preserve"> będzie przedmiotem testu </w:t>
      </w:r>
      <w:r w:rsidRPr="00692F2A">
        <w:rPr>
          <w:rFonts w:ascii="Times New Roman" w:eastAsia="Times New Roman" w:hAnsi="Times New Roman" w:cs="Times New Roman"/>
          <w:sz w:val="24"/>
          <w:szCs w:val="24"/>
          <w:lang w:eastAsia="pl-PL"/>
        </w:rPr>
        <w:t>zamiaru, a</w:t>
      </w:r>
      <w:r>
        <w:rPr>
          <w:rFonts w:ascii="Times New Roman" w:eastAsia="Times New Roman" w:hAnsi="Times New Roman" w:cs="Times New Roman"/>
          <w:sz w:val="24"/>
          <w:szCs w:val="24"/>
          <w:lang w:eastAsia="pl-PL"/>
        </w:rPr>
        <w:t> </w:t>
      </w:r>
      <w:r w:rsidRPr="00692F2A">
        <w:rPr>
          <w:rFonts w:ascii="Times New Roman" w:eastAsia="Times New Roman" w:hAnsi="Times New Roman" w:cs="Times New Roman"/>
          <w:sz w:val="24"/>
          <w:szCs w:val="24"/>
          <w:lang w:eastAsia="pl-PL"/>
        </w:rPr>
        <w:t>zatem świadomości i woli</w:t>
      </w:r>
      <w:r w:rsidR="00065CF0" w:rsidRPr="007D7496">
        <w:rPr>
          <w:rFonts w:ascii="Times New Roman" w:eastAsia="Times New Roman" w:hAnsi="Times New Roman" w:cs="Times New Roman"/>
          <w:sz w:val="24"/>
          <w:szCs w:val="24"/>
          <w:lang w:eastAsia="pl-PL"/>
        </w:rPr>
        <w:t>, warunkującego stosowanie przepadku przedsiębiorstwa</w:t>
      </w:r>
      <w:r>
        <w:rPr>
          <w:rFonts w:ascii="Times New Roman" w:eastAsia="Times New Roman" w:hAnsi="Times New Roman" w:cs="Times New Roman"/>
          <w:sz w:val="24"/>
          <w:szCs w:val="24"/>
          <w:lang w:eastAsia="pl-PL"/>
        </w:rPr>
        <w:t xml:space="preserve"> </w:t>
      </w:r>
      <w:r w:rsidRPr="00692F2A">
        <w:rPr>
          <w:rFonts w:ascii="Times New Roman" w:eastAsia="Times New Roman" w:hAnsi="Times New Roman" w:cs="Times New Roman"/>
          <w:sz w:val="24"/>
          <w:szCs w:val="24"/>
          <w:lang w:eastAsia="pl-PL"/>
        </w:rPr>
        <w:lastRenderedPageBreak/>
        <w:t>nienależącego do sprawcy</w:t>
      </w:r>
      <w:r w:rsidR="00065CF0" w:rsidRPr="007D7496">
        <w:rPr>
          <w:rFonts w:ascii="Times New Roman" w:eastAsia="Times New Roman" w:hAnsi="Times New Roman" w:cs="Times New Roman"/>
          <w:sz w:val="24"/>
          <w:szCs w:val="24"/>
          <w:lang w:eastAsia="pl-PL"/>
        </w:rPr>
        <w:t>. Omawiany przepis nie będzie miał natomiast zastosowania wobec osób prawnych i</w:t>
      </w:r>
      <w:r w:rsidR="00D2432C" w:rsidRPr="007D7496">
        <w:rPr>
          <w:rFonts w:ascii="Times New Roman" w:eastAsia="Times New Roman" w:hAnsi="Times New Roman" w:cs="Times New Roman"/>
          <w:sz w:val="24"/>
          <w:szCs w:val="24"/>
          <w:lang w:eastAsia="pl-PL"/>
        </w:rPr>
        <w:t xml:space="preserve"> </w:t>
      </w:r>
      <w:r w:rsidR="00065CF0" w:rsidRPr="007D7496">
        <w:rPr>
          <w:rFonts w:ascii="Times New Roman" w:eastAsia="Times New Roman" w:hAnsi="Times New Roman" w:cs="Times New Roman"/>
          <w:sz w:val="24"/>
          <w:szCs w:val="24"/>
          <w:lang w:eastAsia="pl-PL"/>
        </w:rPr>
        <w:t>innych podmiotów zbiorowych, w</w:t>
      </w:r>
      <w:r w:rsidR="00D2432C" w:rsidRPr="007D7496">
        <w:rPr>
          <w:rFonts w:ascii="Times New Roman" w:eastAsia="Times New Roman" w:hAnsi="Times New Roman" w:cs="Times New Roman"/>
          <w:sz w:val="24"/>
          <w:szCs w:val="24"/>
          <w:lang w:eastAsia="pl-PL"/>
        </w:rPr>
        <w:t xml:space="preserve"> </w:t>
      </w:r>
      <w:r w:rsidR="00065CF0" w:rsidRPr="007D7496">
        <w:rPr>
          <w:rFonts w:ascii="Times New Roman" w:eastAsia="Times New Roman" w:hAnsi="Times New Roman" w:cs="Times New Roman"/>
          <w:sz w:val="24"/>
          <w:szCs w:val="24"/>
          <w:lang w:eastAsia="pl-PL"/>
        </w:rPr>
        <w:t>których występuje wyraźne oddzielenie osoby odpowiedzialnej za działalność przedsiębiorstwa (członek zarządu, dyrektor, prokurent etc.) od potencjalnego adresata represji (udziałowiec lub akcjonariusz). W</w:t>
      </w:r>
      <w:r w:rsidR="00D2432C" w:rsidRPr="007D7496">
        <w:rPr>
          <w:rFonts w:ascii="Times New Roman" w:eastAsia="Times New Roman" w:hAnsi="Times New Roman" w:cs="Times New Roman"/>
          <w:sz w:val="24"/>
          <w:szCs w:val="24"/>
          <w:lang w:eastAsia="pl-PL"/>
        </w:rPr>
        <w:t xml:space="preserve"> </w:t>
      </w:r>
      <w:r w:rsidR="00065CF0" w:rsidRPr="007D7496">
        <w:rPr>
          <w:rFonts w:ascii="Times New Roman" w:eastAsia="Times New Roman" w:hAnsi="Times New Roman" w:cs="Times New Roman"/>
          <w:sz w:val="24"/>
          <w:szCs w:val="24"/>
          <w:lang w:eastAsia="pl-PL"/>
        </w:rPr>
        <w:t>wypadku osób prawnych możliwe jest jedynie użycie narzędzi charakterystycznych dla quasi</w:t>
      </w:r>
      <w:r w:rsidR="00065CF0" w:rsidRPr="007D7496">
        <w:rPr>
          <w:rFonts w:ascii="Times New Roman" w:eastAsia="Times New Roman" w:hAnsi="Times New Roman" w:cs="Times New Roman"/>
          <w:sz w:val="24"/>
          <w:szCs w:val="24"/>
          <w:lang w:eastAsia="pl-PL"/>
        </w:rPr>
        <w:softHyphen/>
      </w:r>
      <w:r w:rsidR="00065CF0" w:rsidRPr="007D7496">
        <w:rPr>
          <w:rFonts w:ascii="Times New Roman" w:eastAsia="Times New Roman" w:hAnsi="Times New Roman" w:cs="Times New Roman"/>
          <w:sz w:val="24"/>
          <w:szCs w:val="24"/>
          <w:lang w:eastAsia="pl-PL"/>
        </w:rPr>
        <w:noBreakHyphen/>
        <w:t xml:space="preserve">karnej odpowiedzialności podmiotów zbiorowych, nie zaś typowych dla prawa karnego </w:t>
      </w:r>
      <w:r w:rsidR="00065CF0" w:rsidRPr="007D7496">
        <w:rPr>
          <w:rFonts w:ascii="Times New Roman" w:eastAsia="Times New Roman" w:hAnsi="Times New Roman" w:cs="Times New Roman"/>
          <w:i/>
          <w:sz w:val="24"/>
          <w:szCs w:val="24"/>
          <w:lang w:eastAsia="pl-PL"/>
        </w:rPr>
        <w:t>sensu stricto</w:t>
      </w:r>
      <w:r w:rsidR="00065CF0" w:rsidRPr="007D7496">
        <w:rPr>
          <w:rFonts w:ascii="Times New Roman" w:eastAsia="Times New Roman" w:hAnsi="Times New Roman" w:cs="Times New Roman"/>
          <w:sz w:val="24"/>
          <w:szCs w:val="24"/>
          <w:lang w:eastAsia="pl-PL"/>
        </w:rPr>
        <w:t>.</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W odniesieniu do podmiotowego zakresu proponowanej regulacji,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szczególności zaś osoby, której ustawowo naganne zachowanie może stać się przesłanką przepadku, projekt zakłada, że osobą ta może być wyłącznie właściciel przedsiębiorstwa</w:t>
      </w:r>
      <w:r w:rsidR="00692F2A">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 xml:space="preserve"> </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Dyspozycja projektowanego przepisu zakłada dwie możliwe sytuacje</w:t>
      </w:r>
      <w:r w:rsidR="00692F2A">
        <w:rPr>
          <w:rFonts w:ascii="Times New Roman" w:eastAsia="Times New Roman" w:hAnsi="Times New Roman" w:cs="Times New Roman"/>
          <w:sz w:val="24"/>
          <w:szCs w:val="24"/>
          <w:lang w:eastAsia="pl-PL"/>
        </w:rPr>
        <w:t xml:space="preserve"> faktyczne</w:t>
      </w:r>
      <w:r w:rsidRPr="007D7496">
        <w:rPr>
          <w:rFonts w:ascii="Times New Roman" w:eastAsia="Times New Roman" w:hAnsi="Times New Roman" w:cs="Times New Roman"/>
          <w:sz w:val="24"/>
          <w:szCs w:val="24"/>
          <w:lang w:eastAsia="pl-PL"/>
        </w:rPr>
        <w:t>. Sprawca przestępstwa,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którego osiągnięta została korzyść majątkowa, może posiadać faktyczną, choć</w:t>
      </w:r>
      <w:r w:rsidR="00692F2A">
        <w:rPr>
          <w:rFonts w:ascii="Times New Roman" w:eastAsia="Times New Roman" w:hAnsi="Times New Roman" w:cs="Times New Roman"/>
          <w:sz w:val="24"/>
          <w:szCs w:val="24"/>
          <w:lang w:eastAsia="pl-PL"/>
        </w:rPr>
        <w:t>by</w:t>
      </w:r>
      <w:r w:rsidRPr="007D7496">
        <w:rPr>
          <w:rFonts w:ascii="Times New Roman" w:eastAsia="Times New Roman" w:hAnsi="Times New Roman" w:cs="Times New Roman"/>
          <w:sz w:val="24"/>
          <w:szCs w:val="24"/>
          <w:lang w:eastAsia="pl-PL"/>
        </w:rPr>
        <w:t xml:space="preserve"> nieformalną, władzę decyzyjną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ramach przedsiębiorstwa służącego lub przeznaczonego do popełnienia tego przestępstwa. Jego decyzje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czyny bezpośrednio przekładają się zatem na nielegalne działania podejmowane przez dane przedsiębiorstwo. Możliwa też jest sytuacja odmienna, a</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 xml:space="preserve">mianowicie gdy właściciel </w:t>
      </w:r>
      <w:r w:rsidR="00692F2A" w:rsidRPr="00692F2A">
        <w:rPr>
          <w:rFonts w:ascii="Times New Roman" w:eastAsia="Times New Roman" w:hAnsi="Times New Roman" w:cs="Times New Roman"/>
          <w:sz w:val="24"/>
          <w:szCs w:val="24"/>
          <w:lang w:eastAsia="pl-PL"/>
        </w:rPr>
        <w:t>przedsiębiorstwa poprzez świadomie i wolicjonalnie</w:t>
      </w:r>
      <w:r w:rsidR="00692F2A">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dopuszcza do wykorzystania tego przedsiębiorstwa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celu popełnienia przestępstwa. Ten ostatni standard</w:t>
      </w:r>
      <w:r w:rsidR="00692F2A" w:rsidRPr="00692F2A">
        <w:rPr>
          <w:rFonts w:ascii="Times New Roman" w:eastAsia="Times New Roman" w:hAnsi="Times New Roman" w:cs="Times New Roman"/>
          <w:sz w:val="24"/>
          <w:szCs w:val="24"/>
          <w:lang w:eastAsia="pl-PL"/>
        </w:rPr>
        <w:t>, i to w dalej idącej postaci</w:t>
      </w:r>
      <w:r w:rsidR="000878D8">
        <w:rPr>
          <w:rFonts w:ascii="Times New Roman" w:eastAsia="Times New Roman" w:hAnsi="Times New Roman" w:cs="Times New Roman"/>
          <w:sz w:val="24"/>
          <w:szCs w:val="24"/>
          <w:lang w:eastAsia="pl-PL"/>
        </w:rPr>
        <w:t>,</w:t>
      </w:r>
      <w:r w:rsidR="00692F2A" w:rsidRPr="00692F2A">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jest znany obecnie Kodeksowi karnemu skarbowemu (art. 31 §</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1a). Każda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tych okoliczności uzasadnia skierowanie represji przeciwko podmiotowi innemu niż sprawca.</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W odniesieniu do przestępstw popełnianych przez sprawców wykorzystujących właścicieli przedsiębiorstw, zasadne będzie uzupełnienie ram prawnych działaniami o</w:t>
      </w:r>
      <w:r w:rsidR="00692F2A">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 xml:space="preserve">charakterze informacyjno-prewencyjnym. Zakłada się, że Policja będzie mogła publikować na publicznie dostępnych stronach internetowych zanonimizowane informacje o ujawnionych sposobach działania takich sprawców. Tego typu ostrzeżenia będą stanowić pożyteczną informację dla przedsiębiorców, uwrażliwiając ich na określone działania i wskazując na rozpoznany </w:t>
      </w:r>
      <w:r w:rsidRPr="007D7496">
        <w:rPr>
          <w:rFonts w:ascii="Times New Roman" w:eastAsia="Times New Roman" w:hAnsi="Times New Roman" w:cs="Times New Roman"/>
          <w:i/>
          <w:sz w:val="24"/>
          <w:szCs w:val="24"/>
          <w:lang w:eastAsia="pl-PL"/>
        </w:rPr>
        <w:t xml:space="preserve">modus </w:t>
      </w:r>
      <w:proofErr w:type="spellStart"/>
      <w:r w:rsidRPr="007D7496">
        <w:rPr>
          <w:rFonts w:ascii="Times New Roman" w:eastAsia="Times New Roman" w:hAnsi="Times New Roman" w:cs="Times New Roman"/>
          <w:i/>
          <w:sz w:val="24"/>
          <w:szCs w:val="24"/>
          <w:lang w:eastAsia="pl-PL"/>
        </w:rPr>
        <w:t>operandi</w:t>
      </w:r>
      <w:proofErr w:type="spellEnd"/>
      <w:r w:rsidRPr="007D7496">
        <w:rPr>
          <w:rFonts w:ascii="Times New Roman" w:eastAsia="Times New Roman" w:hAnsi="Times New Roman" w:cs="Times New Roman"/>
          <w:sz w:val="24"/>
          <w:szCs w:val="24"/>
          <w:lang w:eastAsia="pl-PL"/>
        </w:rPr>
        <w:t xml:space="preserve"> sprawców. Cel ten może jednak i powinien zostać osiągnięty metodami </w:t>
      </w:r>
      <w:proofErr w:type="spellStart"/>
      <w:r w:rsidRPr="007D7496">
        <w:rPr>
          <w:rFonts w:ascii="Times New Roman" w:eastAsia="Times New Roman" w:hAnsi="Times New Roman" w:cs="Times New Roman"/>
          <w:sz w:val="24"/>
          <w:szCs w:val="24"/>
          <w:lang w:eastAsia="pl-PL"/>
        </w:rPr>
        <w:t>pozalegislacyjnymi</w:t>
      </w:r>
      <w:proofErr w:type="spellEnd"/>
      <w:r w:rsidRPr="007D7496">
        <w:rPr>
          <w:rFonts w:ascii="Times New Roman" w:eastAsia="Times New Roman" w:hAnsi="Times New Roman" w:cs="Times New Roman"/>
          <w:sz w:val="24"/>
          <w:szCs w:val="24"/>
          <w:lang w:eastAsia="pl-PL"/>
        </w:rPr>
        <w:t xml:space="preserve">. Stosowne czynności zostaną podjęte po uchwaleniu projektowanej ustawy. </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 xml:space="preserve">Test </w:t>
      </w:r>
      <w:r w:rsidR="00692F2A" w:rsidRPr="00692F2A">
        <w:rPr>
          <w:rFonts w:ascii="Times New Roman" w:eastAsia="Times New Roman" w:hAnsi="Times New Roman" w:cs="Times New Roman"/>
          <w:sz w:val="24"/>
          <w:szCs w:val="24"/>
          <w:lang w:eastAsia="pl-PL"/>
        </w:rPr>
        <w:t>świadomości i woli (zamiaru)</w:t>
      </w:r>
      <w:r w:rsidRPr="007D7496">
        <w:rPr>
          <w:rFonts w:ascii="Times New Roman" w:eastAsia="Times New Roman" w:hAnsi="Times New Roman" w:cs="Times New Roman"/>
          <w:sz w:val="24"/>
          <w:szCs w:val="24"/>
          <w:lang w:eastAsia="pl-PL"/>
        </w:rPr>
        <w:t xml:space="preserve">, którego pozytywny wynik jest warunkiem orzeczenia przepadku przedsiębiorstwa, ma być </w:t>
      </w:r>
      <w:r w:rsidR="00692F2A" w:rsidRPr="00692F2A">
        <w:rPr>
          <w:rFonts w:ascii="Times New Roman" w:eastAsia="Times New Roman" w:hAnsi="Times New Roman" w:cs="Times New Roman"/>
          <w:sz w:val="24"/>
          <w:szCs w:val="24"/>
          <w:lang w:eastAsia="pl-PL"/>
        </w:rPr>
        <w:t xml:space="preserve">– co do zasady – </w:t>
      </w:r>
      <w:r w:rsidRPr="007D7496">
        <w:rPr>
          <w:rFonts w:ascii="Times New Roman" w:eastAsia="Times New Roman" w:hAnsi="Times New Roman" w:cs="Times New Roman"/>
          <w:sz w:val="24"/>
          <w:szCs w:val="24"/>
          <w:lang w:eastAsia="pl-PL"/>
        </w:rPr>
        <w:t xml:space="preserve">stosowany wyłącznie </w:t>
      </w:r>
      <w:r w:rsidRPr="007D7496">
        <w:rPr>
          <w:rFonts w:ascii="Times New Roman" w:eastAsia="Times New Roman" w:hAnsi="Times New Roman" w:cs="Times New Roman"/>
          <w:sz w:val="24"/>
          <w:szCs w:val="24"/>
          <w:lang w:eastAsia="pl-PL"/>
        </w:rPr>
        <w:lastRenderedPageBreak/>
        <w:t xml:space="preserve">wobec właściciela (właścicieli) </w:t>
      </w:r>
      <w:r w:rsidR="00692F2A" w:rsidRPr="00692F2A">
        <w:rPr>
          <w:rFonts w:ascii="Times New Roman" w:eastAsia="Times New Roman" w:hAnsi="Times New Roman" w:cs="Times New Roman"/>
          <w:sz w:val="24"/>
          <w:szCs w:val="24"/>
          <w:lang w:eastAsia="pl-PL"/>
        </w:rPr>
        <w:t>przedsiębiorstwa</w:t>
      </w:r>
      <w:r w:rsidRPr="007D7496">
        <w:rPr>
          <w:rFonts w:ascii="Times New Roman" w:eastAsia="Times New Roman" w:hAnsi="Times New Roman" w:cs="Times New Roman"/>
          <w:sz w:val="24"/>
          <w:szCs w:val="24"/>
          <w:lang w:eastAsia="pl-PL"/>
        </w:rPr>
        <w:t>. Wykluczyć należy możliwość stosowania tego testu wobec pozostałych pracowników, menadżerów, dyrektorów, członków zarządu, księgowych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innych osób niebędących właścicielami.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takim bowiem wypadku test ustawowo nagannego zachowania dotyczyłby innych osób niż te, przeciwko którym zostaje faktycznie skierowana represja, czyli właściciela przedsiębiorstwa. Byłoby to nie do pogodzenia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powołanymi standardami konstytucyjnymi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otoczeniu prawnokarnym.</w:t>
      </w:r>
    </w:p>
    <w:p w:rsidR="00310E40" w:rsidRDefault="00310E40" w:rsidP="003205C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310E40">
        <w:rPr>
          <w:rFonts w:ascii="Times New Roman" w:eastAsia="Times New Roman" w:hAnsi="Times New Roman" w:cs="Times New Roman"/>
          <w:sz w:val="24"/>
          <w:szCs w:val="24"/>
          <w:lang w:eastAsia="pl-PL"/>
        </w:rPr>
        <w:t>Ciężar wykazania naganności zachowania spoczywać będzie na oskarżycielu oraz sądzie. W myśl art. 2 § 2 k.p.k. podstawę wszelkich rozstrzygnięć w procesie karnym stanowić powinny prawdziwe ustalenia faktyczne. Zgodnie zaś z zasadą obiektywizmu (art. 4 k.p.k.) organy prowadzące postępowanie badają wszelkie okoliczności sprawy, także jeśli sam zainteresowany (w tym wypadku: właściciel przedsiębiorstwa zagrożonego przepadkiem) na ich temat milczy. Zaproponowana konstrukcja nie zakłada przeniesienia na właściciela ciężaru dowodu w zakresie dochowania testu naganności, co wynika wprost z treści projektowanego przepisu. Przy przeniesieniu ciężaru dowodu, np. w art. 45 § 2 k.p.k., ustawodawca stosuje formułę wprost wskazując</w:t>
      </w:r>
      <w:r w:rsidR="001F7835">
        <w:rPr>
          <w:rFonts w:ascii="Times New Roman" w:eastAsia="Times New Roman" w:hAnsi="Times New Roman" w:cs="Times New Roman"/>
          <w:sz w:val="24"/>
          <w:szCs w:val="24"/>
          <w:lang w:eastAsia="pl-PL"/>
        </w:rPr>
        <w:t>ą</w:t>
      </w:r>
      <w:r w:rsidRPr="00310E40">
        <w:rPr>
          <w:rFonts w:ascii="Times New Roman" w:eastAsia="Times New Roman" w:hAnsi="Times New Roman" w:cs="Times New Roman"/>
          <w:sz w:val="24"/>
          <w:szCs w:val="24"/>
          <w:lang w:eastAsia="pl-PL"/>
        </w:rPr>
        <w:t xml:space="preserve"> na podmiot, obciążony obowiązkiem jego przedstawienia, np. „chyba że sprawca (…) przedstawi dowód przeciwny”. Takiej lub zbliżonej formuły w</w:t>
      </w:r>
      <w:r>
        <w:rPr>
          <w:rFonts w:ascii="Times New Roman" w:eastAsia="Times New Roman" w:hAnsi="Times New Roman" w:cs="Times New Roman"/>
          <w:sz w:val="24"/>
          <w:szCs w:val="24"/>
          <w:lang w:eastAsia="pl-PL"/>
        </w:rPr>
        <w:t> </w:t>
      </w:r>
      <w:r w:rsidRPr="00310E40">
        <w:rPr>
          <w:rFonts w:ascii="Times New Roman" w:eastAsia="Times New Roman" w:hAnsi="Times New Roman" w:cs="Times New Roman"/>
          <w:sz w:val="24"/>
          <w:szCs w:val="24"/>
          <w:lang w:eastAsia="pl-PL"/>
        </w:rPr>
        <w:t xml:space="preserve">projektowanym przepisie brak. </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 xml:space="preserve">Jak zaznaczono wyżej, przepadek przedsiębiorstwa we wskazanych przypadkach ma zawsze charakter fakultatywny. </w:t>
      </w:r>
      <w:r w:rsidR="00310E40" w:rsidRPr="00310E40">
        <w:rPr>
          <w:rFonts w:ascii="Times New Roman" w:eastAsia="Times New Roman" w:hAnsi="Times New Roman" w:cs="Times New Roman"/>
          <w:sz w:val="24"/>
          <w:szCs w:val="24"/>
          <w:lang w:eastAsia="pl-PL"/>
        </w:rPr>
        <w:t>W połączeniu z wymogiem badania naganności zachowania właściciela pozwoli</w:t>
      </w:r>
      <w:r w:rsidR="00310E40">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to na wszechstronną analizę stanu faktycznego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ocenę zasadności oraz proporcjonalności stosowania tego środka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realiach konkretnej sprawy. Umożliwi również wymagane przez Trybunał Konstytucyjny zbadanie związku między właścicielem przedsiębiorstwa, a</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popełnionym przy wykorzystaniu tego przedsi</w:t>
      </w:r>
      <w:r w:rsidR="003205CF" w:rsidRPr="007D7496">
        <w:rPr>
          <w:rFonts w:ascii="Times New Roman" w:eastAsia="Times New Roman" w:hAnsi="Times New Roman" w:cs="Times New Roman"/>
          <w:sz w:val="24"/>
          <w:szCs w:val="24"/>
          <w:lang w:eastAsia="pl-PL"/>
        </w:rPr>
        <w:t>ę</w:t>
      </w:r>
      <w:r w:rsidRPr="007D7496">
        <w:rPr>
          <w:rFonts w:ascii="Times New Roman" w:eastAsia="Times New Roman" w:hAnsi="Times New Roman" w:cs="Times New Roman"/>
          <w:sz w:val="24"/>
          <w:szCs w:val="24"/>
          <w:lang w:eastAsia="pl-PL"/>
        </w:rPr>
        <w:t>biorstwa przestępstwem.</w:t>
      </w:r>
    </w:p>
    <w:p w:rsidR="00310E40" w:rsidRDefault="00310E40" w:rsidP="003205C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310E40">
        <w:rPr>
          <w:rFonts w:ascii="Times New Roman" w:eastAsia="Times New Roman" w:hAnsi="Times New Roman" w:cs="Times New Roman"/>
          <w:sz w:val="24"/>
          <w:szCs w:val="24"/>
          <w:lang w:eastAsia="pl-PL"/>
        </w:rPr>
        <w:t xml:space="preserve">Projekt przewiduje również klauzulę gwarancyjną, zgodnie z którą przepadek nie będzie mógł zostać orzeczony, jeżeli byłoby to niewspółmierne do wagi popełnionego przestępstwa, stopnia winy oskarżonego lub zamiaru właściciela. Ten ostatni przypadek odnosi się również do współwłasności łącznej i ułamkowej. W razie współwłasności łącznej, np. w związku małżeńskim, gdy naganność zachowania przypisać można tylko jednemu z małżonków, przepadek całości lub części przedsiębiorstwa nie będzie </w:t>
      </w:r>
      <w:r w:rsidRPr="00310E40">
        <w:rPr>
          <w:rFonts w:ascii="Times New Roman" w:eastAsia="Times New Roman" w:hAnsi="Times New Roman" w:cs="Times New Roman"/>
          <w:sz w:val="24"/>
          <w:szCs w:val="24"/>
          <w:lang w:eastAsia="pl-PL"/>
        </w:rPr>
        <w:lastRenderedPageBreak/>
        <w:t>możliwy. W razie współwłasności ułamkowej dwóch lub więcej osób, gdy choćby jednemu ze współwłaścicieli nie wykazano świadomości i woli, również nie będzie możliwe stosowanie omawianej instytucji. Co więcej, przepadek nie będzie mógł być orzeczony</w:t>
      </w:r>
      <w:r w:rsidR="001F7835">
        <w:rPr>
          <w:rFonts w:ascii="Times New Roman" w:eastAsia="Times New Roman" w:hAnsi="Times New Roman" w:cs="Times New Roman"/>
          <w:sz w:val="24"/>
          <w:szCs w:val="24"/>
          <w:lang w:eastAsia="pl-PL"/>
        </w:rPr>
        <w:t>,</w:t>
      </w:r>
      <w:r w:rsidRPr="00310E40">
        <w:rPr>
          <w:rFonts w:ascii="Times New Roman" w:eastAsia="Times New Roman" w:hAnsi="Times New Roman" w:cs="Times New Roman"/>
          <w:sz w:val="24"/>
          <w:szCs w:val="24"/>
          <w:lang w:eastAsia="pl-PL"/>
        </w:rPr>
        <w:t xml:space="preserve"> jeżeli rozmiar szkody wyrządzonej przestępstwem lub ukrytej korzyści nie jest znaczny wobec rozmiarów samego przedsiębiorstwa. Innymi słowy, przepadek nie będzie miał zastosowania do sytuacji, w których działanie nielegalne stanowi tylko margines działalności danej jednostki gospodarczej. Wreszcie projektuje się dodanie bardziej dyskrecjonalnej przesłanki niestosowania przepadku przedsiębiorstwa, w</w:t>
      </w:r>
      <w:r w:rsidR="00A450C8">
        <w:rPr>
          <w:rFonts w:ascii="Times New Roman" w:eastAsia="Times New Roman" w:hAnsi="Times New Roman" w:cs="Times New Roman"/>
          <w:sz w:val="24"/>
          <w:szCs w:val="24"/>
          <w:lang w:eastAsia="pl-PL"/>
        </w:rPr>
        <w:t> </w:t>
      </w:r>
      <w:r w:rsidRPr="00310E40">
        <w:rPr>
          <w:rFonts w:ascii="Times New Roman" w:eastAsia="Times New Roman" w:hAnsi="Times New Roman" w:cs="Times New Roman"/>
          <w:sz w:val="24"/>
          <w:szCs w:val="24"/>
          <w:lang w:eastAsia="pl-PL"/>
        </w:rPr>
        <w:t>innych, szczególnie uzasadnionych przypadkach, jeżeli w ocenie sądu byłby on niewspółmiernie dolegliwy dla właściciela przedsiębiorstwa.</w:t>
      </w:r>
    </w:p>
    <w:p w:rsidR="00065CF0" w:rsidRPr="007D7496" w:rsidRDefault="00065CF0" w:rsidP="003205CF">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Takie rozwiązanie pozwala wykluczyć ryzyko automatyzmu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stosowaniu omawianego środka, na co zwracał uwagę Trybunał Konstytucyjny.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omawianych wypadkach możliwe będzie orzeczenie odpowiedniej nawiązki (projektowany art. 48a k.k.).</w:t>
      </w:r>
    </w:p>
    <w:p w:rsidR="00065CF0" w:rsidRPr="007D7496" w:rsidRDefault="00065CF0" w:rsidP="00975241">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4.2. Rozdział 10a k.p.k., art. 291 § 2a k.p.k., art. 333 § 5 k.</w:t>
      </w:r>
      <w:r w:rsidR="00EC422F">
        <w:rPr>
          <w:rFonts w:ascii="Times New Roman" w:eastAsia="Times New Roman" w:hAnsi="Times New Roman" w:cs="Times New Roman"/>
          <w:bCs/>
          <w:sz w:val="24"/>
          <w:szCs w:val="24"/>
          <w:lang w:eastAsia="pl-PL"/>
        </w:rPr>
        <w:t>p.k., art. 334 § 3 k.p.k., art. </w:t>
      </w:r>
      <w:r w:rsidRPr="007D7496">
        <w:rPr>
          <w:rFonts w:ascii="Times New Roman" w:eastAsia="Times New Roman" w:hAnsi="Times New Roman" w:cs="Times New Roman"/>
          <w:bCs/>
          <w:sz w:val="24"/>
          <w:szCs w:val="24"/>
          <w:lang w:eastAsia="pl-PL"/>
        </w:rPr>
        <w:t>415a k.p.k., art. 422 § 1a k.p.k</w:t>
      </w:r>
      <w:r w:rsidR="001F7835">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art. 444 § 2 k.p.k.</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 xml:space="preserve">Projektowany Rozdział 10a zawiera regulacje </w:t>
      </w:r>
      <w:r w:rsidR="00975241" w:rsidRPr="007D7496">
        <w:rPr>
          <w:rFonts w:ascii="Times New Roman" w:eastAsia="Times New Roman" w:hAnsi="Times New Roman" w:cs="Times New Roman"/>
          <w:bCs/>
          <w:sz w:val="24"/>
          <w:szCs w:val="24"/>
          <w:lang w:eastAsia="pl-PL"/>
        </w:rPr>
        <w:t>umożliwiające rozstrzygnięcie w </w:t>
      </w:r>
      <w:r w:rsidRPr="007D7496">
        <w:rPr>
          <w:rFonts w:ascii="Times New Roman" w:eastAsia="Times New Roman" w:hAnsi="Times New Roman" w:cs="Times New Roman"/>
          <w:bCs/>
          <w:sz w:val="24"/>
          <w:szCs w:val="24"/>
          <w:lang w:eastAsia="pl-PL"/>
        </w:rPr>
        <w:t>postępowaniu karnym cywilno-prawnych roszczeń Skarbu Państwa i innych podmiotów publicznych wobec podmiotu, który w związku z popełnieniem czynu zabronionego uzyskał korzyść majątkową lub świadczenie, o których mowa</w:t>
      </w:r>
      <w:r w:rsidR="00404A9A">
        <w:rPr>
          <w:rFonts w:ascii="Times New Roman" w:eastAsia="Times New Roman" w:hAnsi="Times New Roman" w:cs="Times New Roman"/>
          <w:bCs/>
          <w:sz w:val="24"/>
          <w:szCs w:val="24"/>
          <w:lang w:eastAsia="pl-PL"/>
        </w:rPr>
        <w:t xml:space="preserve"> </w:t>
      </w:r>
      <w:r w:rsidR="00404A9A">
        <w:rPr>
          <w:rFonts w:ascii="Times New Roman" w:eastAsia="Times New Roman" w:hAnsi="Times New Roman" w:cs="Times New Roman"/>
          <w:bCs/>
          <w:sz w:val="24"/>
          <w:szCs w:val="24"/>
          <w:lang w:eastAsia="pl-PL"/>
        </w:rPr>
        <w:br/>
      </w:r>
      <w:r w:rsidRPr="007D7496">
        <w:rPr>
          <w:rFonts w:ascii="Times New Roman" w:eastAsia="Times New Roman" w:hAnsi="Times New Roman" w:cs="Times New Roman"/>
          <w:bCs/>
          <w:sz w:val="24"/>
          <w:szCs w:val="24"/>
          <w:lang w:eastAsia="pl-PL"/>
        </w:rPr>
        <w:t>w art. 405</w:t>
      </w:r>
      <w:r w:rsidR="0084490C"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407, art. 410 i art. 412 Kodeksu cywilnego. Projektowana instytucja wprowadza alternatywny wobec procesu cywilnego tryb rozstrzygania tych roszczeń, aktualizujący się w wypadku, gdy korzyść majątkowa lub świadczenie zostało uzyskane w związku z czynem zabronionym, będącym przedmiotem rozpoznania w procesie karnym. </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Proponowane rozwiązania są zbliżone do instytucji przewidzianej w dawnym art. 52 Kodeksu karnego, przy czym ograniczony został ich zakres przedmiotowy (wskazane roszczenia o zwrot świadczenia lub korzyści majątkowej) i podmiotowy (roszczenia przysługujące Skarbowi Państwa i innym podmiot</w:t>
      </w:r>
      <w:r w:rsidR="00975241" w:rsidRPr="007D7496">
        <w:rPr>
          <w:rFonts w:ascii="Times New Roman" w:eastAsia="Times New Roman" w:hAnsi="Times New Roman" w:cs="Times New Roman"/>
          <w:bCs/>
          <w:sz w:val="24"/>
          <w:szCs w:val="24"/>
          <w:lang w:eastAsia="pl-PL"/>
        </w:rPr>
        <w:t>om publicznym). Jednocześnie, w </w:t>
      </w:r>
      <w:r w:rsidRPr="007D7496">
        <w:rPr>
          <w:rFonts w:ascii="Times New Roman" w:eastAsia="Times New Roman" w:hAnsi="Times New Roman" w:cs="Times New Roman"/>
          <w:bCs/>
          <w:sz w:val="24"/>
          <w:szCs w:val="24"/>
          <w:lang w:eastAsia="pl-PL"/>
        </w:rPr>
        <w:t>celu zapewnienia podmiotowi, którego dotyczyć będzie wskazane rozstrzygnięcie, realnych możliwości obrony, takich jakie miałby w odrębnym postępowaniu cywilnym, zostanie mu przyznanych szereg szczególnych uprawnień w toczącym się postępowaniu karnym.</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lastRenderedPageBreak/>
        <w:t>Koncentracja w jednym postępowaniu rozstrzygnięcia o odpowiedzialności karnej sprawców czynów zabronionych oraz kwestii zwrotu korzyści majątkowych lub nienależnych świadczeń, od podmiotów</w:t>
      </w:r>
      <w:r w:rsidR="001F7835">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 xml:space="preserve"> które jakkolwiek nie uczes</w:t>
      </w:r>
      <w:r w:rsidR="00975241" w:rsidRPr="007D7496">
        <w:rPr>
          <w:rFonts w:ascii="Times New Roman" w:eastAsia="Times New Roman" w:hAnsi="Times New Roman" w:cs="Times New Roman"/>
          <w:sz w:val="24"/>
          <w:szCs w:val="24"/>
          <w:lang w:eastAsia="pl-PL"/>
        </w:rPr>
        <w:t>tniczyły w </w:t>
      </w:r>
      <w:r w:rsidRPr="007D7496">
        <w:rPr>
          <w:rFonts w:ascii="Times New Roman" w:eastAsia="Times New Roman" w:hAnsi="Times New Roman" w:cs="Times New Roman"/>
          <w:sz w:val="24"/>
          <w:szCs w:val="24"/>
          <w:lang w:eastAsia="pl-PL"/>
        </w:rPr>
        <w:t>popełnieniu czynu zabronionego odniosły z niego korzyść (np. w wyniku popełnienia przestępstw o charakterze korupcyjnym)</w:t>
      </w:r>
      <w:r w:rsidR="001F7835">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 xml:space="preserve"> umożliwi pełniejszą realizację zasady, iż przestępstwo nie może prowadzić do osiągania korzyści. Także ze względów ekonomiki procesowej wydaje się wskazane, aby sprawy o zwrot korzyści majątkowej lub świadczenia mogły być rozstrzygane w trakcie postępowania karnego o czyn zabroniony. Ustalenia poczynione w trakcie tego post</w:t>
      </w:r>
      <w:r w:rsidR="00975241" w:rsidRPr="007D7496">
        <w:rPr>
          <w:rFonts w:ascii="Times New Roman" w:eastAsia="Times New Roman" w:hAnsi="Times New Roman" w:cs="Times New Roman"/>
          <w:sz w:val="24"/>
          <w:szCs w:val="24"/>
          <w:lang w:eastAsia="pl-PL"/>
        </w:rPr>
        <w:t>ępowania, jak również zapadłe w </w:t>
      </w:r>
      <w:r w:rsidRPr="007D7496">
        <w:rPr>
          <w:rFonts w:ascii="Times New Roman" w:eastAsia="Times New Roman" w:hAnsi="Times New Roman" w:cs="Times New Roman"/>
          <w:sz w:val="24"/>
          <w:szCs w:val="24"/>
          <w:lang w:eastAsia="pl-PL"/>
        </w:rPr>
        <w:t xml:space="preserve">jego toku decyzje procesowe mają bowiem kluczowe znaczenie dla rozstrzygnięcia spraw, o których mowa. </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4.3. Art. 45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1a k.k.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33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1a k.k.s.</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Projektowane przepisy nie mają obecnie –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zakresie swej regulacji – odpowiednika. Porządkują one kwestie związane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samym pojęciem korzyści majątkowej, kluczowym dla instytucji przepadku. Zgodnie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140</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Kodeksu cywilnego,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granicach określonych przez ustawy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zasady współżycia społecznego, właściciel może pobierać pożytki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rzeczy. Jeżeli zatem rzecz ta lub prawo pochodzi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podlega przepadkowi na rzecz Skarbu Państwa, jest całkowicie słuszne, aby przepadek objął również pożytki.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zasady, iż przestępstwo nie może popłacać, jednoznacznie wynika, że pozostawienie do dyspozycji sprawcy pożytków, które pobrał on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rzeczy lub prawa stanowiącego korzyść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jest sprzeczne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zasadami współżycia społecznego,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świetle obligatoryjnego charakteru przepadku korzyści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także niekonsekwentne.</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4.4. Art. 45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33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k.k.s.</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Projekt zakłada wprowadzenie zmian prawa materialnego, które odnoszą się do instytucji przepadku rozszerzonego. Ich istota polega na rozszerzeniu katalogu przestępstw,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stosunku do których przepadek taki może zostać orzeczony oraz na wydłużeniu okresu stosowania odwróconego ciężaru dowodu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odniesieniu do mienia nabytego przez sprawcę.</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Proponuje się modyfikację obowiązujących obecnie przepisów opierających się o</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domniemanie przestępczego pochodzenia mienia sprawcy.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obecnym brzmieniu przesłanką takiego domniemania jest skazanie za przestępstwo,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którego sprawca </w:t>
      </w:r>
      <w:r w:rsidRPr="007D7496">
        <w:rPr>
          <w:rFonts w:ascii="Times New Roman" w:eastAsia="Times New Roman" w:hAnsi="Times New Roman" w:cs="Times New Roman"/>
          <w:bCs/>
          <w:sz w:val="24"/>
          <w:szCs w:val="24"/>
          <w:lang w:eastAsia="pl-PL"/>
        </w:rPr>
        <w:lastRenderedPageBreak/>
        <w:t>osiągnął, chociażby pośrednio, korzyść majątkową znacznej wartości. Projekt nie zakłada zmiany czy uchylenia tej przesłanki, przewiduje natomiast rozszerzenie zakresu podmiotowego przepadku na jej podstawie poprzez umożliwienie stosowania go także wobec sprawców przestępstw popełnionych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warunkach przestępczości zorganizowanej. Niemniej jednak,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uwagi na zakres przedmiotowy dyrektywy 2014/42/UE, przepadek rozszerzony nie może zostać ograniczony wyłącznie do sprawców czynów popełnianych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grupie lub związku.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5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dyrektywy 2014/42/UE jednoznacznie wynika obowiązek stosowania przeniesienia ciężaru dowodu legalnego pochodzenia mienia zagrożonego przepadkiem także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odniesieniu do przestępstw, które nie zostały popełnione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grupie.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myśl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5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 lit.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e dyrektywy chodzi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każde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 wymienionych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83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Trakta</w:t>
      </w:r>
      <w:r w:rsidR="001F7835">
        <w:rPr>
          <w:rFonts w:ascii="Times New Roman" w:eastAsia="Times New Roman" w:hAnsi="Times New Roman" w:cs="Times New Roman"/>
          <w:bCs/>
          <w:sz w:val="24"/>
          <w:szCs w:val="24"/>
          <w:lang w:eastAsia="pl-PL"/>
        </w:rPr>
        <w:t>tu</w:t>
      </w:r>
      <w:r w:rsidRPr="007D7496">
        <w:rPr>
          <w:rFonts w:ascii="Times New Roman" w:eastAsia="Times New Roman" w:hAnsi="Times New Roman" w:cs="Times New Roman"/>
          <w:bCs/>
          <w:sz w:val="24"/>
          <w:szCs w:val="24"/>
          <w:lang w:eastAsia="pl-PL"/>
        </w:rPr>
        <w:t xml:space="preserve"> o</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Funkcjonowaniu Unii Europejskiej, które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prawie UE lub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prawie krajowym jest zagrożone maksymalną karą pozbawienia wolności na okres co najmniej 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lat. Ponieważ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polskim systemie prawa karnego nie przewiduje się pułapu zagrożenia na poziomie 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lat pozbawienia wolności, wymóg dyrektywy zostanie spełniony poprzez odwołanie się do przestępstw zagrożonych karą maksymalną nie niższą niż 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lat pozbawienia wolności.</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Projektodawca proponuje wyjście poza minimalne wymogi dyrektywy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odniesieniu do zakresu przedmiotowego katalogu przestępstw, wobec których możliwe będzie stosowanie przepadku rozszerzonego.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uwagi na specyfikę rozwiązań wprowadzonych przez Traktat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Lizbony,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szczególności powołany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83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TFUE, stosowanie przepisów dyrektywy jest formalnie ograniczone do tzw. przestępstw traktatowych, często cechujących się </w:t>
      </w:r>
      <w:proofErr w:type="spellStart"/>
      <w:r w:rsidRPr="007D7496">
        <w:rPr>
          <w:rFonts w:ascii="Times New Roman" w:eastAsia="Times New Roman" w:hAnsi="Times New Roman" w:cs="Times New Roman"/>
          <w:bCs/>
          <w:sz w:val="24"/>
          <w:szCs w:val="24"/>
          <w:lang w:eastAsia="pl-PL"/>
        </w:rPr>
        <w:t>transgranicznością</w:t>
      </w:r>
      <w:proofErr w:type="spellEnd"/>
      <w:r w:rsidRPr="007D7496">
        <w:rPr>
          <w:rFonts w:ascii="Times New Roman" w:eastAsia="Times New Roman" w:hAnsi="Times New Roman" w:cs="Times New Roman"/>
          <w:bCs/>
          <w:sz w:val="24"/>
          <w:szCs w:val="24"/>
          <w:lang w:eastAsia="pl-PL"/>
        </w:rPr>
        <w:t xml:space="preserve">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koniecznością współpracy międzynarodowej przy ich zwalczaniu.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punktu widzenia legislatora krajowego dokonywanie podziału na czyny zabronione objęte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83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TFUE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pozostałe czyny zabronione nie ma jednak żadnego uzasadnienia. Podział taki byłby sztuczny i</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wyłącznie formalny,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punktu widzenia konieczności zwalczania poważnej przestępczości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Polsce – całkowicie niecelowy. Zdaniem projektodawcy rozszerzony przepadek mienia powinien mieć zastosowanie do możliwie szerokiego zakresu poważnych przestępstw.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tego względu zastosowano technikę wskazania kryteriów, które muszą być spełnione dla aktualizacji tego środka. Metoda ta, poza zaletami elastyczności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wszechstronności, posiada również tę cechę, że eliminuje ryzyko pominięcia któregoś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istotnych czynów zabronionych, co byłoby możliwe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przypadku </w:t>
      </w:r>
      <w:r w:rsidRPr="007D7496">
        <w:rPr>
          <w:rFonts w:ascii="Times New Roman" w:eastAsia="Times New Roman" w:hAnsi="Times New Roman" w:cs="Times New Roman"/>
          <w:bCs/>
          <w:sz w:val="24"/>
          <w:szCs w:val="24"/>
          <w:lang w:eastAsia="pl-PL"/>
        </w:rPr>
        <w:lastRenderedPageBreak/>
        <w:t>próby ich wyliczenia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przepisie,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także nie powoduje konieczności nowelizacji przepisu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razie powstania nowych typów przestępstw. Zaproponowany przepis nie stoi jednak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sprzeczności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normami dyrektywy 2014/42/UE, która –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w:t>
      </w:r>
      <w:r w:rsidR="00404A9A">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wskazuje na ich minimalny charakter. Zgodnie zaś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motywem preambuły dyrektywy, prawodawca krajowy może przyjąć rozwiązania wykraczające poza standard tego aktu.</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Opisany wyżej warunek zagrożenia karą pozbawienia wolności, której górna granica nie jest niższa niż 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lat, został uzupełniony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wskazanie, że przestępstwo,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którym mowa, prowadziło lub mogło prowadzić, chociażby pośrednio, do osiągnięcia korzyści majątkowej.</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Ponadto projekt zakłada, że domniemanie przestępczego pochodzenia mienia dotyczyć ma nie tylko mienia nabytego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czasie popełnienia przestępstwa, tak jak obecnie, ale również, na zasadzie przyjęcia fikcji prawnej, mienia nabytego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ciągu 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lat przed jego popełnieniem. Zmiana opiera się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założenie, że sprawcy przestępstw poważnych, zwłaszcza zaś popełnianych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sposób zorganizowany, gromadzą majątek pochodzący także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innych przestępstw niż objęte zarzutem. Uzasadnione wydaje się zatem, aby dowiedli legalności pochodzenia mienia nabytego lub w którego posiadanie weszli, również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pewnym okresie czasu przed popełnieniem przestępstwa.</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Należy zwrócić uwagę na fakt, że mienie nabyte przez sprawcę przed popełnieniem przestępstwa, za które zostaje on skazany, siłą rzeczy nie pochodzi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tego właśnie przestępstwa, a tym samym wymaga przyjęcia fikcji prawnej jego przestępnego pochodzenia. Umożliwienie przepadku takiego mienia stanowi przykład konfiskaty </w:t>
      </w:r>
      <w:r w:rsidR="00C9548F" w:rsidRPr="007D7496">
        <w:rPr>
          <w:rFonts w:ascii="Times New Roman" w:eastAsia="Times New Roman" w:hAnsi="Times New Roman" w:cs="Times New Roman"/>
          <w:bCs/>
          <w:i/>
          <w:sz w:val="24"/>
          <w:szCs w:val="24"/>
          <w:lang w:eastAsia="pl-PL"/>
        </w:rPr>
        <w:t>in </w:t>
      </w:r>
      <w:r w:rsidRPr="007D7496">
        <w:rPr>
          <w:rFonts w:ascii="Times New Roman" w:eastAsia="Times New Roman" w:hAnsi="Times New Roman" w:cs="Times New Roman"/>
          <w:bCs/>
          <w:i/>
          <w:sz w:val="24"/>
          <w:szCs w:val="24"/>
          <w:lang w:eastAsia="pl-PL"/>
        </w:rPr>
        <w:t>rem</w:t>
      </w:r>
      <w:r w:rsidRPr="007D7496">
        <w:rPr>
          <w:rFonts w:ascii="Times New Roman" w:eastAsia="Times New Roman" w:hAnsi="Times New Roman" w:cs="Times New Roman"/>
          <w:bCs/>
          <w:sz w:val="24"/>
          <w:szCs w:val="24"/>
          <w:lang w:eastAsia="pl-PL"/>
        </w:rPr>
        <w:t>. Przepadek taki nie stanowi bezpośredniej represji za popełniony czyn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nie jest skierowany do narzędzi lub korzyści pochodzących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przypisanego sprawcy przestępstwa. Jego zastosowanie wynika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uprawdopodobnienia, że mienie sprawcy zostało uzyskane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innych, popełnionych przez niego przestępstw, za które nie został skazany. Przesłanką takiej tezy jest uznanie sprawcy za winnego poważnego przestępstwa,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którego może zostać osiągnięta korzyść majątkowa</w:t>
      </w:r>
      <w:r w:rsidR="001F7835">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oraz posiadanie mienia, którego legalnego pochodzenia nie jest on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stanie dowieść. Zgodnie z</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 xml:space="preserve">omówionymi wcześniej międzynarodowymi standardami przepadku rozszerzonego, zastosowanie omawianej reguły oznacza, że podlegać mu może mienie, którego przestępcze pochodzenie nie zostało dowiedzione; wystarczającą przesłanką jest </w:t>
      </w:r>
      <w:r w:rsidRPr="007D7496">
        <w:rPr>
          <w:rFonts w:ascii="Times New Roman" w:eastAsia="Times New Roman" w:hAnsi="Times New Roman" w:cs="Times New Roman"/>
          <w:bCs/>
          <w:sz w:val="24"/>
          <w:szCs w:val="24"/>
          <w:lang w:eastAsia="pl-PL"/>
        </w:rPr>
        <w:lastRenderedPageBreak/>
        <w:t>niewykazanie przez sprawcę czynu lub inną osobę zainteresowaną legalnego źródła jego pochodzenia.</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Zgodnie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dyrektywy 2014/42/UE, fakt skazania za określone przestępstwo – w</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projekcie definiowane przez wskazanie jego charakteru lub wysokości grożącej kary – uzasadnia dokonanie szczególnej weryfikacji stanu majątkowego sprawcy.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kontekście zaproponowany okres 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lat przed popełnieniem przestępstwa pełni wobec sprawcy funkcję gwarancyjną, wyznaczając granice stosowania domniemania przestępczego pochodzenia jego majątku. Rozwiązanie takie jest znane wielu jurysdykcjom europejskim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zostało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pełni zaaprobowane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orzecznictwie Europejskiego Trybunału Praw Człowieka, o</w:t>
      </w:r>
      <w:r w:rsidR="00D2432C" w:rsidRPr="007D7496">
        <w:rPr>
          <w:rFonts w:ascii="Times New Roman" w:eastAsia="Times New Roman" w:hAnsi="Times New Roman" w:cs="Times New Roman"/>
          <w:bCs/>
          <w:sz w:val="24"/>
          <w:szCs w:val="24"/>
          <w:lang w:eastAsia="pl-PL"/>
        </w:rPr>
        <w:t xml:space="preserve"> </w:t>
      </w:r>
      <w:r w:rsidR="00C9548F" w:rsidRPr="007D7496">
        <w:rPr>
          <w:rFonts w:ascii="Times New Roman" w:eastAsia="Times New Roman" w:hAnsi="Times New Roman" w:cs="Times New Roman"/>
          <w:bCs/>
          <w:sz w:val="24"/>
          <w:szCs w:val="24"/>
          <w:lang w:eastAsia="pl-PL"/>
        </w:rPr>
        <w:t>czym była mowa wcześniej (por. </w:t>
      </w:r>
      <w:r w:rsidRPr="007D7496">
        <w:rPr>
          <w:rFonts w:ascii="Times New Roman" w:eastAsia="Times New Roman" w:hAnsi="Times New Roman" w:cs="Times New Roman"/>
          <w:bCs/>
          <w:sz w:val="24"/>
          <w:szCs w:val="24"/>
          <w:lang w:eastAsia="pl-PL"/>
        </w:rPr>
        <w:t>zwłaszcza przytoczone orzeczenie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 Philips przeciwko Zjednoczonemu Królestwu). Konsekwencją zastosowania omawianego rozwiązania nie jest przy tym automatyczny przepadek określonych przedmiotów, ale jedynie obowiązek wykazania przez sprawcę ich legalnego pochodzenia.</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Proponowany 5</w:t>
      </w:r>
      <w:r w:rsidR="000B6F4A"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letni okres rewizyjny jest ponadto zbieżny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okresem obowiązkowego przechowywania dokumentacji podatkowej, która wskazuje źródła i wysokość ujawnionych dochodów sprawcy, a tym samym pozwala wykazać, że stan majątkowy sprawcy koresponduje z jego dochodami.</w:t>
      </w:r>
    </w:p>
    <w:p w:rsidR="00065CF0" w:rsidRPr="007D7496" w:rsidRDefault="00065CF0" w:rsidP="000B6F4A">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val="en-US" w:eastAsia="pl-PL"/>
        </w:rPr>
      </w:pPr>
      <w:r w:rsidRPr="007D7496">
        <w:rPr>
          <w:rFonts w:ascii="Times New Roman" w:eastAsia="Times New Roman" w:hAnsi="Times New Roman" w:cs="Times New Roman"/>
          <w:bCs/>
          <w:sz w:val="24"/>
          <w:szCs w:val="24"/>
          <w:lang w:val="en-US" w:eastAsia="pl-PL"/>
        </w:rPr>
        <w:t>4.5. Art. 45a §</w:t>
      </w:r>
      <w:r w:rsidR="00D2432C" w:rsidRPr="007D7496">
        <w:rPr>
          <w:rFonts w:ascii="Times New Roman" w:eastAsia="Times New Roman" w:hAnsi="Times New Roman" w:cs="Times New Roman"/>
          <w:bCs/>
          <w:sz w:val="24"/>
          <w:szCs w:val="24"/>
          <w:lang w:val="en-US" w:eastAsia="pl-PL"/>
        </w:rPr>
        <w:t xml:space="preserve"> </w:t>
      </w:r>
      <w:r w:rsidRPr="007D7496">
        <w:rPr>
          <w:rFonts w:ascii="Times New Roman" w:eastAsia="Times New Roman" w:hAnsi="Times New Roman" w:cs="Times New Roman"/>
          <w:bCs/>
          <w:sz w:val="24"/>
          <w:szCs w:val="24"/>
          <w:lang w:val="en-US" w:eastAsia="pl-PL"/>
        </w:rPr>
        <w:t>2</w:t>
      </w:r>
      <w:r w:rsidR="00D2432C" w:rsidRPr="007D7496">
        <w:rPr>
          <w:rFonts w:ascii="Times New Roman" w:eastAsia="Times New Roman" w:hAnsi="Times New Roman" w:cs="Times New Roman"/>
          <w:bCs/>
          <w:sz w:val="24"/>
          <w:szCs w:val="24"/>
          <w:lang w:val="en-US" w:eastAsia="pl-PL"/>
        </w:rPr>
        <w:t xml:space="preserve"> </w:t>
      </w:r>
      <w:proofErr w:type="spellStart"/>
      <w:r w:rsidRPr="007D7496">
        <w:rPr>
          <w:rFonts w:ascii="Times New Roman" w:eastAsia="Times New Roman" w:hAnsi="Times New Roman" w:cs="Times New Roman"/>
          <w:bCs/>
          <w:sz w:val="24"/>
          <w:szCs w:val="24"/>
          <w:lang w:val="en-US" w:eastAsia="pl-PL"/>
        </w:rPr>
        <w:t>k.k.</w:t>
      </w:r>
      <w:proofErr w:type="spellEnd"/>
      <w:r w:rsidRPr="007D7496">
        <w:rPr>
          <w:rFonts w:ascii="Times New Roman" w:eastAsia="Times New Roman" w:hAnsi="Times New Roman" w:cs="Times New Roman"/>
          <w:bCs/>
          <w:sz w:val="24"/>
          <w:szCs w:val="24"/>
          <w:lang w:val="en-US" w:eastAsia="pl-PL"/>
        </w:rPr>
        <w:t>, art.</w:t>
      </w:r>
      <w:r w:rsidR="00D2432C" w:rsidRPr="007D7496">
        <w:rPr>
          <w:rFonts w:ascii="Times New Roman" w:eastAsia="Times New Roman" w:hAnsi="Times New Roman" w:cs="Times New Roman"/>
          <w:bCs/>
          <w:sz w:val="24"/>
          <w:szCs w:val="24"/>
          <w:lang w:val="en-US" w:eastAsia="pl-PL"/>
        </w:rPr>
        <w:t xml:space="preserve"> </w:t>
      </w:r>
      <w:r w:rsidRPr="007D7496">
        <w:rPr>
          <w:rFonts w:ascii="Times New Roman" w:eastAsia="Times New Roman" w:hAnsi="Times New Roman" w:cs="Times New Roman"/>
          <w:bCs/>
          <w:sz w:val="24"/>
          <w:szCs w:val="24"/>
          <w:lang w:val="en-US" w:eastAsia="pl-PL"/>
        </w:rPr>
        <w:t>43a k.k.s., art.</w:t>
      </w:r>
      <w:r w:rsidR="00D2432C" w:rsidRPr="007D7496">
        <w:rPr>
          <w:rFonts w:ascii="Times New Roman" w:eastAsia="Times New Roman" w:hAnsi="Times New Roman" w:cs="Times New Roman"/>
          <w:bCs/>
          <w:sz w:val="24"/>
          <w:szCs w:val="24"/>
          <w:lang w:val="en-US" w:eastAsia="pl-PL"/>
        </w:rPr>
        <w:t xml:space="preserve"> </w:t>
      </w:r>
      <w:r w:rsidRPr="007D7496">
        <w:rPr>
          <w:rFonts w:ascii="Times New Roman" w:eastAsia="Times New Roman" w:hAnsi="Times New Roman" w:cs="Times New Roman"/>
          <w:bCs/>
          <w:sz w:val="24"/>
          <w:szCs w:val="24"/>
          <w:lang w:val="en-US" w:eastAsia="pl-PL"/>
        </w:rPr>
        <w:t>132 §</w:t>
      </w:r>
      <w:r w:rsidR="00D2432C" w:rsidRPr="007D7496">
        <w:rPr>
          <w:rFonts w:ascii="Times New Roman" w:eastAsia="Times New Roman" w:hAnsi="Times New Roman" w:cs="Times New Roman"/>
          <w:bCs/>
          <w:sz w:val="24"/>
          <w:szCs w:val="24"/>
          <w:lang w:val="en-US" w:eastAsia="pl-PL"/>
        </w:rPr>
        <w:t xml:space="preserve"> </w:t>
      </w:r>
      <w:r w:rsidRPr="007D7496">
        <w:rPr>
          <w:rFonts w:ascii="Times New Roman" w:eastAsia="Times New Roman" w:hAnsi="Times New Roman" w:cs="Times New Roman"/>
          <w:bCs/>
          <w:sz w:val="24"/>
          <w:szCs w:val="24"/>
          <w:lang w:val="en-US" w:eastAsia="pl-PL"/>
        </w:rPr>
        <w:t>2</w:t>
      </w:r>
      <w:r w:rsidR="00D2432C" w:rsidRPr="007D7496">
        <w:rPr>
          <w:rFonts w:ascii="Times New Roman" w:eastAsia="Times New Roman" w:hAnsi="Times New Roman" w:cs="Times New Roman"/>
          <w:bCs/>
          <w:sz w:val="24"/>
          <w:szCs w:val="24"/>
          <w:lang w:val="en-US" w:eastAsia="pl-PL"/>
        </w:rPr>
        <w:t xml:space="preserve"> </w:t>
      </w:r>
      <w:r w:rsidRPr="007D7496">
        <w:rPr>
          <w:rFonts w:ascii="Times New Roman" w:eastAsia="Times New Roman" w:hAnsi="Times New Roman" w:cs="Times New Roman"/>
          <w:bCs/>
          <w:sz w:val="24"/>
          <w:szCs w:val="24"/>
          <w:lang w:val="en-US" w:eastAsia="pl-PL"/>
        </w:rPr>
        <w:t>k.k.s., art.</w:t>
      </w:r>
      <w:r w:rsidR="00D2432C" w:rsidRPr="007D7496">
        <w:rPr>
          <w:rFonts w:ascii="Times New Roman" w:eastAsia="Times New Roman" w:hAnsi="Times New Roman" w:cs="Times New Roman"/>
          <w:bCs/>
          <w:sz w:val="24"/>
          <w:szCs w:val="24"/>
          <w:lang w:val="en-US" w:eastAsia="pl-PL"/>
        </w:rPr>
        <w:t xml:space="preserve"> </w:t>
      </w:r>
      <w:r w:rsidRPr="007D7496">
        <w:rPr>
          <w:rFonts w:ascii="Times New Roman" w:eastAsia="Times New Roman" w:hAnsi="Times New Roman" w:cs="Times New Roman"/>
          <w:bCs/>
          <w:sz w:val="24"/>
          <w:szCs w:val="24"/>
          <w:lang w:val="en-US" w:eastAsia="pl-PL"/>
        </w:rPr>
        <w:t>323 §</w:t>
      </w:r>
      <w:r w:rsidR="00D2432C" w:rsidRPr="007D7496">
        <w:rPr>
          <w:rFonts w:ascii="Times New Roman" w:eastAsia="Times New Roman" w:hAnsi="Times New Roman" w:cs="Times New Roman"/>
          <w:bCs/>
          <w:sz w:val="24"/>
          <w:szCs w:val="24"/>
          <w:lang w:val="en-US" w:eastAsia="pl-PL"/>
        </w:rPr>
        <w:t xml:space="preserve"> </w:t>
      </w:r>
      <w:r w:rsidRPr="007D7496">
        <w:rPr>
          <w:rFonts w:ascii="Times New Roman" w:eastAsia="Times New Roman" w:hAnsi="Times New Roman" w:cs="Times New Roman"/>
          <w:bCs/>
          <w:sz w:val="24"/>
          <w:szCs w:val="24"/>
          <w:lang w:val="en-US" w:eastAsia="pl-PL"/>
        </w:rPr>
        <w:t>3</w:t>
      </w:r>
      <w:r w:rsidR="00D2432C" w:rsidRPr="007D7496">
        <w:rPr>
          <w:rFonts w:ascii="Times New Roman" w:eastAsia="Times New Roman" w:hAnsi="Times New Roman" w:cs="Times New Roman"/>
          <w:bCs/>
          <w:sz w:val="24"/>
          <w:szCs w:val="24"/>
          <w:lang w:val="en-US" w:eastAsia="pl-PL"/>
        </w:rPr>
        <w:t xml:space="preserve"> </w:t>
      </w:r>
      <w:proofErr w:type="spellStart"/>
      <w:r w:rsidRPr="007D7496">
        <w:rPr>
          <w:rFonts w:ascii="Times New Roman" w:eastAsia="Times New Roman" w:hAnsi="Times New Roman" w:cs="Times New Roman"/>
          <w:bCs/>
          <w:sz w:val="24"/>
          <w:szCs w:val="24"/>
          <w:lang w:val="en-US" w:eastAsia="pl-PL"/>
        </w:rPr>
        <w:t>k.p.k</w:t>
      </w:r>
      <w:proofErr w:type="spellEnd"/>
      <w:r w:rsidRPr="007D7496">
        <w:rPr>
          <w:rFonts w:ascii="Times New Roman" w:eastAsia="Times New Roman" w:hAnsi="Times New Roman" w:cs="Times New Roman"/>
          <w:bCs/>
          <w:sz w:val="24"/>
          <w:szCs w:val="24"/>
          <w:lang w:val="en-US" w:eastAsia="pl-PL"/>
        </w:rPr>
        <w:t>.</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Wskazane przepisy poszerzają istniejący obecnie katalog przypadków,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których możliwe jest orzeczenie przepadku, pomimo istnienia przeszkody do wydania wyroku skazującego. W obecnym stanie prawnym przepadek może zostać orzeczony jeżeli społeczna szkodliwość czynu jest znikoma,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razie warunkowego umorzenia postępowania karnego lub stwierdzenia, że sprawca dopuścił się czynu zabronionego w</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stanie niepoczytalności, czy też zaistnienia okoliczności wyłączającej ukaranie sprawcy. Podstawą orzeczenia jest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45a k.k., niemający jednak – po zmianie systematyki Kodeksu karnego – charakteru środka zabezpieczającego,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czym była mowa wcześniej. Ostatnia wspomniana przesłanka – okoliczność wyłączająca ukaranie sprawcy – budziła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doktrynie poważne wątpliwości, zwłaszcza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odniesieniu do przesłanki śmierci oskarżonego. Na gruncie kodeksu karnego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1969</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r. Sąd Najwyższy wielokrotnie stwierdzał, że okolicznością wyłączającą ukaranie sprawcy czynu zabronionego jest również ujemna przesłanka procesowa, czyli śmierć oskarżonego </w:t>
      </w:r>
      <w:r w:rsidRPr="007D7496">
        <w:rPr>
          <w:rFonts w:ascii="Times New Roman" w:eastAsia="Times New Roman" w:hAnsi="Times New Roman" w:cs="Times New Roman"/>
          <w:bCs/>
          <w:sz w:val="24"/>
          <w:szCs w:val="24"/>
          <w:lang w:eastAsia="pl-PL"/>
        </w:rPr>
        <w:lastRenderedPageBreak/>
        <w:t>(por. np. wyrok SN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22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listopada 1973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VI KZP 42/73, OSNKW 2/1974, poz.</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23, postanowienie SN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7</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września 1974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V KZ 119/74, OSNKW 11/1974, poz.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215, uchwał</w:t>
      </w:r>
      <w:r w:rsidR="001F7835">
        <w:rPr>
          <w:rFonts w:ascii="Times New Roman" w:eastAsia="Times New Roman" w:hAnsi="Times New Roman" w:cs="Times New Roman"/>
          <w:bCs/>
          <w:sz w:val="24"/>
          <w:szCs w:val="24"/>
          <w:lang w:eastAsia="pl-PL"/>
        </w:rPr>
        <w:t>a</w:t>
      </w:r>
      <w:r w:rsidRPr="007D7496">
        <w:rPr>
          <w:rFonts w:ascii="Times New Roman" w:eastAsia="Times New Roman" w:hAnsi="Times New Roman" w:cs="Times New Roman"/>
          <w:bCs/>
          <w:sz w:val="24"/>
          <w:szCs w:val="24"/>
          <w:lang w:eastAsia="pl-PL"/>
        </w:rPr>
        <w:t xml:space="preserve"> SN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13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marca 1984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VI KZP 47/83, OSNKW 1984, nr</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7</w:t>
      </w:r>
      <w:r w:rsidR="0084490C"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8, poz.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70). Krytycy takiej interpretacji podnosili, że zwrot „okoliczność wyłączająca ukaranie” odnosić trzeba nie do zdarzeń formalnoprawnych (m.in. śmierci sprawcy czynu), lecz raczej do zdarzeń materialnoprawnych, określonych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Kodeksie karnym (por. m.in. Postulski, Glosa do uchwały SN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13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marca 1984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NP 1985, nr</w:t>
      </w:r>
      <w:r w:rsidR="00D2432C" w:rsidRPr="007D7496">
        <w:rPr>
          <w:rFonts w:ascii="Times New Roman" w:eastAsia="Times New Roman" w:hAnsi="Times New Roman" w:cs="Times New Roman"/>
          <w:bCs/>
          <w:sz w:val="24"/>
          <w:szCs w:val="24"/>
          <w:lang w:eastAsia="pl-PL"/>
        </w:rPr>
        <w:t xml:space="preserve"> </w:t>
      </w:r>
      <w:r w:rsidR="00C9548F" w:rsidRPr="007D7496">
        <w:rPr>
          <w:rFonts w:ascii="Times New Roman" w:eastAsia="Times New Roman" w:hAnsi="Times New Roman" w:cs="Times New Roman"/>
          <w:bCs/>
          <w:sz w:val="24"/>
          <w:szCs w:val="24"/>
          <w:lang w:eastAsia="pl-PL"/>
        </w:rPr>
        <w:t>3, s. </w:t>
      </w:r>
      <w:r w:rsidRPr="007D7496">
        <w:rPr>
          <w:rFonts w:ascii="Times New Roman" w:eastAsia="Times New Roman" w:hAnsi="Times New Roman" w:cs="Times New Roman"/>
          <w:bCs/>
          <w:sz w:val="24"/>
          <w:szCs w:val="24"/>
          <w:lang w:eastAsia="pl-PL"/>
        </w:rPr>
        <w:t>100, Z. Ćwiąkalski, [w:] A. Zoll (red.), G. Bogda</w:t>
      </w:r>
      <w:r w:rsidR="00C9548F" w:rsidRPr="007D7496">
        <w:rPr>
          <w:rFonts w:ascii="Times New Roman" w:eastAsia="Times New Roman" w:hAnsi="Times New Roman" w:cs="Times New Roman"/>
          <w:bCs/>
          <w:sz w:val="24"/>
          <w:szCs w:val="24"/>
          <w:lang w:eastAsia="pl-PL"/>
        </w:rPr>
        <w:t>n, Z. Ćwiąkalski, P. Kardas, J. </w:t>
      </w:r>
      <w:r w:rsidRPr="007D7496">
        <w:rPr>
          <w:rFonts w:ascii="Times New Roman" w:eastAsia="Times New Roman" w:hAnsi="Times New Roman" w:cs="Times New Roman"/>
          <w:bCs/>
          <w:sz w:val="24"/>
          <w:szCs w:val="24"/>
          <w:lang w:eastAsia="pl-PL"/>
        </w:rPr>
        <w:t xml:space="preserve">Majewski, J. </w:t>
      </w:r>
      <w:proofErr w:type="spellStart"/>
      <w:r w:rsidRPr="007D7496">
        <w:rPr>
          <w:rFonts w:ascii="Times New Roman" w:eastAsia="Times New Roman" w:hAnsi="Times New Roman" w:cs="Times New Roman"/>
          <w:bCs/>
          <w:sz w:val="24"/>
          <w:szCs w:val="24"/>
          <w:lang w:eastAsia="pl-PL"/>
        </w:rPr>
        <w:t>Raglewski</w:t>
      </w:r>
      <w:proofErr w:type="spellEnd"/>
      <w:r w:rsidRPr="007D7496">
        <w:rPr>
          <w:rFonts w:ascii="Times New Roman" w:eastAsia="Times New Roman" w:hAnsi="Times New Roman" w:cs="Times New Roman"/>
          <w:bCs/>
          <w:sz w:val="24"/>
          <w:szCs w:val="24"/>
          <w:lang w:eastAsia="pl-PL"/>
        </w:rPr>
        <w:t>, M. Szewczyk, W</w:t>
      </w:r>
      <w:r w:rsidR="001F7835">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Wróbel, Kodeks karny. Część ogólna. Komentarz, Kraków 2004). Po roku 1989</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linia orzecznicza uległa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tej mierze zmianie (por. postanowienie SA we Wrocławiu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30</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marca 1999</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r., II </w:t>
      </w:r>
      <w:proofErr w:type="spellStart"/>
      <w:r w:rsidRPr="007D7496">
        <w:rPr>
          <w:rFonts w:ascii="Times New Roman" w:eastAsia="Times New Roman" w:hAnsi="Times New Roman" w:cs="Times New Roman"/>
          <w:bCs/>
          <w:sz w:val="24"/>
          <w:szCs w:val="24"/>
          <w:lang w:eastAsia="pl-PL"/>
        </w:rPr>
        <w:t>AKz</w:t>
      </w:r>
      <w:proofErr w:type="spellEnd"/>
      <w:r w:rsidRPr="007D7496">
        <w:rPr>
          <w:rFonts w:ascii="Times New Roman" w:eastAsia="Times New Roman" w:hAnsi="Times New Roman" w:cs="Times New Roman"/>
          <w:bCs/>
          <w:sz w:val="24"/>
          <w:szCs w:val="24"/>
          <w:lang w:eastAsia="pl-PL"/>
        </w:rPr>
        <w:t xml:space="preserve"> 83/99, OSA 3/1999, poz.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21). Ten drugi pogląd zdominował wykładnię omawianego przepisu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jego poprzedników, pomimo odosobnionych orzeczeń odmiennych (np. post. SA w</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Warszawie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10</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kwietnia 2012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II AKZ 194/12, KZS 2013, Nr</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 poz.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62). Przyjąć zatem należy, że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45a k.k. może być podstawą orzeczenia przepadku tylko w</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razie wystąpienia okoliczności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charakterze materialnoprawnym, takich jak czynny żal przy usiłowaniu (art. 15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 lub współdziałaniu (art. 23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 Okolicznością materialnoprawną umożliwiającą orzeczenie przepadku pomimo przeszkód do wydania wyroku skazującego jest również przedawnienie karalności (art. 101 i</w:t>
      </w:r>
      <w:r w:rsidR="00D2432C" w:rsidRPr="007D7496">
        <w:rPr>
          <w:rFonts w:ascii="Times New Roman" w:eastAsia="Times New Roman" w:hAnsi="Times New Roman" w:cs="Times New Roman"/>
          <w:bCs/>
          <w:sz w:val="24"/>
          <w:szCs w:val="24"/>
          <w:lang w:eastAsia="pl-PL"/>
        </w:rPr>
        <w:t xml:space="preserve"> </w:t>
      </w:r>
      <w:r w:rsidR="00C9548F" w:rsidRPr="007D7496">
        <w:rPr>
          <w:rFonts w:ascii="Times New Roman" w:eastAsia="Times New Roman" w:hAnsi="Times New Roman" w:cs="Times New Roman"/>
          <w:bCs/>
          <w:sz w:val="24"/>
          <w:szCs w:val="24"/>
          <w:lang w:eastAsia="pl-PL"/>
        </w:rPr>
        <w:t>nast. k.k. – por. </w:t>
      </w:r>
      <w:r w:rsidRPr="007D7496">
        <w:rPr>
          <w:rFonts w:ascii="Times New Roman" w:eastAsia="Times New Roman" w:hAnsi="Times New Roman" w:cs="Times New Roman"/>
          <w:bCs/>
          <w:sz w:val="24"/>
          <w:szCs w:val="24"/>
          <w:lang w:eastAsia="pl-PL"/>
        </w:rPr>
        <w:t xml:space="preserve">m.in. M. Mozgawa, [w:] M. Mozgawa (red.), M. </w:t>
      </w:r>
      <w:proofErr w:type="spellStart"/>
      <w:r w:rsidRPr="007D7496">
        <w:rPr>
          <w:rFonts w:ascii="Times New Roman" w:eastAsia="Times New Roman" w:hAnsi="Times New Roman" w:cs="Times New Roman"/>
          <w:bCs/>
          <w:sz w:val="24"/>
          <w:szCs w:val="24"/>
          <w:lang w:eastAsia="pl-PL"/>
        </w:rPr>
        <w:t>Budyn</w:t>
      </w:r>
      <w:proofErr w:type="spellEnd"/>
      <w:r w:rsidRPr="007D7496">
        <w:rPr>
          <w:rFonts w:ascii="Times New Roman" w:eastAsia="Times New Roman" w:hAnsi="Times New Roman" w:cs="Times New Roman"/>
          <w:bCs/>
          <w:sz w:val="24"/>
          <w:szCs w:val="24"/>
          <w:lang w:eastAsia="pl-PL"/>
        </w:rPr>
        <w:softHyphen/>
      </w:r>
      <w:r w:rsidRPr="007D7496">
        <w:rPr>
          <w:rFonts w:ascii="Times New Roman" w:eastAsia="Times New Roman" w:hAnsi="Times New Roman" w:cs="Times New Roman"/>
          <w:bCs/>
          <w:sz w:val="24"/>
          <w:szCs w:val="24"/>
          <w:lang w:eastAsia="pl-PL"/>
        </w:rPr>
        <w:noBreakHyphen/>
        <w:t>Kulik, P. Kozłowska</w:t>
      </w:r>
      <w:r w:rsidRPr="007D7496">
        <w:rPr>
          <w:rFonts w:ascii="Times New Roman" w:eastAsia="Times New Roman" w:hAnsi="Times New Roman" w:cs="Times New Roman"/>
          <w:bCs/>
          <w:sz w:val="24"/>
          <w:szCs w:val="24"/>
          <w:lang w:eastAsia="pl-PL"/>
        </w:rPr>
        <w:softHyphen/>
      </w:r>
      <w:r w:rsidRPr="007D7496">
        <w:rPr>
          <w:rFonts w:ascii="Times New Roman" w:eastAsia="Times New Roman" w:hAnsi="Times New Roman" w:cs="Times New Roman"/>
          <w:bCs/>
          <w:sz w:val="24"/>
          <w:szCs w:val="24"/>
          <w:lang w:eastAsia="pl-PL"/>
        </w:rPr>
        <w:noBreakHyphen/>
        <w:t xml:space="preserve">Kalisz, M. Kulik, Kodeks karny. Komentarz, LEX 2015, J. </w:t>
      </w:r>
      <w:proofErr w:type="spellStart"/>
      <w:r w:rsidRPr="007D7496">
        <w:rPr>
          <w:rFonts w:ascii="Times New Roman" w:eastAsia="Times New Roman" w:hAnsi="Times New Roman" w:cs="Times New Roman"/>
          <w:bCs/>
          <w:sz w:val="24"/>
          <w:szCs w:val="24"/>
          <w:lang w:eastAsia="pl-PL"/>
        </w:rPr>
        <w:t>Raglewski</w:t>
      </w:r>
      <w:proofErr w:type="spellEnd"/>
      <w:r w:rsidRPr="007D7496">
        <w:rPr>
          <w:rFonts w:ascii="Times New Roman" w:eastAsia="Times New Roman" w:hAnsi="Times New Roman" w:cs="Times New Roman"/>
          <w:bCs/>
          <w:sz w:val="24"/>
          <w:szCs w:val="24"/>
          <w:lang w:eastAsia="pl-PL"/>
        </w:rPr>
        <w:t>, Podstawy orzekania środków zabezpieczających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charakterze administracyjnym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kodeksie karnym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1997</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Prok.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 2002, Nr</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 s. 44; J. Warylewski, Orzekanie przepadku rzeczy tytułem środka zabezpieczającego wobec sprawcy czynu zabronionego, Prok.</w:t>
      </w:r>
      <w:r w:rsidR="00EC422F">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i</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Pr. 2000, Nr</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 s. 124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n.; D. </w:t>
      </w:r>
      <w:proofErr w:type="spellStart"/>
      <w:r w:rsidRPr="007D7496">
        <w:rPr>
          <w:rFonts w:ascii="Times New Roman" w:eastAsia="Times New Roman" w:hAnsi="Times New Roman" w:cs="Times New Roman"/>
          <w:bCs/>
          <w:sz w:val="24"/>
          <w:szCs w:val="24"/>
          <w:lang w:eastAsia="pl-PL"/>
        </w:rPr>
        <w:t>Szeleszczuk</w:t>
      </w:r>
      <w:proofErr w:type="spellEnd"/>
      <w:r w:rsidRPr="007D7496">
        <w:rPr>
          <w:rFonts w:ascii="Times New Roman" w:eastAsia="Times New Roman" w:hAnsi="Times New Roman" w:cs="Times New Roman"/>
          <w:bCs/>
          <w:sz w:val="24"/>
          <w:szCs w:val="24"/>
          <w:lang w:eastAsia="pl-PL"/>
        </w:rPr>
        <w:t xml:space="preserve">, [w:] A. Grześkowiak (red.), K. Wiak (red.), Kodeks karny. Komentarz. Warszawa 2015, </w:t>
      </w:r>
      <w:proofErr w:type="spellStart"/>
      <w:r w:rsidRPr="007D7496">
        <w:rPr>
          <w:rFonts w:ascii="Times New Roman" w:eastAsia="Times New Roman" w:hAnsi="Times New Roman" w:cs="Times New Roman"/>
          <w:bCs/>
          <w:sz w:val="24"/>
          <w:szCs w:val="24"/>
          <w:lang w:eastAsia="pl-PL"/>
        </w:rPr>
        <w:t>Legalis</w:t>
      </w:r>
      <w:proofErr w:type="spellEnd"/>
      <w:r w:rsidRPr="007D7496">
        <w:rPr>
          <w:rFonts w:ascii="Times New Roman" w:eastAsia="Times New Roman" w:hAnsi="Times New Roman" w:cs="Times New Roman"/>
          <w:bCs/>
          <w:sz w:val="24"/>
          <w:szCs w:val="24"/>
          <w:lang w:eastAsia="pl-PL"/>
        </w:rPr>
        <w:t>, komentarz do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45a, teza 7).</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ocenie projektodawcy śmierć oskarżonego nie powinna stanowić przeszkody do orzeczenia przepadku,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zwłaszcza korzyści osiągniętych przez niego z</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przestępstwa. Nie ma żadnego racjonalnego powodu, aby spadkobiercy sprawcy korzystali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owoców jego nielegalnej działalności. Przeciwnie, wprowadzenie jednoznacznej podstawy umożliwiającej przepadek również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takiej sytuacji jest w</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 xml:space="preserve">pełni uzasadnione ze względów sprawiedliwościowych. Stanowisko takie znajduje </w:t>
      </w:r>
      <w:r w:rsidRPr="007D7496">
        <w:rPr>
          <w:rFonts w:ascii="Times New Roman" w:eastAsia="Times New Roman" w:hAnsi="Times New Roman" w:cs="Times New Roman"/>
          <w:bCs/>
          <w:sz w:val="24"/>
          <w:szCs w:val="24"/>
          <w:lang w:eastAsia="pl-PL"/>
        </w:rPr>
        <w:lastRenderedPageBreak/>
        <w:t>również uzasadnienie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orzecznictwie ETPCz, m.in.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sprawie 20498/02, </w:t>
      </w:r>
      <w:proofErr w:type="spellStart"/>
      <w:r w:rsidRPr="007D7496">
        <w:rPr>
          <w:rFonts w:ascii="Times New Roman" w:eastAsia="Times New Roman" w:hAnsi="Times New Roman" w:cs="Times New Roman"/>
          <w:bCs/>
          <w:sz w:val="24"/>
          <w:szCs w:val="24"/>
          <w:lang w:eastAsia="pl-PL"/>
        </w:rPr>
        <w:t>Silickienė</w:t>
      </w:r>
      <w:proofErr w:type="spellEnd"/>
      <w:r w:rsidRPr="007D7496">
        <w:rPr>
          <w:rFonts w:ascii="Times New Roman" w:eastAsia="Times New Roman" w:hAnsi="Times New Roman" w:cs="Times New Roman"/>
          <w:bCs/>
          <w:sz w:val="24"/>
          <w:szCs w:val="24"/>
          <w:lang w:eastAsia="pl-PL"/>
        </w:rPr>
        <w:t xml:space="preserve"> przeciwko Litwie.</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Podobna argumentacja przemawia za umożliwieniem przepadku mienia, zwłaszcza korzyści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jeżeli postępowanie karne zostało umorzone wobec niewykrycia sprawcy.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natury rzeczy będzie to dotyczyć wyjątkowych sytuacji, w</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których popełnienie czynu zabronionego zostało dowiedzione, nie udało się natomiast ustalić jego sprawcy,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ponadto istnieje mienie zagrożone przepadkiem.</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Ponadto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dyrektywy 2014/42/UE, przewidujący warunki konfiskaty bez wyroku skazującego, nakazuje państwom członkowskim umożliwienie przepadku w</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wypadku ucieczki lub choroby oskarżonego.</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Z tego względu, dla umożliwienia przepadku pomimo śmierci oskarżonego lub niewykrycia sprawcy,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także jego ucieczki lub choroby, konieczne było dodanie do art.</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45a k.k. nowego paragrafu. Jego stosowanie będzie uzależnione od oceny, czy zebrane dowody są wystarczające do przyjęcia, że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razie skazania przepadek zostałby orzeczony. Ponadto,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odniesieniu do przesłanek ucieczki lub choroby oskarżonego, warunkiem jego stosowania jest uprzednie zawieszenie postępowania karnego. Przesłanki te muszą mieć zatem charakter długotrwały. Zgodnie ze standardem konstytucyjnym,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przepadku zawsze orzekałby sąd.</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Oprócz uzasadnienia sprawiedliwościowego oraz opartego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zobowiązania międzynarodowe Polski, wprowadzenie możliwości przepadku także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przypadku zawieszenia postępowania ma istotne znaczenie dla jego sprawności, zwłaszcza w</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zakresie skuteczniejszego zarządzania zajętym mieniem. Istotną luką w</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dotychczasowych unormowaniach jest bowiem brak możliwości reakcji na utratę wartości zabezpieczonego mienia, gdy podejrzany, wobec którego wydano postanowienie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przedstawieniu zarzutów, przez dłuższy czas ukrywa się lub choruje. O</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ile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postępowaniu sądowym okoliczności te nie zawsze muszą tamować bieg procesu,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tyle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toku postępowania przygotowawczego bezskuteczny upływ czasu najczęściej powoduje realny spadek wartości zajętego mienia ruchomego, co w</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konsekwencji przynosi szkodę pokrzywdzonemu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Skarbowi Państwa, ale również samemu oskarżonemu. Zajęte przedmioty systematycznie dekapitalizują się, tracąc na wartości. Nie zawsze przy tym są to przedmioty ulegające szybkiemu zniszczeniu i</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inne, wymienione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232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k.p.k. Paradoksalnie zatem projektowane rozwiązanie </w:t>
      </w:r>
      <w:r w:rsidRPr="007D7496">
        <w:rPr>
          <w:rFonts w:ascii="Times New Roman" w:eastAsia="Times New Roman" w:hAnsi="Times New Roman" w:cs="Times New Roman"/>
          <w:bCs/>
          <w:sz w:val="24"/>
          <w:szCs w:val="24"/>
          <w:lang w:eastAsia="pl-PL"/>
        </w:rPr>
        <w:lastRenderedPageBreak/>
        <w:t>będzie korzystne także dla oskarżonych, którzy unikną ryzyka radykalnego zmniejszenia się wartości zajętego mienia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wyniku nieracjonalnych działań takich jak ucieczka lub w wypadkach losowych, czyli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razie długotrwałej choroby. Obecnie, w</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przypadku uniewinnienia takiej osoby, po kilku latach procesu oskarżonemu zwraca się przedmioty, których wartość jest znacznie mniejsza niż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chwili zajęcia. Co więcej,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wypadku niektórych składników majątkowych, np. samochodów, ich przechowywanie generuje znaczne koszty, którymi obciąża się skazanego, lub ponosi je skarb państwa </w:t>
      </w:r>
      <w:r w:rsidR="0084490C"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w przypadku uniewinnienia. Bez względu zatem na rodzaj rozstrzygnięcia kończącego postępowanie karne,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wypadku ukrycia się oskarżonego, przejęcie zabezpieczonego mienia przez </w:t>
      </w:r>
      <w:r w:rsidR="001F7835">
        <w:rPr>
          <w:rFonts w:ascii="Times New Roman" w:eastAsia="Times New Roman" w:hAnsi="Times New Roman" w:cs="Times New Roman"/>
          <w:bCs/>
          <w:sz w:val="24"/>
          <w:szCs w:val="24"/>
          <w:lang w:eastAsia="pl-PL"/>
        </w:rPr>
        <w:t>p</w:t>
      </w:r>
      <w:r w:rsidRPr="007D7496">
        <w:rPr>
          <w:rFonts w:ascii="Times New Roman" w:eastAsia="Times New Roman" w:hAnsi="Times New Roman" w:cs="Times New Roman"/>
          <w:bCs/>
          <w:sz w:val="24"/>
          <w:szCs w:val="24"/>
          <w:lang w:eastAsia="pl-PL"/>
        </w:rPr>
        <w:t>aństwo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następne spieniężenie go jest dla niego korzystne. Zakładane rozwiązanie ma więc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pewnym zakresie pozytywny wpływ na zwiększenie stopnia realizacji funkcji gwarancyjnej, ale również sprawiedliwościowej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kompensacyjnej, bowiem pozwala lepiej zabezpieczyć roszczenia odszkodowawcze pokrzywdzonych.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drugiej strony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wielu przypadkach niewątpliwie będzie ono dodatkowym bodźcem zapobiegającym ukrywaniu się oskarżonych. Prawo karne procesowe już obecnie różnicuje sytuacje oskarżonego w</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zależności od tego, czy ukrywa się on</w:t>
      </w:r>
      <w:r w:rsidR="001F7835">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czy nie. Przykładowo ukrywanie się oskarżonego jest przesłanką do niestosowania niektórych ograniczeń zastosowania tymczasowego aresztowania (art. 259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k.p.k.) czy podstawą do przepadku poręczenia (art. 268</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k.p.k.).</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Zmiany planowane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k.k.s. stanowią odzwierciedlenie zmian k.p.k., za wyjątkiem tych sytuacji,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których przepisy k.k.s. przewidują stosowanie odpowiednich przepisów k.p.k.</w:t>
      </w:r>
    </w:p>
    <w:p w:rsidR="00065CF0" w:rsidRPr="007D7496" w:rsidRDefault="00065CF0" w:rsidP="000B6F4A">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4.6. Art. 269a k.k. i art. 269b k.k.</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Projekt zakłada zmianę granic odpowiedzialności karnej przewidzianej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 269b kk. Zmiany te są niezbędne do pełnej implementacji dyrektywy 2014/42/UE, a</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w</w:t>
      </w:r>
      <w:r w:rsidR="00C9548F"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szczególności jej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5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 lit.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 obligującego państwa członkowskie do stosowania przepadku rozszerzonego wobec przestępstwa umyślnego wytwarzania, sprzedaży dostarczania narzędzi do popełniania przestępstw komputerowych, który to czyn zabroniony został opisany w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269b k.k. Tym samym górna granica kary grożącej za to przestępstwo winna zostać podwyższona do wysokości odpowiadającej </w:t>
      </w:r>
      <w:r w:rsidRPr="007D7496">
        <w:rPr>
          <w:rFonts w:ascii="Times New Roman" w:eastAsia="Times New Roman" w:hAnsi="Times New Roman" w:cs="Times New Roman"/>
          <w:bCs/>
          <w:sz w:val="24"/>
          <w:szCs w:val="24"/>
          <w:lang w:eastAsia="pl-PL"/>
        </w:rPr>
        <w:lastRenderedPageBreak/>
        <w:t>przesłankom zastosowania przepadku rozszerzonego przewidzianym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projektowanym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45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k.k. </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Celem zmian we obydwu wskazanych artykułach jest</w:t>
      </w:r>
      <w:r w:rsidR="00C9548F" w:rsidRPr="007D7496">
        <w:rPr>
          <w:rFonts w:ascii="Times New Roman" w:eastAsia="Times New Roman" w:hAnsi="Times New Roman" w:cs="Times New Roman"/>
          <w:bCs/>
          <w:sz w:val="24"/>
          <w:szCs w:val="24"/>
          <w:lang w:eastAsia="pl-PL"/>
        </w:rPr>
        <w:t xml:space="preserve"> również korekta zastosowanej w </w:t>
      </w:r>
      <w:r w:rsidRPr="007D7496">
        <w:rPr>
          <w:rFonts w:ascii="Times New Roman" w:eastAsia="Times New Roman" w:hAnsi="Times New Roman" w:cs="Times New Roman"/>
          <w:bCs/>
          <w:sz w:val="24"/>
          <w:szCs w:val="24"/>
          <w:lang w:eastAsia="pl-PL"/>
        </w:rPr>
        <w:t xml:space="preserve">Kodeksie karnym terminologii odnoszącej się do sfery informatyki. Dotychczas stosowane, a wprowadzone przeszło 12 lat temu, pojęcie </w:t>
      </w:r>
      <w:r w:rsidR="00E64D9F"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system komputerowy” nie odpowiada współczesnej rzeczywistości informatycznej i budzi wątpliwości interpretacyjne. Z tego względu zaproponowano zastąpienie go stosowanym w naukach informatycznych pojęciami </w:t>
      </w:r>
      <w:r w:rsidR="00E64D9F"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system informatyczny” oraz </w:t>
      </w:r>
      <w:r w:rsidR="00E64D9F"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system teleinformatyczny”.</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Uzupełniono również katalog przestępstw, których popełnieniu mogą służyć urządzenia i programy wymienione w art. 269b § 1 k.k., o przest</w:t>
      </w:r>
      <w:r w:rsidR="00C9548F" w:rsidRPr="007D7496">
        <w:rPr>
          <w:rFonts w:ascii="Times New Roman" w:eastAsia="Times New Roman" w:hAnsi="Times New Roman" w:cs="Times New Roman"/>
          <w:bCs/>
          <w:sz w:val="24"/>
          <w:szCs w:val="24"/>
          <w:lang w:eastAsia="pl-PL"/>
        </w:rPr>
        <w:t>ępstwo z art. art. 269 § 1, tj. </w:t>
      </w:r>
      <w:r w:rsidRPr="007D7496">
        <w:rPr>
          <w:rFonts w:ascii="Times New Roman" w:eastAsia="Times New Roman" w:hAnsi="Times New Roman" w:cs="Times New Roman"/>
          <w:bCs/>
          <w:sz w:val="24"/>
          <w:szCs w:val="24"/>
          <w:lang w:eastAsia="pl-PL"/>
        </w:rPr>
        <w:t>sabotaż komputerowy, którego przedmiotem są systemy lub dane istotne dla bezpieczeństwa państwa, bezpieczeństwa w komunikacji, funkcjonowania administracji rządowej, innego organu państwowego lub instytucji państwowej albo samorządu terytorialnego.</w:t>
      </w:r>
    </w:p>
    <w:p w:rsidR="00065CF0" w:rsidRPr="007D7496" w:rsidRDefault="00065CF0" w:rsidP="000B6F4A">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4.7. Art. 188a k.k.w. i 189a k.k.w.</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Dodawany art. 188a k.k.w. ma na celu przeniesienie na obszar prawa karnego wykonawczego elastycznego rozwiązania znanego od wielu lat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art.</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32</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k.k.s. Chodzi o</w:t>
      </w:r>
      <w:r w:rsidR="00C9548F" w:rsidRPr="007D7496">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możliwość zmiany orzeczenia przepadku korzyści majątkowej pochodzącej z</w:t>
      </w:r>
      <w:r w:rsidR="00C9548F" w:rsidRPr="007D7496">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przestępstwa na orzeczenie przepadku jej równowartości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fazie postępowania wykonawczego. Praktyczny walor takiego rozwiązania wynika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faktu, że sąd orzekający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postępowaniu rozpoznawczym może nie być świadom ograniczeń egzekucyjnych, które mogą powstać później, uniemożliwiając skuteczny przepadek korzyści majątkowej.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takim wypadku powinna być możliwa zamiana charakteru orzeczenia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fazie wykonawczej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zobligowanie sprawcy lub sprawców do zwrotu równowartości niemożliwej do wyegzekwowania korzyści majątkowej.</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Proponowany art. 189a k.k.w. uzupełnia wprowadzane regulacje umożliwiające orzeczenie przepadku przedsiębiorstwa, doprecyzowując, iż przepadkowi nie ulega firma przedsiębiorstwa i wchodzące w jego skład autorskie prawa maj</w:t>
      </w:r>
      <w:r w:rsidR="00805C44" w:rsidRPr="007D7496">
        <w:rPr>
          <w:rFonts w:ascii="Times New Roman" w:eastAsia="Times New Roman" w:hAnsi="Times New Roman" w:cs="Times New Roman"/>
          <w:sz w:val="24"/>
          <w:szCs w:val="24"/>
          <w:lang w:eastAsia="pl-PL"/>
        </w:rPr>
        <w:t>ą</w:t>
      </w:r>
      <w:r w:rsidRPr="007D7496">
        <w:rPr>
          <w:rFonts w:ascii="Times New Roman" w:eastAsia="Times New Roman" w:hAnsi="Times New Roman" w:cs="Times New Roman"/>
          <w:sz w:val="24"/>
          <w:szCs w:val="24"/>
          <w:lang w:eastAsia="pl-PL"/>
        </w:rPr>
        <w:t>tkowe.</w:t>
      </w:r>
    </w:p>
    <w:p w:rsidR="00065CF0" w:rsidRPr="007D7496" w:rsidRDefault="00065CF0" w:rsidP="000B6F4A">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4.8.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291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 k.p.k., art. 292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 k.p.k., art. 292a k.p.k. i art. 292b</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k.p.k.</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 xml:space="preserve">Zmiany przepisów dotyczących zabezpieczenia mają na celu z jednej strony rozszerzenie i uporządkowanie katalogu przesłanek zabezpieczenia wykonania </w:t>
      </w:r>
      <w:r w:rsidRPr="007D7496">
        <w:rPr>
          <w:rFonts w:ascii="Times New Roman" w:eastAsia="Times New Roman" w:hAnsi="Times New Roman" w:cs="Times New Roman"/>
          <w:sz w:val="24"/>
          <w:szCs w:val="24"/>
          <w:lang w:eastAsia="pl-PL"/>
        </w:rPr>
        <w:lastRenderedPageBreak/>
        <w:t>przyszłego orzeczenia, z drugiej strony doprecyzowanie sposobu wykonywania zabezpieczenia, gdy jego przedmiotem jest przedsiębiorstwo.</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Obecnie obowiązujące regulacje przewidują możliwość zabezpieczenia na mieniu oskarżonego lub na mieniu, o</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którym mowa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art.</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45 §</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2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3</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Kodeksu karnego (mieniu osoby trzeciej lub mieniu innego podmiotu), wykonania orzeczonej kary, świadczenia pieniężnego, przepadku lub środka kompensacyjnego. Należy przy tym zauważyć, że zgodnie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art.</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45 §</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1</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in fine, nie jest możliwe orzeczenie przepadku, jeżeli korzyść lub jej równowartość podlega zwrotowi pokrzywdzonemu lub innemu podmiotowi. Jednocześnie wskazany zwrot stanowi odrębną instytucję prawną od środka kompensacyjnego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postaci obowiązku naprawienia szkody.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praktyce oznacza to, iż zabezpieczenie kierowane jest do tych składników mienia, które nie będą podlegały zwrotowi, a</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tym samym będą przydatne dla zabezpieczenia wykonania orzeczonej kary, świadczenia pieniężnego, przepadku lub środka kompensacyjnego. W</w:t>
      </w:r>
      <w:r w:rsidR="00805C44" w:rsidRPr="007D7496">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sytuacji gdy określony składnik mienia nie podlega zatrzymaniu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innych powodów (np.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charakterze dowodu)</w:t>
      </w:r>
      <w:r w:rsidR="001F7835">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 xml:space="preserve"> może on pozostawać we władaniu oskarżonego lub podmiotów, o</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których mowa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art.</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45 §</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2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3</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Kodeksu karnego. Może być zatem zbyty, ukryty lub zniszczony. Tym samym brak jest zabezpieczenia interesu pokrzywdzonego lub innego uprawnionego podmiotu polegającego na zwrocie będących we władaniu sprawcy lub przekazanych innemu podmiotowi korzyści uzyskanych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popełnienia przestępstwa.</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Proponowana zmiana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art.</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291</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k.p.k. polega na wprowadzeniu możliwości zabezpieczenia na mieniu oskarżonego lub podmiotów, o</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których mowa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art.</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45 §</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2 i</w:t>
      </w:r>
      <w:r w:rsidR="00805C44" w:rsidRPr="007D7496">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3</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Kodeksu karnego, również przyszłego zwrotu korzyści majątkowej, jak</w:t>
      </w:r>
      <w:r w:rsidR="001F7835">
        <w:rPr>
          <w:rFonts w:ascii="Times New Roman" w:eastAsia="Times New Roman" w:hAnsi="Times New Roman" w:cs="Times New Roman"/>
          <w:sz w:val="24"/>
          <w:szCs w:val="24"/>
          <w:lang w:eastAsia="pl-PL"/>
        </w:rPr>
        <w:t>ą</w:t>
      </w:r>
      <w:r w:rsidRPr="007D7496">
        <w:rPr>
          <w:rFonts w:ascii="Times New Roman" w:eastAsia="Times New Roman" w:hAnsi="Times New Roman" w:cs="Times New Roman"/>
          <w:sz w:val="24"/>
          <w:szCs w:val="24"/>
          <w:lang w:eastAsia="pl-PL"/>
        </w:rPr>
        <w:t xml:space="preserve"> sprawca osiągnął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popełnionego przestępstwa, lub jej równowartości.</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Orzeczenie przepadku może być –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razie potrzeby – poprzedzone zabezpieczeniem majątkowym. W przypadku gdy przedmiotem zabezpieczenia jest nieruchomość lub przedsiębiorstwo</w:t>
      </w:r>
      <w:r w:rsidR="001F7835">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 xml:space="preserve"> może być ono połączonym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 xml:space="preserve">ustanowieniem zarządu przymusowego. Jakkolwiek obecnie obowiązujące przepisy przewidywały zabezpieczenie wykonania orzeczenia na całości przedsiębiorstwa, to możliwość ta wykorzystywana była bardzo rzadko. Częściej zabezpieczenie kierowano do poszczególnych składników mienia </w:t>
      </w:r>
      <w:r w:rsidR="0084490C" w:rsidRPr="007D7496">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 xml:space="preserve"> elementów składowych przedsiębiorstwa </w:t>
      </w:r>
      <w:r w:rsidR="0084490C" w:rsidRPr="007D7496">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 xml:space="preserve"> co prowadziło do trudności w działaniu przedsiębiorstwa. Rozszerzenie zakresu stosowa</w:t>
      </w:r>
      <w:r w:rsidR="00805C44" w:rsidRPr="007D7496">
        <w:rPr>
          <w:rFonts w:ascii="Times New Roman" w:eastAsia="Times New Roman" w:hAnsi="Times New Roman" w:cs="Times New Roman"/>
          <w:sz w:val="24"/>
          <w:szCs w:val="24"/>
          <w:lang w:eastAsia="pl-PL"/>
        </w:rPr>
        <w:t>nia przepadku przewidziane w </w:t>
      </w:r>
      <w:r w:rsidRPr="007D7496">
        <w:rPr>
          <w:rFonts w:ascii="Times New Roman" w:eastAsia="Times New Roman" w:hAnsi="Times New Roman" w:cs="Times New Roman"/>
          <w:sz w:val="24"/>
          <w:szCs w:val="24"/>
          <w:lang w:eastAsia="pl-PL"/>
        </w:rPr>
        <w:t xml:space="preserve">projektowanym art. 44a, jak również potrzeba zapewnienia możliwości </w:t>
      </w:r>
      <w:r w:rsidRPr="007D7496">
        <w:rPr>
          <w:rFonts w:ascii="Times New Roman" w:eastAsia="Times New Roman" w:hAnsi="Times New Roman" w:cs="Times New Roman"/>
          <w:sz w:val="24"/>
          <w:szCs w:val="24"/>
          <w:lang w:eastAsia="pl-PL"/>
        </w:rPr>
        <w:lastRenderedPageBreak/>
        <w:t>zabezpieczenia innych niż przepadek rozstrzygnięć przemawiają za rozwinięciem kodeksowych regulacji zabezpieczenia, którego przedmiotem jest przedsiębiorstwo.</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Zgodnie z dodawanymi przepisami postanowienie o zabezpieczeniu przez zarząd przymusowy przedsiębiorstwa wydawane będzie w postępowaniu przygotowawczym przez prokuratora, a po wniesieniu aktu oskarżenia przez sąd. W postanowieniu o</w:t>
      </w:r>
      <w:r w:rsidR="00805C44" w:rsidRPr="007D7496">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zabezpieczeniu należało będzie wskazać m.in. osobę zarządcy, przy czym będzie nim mogła być jedynie osoba posiadająca licencję doradcy restrukturyzacyjnego. Postanowienie wydane przez prokuratora będzie wyma</w:t>
      </w:r>
      <w:r w:rsidR="00805C44" w:rsidRPr="007D7496">
        <w:rPr>
          <w:rFonts w:ascii="Times New Roman" w:eastAsia="Times New Roman" w:hAnsi="Times New Roman" w:cs="Times New Roman"/>
          <w:sz w:val="24"/>
          <w:szCs w:val="24"/>
          <w:lang w:eastAsia="pl-PL"/>
        </w:rPr>
        <w:t>gało zatwierdzenia przez sąd, a </w:t>
      </w:r>
      <w:r w:rsidRPr="007D7496">
        <w:rPr>
          <w:rFonts w:ascii="Times New Roman" w:eastAsia="Times New Roman" w:hAnsi="Times New Roman" w:cs="Times New Roman"/>
          <w:sz w:val="24"/>
          <w:szCs w:val="24"/>
          <w:lang w:eastAsia="pl-PL"/>
        </w:rPr>
        <w:t>to rozstrzygnięcie będzie mogło zostać zaskarżone w drodze zażalenia również przez właściciela przedsiębiorstwa lub osobę kierującą tym przedsiębiorstwem w jego imieniu.</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Jednym z istotnych elementów zaproponowan</w:t>
      </w:r>
      <w:r w:rsidR="00805C44" w:rsidRPr="007D7496">
        <w:rPr>
          <w:rFonts w:ascii="Times New Roman" w:eastAsia="Times New Roman" w:hAnsi="Times New Roman" w:cs="Times New Roman"/>
          <w:sz w:val="24"/>
          <w:szCs w:val="24"/>
          <w:lang w:eastAsia="pl-PL"/>
        </w:rPr>
        <w:t>ych rozwiązań jest wskazanie (w </w:t>
      </w:r>
      <w:r w:rsidRPr="007D7496">
        <w:rPr>
          <w:rFonts w:ascii="Times New Roman" w:eastAsia="Times New Roman" w:hAnsi="Times New Roman" w:cs="Times New Roman"/>
          <w:sz w:val="24"/>
          <w:szCs w:val="24"/>
          <w:lang w:eastAsia="pl-PL"/>
        </w:rPr>
        <w:t>projektowanym art. 292a § 8 i 9 k.p.k.) sposobu działania zarządcy przymusowego, którego celem będzie zapewnienie ciągłości pracy przedsiębiorstwa oraz sporządzenie i</w:t>
      </w:r>
      <w:r w:rsidR="00C8229B">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przedstawienie sądowi spisu składników majątku i praw majątkowych przedsiębiorstwa. Pozwoli to na zachowanie substancji przedsiębiorstwa i</w:t>
      </w:r>
      <w:r w:rsidR="00805C44" w:rsidRPr="007D7496">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uniknięcie wyzbycia się majątku wchodzącego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jego skład. Co i</w:t>
      </w:r>
      <w:r w:rsidR="00C8229B">
        <w:rPr>
          <w:rFonts w:ascii="Times New Roman" w:eastAsia="Times New Roman" w:hAnsi="Times New Roman" w:cs="Times New Roman"/>
          <w:sz w:val="24"/>
          <w:szCs w:val="24"/>
          <w:lang w:eastAsia="pl-PL"/>
        </w:rPr>
        <w:t>stotne, zabezpieczenie takie, w </w:t>
      </w:r>
      <w:r w:rsidRPr="007D7496">
        <w:rPr>
          <w:rFonts w:ascii="Times New Roman" w:eastAsia="Times New Roman" w:hAnsi="Times New Roman" w:cs="Times New Roman"/>
          <w:sz w:val="24"/>
          <w:szCs w:val="24"/>
          <w:lang w:eastAsia="pl-PL"/>
        </w:rPr>
        <w:t>odróżnieniu od zabezpieczenia skierowanego do aktywów przedsiębiorstwa, umożliwi zachowanie ciągłoś</w:t>
      </w:r>
      <w:r w:rsidR="00805C44" w:rsidRPr="007D7496">
        <w:rPr>
          <w:rFonts w:ascii="Times New Roman" w:eastAsia="Times New Roman" w:hAnsi="Times New Roman" w:cs="Times New Roman"/>
          <w:sz w:val="24"/>
          <w:szCs w:val="24"/>
          <w:lang w:eastAsia="pl-PL"/>
        </w:rPr>
        <w:t>ci działalności gospodarczej, w </w:t>
      </w:r>
      <w:r w:rsidRPr="007D7496">
        <w:rPr>
          <w:rFonts w:ascii="Times New Roman" w:eastAsia="Times New Roman" w:hAnsi="Times New Roman" w:cs="Times New Roman"/>
          <w:sz w:val="24"/>
          <w:szCs w:val="24"/>
          <w:lang w:eastAsia="pl-PL"/>
        </w:rPr>
        <w:t>szczególności regulowania zobowiązań np. wobec pracowników i dostawców.</w:t>
      </w:r>
    </w:p>
    <w:p w:rsidR="00065CF0" w:rsidRPr="007D7496" w:rsidRDefault="00065CF0" w:rsidP="000B6F4A">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5. Gwarancje ochrony praw osób, których dotycz</w:t>
      </w:r>
      <w:r w:rsidR="00805C44" w:rsidRPr="007D7496">
        <w:rPr>
          <w:rFonts w:ascii="Times New Roman" w:eastAsia="Times New Roman" w:hAnsi="Times New Roman" w:cs="Times New Roman"/>
          <w:bCs/>
          <w:sz w:val="24"/>
          <w:szCs w:val="24"/>
          <w:lang w:eastAsia="pl-PL"/>
        </w:rPr>
        <w:t>y przepadek – art. 22 § 5, art. </w:t>
      </w:r>
      <w:r w:rsidRPr="007D7496">
        <w:rPr>
          <w:rFonts w:ascii="Times New Roman" w:eastAsia="Times New Roman" w:hAnsi="Times New Roman" w:cs="Times New Roman"/>
          <w:bCs/>
          <w:sz w:val="24"/>
          <w:szCs w:val="24"/>
          <w:lang w:eastAsia="pl-PL"/>
        </w:rPr>
        <w:t>292a § 7 i § 10, art. 340 § 2a k.p.k. oraz art. 29b § 1 i art. 192 § 4 k.k.w.</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Ochrona praw podmiotów, których dotyczy przepadek lub poprzedzające go zabezpieczenie, wymaga w pierwszej kolejności zapewnienia tym podmiotom możliwości przedstawienia stanowiska w trakcie postępowania w przedmiocie przepadku lub zabezpieczenia, jak również możliw</w:t>
      </w:r>
      <w:r w:rsidR="00805C44" w:rsidRPr="007D7496">
        <w:rPr>
          <w:rFonts w:ascii="Times New Roman" w:eastAsia="Times New Roman" w:hAnsi="Times New Roman" w:cs="Times New Roman"/>
          <w:bCs/>
          <w:sz w:val="24"/>
          <w:szCs w:val="24"/>
          <w:lang w:eastAsia="pl-PL"/>
        </w:rPr>
        <w:t>ości kwestionowania zapadłego w </w:t>
      </w:r>
      <w:r w:rsidRPr="007D7496">
        <w:rPr>
          <w:rFonts w:ascii="Times New Roman" w:eastAsia="Times New Roman" w:hAnsi="Times New Roman" w:cs="Times New Roman"/>
          <w:bCs/>
          <w:sz w:val="24"/>
          <w:szCs w:val="24"/>
          <w:lang w:eastAsia="pl-PL"/>
        </w:rPr>
        <w:t>tym postępowaniu rozstrzygnięcia. Wymagania te wynikają z przepisów dyrektywy 2014/42/UE (art. 6 ust. 2 i art. 8), jak i wskazanych we wcześniejszej części uzasadnienia standardów krajowych i międzynarodowych. W zależności od roli procesowej podmiotów, których dotyczy przepadek lub zabezpieczenie, wskazane uprawnienia realizowane będą przy wykorzystaniu odmiennych instytucji prawnych.</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lastRenderedPageBreak/>
        <w:t>W odniesieniu do stron postępowania (przede wszystkim oskarżonego), które na mocy obowiązujących regulacji proceduralnych mają zagwarantowaną w toku postępowania pełną możliwość przedstawiania swojego stanowiska, projekt przewiduje wprowadzenie środka odwoławczego od orzeczenia przepadku wydanego w związku z zawieszeniem (projektowany art. 22 § 5 k.p.k.) oraz umorzeniem postępowania (projektowany art. 340 § 2a k.p.k.).</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Możliwość przedstawienia stanowiska przez podmioty niebędące stroną toczącego się postępowania karnego wynikać będzie z obowiązku ustalenia przez organ prowadzący postępowanie okoliczności sprawy (stosownie do art. 2 § 2 i art. 297 § 4 pkt 4 k.p.k.) oraz konieczności ustalenia zaistnienia przesłanek warunkujących dopuszczalność przepadku, w sytuacji gdy jego przedmiot nie stan</w:t>
      </w:r>
      <w:r w:rsidR="00805C44" w:rsidRPr="007D7496">
        <w:rPr>
          <w:rFonts w:ascii="Times New Roman" w:eastAsia="Times New Roman" w:hAnsi="Times New Roman" w:cs="Times New Roman"/>
          <w:sz w:val="24"/>
          <w:szCs w:val="24"/>
          <w:lang w:eastAsia="pl-PL"/>
        </w:rPr>
        <w:t>owi własności sprawcy. I tak, w </w:t>
      </w:r>
      <w:r w:rsidRPr="007D7496">
        <w:rPr>
          <w:rFonts w:ascii="Times New Roman" w:eastAsia="Times New Roman" w:hAnsi="Times New Roman" w:cs="Times New Roman"/>
          <w:sz w:val="24"/>
          <w:szCs w:val="24"/>
          <w:lang w:eastAsia="pl-PL"/>
        </w:rPr>
        <w:t>odniesieniu do przepadku przedsiębiorstwa (projektowany art. 44a k.k.)</w:t>
      </w:r>
      <w:r w:rsidR="001F7835">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 xml:space="preserve"> konieczne będzie ustalenie </w:t>
      </w:r>
      <w:r w:rsidR="00A450C8" w:rsidRPr="00A450C8">
        <w:rPr>
          <w:rFonts w:ascii="Times New Roman" w:eastAsia="Times New Roman" w:hAnsi="Times New Roman" w:cs="Times New Roman"/>
          <w:sz w:val="24"/>
          <w:szCs w:val="24"/>
          <w:lang w:eastAsia="pl-PL"/>
        </w:rPr>
        <w:t xml:space="preserve">określonych </w:t>
      </w:r>
      <w:r w:rsidRPr="007D7496">
        <w:rPr>
          <w:rFonts w:ascii="Times New Roman" w:eastAsia="Times New Roman" w:hAnsi="Times New Roman" w:cs="Times New Roman"/>
          <w:sz w:val="24"/>
          <w:szCs w:val="24"/>
          <w:lang w:eastAsia="pl-PL"/>
        </w:rPr>
        <w:t>okoliczności (</w:t>
      </w:r>
      <w:r w:rsidR="00A450C8" w:rsidRPr="00A450C8">
        <w:rPr>
          <w:rFonts w:ascii="Times New Roman" w:eastAsia="Times New Roman" w:hAnsi="Times New Roman" w:cs="Times New Roman"/>
          <w:sz w:val="24"/>
          <w:szCs w:val="24"/>
          <w:lang w:eastAsia="pl-PL"/>
        </w:rPr>
        <w:t>świadomości i woli</w:t>
      </w:r>
      <w:r w:rsidRPr="007D7496">
        <w:rPr>
          <w:rFonts w:ascii="Times New Roman" w:eastAsia="Times New Roman" w:hAnsi="Times New Roman" w:cs="Times New Roman"/>
          <w:sz w:val="24"/>
          <w:szCs w:val="24"/>
          <w:lang w:eastAsia="pl-PL"/>
        </w:rPr>
        <w:t>) po stronie właściciela przedsiębiorstwa</w:t>
      </w:r>
      <w:r w:rsidR="00805C44" w:rsidRPr="007D7496">
        <w:rPr>
          <w:rFonts w:ascii="Times New Roman" w:eastAsia="Times New Roman" w:hAnsi="Times New Roman" w:cs="Times New Roman"/>
          <w:sz w:val="24"/>
          <w:szCs w:val="24"/>
          <w:lang w:eastAsia="pl-PL"/>
        </w:rPr>
        <w:t>, a</w:t>
      </w:r>
      <w:r w:rsidR="00A450C8">
        <w:rPr>
          <w:rFonts w:ascii="Times New Roman" w:eastAsia="Times New Roman" w:hAnsi="Times New Roman" w:cs="Times New Roman"/>
          <w:sz w:val="24"/>
          <w:szCs w:val="24"/>
          <w:lang w:eastAsia="pl-PL"/>
        </w:rPr>
        <w:t xml:space="preserve"> </w:t>
      </w:r>
      <w:r w:rsidR="00805C44" w:rsidRPr="007D7496">
        <w:rPr>
          <w:rFonts w:ascii="Times New Roman" w:eastAsia="Times New Roman" w:hAnsi="Times New Roman" w:cs="Times New Roman"/>
          <w:sz w:val="24"/>
          <w:szCs w:val="24"/>
          <w:lang w:eastAsia="pl-PL"/>
        </w:rPr>
        <w:t>w</w:t>
      </w:r>
      <w:r w:rsidR="00A450C8">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przypadku konfiskaty rozszerzonej (projektowany art. 45 § 2 k.k.) umożliwienie przedstawienia dowodów legalnego pochodzenia mienia. Ustalenia te najczęściej możliwe będą jedynie przesłuchania wskazanych osób w charakterze świadków.</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Na dotychczasowych zasadach możliwe będzie złożen</w:t>
      </w:r>
      <w:r w:rsidR="00805C44" w:rsidRPr="007D7496">
        <w:rPr>
          <w:rFonts w:ascii="Times New Roman" w:eastAsia="Times New Roman" w:hAnsi="Times New Roman" w:cs="Times New Roman"/>
          <w:sz w:val="24"/>
          <w:szCs w:val="24"/>
          <w:lang w:eastAsia="pl-PL"/>
        </w:rPr>
        <w:t>ie zażalenia na postanowienie o </w:t>
      </w:r>
      <w:r w:rsidRPr="007D7496">
        <w:rPr>
          <w:rFonts w:ascii="Times New Roman" w:eastAsia="Times New Roman" w:hAnsi="Times New Roman" w:cs="Times New Roman"/>
          <w:sz w:val="24"/>
          <w:szCs w:val="24"/>
          <w:lang w:eastAsia="pl-PL"/>
        </w:rPr>
        <w:t>zabezpieczeniu grożącego przepadku (obowiązujący a</w:t>
      </w:r>
      <w:r w:rsidR="00805C44" w:rsidRPr="007D7496">
        <w:rPr>
          <w:rFonts w:ascii="Times New Roman" w:eastAsia="Times New Roman" w:hAnsi="Times New Roman" w:cs="Times New Roman"/>
          <w:sz w:val="24"/>
          <w:szCs w:val="24"/>
          <w:lang w:eastAsia="pl-PL"/>
        </w:rPr>
        <w:t>rt. 293 § 3 k.p.k.). Jednakże w </w:t>
      </w:r>
      <w:r w:rsidRPr="007D7496">
        <w:rPr>
          <w:rFonts w:ascii="Times New Roman" w:eastAsia="Times New Roman" w:hAnsi="Times New Roman" w:cs="Times New Roman"/>
          <w:sz w:val="24"/>
          <w:szCs w:val="24"/>
          <w:lang w:eastAsia="pl-PL"/>
        </w:rPr>
        <w:t>przypadku, gdy przedmiotem zabezpieczenia będzie przedsiębiorstwo, projekt przewiduje przyznanie prawa do złożenia zażalenia również właścicielowi lub osobie kierującej przedsiębiorstwem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jego imieniu (projektowany art. 292a § 7 i § 10 k.p.k.).</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Niezależnie od opisanych powyżej rozwiązań, stosownie do art. 293 § 7 k.p.k. każda osoba fizyczna, prawna lub jednostka organizacyjna niemająca osobowości prawnej może wystąpić z powództwem przeciwko Skarbowi Państwa o ustalenie, że mienie lub jego część nie podlega przepadkowi. Wytoczenie takiego powództwa ma skutek suspensywny względem postępowania egzekucyjnego,</w:t>
      </w:r>
      <w:r w:rsidR="00805C44" w:rsidRPr="007D7496">
        <w:rPr>
          <w:rFonts w:ascii="Times New Roman" w:eastAsia="Times New Roman" w:hAnsi="Times New Roman" w:cs="Times New Roman"/>
          <w:sz w:val="24"/>
          <w:szCs w:val="24"/>
          <w:lang w:eastAsia="pl-PL"/>
        </w:rPr>
        <w:t xml:space="preserve"> a zgodnie z projektowanym art. </w:t>
      </w:r>
      <w:r w:rsidRPr="007D7496">
        <w:rPr>
          <w:rFonts w:ascii="Times New Roman" w:eastAsia="Times New Roman" w:hAnsi="Times New Roman" w:cs="Times New Roman"/>
          <w:sz w:val="24"/>
          <w:szCs w:val="24"/>
          <w:lang w:eastAsia="pl-PL"/>
        </w:rPr>
        <w:t>29b § 1 k.k.w. będzie też wolne od opłat.</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Należy również zaznaczyć, że prawo karne wykonawcze już obecnie przewiduje możliwość restytucji,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razie uchylenia lub zmiany orzeczenia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przepadku. Zgodnie z</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192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k.k.w.,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takim wypadku składniki mienia przejęte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trakcie wykonywania przepadku zwraca się uprawnionemu.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razie niemożności zwrotu Skarb Państwa </w:t>
      </w:r>
      <w:r w:rsidRPr="007D7496">
        <w:rPr>
          <w:rFonts w:ascii="Times New Roman" w:eastAsia="Times New Roman" w:hAnsi="Times New Roman" w:cs="Times New Roman"/>
          <w:bCs/>
          <w:sz w:val="24"/>
          <w:szCs w:val="24"/>
          <w:lang w:eastAsia="pl-PL"/>
        </w:rPr>
        <w:lastRenderedPageBreak/>
        <w:t>odpowiada za wyrządzoną szkodę. Projekt zakłada zastosowanie tego mechanizmu także wobec przepadku orzeczonego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razie zawieszenia postępowania (projektowany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192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k.k.w.).</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Konieczność zapewnienia pełnej ochrony pra</w:t>
      </w:r>
      <w:r w:rsidR="00805C44" w:rsidRPr="007D7496">
        <w:rPr>
          <w:rFonts w:ascii="Times New Roman" w:eastAsia="Times New Roman" w:hAnsi="Times New Roman" w:cs="Times New Roman"/>
          <w:sz w:val="24"/>
          <w:szCs w:val="24"/>
          <w:lang w:eastAsia="pl-PL"/>
        </w:rPr>
        <w:t>w podmiotu, który w związku z </w:t>
      </w:r>
      <w:r w:rsidRPr="007D7496">
        <w:rPr>
          <w:rFonts w:ascii="Times New Roman" w:eastAsia="Times New Roman" w:hAnsi="Times New Roman" w:cs="Times New Roman"/>
          <w:sz w:val="24"/>
          <w:szCs w:val="24"/>
          <w:lang w:eastAsia="pl-PL"/>
        </w:rPr>
        <w:t>popełnieniem czynu zabronionego osiągnął korzyść majątkową lub otrzymał nienależne świadczenie, została również uwzględniona w projektowanym Rozdziale 10a Kodeksu postępowania karnego.</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Należy również podkreślić, że każda osoba, której mienie jest zagrożone przepadkiem w postępowaniu karnym, niezależnie od jej statusu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tym postępowaniu, posiada prawo do ustanowienia pełnomocnika na mocy obowiązuj</w:t>
      </w:r>
      <w:r w:rsidR="00D2432C" w:rsidRPr="007D7496">
        <w:rPr>
          <w:rFonts w:ascii="Times New Roman" w:eastAsia="Times New Roman" w:hAnsi="Times New Roman" w:cs="Times New Roman"/>
          <w:sz w:val="24"/>
          <w:szCs w:val="24"/>
          <w:lang w:eastAsia="pl-PL"/>
        </w:rPr>
        <w:t>ą</w:t>
      </w:r>
      <w:r w:rsidRPr="007D7496">
        <w:rPr>
          <w:rFonts w:ascii="Times New Roman" w:eastAsia="Times New Roman" w:hAnsi="Times New Roman" w:cs="Times New Roman"/>
          <w:sz w:val="24"/>
          <w:szCs w:val="24"/>
          <w:lang w:eastAsia="pl-PL"/>
        </w:rPr>
        <w:t>cego art. 87 § 2 k.p.k. Niewątpliwie bowiem możliwość orzeczenia przepadku godzi w jej interesy. Tym samym polski system prawny spełnia obecnie już obecnie wymóg gwarancyjny przewidziany w art. 8 ust. 7 dyrektywy 2014/42/</w:t>
      </w:r>
      <w:proofErr w:type="spellStart"/>
      <w:r w:rsidRPr="007D7496">
        <w:rPr>
          <w:rFonts w:ascii="Times New Roman" w:eastAsia="Times New Roman" w:hAnsi="Times New Roman" w:cs="Times New Roman"/>
          <w:sz w:val="24"/>
          <w:szCs w:val="24"/>
          <w:lang w:eastAsia="pl-PL"/>
        </w:rPr>
        <w:t>WSiSW</w:t>
      </w:r>
      <w:proofErr w:type="spellEnd"/>
      <w:r w:rsidRPr="007D7496">
        <w:rPr>
          <w:rFonts w:ascii="Times New Roman" w:eastAsia="Times New Roman" w:hAnsi="Times New Roman" w:cs="Times New Roman"/>
          <w:sz w:val="24"/>
          <w:szCs w:val="24"/>
          <w:lang w:eastAsia="pl-PL"/>
        </w:rPr>
        <w:t xml:space="preserve">. </w:t>
      </w:r>
    </w:p>
    <w:p w:rsidR="00065CF0" w:rsidRPr="007D7496" w:rsidRDefault="00065CF0" w:rsidP="000B6F4A">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6. Proponowane zmiany zakresu stosowania kontroli operacyjnej</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Proponowane zmiany zostały zawarte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projektowanym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237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 pkt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18a–18c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3a k.p.k.</w:t>
      </w:r>
      <w:r w:rsidR="001F7835">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jak również propozycjach zmian ustaw o: Policji, Straży Granicznej, kontroli skarbowej, Żandarmerii Wojskowej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wojskowych organach porządkowych, Agencji Bezpieczeństwa Wewnętrznego oraz Agencji Wywiadu, Służbie Kontrwywiadu Wojskowego oraz Służbie Wywiadu Wojskowego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Centralnym Biurze Antykorupcyjnym.</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Pierwsza zmiana polega na umożliwieniu zastosowania kontroli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utrwalania rozmów wobec podejrzenia popełnienia niektórych przestępstw przeciwko wymiarowi sprawiedliwości. Chodzi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czyny przewidziane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233–236 i art. 239</w:t>
      </w:r>
      <w:r w:rsidR="00D2432C" w:rsidRPr="007D7496">
        <w:rPr>
          <w:rFonts w:ascii="Times New Roman" w:eastAsia="Times New Roman" w:hAnsi="Times New Roman" w:cs="Times New Roman"/>
          <w:bCs/>
          <w:sz w:val="24"/>
          <w:szCs w:val="24"/>
          <w:lang w:eastAsia="pl-PL"/>
        </w:rPr>
        <w:t xml:space="preserve"> </w:t>
      </w:r>
      <w:r w:rsidR="00805C44" w:rsidRPr="007D7496">
        <w:rPr>
          <w:rFonts w:ascii="Times New Roman" w:eastAsia="Times New Roman" w:hAnsi="Times New Roman" w:cs="Times New Roman"/>
          <w:bCs/>
          <w:sz w:val="24"/>
          <w:szCs w:val="24"/>
          <w:lang w:eastAsia="pl-PL"/>
        </w:rPr>
        <w:t>k.k., tj. </w:t>
      </w:r>
      <w:r w:rsidRPr="007D7496">
        <w:rPr>
          <w:rFonts w:ascii="Times New Roman" w:eastAsia="Times New Roman" w:hAnsi="Times New Roman" w:cs="Times New Roman"/>
          <w:bCs/>
          <w:sz w:val="24"/>
          <w:szCs w:val="24"/>
          <w:lang w:eastAsia="pl-PL"/>
        </w:rPr>
        <w:t>zachowania polegające na składaniu fałszywych</w:t>
      </w:r>
      <w:r w:rsidR="00805C44" w:rsidRPr="007D7496">
        <w:rPr>
          <w:rFonts w:ascii="Times New Roman" w:eastAsia="Times New Roman" w:hAnsi="Times New Roman" w:cs="Times New Roman"/>
          <w:bCs/>
          <w:sz w:val="24"/>
          <w:szCs w:val="24"/>
          <w:lang w:eastAsia="pl-PL"/>
        </w:rPr>
        <w:t xml:space="preserve"> zeznań, fałszywym oskarżeniu o </w:t>
      </w:r>
      <w:r w:rsidRPr="007D7496">
        <w:rPr>
          <w:rFonts w:ascii="Times New Roman" w:eastAsia="Times New Roman" w:hAnsi="Times New Roman" w:cs="Times New Roman"/>
          <w:bCs/>
          <w:sz w:val="24"/>
          <w:szCs w:val="24"/>
          <w:lang w:eastAsia="pl-PL"/>
        </w:rPr>
        <w:t>popełnienie przestępstwa lub przestępstwa skarbowego, tworzeniu fałszywych dowodów, zatajeniu niewinności lub utrudnianiu lub udaremnianiu postępowania karnego poprzez udzielenie pomocy sprawcy przestępstwa lub przestępstwa skarbowego. Możliwość kontroli rozmów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takiej sytuacji ma szczególne znaczenie dla efektywnego zwalczania przestępczości zorganizowanej, zwłaszcza gdy niektórzy członkowie grupy przestępczej pozostają na wolności lub nie zostali zidentyfikowani. Cechą charakterystyczną tej przestępczości jest m.in. proceder uzgadniania zeznań czy też wpływania na świadków. Proponowana zmiana ma na celu zapewnienie wolnego od </w:t>
      </w:r>
      <w:r w:rsidRPr="007D7496">
        <w:rPr>
          <w:rFonts w:ascii="Times New Roman" w:eastAsia="Times New Roman" w:hAnsi="Times New Roman" w:cs="Times New Roman"/>
          <w:bCs/>
          <w:sz w:val="24"/>
          <w:szCs w:val="24"/>
          <w:lang w:eastAsia="pl-PL"/>
        </w:rPr>
        <w:lastRenderedPageBreak/>
        <w:t>niedozwolonych ingerencji przebiegu postępowania karnego, co stanowi warunek konieczny sprawiedliwego procesu karnego.</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Uzupełnieniem zmiany w art. 237 k.p.k. są zmiany w katalogu przestępstw, w związku z którymi dopuszczalne będzie prowadzenie kontroli operacyjnej przez posiadające to uprawnienie służby. Z uwagi na zróżnicowany zakres właściwości poszczególnych służb stosowanie kontroli operacyjnej w przypadku podejrzenia popełnienia wskazanych przestępstw przeciwko wymiarowi sprawied</w:t>
      </w:r>
      <w:r w:rsidR="00805C44" w:rsidRPr="007D7496">
        <w:rPr>
          <w:rFonts w:ascii="Times New Roman" w:eastAsia="Times New Roman" w:hAnsi="Times New Roman" w:cs="Times New Roman"/>
          <w:sz w:val="24"/>
          <w:szCs w:val="24"/>
          <w:lang w:eastAsia="pl-PL"/>
        </w:rPr>
        <w:t>liwości zostało powiązane z </w:t>
      </w:r>
      <w:r w:rsidRPr="007D7496">
        <w:rPr>
          <w:rFonts w:ascii="Times New Roman" w:eastAsia="Times New Roman" w:hAnsi="Times New Roman" w:cs="Times New Roman"/>
          <w:sz w:val="24"/>
          <w:szCs w:val="24"/>
          <w:lang w:eastAsia="pl-PL"/>
        </w:rPr>
        <w:t>dotychczasowym zakresem ich działania (katalogami przestępstw pozostających w ich właściwości). Ogólną kompetencję do st</w:t>
      </w:r>
      <w:r w:rsidR="00805C44" w:rsidRPr="007D7496">
        <w:rPr>
          <w:rFonts w:ascii="Times New Roman" w:eastAsia="Times New Roman" w:hAnsi="Times New Roman" w:cs="Times New Roman"/>
          <w:sz w:val="24"/>
          <w:szCs w:val="24"/>
          <w:lang w:eastAsia="pl-PL"/>
        </w:rPr>
        <w:t>osowania kontroli operacyjnej w </w:t>
      </w:r>
      <w:r w:rsidRPr="007D7496">
        <w:rPr>
          <w:rFonts w:ascii="Times New Roman" w:eastAsia="Times New Roman" w:hAnsi="Times New Roman" w:cs="Times New Roman"/>
          <w:sz w:val="24"/>
          <w:szCs w:val="24"/>
          <w:lang w:eastAsia="pl-PL"/>
        </w:rPr>
        <w:t>postępowaniach dotyczących wskazanych przestępstw przyznano jedynie Policji.</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Zmiana druga wprowadza możliwość stosowania kontroli operacyjnej przez Policję i</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inne służby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celu ujawnienia mienia zagrożonego przepadkiem.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uwagi na istotną dolegliwość takiej kontroli, możliwość ta jest ograniczona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dwojaki sposób – albo przez odwołanie się wyłącznie do przestępstw, wobec których dane służby mają uprawnienia śledcze (ABW, SKW oraz SWW i CBA)</w:t>
      </w:r>
      <w:r w:rsidR="001F7835">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albo poprzez odniesienie się do przepadku,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którym mowa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45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 lub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32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k.k.s., zatem mającego zastosowanie do spraw poważnych (prokuratura, Policja, SG, wywiad skarbowy, ŻW). To nowe uprawnienie powinno znacząco wpłynąć na skuteczne ujawnianie mienia zagrożonego przepadkiem,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konsekwencji na efektywność stosowania tego środka.</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Wskazane zmiany w zakresie stosowania kontroli operacyjnej są konieczne dla osiągnięcia celów ustawy, a skala dopuszczanej ingerencji proporcjonalna do wagi chronionych dóbr.</w:t>
      </w:r>
    </w:p>
    <w:p w:rsidR="00065CF0" w:rsidRPr="007D7496" w:rsidRDefault="00065CF0" w:rsidP="000B6F4A">
      <w:pPr>
        <w:suppressAutoHyphen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7. Proponowane zmiany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przepisach obowiązujących związanych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Krajowym Biurem do spraw Odzyskiwania Mienia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zakresie wykonywania czynności operacyjno</w:t>
      </w:r>
      <w:r w:rsidR="003614AD" w:rsidRPr="007D7496">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rozpoznawczych</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Zaproponowane zmiany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20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 oraz 5a</w:t>
      </w:r>
      <w:r w:rsidR="003614AD"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5b ustawy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Policji stanowią wykonanie obowiązku wynikającego z art. 9 </w:t>
      </w:r>
      <w:r w:rsidR="001F7835">
        <w:rPr>
          <w:rFonts w:ascii="Times New Roman" w:eastAsia="Times New Roman" w:hAnsi="Times New Roman" w:cs="Times New Roman"/>
          <w:bCs/>
          <w:sz w:val="24"/>
          <w:szCs w:val="24"/>
          <w:lang w:eastAsia="pl-PL"/>
        </w:rPr>
        <w:t>d</w:t>
      </w:r>
      <w:r w:rsidRPr="007D7496">
        <w:rPr>
          <w:rFonts w:ascii="Times New Roman" w:eastAsia="Times New Roman" w:hAnsi="Times New Roman" w:cs="Times New Roman"/>
          <w:bCs/>
          <w:sz w:val="24"/>
          <w:szCs w:val="24"/>
          <w:lang w:eastAsia="pl-PL"/>
        </w:rPr>
        <w:t>yrektywy 2014/42/UE – podjęcia niezbędnych działań umożliwiających wykrycie i śledzenie mienia, które ma być objęte zabezpieczeniem i przepadkiem, oraz wykonanie orzeczonego przepadku.</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tym celu zaproponowano bardziej precyzyjne, enumeratywne uregulowanie zakresu uprawnień Policji dotyczących występowania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toku czynności operacyjno</w:t>
      </w:r>
      <w:r w:rsidR="003614AD" w:rsidRPr="007D7496">
        <w:rPr>
          <w:rFonts w:ascii="Times New Roman" w:eastAsia="Times New Roman" w:hAnsi="Times New Roman" w:cs="Times New Roman"/>
          <w:bCs/>
          <w:sz w:val="24"/>
          <w:szCs w:val="24"/>
          <w:lang w:eastAsia="pl-PL"/>
        </w:rPr>
        <w:t>-</w:t>
      </w:r>
      <w:r w:rsidR="003614AD" w:rsidRPr="007D7496">
        <w:rPr>
          <w:rFonts w:ascii="Times New Roman" w:eastAsia="Times New Roman" w:hAnsi="Times New Roman" w:cs="Times New Roman"/>
          <w:bCs/>
          <w:sz w:val="24"/>
          <w:szCs w:val="24"/>
          <w:lang w:eastAsia="pl-PL"/>
        </w:rPr>
        <w:br/>
      </w:r>
      <w:r w:rsidR="000B6F4A" w:rsidRPr="007D7496">
        <w:rPr>
          <w:rFonts w:ascii="Times New Roman" w:eastAsia="Times New Roman" w:hAnsi="Times New Roman" w:cs="Times New Roman"/>
          <w:bCs/>
          <w:sz w:val="24"/>
          <w:szCs w:val="24"/>
          <w:lang w:eastAsia="pl-PL"/>
        </w:rPr>
        <w:lastRenderedPageBreak/>
        <w:t>-</w:t>
      </w:r>
      <w:r w:rsidRPr="007D7496">
        <w:rPr>
          <w:rFonts w:ascii="Times New Roman" w:eastAsia="Times New Roman" w:hAnsi="Times New Roman" w:cs="Times New Roman"/>
          <w:bCs/>
          <w:sz w:val="24"/>
          <w:szCs w:val="24"/>
          <w:lang w:eastAsia="pl-PL"/>
        </w:rPr>
        <w:t>rozpoznawczych do właściwego sądu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wyrażenie zgody na udostępnienie przez organy administracji skarbowej, banki, biur</w:t>
      </w:r>
      <w:r w:rsidR="00805C44" w:rsidRPr="007D7496">
        <w:rPr>
          <w:rFonts w:ascii="Times New Roman" w:eastAsia="Times New Roman" w:hAnsi="Times New Roman" w:cs="Times New Roman"/>
          <w:bCs/>
          <w:sz w:val="24"/>
          <w:szCs w:val="24"/>
          <w:lang w:eastAsia="pl-PL"/>
        </w:rPr>
        <w:t>a maklerskie, giełdy towarowe i </w:t>
      </w:r>
      <w:r w:rsidRPr="007D7496">
        <w:rPr>
          <w:rFonts w:ascii="Times New Roman" w:eastAsia="Times New Roman" w:hAnsi="Times New Roman" w:cs="Times New Roman"/>
          <w:bCs/>
          <w:sz w:val="24"/>
          <w:szCs w:val="24"/>
          <w:lang w:eastAsia="pl-PL"/>
        </w:rPr>
        <w:t>spółdzielcze kasy oszczędnościowo</w:t>
      </w:r>
      <w:r w:rsidR="000B6F4A"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pożyczkowe informacji stanowiących tajemnicę bankową, skarbową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zawodową.</w:t>
      </w:r>
    </w:p>
    <w:p w:rsidR="00065CF0" w:rsidRPr="007D7496" w:rsidRDefault="00065CF0" w:rsidP="000B6F4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Policja,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celu skutecznego zapobieżenia przestępstwom określonym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19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ustawy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Policji oraz ich wykrycia, ustalenia ich sprawców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utrwalenia dowodów, a</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także wykrycia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identyfikacji przedmiotów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innych korzyści majątkowych pochodzących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tych przestępstw albo ich równowartości, będzie mogła nieodpłatnie korzystać z:</w:t>
      </w:r>
    </w:p>
    <w:p w:rsidR="00065CF0" w:rsidRPr="007D7496" w:rsidRDefault="0084490C"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informacji objętych tajemnicą dotyczącą umów ubezpieczenia, przetwarzanych przez zakłady ubezpieczeń lub uprawnionych pośredników ubezpieczeniowych;</w:t>
      </w:r>
    </w:p>
    <w:p w:rsidR="00065CF0" w:rsidRPr="007D7496" w:rsidRDefault="0084490C"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informacji stanowiących tajemnicę bankową, przetwarzanych przez banki i</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inne podmioty;</w:t>
      </w:r>
    </w:p>
    <w:p w:rsidR="00065CF0" w:rsidRPr="007D7496" w:rsidRDefault="0084490C"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informacji stanowiących tajemnicę skarbową, przetwarzanych przez organy administracji rządowej i</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samorządu terytorialnego;</w:t>
      </w:r>
    </w:p>
    <w:p w:rsidR="00065CF0" w:rsidRPr="007D7496" w:rsidRDefault="0084490C"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informacji stanowiących tajemnicę zawodową, przetwarzanych przez fundusze inwestycyjne;</w:t>
      </w:r>
    </w:p>
    <w:p w:rsidR="00065CF0" w:rsidRPr="007D7496" w:rsidRDefault="0084490C"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informacji stanowiących tajemnicę zawodową przetwarzanych przez podmioty wykonujące działalność w</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zakresie obrotu papierami wartościowymi i</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innymi instrumentami finansowymi na podstawie ustawy 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dnia 29</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lipca 2005</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r. o</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obrocie instrumentami finansowymi (Dz.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U. 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201</w:t>
      </w:r>
      <w:r w:rsidR="00B60630">
        <w:rPr>
          <w:rFonts w:ascii="Times New Roman" w:eastAsia="Times New Roman" w:hAnsi="Times New Roman" w:cs="Times New Roman"/>
          <w:bCs/>
          <w:sz w:val="24"/>
          <w:szCs w:val="24"/>
          <w:lang w:eastAsia="pl-PL"/>
        </w:rPr>
        <w:t>6</w:t>
      </w:r>
      <w:r w:rsidR="001F7835">
        <w:rPr>
          <w:rFonts w:ascii="Times New Roman" w:eastAsia="Times New Roman" w:hAnsi="Times New Roman" w:cs="Times New Roman"/>
          <w:bCs/>
          <w:sz w:val="24"/>
          <w:szCs w:val="24"/>
          <w:lang w:eastAsia="pl-PL"/>
        </w:rPr>
        <w:t xml:space="preserve"> r.</w:t>
      </w:r>
      <w:r w:rsidR="00065CF0" w:rsidRPr="007D7496">
        <w:rPr>
          <w:rFonts w:ascii="Times New Roman" w:eastAsia="Times New Roman" w:hAnsi="Times New Roman" w:cs="Times New Roman"/>
          <w:bCs/>
          <w:sz w:val="24"/>
          <w:szCs w:val="24"/>
          <w:lang w:eastAsia="pl-PL"/>
        </w:rPr>
        <w:t xml:space="preserve"> poz.</w:t>
      </w:r>
      <w:r w:rsidR="00B60630">
        <w:rPr>
          <w:rFonts w:ascii="Times New Roman" w:eastAsia="Times New Roman" w:hAnsi="Times New Roman" w:cs="Times New Roman"/>
          <w:bCs/>
          <w:sz w:val="24"/>
          <w:szCs w:val="24"/>
          <w:lang w:eastAsia="pl-PL"/>
        </w:rPr>
        <w:t xml:space="preserve"> 1630, 1948 i 1997</w:t>
      </w:r>
      <w:r w:rsidR="00065CF0" w:rsidRPr="007D7496">
        <w:rPr>
          <w:rFonts w:ascii="Times New Roman" w:eastAsia="Times New Roman" w:hAnsi="Times New Roman" w:cs="Times New Roman"/>
          <w:bCs/>
          <w:sz w:val="24"/>
          <w:szCs w:val="24"/>
          <w:lang w:eastAsia="pl-PL"/>
        </w:rPr>
        <w:t>);</w:t>
      </w:r>
    </w:p>
    <w:p w:rsidR="00065CF0" w:rsidRPr="007D7496" w:rsidRDefault="0084490C"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informacji stanowiących tajemnicę zawodową przetwarzanych przez podmioty wykonujące działalność na podstawie ustawy 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dnia 26</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października 2004</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r. o</w:t>
      </w:r>
      <w:r w:rsidR="00805C44" w:rsidRPr="007D7496">
        <w:rPr>
          <w:rFonts w:ascii="Times New Roman" w:eastAsia="Times New Roman" w:hAnsi="Times New Roman" w:cs="Times New Roman"/>
          <w:bCs/>
          <w:sz w:val="24"/>
          <w:szCs w:val="24"/>
          <w:lang w:eastAsia="pl-PL"/>
        </w:rPr>
        <w:t> </w:t>
      </w:r>
      <w:r w:rsidR="00065CF0" w:rsidRPr="007D7496">
        <w:rPr>
          <w:rFonts w:ascii="Times New Roman" w:eastAsia="Times New Roman" w:hAnsi="Times New Roman" w:cs="Times New Roman"/>
          <w:bCs/>
          <w:sz w:val="24"/>
          <w:szCs w:val="24"/>
          <w:lang w:eastAsia="pl-PL"/>
        </w:rPr>
        <w:t>giełdach towarowych (Dz.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U. 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2016</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r. poz.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719</w:t>
      </w:r>
      <w:r w:rsidR="00B60630">
        <w:rPr>
          <w:rFonts w:ascii="Times New Roman" w:eastAsia="Times New Roman" w:hAnsi="Times New Roman" w:cs="Times New Roman"/>
          <w:bCs/>
          <w:sz w:val="24"/>
          <w:szCs w:val="24"/>
          <w:lang w:eastAsia="pl-PL"/>
        </w:rPr>
        <w:t>, 831,</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904</w:t>
      </w:r>
      <w:r w:rsidR="00B60630">
        <w:rPr>
          <w:rFonts w:ascii="Times New Roman" w:eastAsia="Times New Roman" w:hAnsi="Times New Roman" w:cs="Times New Roman"/>
          <w:bCs/>
          <w:sz w:val="24"/>
          <w:szCs w:val="24"/>
          <w:lang w:eastAsia="pl-PL"/>
        </w:rPr>
        <w:t xml:space="preserve"> i 1948</w:t>
      </w:r>
      <w:r w:rsidR="00065CF0" w:rsidRPr="007D7496">
        <w:rPr>
          <w:rFonts w:ascii="Times New Roman" w:eastAsia="Times New Roman" w:hAnsi="Times New Roman" w:cs="Times New Roman"/>
          <w:bCs/>
          <w:sz w:val="24"/>
          <w:szCs w:val="24"/>
          <w:lang w:eastAsia="pl-PL"/>
        </w:rPr>
        <w:t>);</w:t>
      </w:r>
    </w:p>
    <w:p w:rsidR="00065CF0" w:rsidRPr="007D7496" w:rsidRDefault="0084490C"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informacji stanowiących dane indywidualne przetwarzane przez Zakład Ubezpieczeń Społecznych;</w:t>
      </w:r>
    </w:p>
    <w:p w:rsidR="00065CF0" w:rsidRPr="007D7496" w:rsidRDefault="0084490C"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informacji stanowiących tajemnicę zawodową w</w:t>
      </w:r>
      <w:r w:rsidR="00D2432C" w:rsidRPr="007D7496">
        <w:rPr>
          <w:rFonts w:ascii="Times New Roman" w:eastAsia="Times New Roman" w:hAnsi="Times New Roman" w:cs="Times New Roman"/>
          <w:bCs/>
          <w:sz w:val="24"/>
          <w:szCs w:val="24"/>
          <w:lang w:eastAsia="pl-PL"/>
        </w:rPr>
        <w:t xml:space="preserve"> </w:t>
      </w:r>
      <w:r w:rsidR="00805C44" w:rsidRPr="007D7496">
        <w:rPr>
          <w:rFonts w:ascii="Times New Roman" w:eastAsia="Times New Roman" w:hAnsi="Times New Roman" w:cs="Times New Roman"/>
          <w:bCs/>
          <w:sz w:val="24"/>
          <w:szCs w:val="24"/>
          <w:lang w:eastAsia="pl-PL"/>
        </w:rPr>
        <w:t>rozumieniu ustawy z dnia 5 </w:t>
      </w:r>
      <w:r w:rsidR="00065CF0" w:rsidRPr="007D7496">
        <w:rPr>
          <w:rFonts w:ascii="Times New Roman" w:eastAsia="Times New Roman" w:hAnsi="Times New Roman" w:cs="Times New Roman"/>
          <w:bCs/>
          <w:sz w:val="24"/>
          <w:szCs w:val="24"/>
          <w:lang w:eastAsia="pl-PL"/>
        </w:rPr>
        <w:t>listopada 2009 r. o spółdzielczych kasach oszczędnościowo-kredytowych (Dz.</w:t>
      </w:r>
      <w:r w:rsidR="00805C44" w:rsidRPr="007D7496">
        <w:rPr>
          <w:rFonts w:ascii="Times New Roman" w:eastAsia="Times New Roman" w:hAnsi="Times New Roman" w:cs="Times New Roman"/>
          <w:bCs/>
          <w:sz w:val="24"/>
          <w:szCs w:val="24"/>
          <w:lang w:eastAsia="pl-PL"/>
        </w:rPr>
        <w:t> </w:t>
      </w:r>
      <w:r w:rsidR="00065CF0" w:rsidRPr="007D7496">
        <w:rPr>
          <w:rFonts w:ascii="Times New Roman" w:eastAsia="Times New Roman" w:hAnsi="Times New Roman" w:cs="Times New Roman"/>
          <w:bCs/>
          <w:sz w:val="24"/>
          <w:szCs w:val="24"/>
          <w:lang w:eastAsia="pl-PL"/>
        </w:rPr>
        <w:t>U.</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201</w:t>
      </w:r>
      <w:r w:rsidR="00B60630">
        <w:rPr>
          <w:rFonts w:ascii="Times New Roman" w:eastAsia="Times New Roman" w:hAnsi="Times New Roman" w:cs="Times New Roman"/>
          <w:bCs/>
          <w:sz w:val="24"/>
          <w:szCs w:val="24"/>
          <w:lang w:eastAsia="pl-PL"/>
        </w:rPr>
        <w:t>6</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r. poz.</w:t>
      </w:r>
      <w:r w:rsidR="00B60630">
        <w:rPr>
          <w:rFonts w:ascii="Times New Roman" w:eastAsia="Times New Roman" w:hAnsi="Times New Roman" w:cs="Times New Roman"/>
          <w:bCs/>
          <w:sz w:val="24"/>
          <w:szCs w:val="24"/>
          <w:lang w:eastAsia="pl-PL"/>
        </w:rPr>
        <w:t xml:space="preserve"> 1910, 1948 i 1997</w:t>
      </w:r>
      <w:r w:rsidR="00065CF0" w:rsidRPr="007D7496">
        <w:rPr>
          <w:rFonts w:ascii="Times New Roman" w:eastAsia="Times New Roman" w:hAnsi="Times New Roman" w:cs="Times New Roman"/>
          <w:bCs/>
          <w:sz w:val="24"/>
          <w:szCs w:val="24"/>
          <w:lang w:eastAsia="pl-PL"/>
        </w:rPr>
        <w:t>).</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Przestępstwa opisane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19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ustawy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Policji są najpoważniejszymi zbrodniami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występkami. Konieczność skuteczniejszego ich zwalczania uzasadnia rozszerzenie możliwości uzyskiwania przez Policję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toku czynności operacyjno</w:t>
      </w:r>
      <w:r w:rsidR="00F94E73"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rozpoznawczych informacji ich dotyczących. Rozszerzenie to nie będzie dotyczyć czynów zabronionych </w:t>
      </w:r>
      <w:r w:rsidRPr="007D7496">
        <w:rPr>
          <w:rFonts w:ascii="Times New Roman" w:eastAsia="Times New Roman" w:hAnsi="Times New Roman" w:cs="Times New Roman"/>
          <w:bCs/>
          <w:sz w:val="24"/>
          <w:szCs w:val="24"/>
          <w:lang w:eastAsia="pl-PL"/>
        </w:rPr>
        <w:lastRenderedPageBreak/>
        <w:t>niewymienionych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katalogu opisanym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19</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ustawy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Policji, mających często mniejszą szkodliwość.</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Wyjątki od zasady, iż informacje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dane Policja będzie uzyskiwać na mocy postanowienia sądu, określono również enumeratywnie, dodając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20</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ustawy o</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Policji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5a. Dotyczą one ograniczonego zakresu informacji określonych w:</w:t>
      </w:r>
    </w:p>
    <w:p w:rsidR="00065CF0" w:rsidRPr="007D7496" w:rsidRDefault="00F00786"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ustawie 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dnia 29</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sierpnia 1997</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r. – Ordynacja podatkowa (</w:t>
      </w:r>
      <w:r w:rsidR="00404A9A">
        <w:rPr>
          <w:rFonts w:ascii="Times New Roman" w:eastAsia="Times New Roman" w:hAnsi="Times New Roman" w:cs="Times New Roman"/>
          <w:bCs/>
          <w:sz w:val="24"/>
          <w:szCs w:val="24"/>
          <w:lang w:eastAsia="pl-PL"/>
        </w:rPr>
        <w:t>Dz. U. z 2015 r. poz. </w:t>
      </w:r>
      <w:r w:rsidR="00404A9A" w:rsidRPr="00404A9A">
        <w:rPr>
          <w:rFonts w:ascii="Times New Roman" w:eastAsia="Times New Roman" w:hAnsi="Times New Roman" w:cs="Times New Roman"/>
          <w:bCs/>
          <w:sz w:val="24"/>
          <w:szCs w:val="24"/>
          <w:lang w:eastAsia="pl-PL"/>
        </w:rPr>
        <w:t>613, z późn. zm.</w:t>
      </w:r>
      <w:r w:rsidR="00065CF0" w:rsidRPr="007D7496">
        <w:rPr>
          <w:rFonts w:ascii="Times New Roman" w:eastAsia="Times New Roman" w:hAnsi="Times New Roman" w:cs="Times New Roman"/>
          <w:bCs/>
          <w:sz w:val="24"/>
          <w:szCs w:val="24"/>
          <w:lang w:eastAsia="pl-PL"/>
        </w:rPr>
        <w:t>);</w:t>
      </w:r>
    </w:p>
    <w:p w:rsidR="00065CF0" w:rsidRPr="007D7496" w:rsidRDefault="00F00786"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ustawie 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dnia 13</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października 1995</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r. o</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zasadach ewidencji i</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identyfikacji podatników i</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płatników (Dz.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 xml:space="preserve">U. </w:t>
      </w:r>
      <w:r w:rsidR="00404A9A" w:rsidRPr="00404A9A">
        <w:rPr>
          <w:rFonts w:ascii="Times New Roman" w:eastAsia="Times New Roman" w:hAnsi="Times New Roman" w:cs="Times New Roman"/>
          <w:bCs/>
          <w:sz w:val="24"/>
          <w:szCs w:val="24"/>
          <w:lang w:eastAsia="pl-PL"/>
        </w:rPr>
        <w:t>z 2016 r. poz. 476</w:t>
      </w:r>
      <w:r w:rsidR="00B60630">
        <w:rPr>
          <w:rFonts w:ascii="Times New Roman" w:eastAsia="Times New Roman" w:hAnsi="Times New Roman" w:cs="Times New Roman"/>
          <w:bCs/>
          <w:sz w:val="24"/>
          <w:szCs w:val="24"/>
          <w:lang w:eastAsia="pl-PL"/>
        </w:rPr>
        <w:t>, 1948 i 2024</w:t>
      </w:r>
      <w:r w:rsidR="00065CF0" w:rsidRPr="007D7496">
        <w:rPr>
          <w:rFonts w:ascii="Times New Roman" w:eastAsia="Times New Roman" w:hAnsi="Times New Roman" w:cs="Times New Roman"/>
          <w:bCs/>
          <w:sz w:val="24"/>
          <w:szCs w:val="24"/>
          <w:lang w:eastAsia="pl-PL"/>
        </w:rPr>
        <w:t>)</w:t>
      </w:r>
    </w:p>
    <w:p w:rsidR="00065CF0" w:rsidRPr="007D7496" w:rsidRDefault="00F00786"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stanowiących tajemnicę skarbową, przetwarzanych przez organy administracji rządowej i samorządu terytorialnego;</w:t>
      </w:r>
    </w:p>
    <w:p w:rsidR="00065CF0" w:rsidRPr="007D7496" w:rsidRDefault="00F94E73"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ustawie z dnia 5 listopada 2009 r. o spółdzielczych kasach oszczędnościowo-</w:t>
      </w:r>
      <w:r w:rsidR="00F00786" w:rsidRPr="007D7496">
        <w:rPr>
          <w:rFonts w:ascii="Times New Roman" w:eastAsia="Times New Roman" w:hAnsi="Times New Roman" w:cs="Times New Roman"/>
          <w:bCs/>
          <w:sz w:val="24"/>
          <w:szCs w:val="24"/>
          <w:lang w:eastAsia="pl-PL"/>
        </w:rPr>
        <w:br/>
        <w:t>-</w:t>
      </w:r>
      <w:r w:rsidR="00065CF0" w:rsidRPr="007D7496">
        <w:rPr>
          <w:rFonts w:ascii="Times New Roman" w:eastAsia="Times New Roman" w:hAnsi="Times New Roman" w:cs="Times New Roman"/>
          <w:bCs/>
          <w:sz w:val="24"/>
          <w:szCs w:val="24"/>
          <w:lang w:eastAsia="pl-PL"/>
        </w:rPr>
        <w:t>kredytowych;</w:t>
      </w:r>
    </w:p>
    <w:p w:rsidR="00065CF0" w:rsidRPr="007D7496" w:rsidRDefault="00F94E73"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ustawie z dnia 29 sierpnia 1997 r. – Prawo bankow</w:t>
      </w:r>
      <w:r w:rsidR="00B60630">
        <w:rPr>
          <w:rFonts w:ascii="Times New Roman" w:eastAsia="Times New Roman" w:hAnsi="Times New Roman" w:cs="Times New Roman"/>
          <w:bCs/>
          <w:sz w:val="24"/>
          <w:szCs w:val="24"/>
          <w:lang w:eastAsia="pl-PL"/>
        </w:rPr>
        <w:t>e (Dz. U. z 2016</w:t>
      </w:r>
      <w:r w:rsidR="00805C44" w:rsidRPr="007D7496">
        <w:rPr>
          <w:rFonts w:ascii="Times New Roman" w:eastAsia="Times New Roman" w:hAnsi="Times New Roman" w:cs="Times New Roman"/>
          <w:bCs/>
          <w:sz w:val="24"/>
          <w:szCs w:val="24"/>
          <w:lang w:eastAsia="pl-PL"/>
        </w:rPr>
        <w:t xml:space="preserve"> r. poz. </w:t>
      </w:r>
      <w:r w:rsidR="00B60630">
        <w:rPr>
          <w:rFonts w:ascii="Times New Roman" w:eastAsia="Times New Roman" w:hAnsi="Times New Roman" w:cs="Times New Roman"/>
          <w:bCs/>
          <w:sz w:val="24"/>
          <w:szCs w:val="24"/>
          <w:lang w:eastAsia="pl-PL"/>
        </w:rPr>
        <w:t>1988 i 1997</w:t>
      </w:r>
      <w:r w:rsidR="00065CF0" w:rsidRPr="007D7496">
        <w:rPr>
          <w:rFonts w:ascii="Times New Roman" w:eastAsia="Times New Roman" w:hAnsi="Times New Roman" w:cs="Times New Roman"/>
          <w:bCs/>
          <w:sz w:val="24"/>
          <w:szCs w:val="24"/>
          <w:lang w:eastAsia="pl-PL"/>
        </w:rPr>
        <w:t>);</w:t>
      </w:r>
    </w:p>
    <w:p w:rsidR="00065CF0" w:rsidRPr="007D7496" w:rsidRDefault="00F94E73"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ustawie z dnia 13 października 1998 r. o system</w:t>
      </w:r>
      <w:r w:rsidR="00805C44" w:rsidRPr="007D7496">
        <w:rPr>
          <w:rFonts w:ascii="Times New Roman" w:eastAsia="Times New Roman" w:hAnsi="Times New Roman" w:cs="Times New Roman"/>
          <w:bCs/>
          <w:sz w:val="24"/>
          <w:szCs w:val="24"/>
          <w:lang w:eastAsia="pl-PL"/>
        </w:rPr>
        <w:t>ie ubezpieczeń społecznych (Dz. </w:t>
      </w:r>
      <w:r w:rsidR="00065CF0" w:rsidRPr="007D7496">
        <w:rPr>
          <w:rFonts w:ascii="Times New Roman" w:eastAsia="Times New Roman" w:hAnsi="Times New Roman" w:cs="Times New Roman"/>
          <w:bCs/>
          <w:sz w:val="24"/>
          <w:szCs w:val="24"/>
          <w:lang w:eastAsia="pl-PL"/>
        </w:rPr>
        <w:t xml:space="preserve">U. </w:t>
      </w:r>
      <w:r w:rsidR="001F7835">
        <w:rPr>
          <w:rFonts w:ascii="Times New Roman" w:eastAsia="Times New Roman" w:hAnsi="Times New Roman" w:cs="Times New Roman"/>
          <w:bCs/>
          <w:sz w:val="24"/>
          <w:szCs w:val="24"/>
          <w:lang w:eastAsia="pl-PL"/>
        </w:rPr>
        <w:t xml:space="preserve">z </w:t>
      </w:r>
      <w:r w:rsidR="00065CF0" w:rsidRPr="007D7496">
        <w:rPr>
          <w:rFonts w:ascii="Times New Roman" w:eastAsia="Times New Roman" w:hAnsi="Times New Roman" w:cs="Times New Roman"/>
          <w:bCs/>
          <w:sz w:val="24"/>
          <w:szCs w:val="24"/>
          <w:lang w:eastAsia="pl-PL"/>
        </w:rPr>
        <w:t>2016 r. poz. 963</w:t>
      </w:r>
      <w:r w:rsidR="00B60630">
        <w:rPr>
          <w:rFonts w:ascii="Times New Roman" w:eastAsia="Times New Roman" w:hAnsi="Times New Roman" w:cs="Times New Roman"/>
          <w:bCs/>
          <w:sz w:val="24"/>
          <w:szCs w:val="24"/>
          <w:lang w:eastAsia="pl-PL"/>
        </w:rPr>
        <w:t>, z późn. zm.</w:t>
      </w:r>
      <w:r w:rsidR="00065CF0" w:rsidRPr="007D7496">
        <w:rPr>
          <w:rFonts w:ascii="Times New Roman" w:eastAsia="Times New Roman" w:hAnsi="Times New Roman" w:cs="Times New Roman"/>
          <w:bCs/>
          <w:sz w:val="24"/>
          <w:szCs w:val="24"/>
          <w:lang w:eastAsia="pl-PL"/>
        </w:rPr>
        <w:t>);</w:t>
      </w:r>
    </w:p>
    <w:p w:rsidR="00065CF0" w:rsidRPr="007D7496" w:rsidRDefault="00F94E73"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ustawie z dnia 26 października 2000 r. o giełdach towarowych (Dz. U. z 2016 r. poz. 719</w:t>
      </w:r>
      <w:r w:rsidR="00B60630">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 xml:space="preserve"> 904</w:t>
      </w:r>
      <w:r w:rsidR="00B60630">
        <w:rPr>
          <w:rFonts w:ascii="Times New Roman" w:eastAsia="Times New Roman" w:hAnsi="Times New Roman" w:cs="Times New Roman"/>
          <w:bCs/>
          <w:sz w:val="24"/>
          <w:szCs w:val="24"/>
          <w:lang w:eastAsia="pl-PL"/>
        </w:rPr>
        <w:t xml:space="preserve"> i 1948</w:t>
      </w:r>
      <w:r w:rsidR="00065CF0" w:rsidRPr="007D7496">
        <w:rPr>
          <w:rFonts w:ascii="Times New Roman" w:eastAsia="Times New Roman" w:hAnsi="Times New Roman" w:cs="Times New Roman"/>
          <w:bCs/>
          <w:sz w:val="24"/>
          <w:szCs w:val="24"/>
          <w:lang w:eastAsia="pl-PL"/>
        </w:rPr>
        <w:t>);</w:t>
      </w:r>
    </w:p>
    <w:p w:rsidR="00065CF0" w:rsidRPr="007D7496" w:rsidRDefault="00F94E73"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ustawie z dnia 27 maja 2004 r. o funduszach inwestycyjnych i zarządzaniu alternatywnymi funduszami inwestycyjnymi (Dz.</w:t>
      </w:r>
      <w:r w:rsidR="00805C44" w:rsidRPr="007D7496">
        <w:rPr>
          <w:rFonts w:ascii="Times New Roman" w:eastAsia="Times New Roman" w:hAnsi="Times New Roman" w:cs="Times New Roman"/>
          <w:bCs/>
          <w:sz w:val="24"/>
          <w:szCs w:val="24"/>
          <w:lang w:eastAsia="pl-PL"/>
        </w:rPr>
        <w:t xml:space="preserve"> U. </w:t>
      </w:r>
      <w:r w:rsidR="00404A9A" w:rsidRPr="00404A9A">
        <w:rPr>
          <w:rFonts w:ascii="Times New Roman" w:eastAsia="Times New Roman" w:hAnsi="Times New Roman" w:cs="Times New Roman"/>
          <w:bCs/>
          <w:sz w:val="24"/>
          <w:szCs w:val="24"/>
          <w:lang w:eastAsia="pl-PL"/>
        </w:rPr>
        <w:t>z 2016 r. poz. 1896</w:t>
      </w:r>
      <w:r w:rsidR="00B60630">
        <w:rPr>
          <w:rFonts w:ascii="Times New Roman" w:eastAsia="Times New Roman" w:hAnsi="Times New Roman" w:cs="Times New Roman"/>
          <w:bCs/>
          <w:sz w:val="24"/>
          <w:szCs w:val="24"/>
          <w:lang w:eastAsia="pl-PL"/>
        </w:rPr>
        <w:t xml:space="preserve"> i 1948</w:t>
      </w:r>
      <w:r w:rsidR="00065CF0" w:rsidRPr="007D7496">
        <w:rPr>
          <w:rFonts w:ascii="Times New Roman" w:eastAsia="Times New Roman" w:hAnsi="Times New Roman" w:cs="Times New Roman"/>
          <w:bCs/>
          <w:sz w:val="24"/>
          <w:szCs w:val="24"/>
          <w:lang w:eastAsia="pl-PL"/>
        </w:rPr>
        <w:t>);</w:t>
      </w:r>
    </w:p>
    <w:p w:rsidR="00065CF0" w:rsidRPr="007D7496" w:rsidRDefault="00F94E73"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ustawie z dnia 29 lipca 2005 r. o obrocie instrumentami finansowymi (Dz.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 xml:space="preserve">U. </w:t>
      </w:r>
      <w:r w:rsidR="00404A9A" w:rsidRPr="00404A9A">
        <w:rPr>
          <w:rFonts w:ascii="Times New Roman" w:eastAsia="Times New Roman" w:hAnsi="Times New Roman" w:cs="Times New Roman"/>
          <w:bCs/>
          <w:sz w:val="24"/>
          <w:szCs w:val="24"/>
          <w:lang w:eastAsia="pl-PL"/>
        </w:rPr>
        <w:t>z</w:t>
      </w:r>
      <w:r w:rsidR="00B60630">
        <w:rPr>
          <w:rFonts w:ascii="Times New Roman" w:eastAsia="Times New Roman" w:hAnsi="Times New Roman" w:cs="Times New Roman"/>
          <w:bCs/>
          <w:sz w:val="24"/>
          <w:szCs w:val="24"/>
          <w:lang w:eastAsia="pl-PL"/>
        </w:rPr>
        <w:t> </w:t>
      </w:r>
      <w:r w:rsidR="00404A9A" w:rsidRPr="00404A9A">
        <w:rPr>
          <w:rFonts w:ascii="Times New Roman" w:eastAsia="Times New Roman" w:hAnsi="Times New Roman" w:cs="Times New Roman"/>
          <w:bCs/>
          <w:sz w:val="24"/>
          <w:szCs w:val="24"/>
          <w:lang w:eastAsia="pl-PL"/>
        </w:rPr>
        <w:t>2016 r. poz. 1636</w:t>
      </w:r>
      <w:r w:rsidR="00B60630">
        <w:rPr>
          <w:rFonts w:ascii="Times New Roman" w:eastAsia="Times New Roman" w:hAnsi="Times New Roman" w:cs="Times New Roman"/>
          <w:bCs/>
          <w:sz w:val="24"/>
          <w:szCs w:val="24"/>
          <w:lang w:eastAsia="pl-PL"/>
        </w:rPr>
        <w:t xml:space="preserve">, </w:t>
      </w:r>
      <w:r w:rsidR="00B60630" w:rsidRPr="00B60630">
        <w:rPr>
          <w:rFonts w:ascii="Times New Roman" w:eastAsia="Times New Roman" w:hAnsi="Times New Roman" w:cs="Times New Roman"/>
          <w:bCs/>
          <w:sz w:val="24"/>
          <w:szCs w:val="24"/>
          <w:lang w:eastAsia="pl-PL"/>
        </w:rPr>
        <w:t>1948 i 1997</w:t>
      </w:r>
      <w:r w:rsidR="00065CF0" w:rsidRPr="007D7496">
        <w:rPr>
          <w:rFonts w:ascii="Times New Roman" w:eastAsia="Times New Roman" w:hAnsi="Times New Roman" w:cs="Times New Roman"/>
          <w:bCs/>
          <w:sz w:val="24"/>
          <w:szCs w:val="24"/>
          <w:lang w:eastAsia="pl-PL"/>
        </w:rPr>
        <w:t>);</w:t>
      </w:r>
    </w:p>
    <w:p w:rsidR="00065CF0" w:rsidRPr="007D7496" w:rsidRDefault="00F94E73"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 xml:space="preserve">ustawie z dnia 11 września 2015 r. o </w:t>
      </w:r>
      <w:r w:rsidR="00805C44" w:rsidRPr="007D7496">
        <w:rPr>
          <w:rFonts w:ascii="Times New Roman" w:eastAsia="Times New Roman" w:hAnsi="Times New Roman" w:cs="Times New Roman"/>
          <w:bCs/>
          <w:sz w:val="24"/>
          <w:szCs w:val="24"/>
          <w:lang w:eastAsia="pl-PL"/>
        </w:rPr>
        <w:t>działalności ubezpieczeniowej i </w:t>
      </w:r>
      <w:r w:rsidR="00065CF0" w:rsidRPr="007D7496">
        <w:rPr>
          <w:rFonts w:ascii="Times New Roman" w:eastAsia="Times New Roman" w:hAnsi="Times New Roman" w:cs="Times New Roman"/>
          <w:bCs/>
          <w:sz w:val="24"/>
          <w:szCs w:val="24"/>
          <w:lang w:eastAsia="pl-PL"/>
        </w:rPr>
        <w:t>reasekuracyjnej (Dz. U. poz. 1844 oraz z 2016 r. poz. 615</w:t>
      </w:r>
      <w:r w:rsidR="00B60630">
        <w:rPr>
          <w:rFonts w:ascii="Times New Roman" w:eastAsia="Times New Roman" w:hAnsi="Times New Roman" w:cs="Times New Roman"/>
          <w:bCs/>
          <w:sz w:val="24"/>
          <w:szCs w:val="24"/>
          <w:lang w:eastAsia="pl-PL"/>
        </w:rPr>
        <w:t xml:space="preserve"> i 1948</w:t>
      </w:r>
      <w:r w:rsidR="00065CF0" w:rsidRPr="007D7496">
        <w:rPr>
          <w:rFonts w:ascii="Times New Roman" w:eastAsia="Times New Roman" w:hAnsi="Times New Roman" w:cs="Times New Roman"/>
          <w:bCs/>
          <w:sz w:val="24"/>
          <w:szCs w:val="24"/>
          <w:lang w:eastAsia="pl-PL"/>
        </w:rPr>
        <w:t>).</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tych przypadkach przewiduje się możliwość udostępniania informacji i danych na wniosek Komendanta Głównego Policji albo komendanta wojewódzkiego (stołecznego) Policji lub upoważnionych przez nich policjantów. Udostępnienie danych może nastąpić również w drodze teletransmisji. Pisemne upoważnienie wydane będzie odpowiedniemu policjantowi przez Komendanta Głównego Policji, komendantów wojewódzkich Policji lub Komendanta Stołecznego Policji. Oznacza to, iż uzyskiwać tego rodzaju informacje będą mogli jedynie odpowiednio przeszkoleni policjanci.</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lastRenderedPageBreak/>
        <w:t xml:space="preserve">Należy podkreślić, iż zakres udostępnianych w powyżej opisanym trybie informacji będzie ograniczony i umożliwi dokonanie szybkich ustaleń o charakterze identyfikacyjnym </w:t>
      </w:r>
      <w:r w:rsidR="00F00786" w:rsidRPr="007D7496">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 xml:space="preserve"> tak zwane sprawdzenie hit/no hit (np. ustalenie faktu zawarcie umowy ubezpieczenia lub umowy o prowadzenie rachunku bankowego). Wyniki takiego sprawdzenia umożliwią weryfikację zasadności wystąpienia do właściwego sądu o zgodę na uzyskanie dostępu do danych i informacji.</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 xml:space="preserve">Tym samym projekt rozwija istniejący już obecnie dwutorowy mechanizm uzyskiwania przez Policję informacji finansowych (bankowych, ubezpieczeniowych, podatkowych itd.). Uzyskanie podstawowych danych (tzw. sprawdzenie hit/no hit), takich jak np. fakt posiadania rachunku czy polisy, możliwe powinno być na pisemny wniosek właściwego komendanta Policji. Uzyskanie szczegółowych danych i informacji np. o tym rachunku czy polisie odbywać się będzie jedynie za pośrednictwem, a zatem zgodą sądu. </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projekcie nie określono technicznej strony przeprowadzanej teletransmisji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uwagi na szybki postęp techniczny, który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przypadku wprowadzenia takich uregulowań mógłby powodować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przyszłości konieczność dokonywania zbędnej zmiany przepisów rangi ustawowej. Przekazywanie informacji będzie się odbywać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toku czynności operacyjno</w:t>
      </w:r>
      <w:r w:rsidR="00F00786"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rozpoznawczych. Będą więc one miały charakter niejawny, tym samym także teletransmisja będzie musiała być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odpowiedni sposób zabezpieczona przed możliwością udostępnienia ich osobom trzecim.</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Wprowadzenie przedmiotowej regulacji prawnej ma na celu podniesienie efektywności pracy Policji w skutecznym ujawnianiu, zabezpieczaniu i odzyskiwaniu mienia pochodzącego z przestępstw, a także usprawnienie realizowania funkcji Krajowego Biura do spraw Odzyskiwania Mienia, m.in. przez zapewnienie szybkiego uzyskiwania podstawowych danych identyfikujących osoby i należące do nich przedsiębiorstwa lub inne składniki majątkowe Szybkie uzyskiwanie takich informacji jest istotne dla identyfikacji przedmiotów pochodzących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lub innych korzyści majątkowych lub ich równowartości oraz ich dalszych poszukiwań, co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konsekwencji prowadzi do zapobiegania ich ukrywaniu.</w:t>
      </w:r>
    </w:p>
    <w:p w:rsidR="00065CF0" w:rsidRPr="007D7496" w:rsidRDefault="00065CF0" w:rsidP="00F94E73">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 xml:space="preserve">8. Proponowana zmiana definicji rzeczy ruchomej </w:t>
      </w:r>
      <w:r w:rsidR="00F00786"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115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9</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Projektowana zmiana ma na celu usunięcie wątpliwości odnośnie tego, czy środki pieniężne znajdujące się na rachunku płatniczym lub bankowym można uznać za rzecz ruchomą,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samym za dowód rzeczowy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sprawie. Do tej pory kwestia ta nie </w:t>
      </w:r>
      <w:r w:rsidRPr="007D7496">
        <w:rPr>
          <w:rFonts w:ascii="Times New Roman" w:eastAsia="Times New Roman" w:hAnsi="Times New Roman" w:cs="Times New Roman"/>
          <w:bCs/>
          <w:sz w:val="24"/>
          <w:szCs w:val="24"/>
          <w:lang w:eastAsia="pl-PL"/>
        </w:rPr>
        <w:lastRenderedPageBreak/>
        <w:t>została jednoznacznie rozstrzygnięta przez ustawodawcę, co rodziło wątpliwości m.in. na gruncie prawa karnego procesowego.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celu wyjaśnienia powyższego zagadnienia przytoczyć można poglądy konsekwentnie wyrażane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orzecznictwie – por. wyroki SA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Szczecinie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30</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kwietnia 2014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r., II </w:t>
      </w:r>
      <w:proofErr w:type="spellStart"/>
      <w:r w:rsidRPr="007D7496">
        <w:rPr>
          <w:rFonts w:ascii="Times New Roman" w:eastAsia="Times New Roman" w:hAnsi="Times New Roman" w:cs="Times New Roman"/>
          <w:bCs/>
          <w:sz w:val="24"/>
          <w:szCs w:val="24"/>
          <w:lang w:eastAsia="pl-PL"/>
        </w:rPr>
        <w:t>AKa</w:t>
      </w:r>
      <w:proofErr w:type="spellEnd"/>
      <w:r w:rsidRPr="007D7496">
        <w:rPr>
          <w:rFonts w:ascii="Times New Roman" w:eastAsia="Times New Roman" w:hAnsi="Times New Roman" w:cs="Times New Roman"/>
          <w:bCs/>
          <w:sz w:val="24"/>
          <w:szCs w:val="24"/>
          <w:lang w:eastAsia="pl-PL"/>
        </w:rPr>
        <w:t xml:space="preserve"> 52/14 oraz SA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Warszawie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29</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stycznia 2014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r. II </w:t>
      </w:r>
      <w:proofErr w:type="spellStart"/>
      <w:r w:rsidRPr="007D7496">
        <w:rPr>
          <w:rFonts w:ascii="Times New Roman" w:eastAsia="Times New Roman" w:hAnsi="Times New Roman" w:cs="Times New Roman"/>
          <w:bCs/>
          <w:sz w:val="24"/>
          <w:szCs w:val="24"/>
          <w:lang w:eastAsia="pl-PL"/>
        </w:rPr>
        <w:t>AKa</w:t>
      </w:r>
      <w:proofErr w:type="spellEnd"/>
      <w:r w:rsidRPr="007D7496">
        <w:rPr>
          <w:rFonts w:ascii="Times New Roman" w:eastAsia="Times New Roman" w:hAnsi="Times New Roman" w:cs="Times New Roman"/>
          <w:bCs/>
          <w:sz w:val="24"/>
          <w:szCs w:val="24"/>
          <w:lang w:eastAsia="pl-PL"/>
        </w:rPr>
        <w:t xml:space="preserve"> 382/13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wedle których dopuszczalnym jest uznanie wymienionych środków za rzecz ruchomą. Kwestia ta została rozstrzygnięta na gruncie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284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zatem przestępstwa sprzeniewierzenia.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powołanych orzeczeniach wskazano, że przedmiotem tego przestępstwa może być każda rzecz ruchoma,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również pieniądz, który występuje albo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postaci gotówki albo jako pieniądz bezgotówkowy, np.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formie zapisu na rachunku bankowym.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związku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powyższym proponuje się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115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9</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 wskazanie wprost, że jako rzeczy ruchome rozumie się także środki pieniężne zapisane na rachunku bankowym, płatniczym czy jakimkolwiek innym.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punktu widzenia postępowania karnego rodzaj rachunku, na którym są przechowywane pieniądze nie ma żadnego znaczenia. Nie ma zatem także potrzeby precyzowania rodzaju rachunku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projektowanej definicji.</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Zmiana pozwoli na jednoznaczne przesądzenie, iż środki te stanowią rzecz ruchomą, a</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tym samym mogą zostać uznane za dowód rzeczowy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w:t>
      </w:r>
    </w:p>
    <w:p w:rsidR="00065CF0" w:rsidRPr="007D7496" w:rsidRDefault="00065CF0" w:rsidP="00F94E73">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9. Proponowane rozszerzenie zakresu penalizacj</w:t>
      </w:r>
      <w:r w:rsidR="00805C44" w:rsidRPr="007D7496">
        <w:rPr>
          <w:rFonts w:ascii="Times New Roman" w:eastAsia="Times New Roman" w:hAnsi="Times New Roman" w:cs="Times New Roman"/>
          <w:bCs/>
          <w:sz w:val="24"/>
          <w:szCs w:val="24"/>
          <w:lang w:eastAsia="pl-PL"/>
        </w:rPr>
        <w:t>i finasowania terroryzmu – art. </w:t>
      </w:r>
      <w:r w:rsidRPr="007D7496">
        <w:rPr>
          <w:rFonts w:ascii="Times New Roman" w:eastAsia="Times New Roman" w:hAnsi="Times New Roman" w:cs="Times New Roman"/>
          <w:bCs/>
          <w:sz w:val="24"/>
          <w:szCs w:val="24"/>
          <w:lang w:eastAsia="pl-PL"/>
        </w:rPr>
        <w:t>165a § 2 k.k.</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Projekt przewiduje wprowadzenie nowego typu czynu zabronionego, polegającego na nieumyślnym, materialnym wspieraniu działalności terrorystycznej. Opis strony przedmiotowej przestępstwa oparty został na odwołaniu do dotychczasowych znamion czasownikowych zawartych w art. 165a § 1 i uzupełniony o wskazanie szczególnych okoliczności działania sprawcy – uzasadnionego podejrzenia przestępnego przeznaczenia mienia. Zgodnie z zaproponowanym brzmieniem art. 165a § 2 k.k., karane będzie zatem gromadzenie, przekazywanie lub oferowanie środków płatniczych, instrumentów finansowych, papierów wartościowych, wartości dewizowych, praw majątkowych lub innego mienia ruchomego lub nieruchomości, w okolicznościach budzących uzasadnione podejrzenie, że mienie to posłu</w:t>
      </w:r>
      <w:r w:rsidR="00805C44" w:rsidRPr="007D7496">
        <w:rPr>
          <w:rFonts w:ascii="Times New Roman" w:eastAsia="Times New Roman" w:hAnsi="Times New Roman" w:cs="Times New Roman"/>
          <w:sz w:val="24"/>
          <w:szCs w:val="24"/>
          <w:lang w:eastAsia="pl-PL"/>
        </w:rPr>
        <w:t>ży sfinansowaniu przestępstwa o </w:t>
      </w:r>
      <w:r w:rsidRPr="007D7496">
        <w:rPr>
          <w:rFonts w:ascii="Times New Roman" w:eastAsia="Times New Roman" w:hAnsi="Times New Roman" w:cs="Times New Roman"/>
          <w:sz w:val="24"/>
          <w:szCs w:val="24"/>
          <w:lang w:eastAsia="pl-PL"/>
        </w:rPr>
        <w:t>charakterze terrorystycznym albo zostanie udostępnione zorganizowanej grupie lub związkowi mającym na celu popełnienie takiego przestępstwa lub osobie biorącej udział w takiej grupie lub związku.</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lastRenderedPageBreak/>
        <w:t>Celem proponowanej regulacji jest zapobieganie sytuacjom, w których zamiarem sprawcy nie jest objęte sfinansowanie konkretnego czynu terrorystycznego, osoby lub grupy osób (terrorystów), jednakże znane sprawcy okoliczności wskazują, iż takie przeznaczenie gromadzonego, przekazywanego lub oferowanego przezeń mienia jest wysoce prawdopodobne. Podejrzenie przestępnego przeznaczenia mienia musi przy tym wynikać z pewnego ciągu informacji, który, przy pomocy zasad logicznego rozumowania, pozwala założyć wykorzystania mienia w celu wsparcia działalności terrorystycznej. Nie może się natomiast opierać jedynie na domysłach, pogłoskach lub stereotypach.</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 xml:space="preserve">Z uwagi na niższy stopień winy sprawcy projektowanego przestępstwa proponuje się, by podlegał on łagodniejszej niż w typie podstawowym </w:t>
      </w:r>
      <w:r w:rsidR="00805C44" w:rsidRPr="007D7496">
        <w:rPr>
          <w:rFonts w:ascii="Times New Roman" w:eastAsia="Times New Roman" w:hAnsi="Times New Roman" w:cs="Times New Roman"/>
          <w:sz w:val="24"/>
          <w:szCs w:val="24"/>
          <w:lang w:eastAsia="pl-PL"/>
        </w:rPr>
        <w:t>(art. 165a § 1 k.k.) karze do 3 </w:t>
      </w:r>
      <w:r w:rsidRPr="007D7496">
        <w:rPr>
          <w:rFonts w:ascii="Times New Roman" w:eastAsia="Times New Roman" w:hAnsi="Times New Roman" w:cs="Times New Roman"/>
          <w:sz w:val="24"/>
          <w:szCs w:val="24"/>
          <w:lang w:eastAsia="pl-PL"/>
        </w:rPr>
        <w:t>lat pozbawienia wolności.</w:t>
      </w:r>
    </w:p>
    <w:p w:rsidR="00065CF0" w:rsidRPr="007D7496" w:rsidRDefault="00065CF0" w:rsidP="00F94E73">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10. Proponowane zmiany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zakresie procedury europejskiego nakazu aresztowania i</w:t>
      </w:r>
      <w:r w:rsidR="00EC422F">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ekstradycji –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605a k.p.k.,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607k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3a k.p.k.</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zakresie dotyczącym współpracy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ramach ekstradycji oraz europejskiego nakazu aresztowania (ENA) proponuje się zmiany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przepisach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605a k.p.k. oraz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607k §</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2a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3a k.p.k., przewidujących zatrzymanie oraz tymczasowe aresztowanie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związku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wykorzystaniem bazy danych Międzynarodowej Organizacji Policji Kryminalnej (Interpol) oraz Systemu Informacyjnego Schengen (SIS). Celem projektu jest zapewnienie spójności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precyzji rozwiązań,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także dostosowanie ich do zmian w</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zakresie wykorzystywania przez państwa wskazanych wyżej baz.</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System korzystania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baz danych Interpolu oraz SIS jest złożony. Wykorzystuje się je m.in. do poszukiwań osób ściganych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celu ich ekstradycji lub przekazania na podstawie ENA. Zarówno baza Interpol, jak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SIS mogą być wykorzystywane tak </w:t>
      </w:r>
      <w:r w:rsidR="000878D8">
        <w:rPr>
          <w:rFonts w:ascii="Times New Roman" w:eastAsia="Times New Roman" w:hAnsi="Times New Roman" w:cs="Times New Roman"/>
          <w:bCs/>
          <w:sz w:val="24"/>
          <w:szCs w:val="24"/>
          <w:lang w:eastAsia="pl-PL"/>
        </w:rPr>
        <w:t>na potrzeby</w:t>
      </w:r>
      <w:r w:rsidRPr="007D7496">
        <w:rPr>
          <w:rFonts w:ascii="Times New Roman" w:eastAsia="Times New Roman" w:hAnsi="Times New Roman" w:cs="Times New Roman"/>
          <w:bCs/>
          <w:sz w:val="24"/>
          <w:szCs w:val="24"/>
          <w:lang w:eastAsia="pl-PL"/>
        </w:rPr>
        <w:t xml:space="preserve"> wniosków ekstradycyjnych, jak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ENA.</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Z SIS korzystają:</w:t>
      </w:r>
    </w:p>
    <w:p w:rsidR="00065CF0" w:rsidRPr="007D7496" w:rsidRDefault="00F00786"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państwa członkowskie UE objęte strefą Schengen i</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działające w</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SIS 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wyjątkiem Cypru, Chorwacji i</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Irlandii, które nie należą do SIS. Państwa te stosują ENA,</w:t>
      </w:r>
    </w:p>
    <w:p w:rsidR="00065CF0" w:rsidRPr="007D7496" w:rsidRDefault="00F00786" w:rsidP="00F94E73">
      <w:pPr>
        <w:spacing w:after="0" w:line="360" w:lineRule="auto"/>
        <w:ind w:left="510" w:hanging="510"/>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t>
      </w:r>
      <w:r w:rsidR="00065CF0" w:rsidRPr="007D7496">
        <w:rPr>
          <w:rFonts w:ascii="Times New Roman" w:eastAsia="Times New Roman" w:hAnsi="Times New Roman" w:cs="Times New Roman"/>
          <w:bCs/>
          <w:sz w:val="24"/>
          <w:szCs w:val="24"/>
          <w:lang w:eastAsia="pl-PL"/>
        </w:rPr>
        <w:tab/>
        <w:t>niektóre państwa niebędące członkami UE, tj. Islandia, Norwegia, Liechtenstein i</w:t>
      </w:r>
      <w:r w:rsidR="00805C44" w:rsidRPr="007D7496">
        <w:rPr>
          <w:rFonts w:ascii="Times New Roman" w:eastAsia="Times New Roman" w:hAnsi="Times New Roman" w:cs="Times New Roman"/>
          <w:bCs/>
          <w:sz w:val="24"/>
          <w:szCs w:val="24"/>
          <w:lang w:eastAsia="pl-PL"/>
        </w:rPr>
        <w:t> </w:t>
      </w:r>
      <w:r w:rsidR="00065CF0" w:rsidRPr="007D7496">
        <w:rPr>
          <w:rFonts w:ascii="Times New Roman" w:eastAsia="Times New Roman" w:hAnsi="Times New Roman" w:cs="Times New Roman"/>
          <w:bCs/>
          <w:sz w:val="24"/>
          <w:szCs w:val="24"/>
          <w:lang w:eastAsia="pl-PL"/>
        </w:rPr>
        <w:t>Szwajcaria, które objęte są strefą Schengen i</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należą do SIS. Państwa te stosują ekstradycję.</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lastRenderedPageBreak/>
        <w:t>Z bazy Interpolu korzystają wszystkie państwa współpracujące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ramach Interpolu, w</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tym również te, które korzystają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SIS, oraz te, które do SIS nie należą. Państwa te stosują ekstradycję lub ENA.</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Poniżej omówiono obowiązujący stan prawny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zakresie danych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bazy Interpolu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SIS służących do zatrzymania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tymczasowego aresztowania na potrzeby ekstradycji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ENA.</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Dla zatrzymania osoby poszukiwanej wystarczające są dane pozwalające na jej identyfikację (imię, nazwisko, data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miejsce urodzenia, obywatelstwo, płeć) oraz dyspozycja, że osobę należy zatrzymać. Wskazany zakres informacji widoczny jest dla funkcjonariuszy Policji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Systemie Poszukiwań Policji (SPP).</w:t>
      </w:r>
    </w:p>
    <w:p w:rsidR="00065CF0" w:rsidRPr="007D7496" w:rsidRDefault="000878D8"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Na</w:t>
      </w:r>
      <w:r w:rsidR="00065CF0" w:rsidRPr="007D7496">
        <w:rPr>
          <w:rFonts w:ascii="Times New Roman" w:eastAsia="Times New Roman" w:hAnsi="Times New Roman" w:cs="Times New Roman"/>
          <w:bCs/>
          <w:sz w:val="24"/>
          <w:szCs w:val="24"/>
          <w:lang w:eastAsia="pl-PL"/>
        </w:rPr>
        <w:t xml:space="preserve"> potrzeb</w:t>
      </w:r>
      <w:r>
        <w:rPr>
          <w:rFonts w:ascii="Times New Roman" w:eastAsia="Times New Roman" w:hAnsi="Times New Roman" w:cs="Times New Roman"/>
          <w:bCs/>
          <w:sz w:val="24"/>
          <w:szCs w:val="24"/>
          <w:lang w:eastAsia="pl-PL"/>
        </w:rPr>
        <w:t>y</w:t>
      </w:r>
      <w:r w:rsidR="00065CF0" w:rsidRPr="007D7496">
        <w:rPr>
          <w:rFonts w:ascii="Times New Roman" w:eastAsia="Times New Roman" w:hAnsi="Times New Roman" w:cs="Times New Roman"/>
          <w:bCs/>
          <w:sz w:val="24"/>
          <w:szCs w:val="24"/>
          <w:lang w:eastAsia="pl-PL"/>
        </w:rPr>
        <w:t xml:space="preserve"> tymczasowego aresztowania konieczny jest szerszy zakres danych. Wynika to 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faktu, iż tymczasowe aresztowanie, 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uwagi na możliwy długi okres jego trwania oraz rygory związane 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jego wykonaniem, jest bardziej dotkliwe niż zatrzymanie. W</w:t>
      </w:r>
      <w:r w:rsidR="00805C44" w:rsidRPr="007D7496">
        <w:rPr>
          <w:rFonts w:ascii="Times New Roman" w:eastAsia="Times New Roman" w:hAnsi="Times New Roman" w:cs="Times New Roman"/>
          <w:bCs/>
          <w:sz w:val="24"/>
          <w:szCs w:val="24"/>
          <w:lang w:eastAsia="pl-PL"/>
        </w:rPr>
        <w:t> </w:t>
      </w:r>
      <w:r w:rsidR="00065CF0" w:rsidRPr="007D7496">
        <w:rPr>
          <w:rFonts w:ascii="Times New Roman" w:eastAsia="Times New Roman" w:hAnsi="Times New Roman" w:cs="Times New Roman"/>
          <w:bCs/>
          <w:sz w:val="24"/>
          <w:szCs w:val="24"/>
          <w:lang w:eastAsia="pl-PL"/>
        </w:rPr>
        <w:t>związku z</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tym za zastosowaniem tymczasowego aresztowania w</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związku z</w:t>
      </w:r>
      <w:r w:rsidR="00805C44" w:rsidRPr="007D7496">
        <w:rPr>
          <w:rFonts w:ascii="Times New Roman" w:eastAsia="Times New Roman" w:hAnsi="Times New Roman" w:cs="Times New Roman"/>
          <w:bCs/>
          <w:sz w:val="24"/>
          <w:szCs w:val="24"/>
          <w:lang w:eastAsia="pl-PL"/>
        </w:rPr>
        <w:t> </w:t>
      </w:r>
      <w:r w:rsidR="00065CF0" w:rsidRPr="007D7496">
        <w:rPr>
          <w:rFonts w:ascii="Times New Roman" w:eastAsia="Times New Roman" w:hAnsi="Times New Roman" w:cs="Times New Roman"/>
          <w:bCs/>
          <w:sz w:val="24"/>
          <w:szCs w:val="24"/>
          <w:lang w:eastAsia="pl-PL"/>
        </w:rPr>
        <w:t>ekstradycją, podobnie jak w</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przypadku ENA, powinny przemawiać dodatkowe informacje dotyczące tej osoby, tj. informacje o</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wydanym wyroku skazującym lub innej decyzji o</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pozbawieniu wolności. Informacje te zawarte są w</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bazie Interpolu i</w:t>
      </w:r>
      <w:r w:rsidR="00D2432C" w:rsidRPr="007D7496">
        <w:rPr>
          <w:rFonts w:ascii="Times New Roman" w:eastAsia="Times New Roman" w:hAnsi="Times New Roman" w:cs="Times New Roman"/>
          <w:bCs/>
          <w:sz w:val="24"/>
          <w:szCs w:val="24"/>
          <w:lang w:eastAsia="pl-PL"/>
        </w:rPr>
        <w:t xml:space="preserve"> </w:t>
      </w:r>
      <w:r w:rsidR="00065CF0" w:rsidRPr="007D7496">
        <w:rPr>
          <w:rFonts w:ascii="Times New Roman" w:eastAsia="Times New Roman" w:hAnsi="Times New Roman" w:cs="Times New Roman"/>
          <w:bCs/>
          <w:sz w:val="24"/>
          <w:szCs w:val="24"/>
          <w:lang w:eastAsia="pl-PL"/>
        </w:rPr>
        <w:t>SIS.</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Informacje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wyroku lub decyzji są dostępne dla prokuratora występującego z</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wnioskiem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zastosowanie tymczasowego aresztowania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sądu stosującego ten środek zapobiegawczy. Ponadto same wnioski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przekazanie na podstawie ENA są dostępne w</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SIS.</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Powyższe zróżnicowanie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zakresie dotyczącym danych na potrzeby zatrzymania i</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tymczasowego aresztowania znalazło odzwierciedlenie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obowiązujących przepisach dotyczących ekstradycji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ENA.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przypadku zatrzymania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605a k.p.k.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607k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2a k.p.k. przyjęto, że może być ono zastosowane na</w:t>
      </w:r>
      <w:r w:rsidR="00805C44" w:rsidRPr="007D7496">
        <w:rPr>
          <w:rFonts w:ascii="Times New Roman" w:eastAsia="Times New Roman" w:hAnsi="Times New Roman" w:cs="Times New Roman"/>
          <w:bCs/>
          <w:sz w:val="24"/>
          <w:szCs w:val="24"/>
          <w:lang w:eastAsia="pl-PL"/>
        </w:rPr>
        <w:t xml:space="preserve"> podstawie samego wpisu, tj. </w:t>
      </w:r>
      <w:r w:rsidR="00805C44" w:rsidRPr="007D7496">
        <w:rPr>
          <w:rFonts w:ascii="Times New Roman" w:eastAsia="Times New Roman" w:hAnsi="Times New Roman" w:cs="Times New Roman"/>
          <w:bCs/>
          <w:i/>
          <w:sz w:val="24"/>
          <w:szCs w:val="24"/>
          <w:lang w:eastAsia="pl-PL"/>
        </w:rPr>
        <w:t>de </w:t>
      </w:r>
      <w:r w:rsidRPr="007D7496">
        <w:rPr>
          <w:rFonts w:ascii="Times New Roman" w:eastAsia="Times New Roman" w:hAnsi="Times New Roman" w:cs="Times New Roman"/>
          <w:bCs/>
          <w:i/>
          <w:sz w:val="24"/>
          <w:szCs w:val="24"/>
          <w:lang w:eastAsia="pl-PL"/>
        </w:rPr>
        <w:t xml:space="preserve">facto </w:t>
      </w:r>
      <w:r w:rsidRPr="007D7496">
        <w:rPr>
          <w:rFonts w:ascii="Times New Roman" w:eastAsia="Times New Roman" w:hAnsi="Times New Roman" w:cs="Times New Roman"/>
          <w:bCs/>
          <w:sz w:val="24"/>
          <w:szCs w:val="24"/>
          <w:lang w:eastAsia="pl-PL"/>
        </w:rPr>
        <w:t>na podstawie informacji, które widoczne są dla funkcjonariuszy Policji w</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SPP.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odniesieniu do tymczasowego aresztowania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605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607k §</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3</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k.p.k. uznano, że może ono nastąpić, gdy wobec osoby ściganej zapadł prawomocny wyrok skazujący lub wydano inną decyzję będącą podstawą pozbawienia wolności.</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Art. 605a k.p.k.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607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2a k.p.k. regulują kwestię zatrzymania odpowiednio na potrzeby ekstradycji oraz ENA.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605a k.p.k. proponuje się uwzględnić SIS, bowiem, jak wskazano wyżej, system ten wykorzystywany jest również przez państwa, które wystawiają wnioski ekstradycyjne.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kolei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607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2a k.p.k. proponuje się </w:t>
      </w:r>
      <w:r w:rsidRPr="007D7496">
        <w:rPr>
          <w:rFonts w:ascii="Times New Roman" w:eastAsia="Times New Roman" w:hAnsi="Times New Roman" w:cs="Times New Roman"/>
          <w:bCs/>
          <w:sz w:val="24"/>
          <w:szCs w:val="24"/>
          <w:lang w:eastAsia="pl-PL"/>
        </w:rPr>
        <w:lastRenderedPageBreak/>
        <w:t>uwzględnić bazę Interpolu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tego względu, że – jak podano wyżej – baza ta służy również tym państwom, które stosują ENA.</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Projektowany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605a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k.p.k. oraz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607k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3a k.p.k. dotyczą zastosowania tymczasowego aresztowania odpowiednio przed wpłynięciem oficjalnego wniosku o</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zastosowanie tymczasowego aresztowania na potrzeby ekstradycji oraz przed wpłynięciem ENA. Proponuje się zatem nadanie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605a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k.p.k. brzmienia wzorowanego na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607k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3a k.p.k., który expressis verbis przewiduje możliwość tymczasowego aresztowania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oparciu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wprowadzeniu wpisu stanowiącego zapewnienie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wyroku skazującym lub innej decyzji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pozbawieniu wolności. Ponadto projektuje się doprecyzowanie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607k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3a k.p.k. poprzez wskazanie bazy Interpolu i</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SIS.</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obydwu omawianych przepisach przewiduje się możliwość zastosowania tego środka na czas nie dłuższy niż 7</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 jeśli zwraca się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to właściwy organ innego państwa poprzez wprowadzenie wpisu – do bazy Interpolu lub SIS – stanowiącego zapewnienie, że wobec osoby ściganej zapadł prawomocny wyrok skazujący lub wydano inną decyzję będącą podstawą pozbawienia wolności. Zastosowanie tymczasowego aresztowania na okres 7</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 służyć będzie zapewnieniu skutecznej ekstradycji, tak jak obecnie środek ten służy skutecznemu przekazaniu na podstawie ENA.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przypadku ENA organy </w:t>
      </w:r>
      <w:r w:rsidR="00F00786"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oczekiwaniu na stosowny wniosek </w:t>
      </w:r>
      <w:r w:rsidR="00F00786"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są bowiem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stanie podjąć wobec osoby ściganej środek uniemożliwiający jej ucieczkę.</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Ponadto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projektowanym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605a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k.p.k. </w:t>
      </w:r>
      <w:r w:rsidR="00F00786"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przypadku wprowadzenia wpisu do bazy Interpolu </w:t>
      </w:r>
      <w:r w:rsidR="00F00786"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przewiduje się dodatkowy wymóg zapewnienia, że państwo wydające wystąpi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ekstradycję.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świetle praktyki wymóg ten nie jest natomiast konieczny wobec państw korzystających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SIS na potrzeby ekstradycji.</w:t>
      </w:r>
    </w:p>
    <w:p w:rsidR="00065CF0" w:rsidRPr="007D7496" w:rsidRDefault="00065CF0" w:rsidP="00F94E73">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1</w:t>
      </w:r>
      <w:r w:rsidR="009D7B2A">
        <w:rPr>
          <w:rFonts w:ascii="Times New Roman" w:eastAsia="Times New Roman" w:hAnsi="Times New Roman" w:cs="Times New Roman"/>
          <w:bCs/>
          <w:sz w:val="24"/>
          <w:szCs w:val="24"/>
          <w:lang w:eastAsia="pl-PL"/>
        </w:rPr>
        <w:t>1</w:t>
      </w:r>
      <w:r w:rsidRPr="007D7496">
        <w:rPr>
          <w:rFonts w:ascii="Times New Roman" w:eastAsia="Times New Roman" w:hAnsi="Times New Roman" w:cs="Times New Roman"/>
          <w:bCs/>
          <w:sz w:val="24"/>
          <w:szCs w:val="24"/>
          <w:lang w:eastAsia="pl-PL"/>
        </w:rPr>
        <w:t>. Proponowane zmiany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zakresie procedury występowania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wnioskiem o</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przekazanie wykonania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przyjęcie do wykonania kary pozbawienia wolności w</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stosunku do państw członkowskich Unii Europejskiej –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611t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k.p.k. i</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art.</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611tg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k.p.k.</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Projekt zakłada poszerzenie katalogu podmiotów uprawnionych do zainicjowania procedury przekazania orzeczenia polskiego do wykonania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innym państwie członkowskim UE (art. 611t §</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2</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k.p.k.) oraz występowania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wnioskiem o</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 xml:space="preserve">przekazanie </w:t>
      </w:r>
      <w:r w:rsidRPr="007D7496">
        <w:rPr>
          <w:rFonts w:ascii="Times New Roman" w:eastAsia="Times New Roman" w:hAnsi="Times New Roman" w:cs="Times New Roman"/>
          <w:sz w:val="24"/>
          <w:szCs w:val="24"/>
          <w:lang w:eastAsia="pl-PL"/>
        </w:rPr>
        <w:lastRenderedPageBreak/>
        <w:t>do wykonania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Polsce orzeczenia wydanego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innym państwie członkowskim UE (art. 611tg §</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2</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k.p.k.).</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W chwili obecnej kwestia przejęcia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przekazania orzeczeń do wykonania została uregulowana w</w:t>
      </w:r>
      <w:r w:rsidR="00D2432C" w:rsidRPr="007D7496">
        <w:rPr>
          <w:rFonts w:ascii="Times New Roman" w:eastAsia="Times New Roman" w:hAnsi="Times New Roman" w:cs="Times New Roman"/>
          <w:sz w:val="24"/>
          <w:szCs w:val="24"/>
          <w:lang w:eastAsia="pl-PL"/>
        </w:rPr>
        <w:t xml:space="preserve"> </w:t>
      </w:r>
      <w:r w:rsidR="009D7B2A">
        <w:rPr>
          <w:rFonts w:ascii="Times New Roman" w:eastAsia="Times New Roman" w:hAnsi="Times New Roman" w:cs="Times New Roman"/>
          <w:sz w:val="24"/>
          <w:szCs w:val="24"/>
          <w:lang w:eastAsia="pl-PL"/>
        </w:rPr>
        <w:t>r</w:t>
      </w:r>
      <w:r w:rsidRPr="007D7496">
        <w:rPr>
          <w:rFonts w:ascii="Times New Roman" w:eastAsia="Times New Roman" w:hAnsi="Times New Roman" w:cs="Times New Roman"/>
          <w:sz w:val="24"/>
          <w:szCs w:val="24"/>
          <w:lang w:eastAsia="pl-PL"/>
        </w:rPr>
        <w:t>ozdziale 66</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k.p.k. (art. 608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następne). Zgodnie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przepisami tego rozdziału kompetencje do wystąpienia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wnioskiem o</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przejęcie do właściwego organu innego państwa należą między innymi do Ministra Sprawiedliwości.</w:t>
      </w:r>
    </w:p>
    <w:p w:rsidR="00065CF0" w:rsidRPr="007D7496" w:rsidRDefault="00065CF0" w:rsidP="00F94E73">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Jednocześnie,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odniesieniu do wydanych po dniu 5</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grudnia 2011</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 xml:space="preserve">r. orzeczeń dotyczących krajów członkowskich Unii Europejskiej, zastosowanie znajdują postanowienia </w:t>
      </w:r>
      <w:r w:rsidR="009D7B2A">
        <w:rPr>
          <w:rFonts w:ascii="Times New Roman" w:eastAsia="Times New Roman" w:hAnsi="Times New Roman" w:cs="Times New Roman"/>
          <w:sz w:val="24"/>
          <w:szCs w:val="24"/>
          <w:lang w:eastAsia="pl-PL"/>
        </w:rPr>
        <w:t>r</w:t>
      </w:r>
      <w:r w:rsidRPr="007D7496">
        <w:rPr>
          <w:rFonts w:ascii="Times New Roman" w:eastAsia="Times New Roman" w:hAnsi="Times New Roman" w:cs="Times New Roman"/>
          <w:sz w:val="24"/>
          <w:szCs w:val="24"/>
          <w:lang w:eastAsia="pl-PL"/>
        </w:rPr>
        <w:t>ozdział</w:t>
      </w:r>
      <w:r w:rsidR="00C8229B">
        <w:rPr>
          <w:rFonts w:ascii="Times New Roman" w:eastAsia="Times New Roman" w:hAnsi="Times New Roman" w:cs="Times New Roman"/>
          <w:sz w:val="24"/>
          <w:szCs w:val="24"/>
          <w:lang w:eastAsia="pl-PL"/>
        </w:rPr>
        <w:t>ów</w:t>
      </w:r>
      <w:r w:rsidRPr="007D7496">
        <w:rPr>
          <w:rFonts w:ascii="Times New Roman" w:eastAsia="Times New Roman" w:hAnsi="Times New Roman" w:cs="Times New Roman"/>
          <w:sz w:val="24"/>
          <w:szCs w:val="24"/>
          <w:lang w:eastAsia="pl-PL"/>
        </w:rPr>
        <w:t xml:space="preserve"> 66f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 xml:space="preserve">66g k.p.k., </w:t>
      </w:r>
      <w:r w:rsidR="00805C44" w:rsidRPr="007D7496">
        <w:rPr>
          <w:rFonts w:ascii="Times New Roman" w:eastAsia="Times New Roman" w:hAnsi="Times New Roman" w:cs="Times New Roman"/>
          <w:sz w:val="24"/>
          <w:szCs w:val="24"/>
          <w:lang w:eastAsia="pl-PL"/>
        </w:rPr>
        <w:t>które stanowią implementację do</w:t>
      </w:r>
      <w:r w:rsidR="00C8229B">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 xml:space="preserve">polskiej procedury karnej postanowień </w:t>
      </w:r>
      <w:r w:rsidR="009D7B2A">
        <w:rPr>
          <w:rFonts w:ascii="Times New Roman" w:eastAsia="Times New Roman" w:hAnsi="Times New Roman" w:cs="Times New Roman"/>
          <w:sz w:val="24"/>
          <w:szCs w:val="24"/>
          <w:lang w:eastAsia="pl-PL"/>
        </w:rPr>
        <w:t>d</w:t>
      </w:r>
      <w:r w:rsidRPr="007D7496">
        <w:rPr>
          <w:rFonts w:ascii="Times New Roman" w:eastAsia="Times New Roman" w:hAnsi="Times New Roman" w:cs="Times New Roman"/>
          <w:sz w:val="24"/>
          <w:szCs w:val="24"/>
          <w:lang w:eastAsia="pl-PL"/>
        </w:rPr>
        <w:t xml:space="preserve">ecyzji </w:t>
      </w:r>
      <w:r w:rsidR="009D7B2A">
        <w:rPr>
          <w:rFonts w:ascii="Times New Roman" w:eastAsia="Times New Roman" w:hAnsi="Times New Roman" w:cs="Times New Roman"/>
          <w:sz w:val="24"/>
          <w:szCs w:val="24"/>
          <w:lang w:eastAsia="pl-PL"/>
        </w:rPr>
        <w:t>r</w:t>
      </w:r>
      <w:r w:rsidRPr="007D7496">
        <w:rPr>
          <w:rFonts w:ascii="Times New Roman" w:eastAsia="Times New Roman" w:hAnsi="Times New Roman" w:cs="Times New Roman"/>
          <w:sz w:val="24"/>
          <w:szCs w:val="24"/>
          <w:lang w:eastAsia="pl-PL"/>
        </w:rPr>
        <w:t>amowej Rady UE 2008/909/</w:t>
      </w:r>
      <w:proofErr w:type="spellStart"/>
      <w:r w:rsidRPr="007D7496">
        <w:rPr>
          <w:rFonts w:ascii="Times New Roman" w:eastAsia="Times New Roman" w:hAnsi="Times New Roman" w:cs="Times New Roman"/>
          <w:sz w:val="24"/>
          <w:szCs w:val="24"/>
          <w:lang w:eastAsia="pl-PL"/>
        </w:rPr>
        <w:t>WSiSW</w:t>
      </w:r>
      <w:proofErr w:type="spellEnd"/>
      <w:r w:rsidRPr="007D7496">
        <w:rPr>
          <w:rFonts w:ascii="Times New Roman" w:eastAsia="Times New Roman" w:hAnsi="Times New Roman" w:cs="Times New Roman"/>
          <w:sz w:val="24"/>
          <w:szCs w:val="24"/>
          <w:lang w:eastAsia="pl-PL"/>
        </w:rPr>
        <w:t xml:space="preserve"> o</w:t>
      </w:r>
      <w:r w:rsidR="00C8229B">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 xml:space="preserve">stosowaniu zasady wzajemnego uznawania do wyroków skazujących na karę pozbawienia wolności lub inny środek polegający na pozbawieniu wolności </w:t>
      </w:r>
      <w:r w:rsidR="00F00786" w:rsidRPr="007D7496">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 xml:space="preserve">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celu wykonania tych wyroków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Unii Europejskiej (Dz. Urz. UE L 327</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z</w:t>
      </w:r>
      <w:r w:rsidR="00805C44" w:rsidRPr="007D7496">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5.12.2008, str. 27). Regulacje wskazanych rozdziałów k.p.k.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znaczący sposób upraszczają procedurę przekazywania orzeczeń do wykonania. Niemniej jednak nie przewidują one dla Ministra Sprawiedliwości kompetencji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zakresie inicjowania lub prowadzenia spraw o</w:t>
      </w:r>
      <w:r w:rsidR="00C8229B">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przekazanie wykonania orzeczeń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stosunkach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 xml:space="preserve">państwami członkowskimi UE. Przepisy </w:t>
      </w:r>
      <w:r w:rsidR="009D7B2A">
        <w:rPr>
          <w:rFonts w:ascii="Times New Roman" w:eastAsia="Times New Roman" w:hAnsi="Times New Roman" w:cs="Times New Roman"/>
          <w:sz w:val="24"/>
          <w:szCs w:val="24"/>
          <w:lang w:eastAsia="pl-PL"/>
        </w:rPr>
        <w:t>r</w:t>
      </w:r>
      <w:r w:rsidRPr="007D7496">
        <w:rPr>
          <w:rFonts w:ascii="Times New Roman" w:eastAsia="Times New Roman" w:hAnsi="Times New Roman" w:cs="Times New Roman"/>
          <w:sz w:val="24"/>
          <w:szCs w:val="24"/>
          <w:lang w:eastAsia="pl-PL"/>
        </w:rPr>
        <w:t>ozdziałów 66f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 xml:space="preserve">66g k.p.k. stanowią przy tym </w:t>
      </w:r>
      <w:r w:rsidR="00805C44" w:rsidRPr="007D7496">
        <w:rPr>
          <w:rFonts w:ascii="Times New Roman" w:eastAsia="Times New Roman" w:hAnsi="Times New Roman" w:cs="Times New Roman"/>
          <w:i/>
          <w:sz w:val="24"/>
          <w:szCs w:val="24"/>
          <w:lang w:eastAsia="pl-PL"/>
        </w:rPr>
        <w:t>lex </w:t>
      </w:r>
      <w:proofErr w:type="spellStart"/>
      <w:r w:rsidRPr="007D7496">
        <w:rPr>
          <w:rFonts w:ascii="Times New Roman" w:eastAsia="Times New Roman" w:hAnsi="Times New Roman" w:cs="Times New Roman"/>
          <w:i/>
          <w:sz w:val="24"/>
          <w:szCs w:val="24"/>
          <w:lang w:eastAsia="pl-PL"/>
        </w:rPr>
        <w:t>specialis</w:t>
      </w:r>
      <w:proofErr w:type="spellEnd"/>
      <w:r w:rsidRPr="007D7496">
        <w:rPr>
          <w:rFonts w:ascii="Times New Roman" w:eastAsia="Times New Roman" w:hAnsi="Times New Roman" w:cs="Times New Roman"/>
          <w:sz w:val="24"/>
          <w:szCs w:val="24"/>
          <w:lang w:eastAsia="pl-PL"/>
        </w:rPr>
        <w:t xml:space="preserve"> w</w:t>
      </w:r>
      <w:r w:rsidR="00C8229B">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odniesieniu do innych uregulowań kodeksu, dotyczących przekazywania wyroków.</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Można zatem stwierdzić, iż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uwagi na fakt, że potrzeba przekazywania orzeczeń dotyczy przede wszystkim państw członkowskich UE, a</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biegiem czasu są to głównie orzeczenia wydane po dniu 5</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grudnia 2011</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r., Minister Sprawiedliwości został aktualnie pozbawiony formalnych kompetencji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omawianym zakresie.</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Z powyższych względów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projekcie proponuje się taką zmianę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treści art.</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611t §</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2 i</w:t>
      </w:r>
      <w:r w:rsidR="00805C44" w:rsidRPr="007D7496">
        <w:rPr>
          <w:rFonts w:ascii="Times New Roman" w:eastAsia="Times New Roman" w:hAnsi="Times New Roman" w:cs="Times New Roman"/>
          <w:sz w:val="24"/>
          <w:szCs w:val="24"/>
          <w:lang w:eastAsia="pl-PL"/>
        </w:rPr>
        <w:t> </w:t>
      </w:r>
      <w:r w:rsidRPr="007D7496">
        <w:rPr>
          <w:rFonts w:ascii="Times New Roman" w:eastAsia="Times New Roman" w:hAnsi="Times New Roman" w:cs="Times New Roman"/>
          <w:sz w:val="24"/>
          <w:szCs w:val="24"/>
          <w:lang w:eastAsia="pl-PL"/>
        </w:rPr>
        <w:t>art.</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611tg §</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2</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k.p.k., by sąd okręgowy mógł podejmować czynności nie tylko z</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urzędu, na wniosek skazanego lub właściwego organu państwa członkowskiego UE, ale także na wniosek Ministra Sprawiedliwości.</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Zaproponowane rozwiązanie nie nakłada na Ministra Sprawiedliwości obowiązku prowadzenia całości postępowania,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tym gromadzenia dokumentów. Wniosek Ministra zobowiązywałby sąd do jego rozpoznania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oparciu o</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dotychczas obowiązujące kryteria: stop</w:t>
      </w:r>
      <w:r w:rsidR="009D7B2A">
        <w:rPr>
          <w:rFonts w:ascii="Times New Roman" w:eastAsia="Times New Roman" w:hAnsi="Times New Roman" w:cs="Times New Roman"/>
          <w:sz w:val="24"/>
          <w:szCs w:val="24"/>
          <w:lang w:eastAsia="pl-PL"/>
        </w:rPr>
        <w:t>ień</w:t>
      </w:r>
      <w:r w:rsidRPr="007D7496">
        <w:rPr>
          <w:rFonts w:ascii="Times New Roman" w:eastAsia="Times New Roman" w:hAnsi="Times New Roman" w:cs="Times New Roman"/>
          <w:sz w:val="24"/>
          <w:szCs w:val="24"/>
          <w:lang w:eastAsia="pl-PL"/>
        </w:rPr>
        <w:t xml:space="preserve"> realizacji wychowawczych i</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zapobiegawczych celów kar. Tym samym projektowana zmiana nie spowoduje zwiększenia w</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 xml:space="preserve">sposób istotny </w:t>
      </w:r>
      <w:r w:rsidRPr="007D7496">
        <w:rPr>
          <w:rFonts w:ascii="Times New Roman" w:eastAsia="Times New Roman" w:hAnsi="Times New Roman" w:cs="Times New Roman"/>
          <w:sz w:val="24"/>
          <w:szCs w:val="24"/>
          <w:lang w:eastAsia="pl-PL"/>
        </w:rPr>
        <w:lastRenderedPageBreak/>
        <w:t>wykonywanych czynności urzędniczych ani orzeczniczych, a</w:t>
      </w:r>
      <w:r w:rsidR="00D2432C" w:rsidRPr="007D7496">
        <w:rPr>
          <w:rFonts w:ascii="Times New Roman" w:eastAsia="Times New Roman" w:hAnsi="Times New Roman" w:cs="Times New Roman"/>
          <w:sz w:val="24"/>
          <w:szCs w:val="24"/>
          <w:lang w:eastAsia="pl-PL"/>
        </w:rPr>
        <w:t xml:space="preserve"> </w:t>
      </w:r>
      <w:r w:rsidRPr="007D7496">
        <w:rPr>
          <w:rFonts w:ascii="Times New Roman" w:eastAsia="Times New Roman" w:hAnsi="Times New Roman" w:cs="Times New Roman"/>
          <w:sz w:val="24"/>
          <w:szCs w:val="24"/>
          <w:lang w:eastAsia="pl-PL"/>
        </w:rPr>
        <w:t>jednocześnie będzie sprzyjała poczuciu zaufania społecznego do organów państwa.</w:t>
      </w:r>
    </w:p>
    <w:p w:rsidR="00065CF0" w:rsidRPr="007D7496" w:rsidRDefault="00065CF0" w:rsidP="00283A12">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1</w:t>
      </w:r>
      <w:r w:rsidR="009D7B2A">
        <w:rPr>
          <w:rFonts w:ascii="Times New Roman" w:eastAsia="Times New Roman" w:hAnsi="Times New Roman" w:cs="Times New Roman"/>
          <w:bCs/>
          <w:sz w:val="24"/>
          <w:szCs w:val="24"/>
          <w:lang w:eastAsia="pl-PL"/>
        </w:rPr>
        <w:t>2</w:t>
      </w:r>
      <w:r w:rsidRPr="007D7496">
        <w:rPr>
          <w:rFonts w:ascii="Times New Roman" w:eastAsia="Times New Roman" w:hAnsi="Times New Roman" w:cs="Times New Roman"/>
          <w:bCs/>
          <w:sz w:val="24"/>
          <w:szCs w:val="24"/>
          <w:lang w:eastAsia="pl-PL"/>
        </w:rPr>
        <w:t xml:space="preserve">. Proponowana zmiana prawa cywilnego procesowego </w:t>
      </w:r>
      <w:r w:rsidR="00F00786"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775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k.p.c.</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Projekt zakłada zmianę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775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k.p.c., który stanowi, że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sytuacji prowadzenia egzekucji sądowej oraz ustanowienia zabezpieczenia administracyjnego wobec tego samego przedmiotu lub prawa majątkowego, przysługującego temu samemu podmiotowi,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wyjątkiem wypadków</w:t>
      </w:r>
      <w:r w:rsidR="009D7B2A">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gdy postępowanie dotyczy przedmiotów ulegających szybkiemu zepsuciu, nie stosuje się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773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774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k.p.c.,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 dnia 8</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września 2016</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również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773</w:t>
      </w:r>
      <w:r w:rsidRPr="006A637F">
        <w:rPr>
          <w:rFonts w:ascii="Times New Roman" w:eastAsia="Times New Roman" w:hAnsi="Times New Roman" w:cs="Times New Roman"/>
          <w:bCs/>
          <w:sz w:val="24"/>
          <w:szCs w:val="24"/>
          <w:vertAlign w:val="superscript"/>
          <w:lang w:eastAsia="pl-PL"/>
        </w:rPr>
        <w:t>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k.p.c. Nie jest więc możliwe łączne prowadzenie przez jeden organ egzekucyjny, sądowy lub administracyjny, postępowania w</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przypadku zbiegu zabezpieczenia administracyjnego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egzekucji sądowej, co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oznacza, że oba organy działają niezależnie od siebie, każdy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granicach swoich kompetencji i</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na podstawie innej ustawy.</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Ustanowienie zabezpieczenia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trybie określonym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291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następnych k.p.k. nie wyklucza możliwości zajęcia oraz zbycia tego samego przedmiotu lub prawa majątkowego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drodze egzekucji sądowej.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przypadku dokonania sprzedaży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toku egzekucji sądowej, podmiotowi, na którego rzecz udzielono zabezpieczenie, przysługuje jedynie prawo do udziału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podziale sumy uzyskanej na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skutek zakończenia egzekucji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to tylko wtedy, gdy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odpowiednim czasie zgłosi organowi prowadzącemu postępowanie swoją wierzytelność (art. 1030, </w:t>
      </w:r>
      <w:r w:rsidR="00603003">
        <w:rPr>
          <w:rFonts w:ascii="Times New Roman" w:eastAsia="Times New Roman" w:hAnsi="Times New Roman" w:cs="Times New Roman"/>
          <w:bCs/>
          <w:sz w:val="24"/>
          <w:szCs w:val="24"/>
          <w:lang w:eastAsia="pl-PL"/>
        </w:rPr>
        <w:t xml:space="preserve">art. </w:t>
      </w:r>
      <w:r w:rsidRPr="007D7496">
        <w:rPr>
          <w:rFonts w:ascii="Times New Roman" w:eastAsia="Times New Roman" w:hAnsi="Times New Roman" w:cs="Times New Roman"/>
          <w:bCs/>
          <w:sz w:val="24"/>
          <w:szCs w:val="24"/>
          <w:lang w:eastAsia="pl-PL"/>
        </w:rPr>
        <w:t xml:space="preserve">1034, </w:t>
      </w:r>
      <w:r w:rsidR="00603003">
        <w:rPr>
          <w:rFonts w:ascii="Times New Roman" w:eastAsia="Times New Roman" w:hAnsi="Times New Roman" w:cs="Times New Roman"/>
          <w:bCs/>
          <w:sz w:val="24"/>
          <w:szCs w:val="24"/>
          <w:lang w:eastAsia="pl-PL"/>
        </w:rPr>
        <w:t xml:space="preserve">art. </w:t>
      </w:r>
      <w:r w:rsidRPr="007D7496">
        <w:rPr>
          <w:rFonts w:ascii="Times New Roman" w:eastAsia="Times New Roman" w:hAnsi="Times New Roman" w:cs="Times New Roman"/>
          <w:bCs/>
          <w:sz w:val="24"/>
          <w:szCs w:val="24"/>
          <w:lang w:eastAsia="pl-PL"/>
        </w:rPr>
        <w:t>1036</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k.p.c.). Podmiot uprawniony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zabezpieczenia nie bierze udziału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postępowaniu prowadzonym przez sądowy organ egzekucyjny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nie ma wpływu na wykonywane przez ten organ czynności. Jako wierzyciel, który nie prowadził egzekucji,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jedynie uczestniczy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podziale wyegzekwowanej sumy, jest traktowany, zgodnie z</w:t>
      </w:r>
      <w:r w:rsidR="00EC422F">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art.</w:t>
      </w:r>
      <w:r w:rsidR="00EC422F">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1025</w:t>
      </w:r>
      <w:r w:rsidR="00EC422F">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k.p.c., jako wierzyciel ostatniej, 10</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kategorii,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czego wynika, że jego roszczenia realizowane są po zaspokojeniu wszystkich innych uprawnionych. W</w:t>
      </w:r>
      <w:r w:rsidR="00EC422F">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obecnym stanie prawnym,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przypadku gdy podmiot, wobec którego prowadzona jest sądowa egzekucja, posiada wielu wierzycieli, roszczenie Skarbu Państwa, wynikające z</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udzielonego zabezpieczenia, może nie zostać zaspokojone.</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Postępowanie egzekucyjne może być wszczęte, jeżeli wierzyciel dysponuje tytułem wykonawczym. Tytułem wykonawczym jest zaopatrzony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klauzulę wykonalności wyrok sądu, nakaz zapłaty, wyrok sądu polubownego, uznany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Polsce wyrok sądu </w:t>
      </w:r>
      <w:r w:rsidRPr="007D7496">
        <w:rPr>
          <w:rFonts w:ascii="Times New Roman" w:eastAsia="Times New Roman" w:hAnsi="Times New Roman" w:cs="Times New Roman"/>
          <w:bCs/>
          <w:sz w:val="24"/>
          <w:szCs w:val="24"/>
          <w:lang w:eastAsia="pl-PL"/>
        </w:rPr>
        <w:lastRenderedPageBreak/>
        <w:t>zagranicznego czy nawet,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określonych art 777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 pkt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w:t>
      </w:r>
      <w:r w:rsidR="00F00786"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6</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k.p.c. przypadkach, akt notarialny,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którym dłużnik poddał się egzekucji. Możliwe są sytuacje,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których podmiot, wobec którego ustanowiono zabezpieczenie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trybie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291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następnych k.p.k., zawiera umowę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osobą trzecią, uznaje jej roszczenia przed sądem (ewentualnie nie wnosi sprzeciwu lub zarzutów wobec nakazu zapłaty) albo składa oświadczenie o</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poddaniu się egzekucji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na tej podstawie osoba trzecia wnioskuje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wszczęcie postępowania egzekucyjnego. Komornik prowadzi sprawę niezależnie od organu administracyjnego,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konsekwencji wyeliminowane zostają skutki udzielonego zabezpieczenia, gdyż kwota uzyskana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toku egzekucji nie jest wystarczająca, by zaspokoić wszystkich wierzycieli,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Skarb Państwa.</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Projekt ustawy przewiduje, że ustanawiający zabezpieczenie przepadku mienia będzie prowadził postępowanie według przepisów dla niego właściwych, to jest ustawy o</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postępowaniu egzekucyjnym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administracji, albo przekaże całą posiadaną przez siebie dokumentację sądowemu organowi egzekucji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będzie mógł uczestniczyć w</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postępowaniu prowadzonym przez komornika lub sąd na podstawie kodeksu postępowania cywilnego.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aktualnym stanie prawnym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który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organów ma prowadzić całość działań</w:t>
      </w:r>
      <w:r w:rsidR="00E450E0">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decyduje sąd,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którego okręgu wszczęto postępowanie i</w:t>
      </w:r>
      <w:r w:rsidR="00805C44"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który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przypadku zbiegu oceni stan każdego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iCs/>
          <w:sz w:val="24"/>
          <w:szCs w:val="24"/>
          <w:lang w:eastAsia="pl-PL"/>
        </w:rPr>
        <w:t>postępowań</w:t>
      </w:r>
      <w:r w:rsidRPr="007D7496">
        <w:rPr>
          <w:rFonts w:ascii="Times New Roman" w:eastAsia="Times New Roman" w:hAnsi="Times New Roman" w:cs="Times New Roman"/>
          <w:bCs/>
          <w:sz w:val="24"/>
          <w:szCs w:val="24"/>
          <w:lang w:eastAsia="pl-PL"/>
        </w:rPr>
        <w:t>,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jeżeli są one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równym stopniu zaawansowane, wysokość egzekwowanych należności oraz kolejność ich zaspokojenia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na tej podstawie wyda postanowienie rozstrzygające kwestię zbiegu. Zgodnie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nowelizacją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773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k.p.c., która we</w:t>
      </w:r>
      <w:r w:rsidR="00D77869">
        <w:rPr>
          <w:rFonts w:ascii="Times New Roman" w:eastAsia="Times New Roman" w:hAnsi="Times New Roman" w:cs="Times New Roman"/>
          <w:bCs/>
          <w:sz w:val="24"/>
          <w:szCs w:val="24"/>
          <w:lang w:eastAsia="pl-PL"/>
        </w:rPr>
        <w:t>szła</w:t>
      </w:r>
      <w:r w:rsidRPr="007D7496">
        <w:rPr>
          <w:rFonts w:ascii="Times New Roman" w:eastAsia="Times New Roman" w:hAnsi="Times New Roman" w:cs="Times New Roman"/>
          <w:bCs/>
          <w:sz w:val="24"/>
          <w:szCs w:val="24"/>
          <w:lang w:eastAsia="pl-PL"/>
        </w:rPr>
        <w:t xml:space="preserv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życie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dniu 8</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września 2016</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postępowanie egzekucyjne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urzędu prowadzić będzie organ, który wcześniej dokonał zajęcia.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sytuacji niemożliwości ustalenia pierwszeństwa, sprawą zajmie się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łącznie poprowadzi ją ten organ, który dokonał zajęcia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związku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wierzytelnością opiewającą na wyższą kwotę.</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Łączne prowadzenie postępowania oznacza prowadzenie go jako jednej procedury, zgodnie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kompetencjami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zasadami właściwymi dla danego organu.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przypadku dokonania zajęcia przedmiotu lub prawa majątkowego najpierw przez sądowy organ egzekucyjny, to on będzie prowadził całość na podstawie przepisów k.p.c. Skarb Państwa, na rzecz którego ustanowiono zabezpieczenie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procesie karnym, od momentu zbiegu będzie uczestnikiem postępowania egzekucyjnego. Jest to korzystne ze względu na ochronę przysługujących mu praw. Przede wszystkim przedstawiciel Skarbu Państwa będzie brał udział we wszystkich czynnościach prowadzonych przez </w:t>
      </w:r>
      <w:r w:rsidRPr="007D7496">
        <w:rPr>
          <w:rFonts w:ascii="Times New Roman" w:eastAsia="Times New Roman" w:hAnsi="Times New Roman" w:cs="Times New Roman"/>
          <w:bCs/>
          <w:sz w:val="24"/>
          <w:szCs w:val="24"/>
          <w:lang w:eastAsia="pl-PL"/>
        </w:rPr>
        <w:lastRenderedPageBreak/>
        <w:t>organ sądowy.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obecnym stanie uczestniczy tylko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ostatnim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etapów postępowania egzekucyjnego, co oznacza, że jego wierzytelność uwzględnia się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planie podziału sumy uzyskanej na skutek przeprowadzenia egzekucji. Niemniej jednak nie jest on uprawniony do udziału we wcześniejszych etapach, takich jak oszacowanie ceny przedmiotu. Nie posiada też prawa wniesienia zażalenia na czynności sądu, które mogą mieć wpływ na jego sytuację, co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znaczącym zakresie ogranicza jego uprawnienia.</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Drugą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możliwości rozwiązania zbiegu, którą przewiduje nowelizacja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775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k.p.c., jest prowadzenie sprawy przez organ, który udzielił zabezpieczenia. Zgodnie z</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art.</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27</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k.k.w. urząd skarbowy wykonuje postanowienia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zabezpieczeniu,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także prowadzi egzekucję przepadku, według przepisów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postępowaniu egzekucyjnym w</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administracji, chyba że ustawa stanowi inaczej. Zgodnie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7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ustawy o</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postępowaniu egzekucyjnym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administracji organ egzekucyjny podejmuje decyzję o</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tym, jakie środki egzekucyjne powinny zostać podjęte</w:t>
      </w:r>
      <w:r w:rsidR="00E450E0">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oparciu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ten przepis prowadzi połączone postępowanie. Kolejność zaspokojenia roszczeń wymieniona jest w</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115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w:t>
      </w:r>
      <w:r w:rsidR="00D2432C" w:rsidRPr="007D7496">
        <w:rPr>
          <w:rFonts w:ascii="Times New Roman" w:eastAsia="Times New Roman" w:hAnsi="Times New Roman" w:cs="Times New Roman"/>
          <w:bCs/>
          <w:sz w:val="24"/>
          <w:szCs w:val="24"/>
          <w:lang w:eastAsia="pl-PL"/>
        </w:rPr>
        <w:t xml:space="preserve"> </w:t>
      </w:r>
      <w:proofErr w:type="spellStart"/>
      <w:r w:rsidRPr="007D7496">
        <w:rPr>
          <w:rFonts w:ascii="Times New Roman" w:eastAsia="Times New Roman" w:hAnsi="Times New Roman" w:cs="Times New Roman"/>
          <w:bCs/>
          <w:sz w:val="24"/>
          <w:szCs w:val="24"/>
          <w:lang w:eastAsia="pl-PL"/>
        </w:rPr>
        <w:t>u.p.e.a</w:t>
      </w:r>
      <w:proofErr w:type="spellEnd"/>
      <w:r w:rsidRPr="007D7496">
        <w:rPr>
          <w:rFonts w:ascii="Times New Roman" w:eastAsia="Times New Roman" w:hAnsi="Times New Roman" w:cs="Times New Roman"/>
          <w:bCs/>
          <w:sz w:val="24"/>
          <w:szCs w:val="24"/>
          <w:lang w:eastAsia="pl-PL"/>
        </w:rPr>
        <w:t>. zgodnie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którym zarówno roszczenie wynikające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udzielonego zabezpieczenia, jak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wierzytelność, która była pierwotnie przedmiotem egzekucji sądowej, należą do tej samej kategorii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kolejności zaspokajania. Tym samym egzekucja administracyjna nie prowadziłaby do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pokrzywdzenia wierzyciela, który wszczął egzekucję sądową,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jednocześnie gwarantowałaby interesy Skarbu Państwa, na rzecz którego udzielono zabezpieczenia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postępowaniu karnym.</w:t>
      </w:r>
    </w:p>
    <w:p w:rsidR="00065CF0" w:rsidRPr="007D7496" w:rsidRDefault="00065CF0" w:rsidP="00283A12">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1</w:t>
      </w:r>
      <w:r w:rsidR="00E450E0">
        <w:rPr>
          <w:rFonts w:ascii="Times New Roman" w:eastAsia="Times New Roman" w:hAnsi="Times New Roman" w:cs="Times New Roman"/>
          <w:bCs/>
          <w:sz w:val="24"/>
          <w:szCs w:val="24"/>
          <w:lang w:eastAsia="pl-PL"/>
        </w:rPr>
        <w:t>3</w:t>
      </w:r>
      <w:r w:rsidRPr="007D7496">
        <w:rPr>
          <w:rFonts w:ascii="Times New Roman" w:eastAsia="Times New Roman" w:hAnsi="Times New Roman" w:cs="Times New Roman"/>
          <w:bCs/>
          <w:sz w:val="24"/>
          <w:szCs w:val="24"/>
          <w:lang w:eastAsia="pl-PL"/>
        </w:rPr>
        <w:t>. Zmiany w ustawie o przeciwdziałaniu praniu pieniędzy oraz finansowaniu terroryzmu i ustawie o nadzorze nad rynkiem kapitałowym</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Celem zmian we wskazanych ustawach jest umożliwienie aktywnego przeciwdziałania przypadkom prania pieniędzy i finasowania terroryzmu przez umożliwienie wstrzymywania określonych transakcji lub b</w:t>
      </w:r>
      <w:r w:rsidR="006B16EE" w:rsidRPr="007D7496">
        <w:rPr>
          <w:rFonts w:ascii="Times New Roman" w:eastAsia="Times New Roman" w:hAnsi="Times New Roman" w:cs="Times New Roman"/>
          <w:sz w:val="24"/>
          <w:szCs w:val="24"/>
          <w:lang w:eastAsia="pl-PL"/>
        </w:rPr>
        <w:t>lokowania rachunków bankowych i </w:t>
      </w:r>
      <w:r w:rsidRPr="007D7496">
        <w:rPr>
          <w:rFonts w:ascii="Times New Roman" w:eastAsia="Times New Roman" w:hAnsi="Times New Roman" w:cs="Times New Roman"/>
          <w:sz w:val="24"/>
          <w:szCs w:val="24"/>
          <w:lang w:eastAsia="pl-PL"/>
        </w:rPr>
        <w:t>rachunków służących transakcjom na rynku kapitałowym. Zgodnie z projektowanymi zmianami w art. 19 ustawy o przeciwdziałaniu praniu pieniędzy oraz finansowaniu terroryzmu, uprawnienie do wydania postanowienia o zablokowaniu rachunku lub określonej transakcji nie będzie zależało od uprze</w:t>
      </w:r>
      <w:r w:rsidR="006B16EE" w:rsidRPr="007D7496">
        <w:rPr>
          <w:rFonts w:ascii="Times New Roman" w:eastAsia="Times New Roman" w:hAnsi="Times New Roman" w:cs="Times New Roman"/>
          <w:sz w:val="24"/>
          <w:szCs w:val="24"/>
          <w:lang w:eastAsia="pl-PL"/>
        </w:rPr>
        <w:t>dniego złożenia zawiadomienia o </w:t>
      </w:r>
      <w:r w:rsidRPr="007D7496">
        <w:rPr>
          <w:rFonts w:ascii="Times New Roman" w:eastAsia="Times New Roman" w:hAnsi="Times New Roman" w:cs="Times New Roman"/>
          <w:sz w:val="24"/>
          <w:szCs w:val="24"/>
          <w:lang w:eastAsia="pl-PL"/>
        </w:rPr>
        <w:t xml:space="preserve">podejrzanej transakcji przez Generalnego Inspektora Informacji Finansowej. Zmiany w art. 40 ustawy o nadzorze nad rynkiem kapitałowym wprowadzają do tej ustawy </w:t>
      </w:r>
      <w:r w:rsidRPr="007D7496">
        <w:rPr>
          <w:rFonts w:ascii="Times New Roman" w:eastAsia="Times New Roman" w:hAnsi="Times New Roman" w:cs="Times New Roman"/>
          <w:sz w:val="24"/>
          <w:szCs w:val="24"/>
          <w:lang w:eastAsia="pl-PL"/>
        </w:rPr>
        <w:lastRenderedPageBreak/>
        <w:t xml:space="preserve">analogiczne rozwiązania, umożliwiając </w:t>
      </w:r>
      <w:r w:rsidR="00F00786" w:rsidRPr="007D7496">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 xml:space="preserve"> dotychczas nieznane </w:t>
      </w:r>
      <w:r w:rsidR="00F00786" w:rsidRPr="007D7496">
        <w:rPr>
          <w:rFonts w:ascii="Times New Roman" w:eastAsia="Times New Roman" w:hAnsi="Times New Roman" w:cs="Times New Roman"/>
          <w:sz w:val="24"/>
          <w:szCs w:val="24"/>
          <w:lang w:eastAsia="pl-PL"/>
        </w:rPr>
        <w:t>–</w:t>
      </w:r>
      <w:r w:rsidRPr="007D7496">
        <w:rPr>
          <w:rFonts w:ascii="Times New Roman" w:eastAsia="Times New Roman" w:hAnsi="Times New Roman" w:cs="Times New Roman"/>
          <w:sz w:val="24"/>
          <w:szCs w:val="24"/>
          <w:lang w:eastAsia="pl-PL"/>
        </w:rPr>
        <w:t xml:space="preserve"> wstrzymanie określonej transakcji oraz wydanie przez prokuratora postanowienia również z urzędu.</w:t>
      </w:r>
    </w:p>
    <w:p w:rsidR="00065CF0" w:rsidRPr="007D7496" w:rsidRDefault="00065CF0" w:rsidP="00283A12">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1</w:t>
      </w:r>
      <w:r w:rsidR="00E450E0">
        <w:rPr>
          <w:rFonts w:ascii="Times New Roman" w:eastAsia="Times New Roman" w:hAnsi="Times New Roman" w:cs="Times New Roman"/>
          <w:bCs/>
          <w:sz w:val="24"/>
          <w:szCs w:val="24"/>
          <w:lang w:eastAsia="pl-PL"/>
        </w:rPr>
        <w:t>4</w:t>
      </w:r>
      <w:r w:rsidRPr="007D7496">
        <w:rPr>
          <w:rFonts w:ascii="Times New Roman" w:eastAsia="Times New Roman" w:hAnsi="Times New Roman" w:cs="Times New Roman"/>
          <w:bCs/>
          <w:sz w:val="24"/>
          <w:szCs w:val="24"/>
          <w:lang w:eastAsia="pl-PL"/>
        </w:rPr>
        <w:t>. Proponowana zmiana prawa bankowego</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obecnym stanie prawnym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105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 pkt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 lit.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b i lit. l Prawa bankowego umożliwiają odpowiednio sądowi, prokuratorowi i Policji bezpośrednie uzyskanie informacji stanowiącej tajemnicę bankową wyłącznie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związku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toczącym się postępowaniem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przestępstwo lub przestępstwo skarbowe przeciwko osobie fizycznej będącej stroną umowy zawartej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bankiem,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zakresie informacji dotyczących tej osoby fizycznej.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każdym innym wypadku niezbędne jest stosowanie procedury określonej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106b Prawa bankowego.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istotny sposób utrudnia to pozyskiwanie informacji objęt</w:t>
      </w:r>
      <w:r w:rsidR="00E450E0">
        <w:rPr>
          <w:rFonts w:ascii="Times New Roman" w:eastAsia="Times New Roman" w:hAnsi="Times New Roman" w:cs="Times New Roman"/>
          <w:bCs/>
          <w:sz w:val="24"/>
          <w:szCs w:val="24"/>
          <w:lang w:eastAsia="pl-PL"/>
        </w:rPr>
        <w:t>ych</w:t>
      </w:r>
      <w:r w:rsidRPr="007D7496">
        <w:rPr>
          <w:rFonts w:ascii="Times New Roman" w:eastAsia="Times New Roman" w:hAnsi="Times New Roman" w:cs="Times New Roman"/>
          <w:bCs/>
          <w:sz w:val="24"/>
          <w:szCs w:val="24"/>
          <w:lang w:eastAsia="pl-PL"/>
        </w:rPr>
        <w:t xml:space="preserve"> tajemnicą bankową, innych niż dotycząc</w:t>
      </w:r>
      <w:r w:rsidR="00E450E0">
        <w:rPr>
          <w:rFonts w:ascii="Times New Roman" w:eastAsia="Times New Roman" w:hAnsi="Times New Roman" w:cs="Times New Roman"/>
          <w:bCs/>
          <w:sz w:val="24"/>
          <w:szCs w:val="24"/>
          <w:lang w:eastAsia="pl-PL"/>
        </w:rPr>
        <w:t>e</w:t>
      </w:r>
      <w:r w:rsidRPr="007D7496">
        <w:rPr>
          <w:rFonts w:ascii="Times New Roman" w:eastAsia="Times New Roman" w:hAnsi="Times New Roman" w:cs="Times New Roman"/>
          <w:bCs/>
          <w:sz w:val="24"/>
          <w:szCs w:val="24"/>
          <w:lang w:eastAsia="pl-PL"/>
        </w:rPr>
        <w:t xml:space="preserve"> klienta banku. To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kolei w</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poważnym stopniu komplikuje czy wręcz uniemożliwia otrzymanie przez organy ścigania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wymiar sprawiedliwości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odpowiednim czasie ważnych danych, mających znaczenie dla ścigania przestępstw, do których sektor bankowy jest wykorzystywany, a</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mianowicie prania brudnych pieniędzy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finansowania terroryzmu, jeżeli nie dotyczą one klientów banku. Mając na uwadze znaczenie skutecznego zwalczania tej bardzo poważnej przestępczości, pośrednio uderzającej także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społeczne zaufanie do instytucji finansowych, wskazane wydaje się, aby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tych specyficznych wypadkach wszelkie istotne informacje mogły być pozyskiwane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trybie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105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Prawa bankowego. Podkreślić należy, że już obecnie przestępstwa prania brudnych pieniędzy i</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finansowania terroryzmu posiadają specyficzny status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Prawie bankowym, a</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podejrzenie ich popełnienia łączy się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określonymi obowiązkami ze strony banku (por.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106,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106a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 Proponowana zmiana stanowić zatem będzie konsekwentne rozwinięcie dotychczasowego reżimu prawnego.</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Nowelizacja art. 106a prawa bankowego uzupełni</w:t>
      </w:r>
      <w:r w:rsidR="006B16EE" w:rsidRPr="007D7496">
        <w:rPr>
          <w:rFonts w:ascii="Times New Roman" w:eastAsia="Times New Roman" w:hAnsi="Times New Roman" w:cs="Times New Roman"/>
          <w:sz w:val="24"/>
          <w:szCs w:val="24"/>
          <w:lang w:eastAsia="pl-PL"/>
        </w:rPr>
        <w:t>a zmiany dokonywane w ustawie z </w:t>
      </w:r>
      <w:r w:rsidRPr="007D7496">
        <w:rPr>
          <w:rFonts w:ascii="Times New Roman" w:eastAsia="Times New Roman" w:hAnsi="Times New Roman" w:cs="Times New Roman"/>
          <w:sz w:val="24"/>
          <w:szCs w:val="24"/>
          <w:lang w:eastAsia="pl-PL"/>
        </w:rPr>
        <w:t xml:space="preserve">dnia 16 listopada 2000 r. o przeciwdziałaniu praniu pieniędzy oraz finansowaniu terroryzmu i 29 lipca 2005 r. o nadzorze nad rynkiem kapitałowym. W przypadku uzasadnionego podejrzenia popełnienia przestępstwa, o którym mowa w art. 165a lub art. 299 Kodeksu karnego, lub wykorzystywania działalności banku w celu ukrycia działań przestępczych lub dla celów mających związek z przestępstwem lub przestępstwem skarbowym, prokurator będzie mógł, w drodze postanowienia, wstrzymać określoną transakcję lub dokonać blokady środków na rachunku bankowym, </w:t>
      </w:r>
      <w:r w:rsidRPr="007D7496">
        <w:rPr>
          <w:rFonts w:ascii="Times New Roman" w:eastAsia="Times New Roman" w:hAnsi="Times New Roman" w:cs="Times New Roman"/>
          <w:sz w:val="24"/>
          <w:szCs w:val="24"/>
          <w:lang w:eastAsia="pl-PL"/>
        </w:rPr>
        <w:lastRenderedPageBreak/>
        <w:t>również pomimo braku uprzedniego zawiadomienia ze strony banku. Wstrzymanie transakcji lub blokada środków na rachunku będzie mogła trwać do 3 miesięcy i będzie podlegać kontroli sądu.</w:t>
      </w:r>
    </w:p>
    <w:p w:rsidR="00065CF0" w:rsidRPr="007D7496" w:rsidRDefault="00065CF0" w:rsidP="00283A12">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1</w:t>
      </w:r>
      <w:r w:rsidR="00E450E0">
        <w:rPr>
          <w:rFonts w:ascii="Times New Roman" w:eastAsia="Times New Roman" w:hAnsi="Times New Roman" w:cs="Times New Roman"/>
          <w:bCs/>
          <w:sz w:val="24"/>
          <w:szCs w:val="24"/>
          <w:lang w:eastAsia="pl-PL"/>
        </w:rPr>
        <w:t>5</w:t>
      </w:r>
      <w:r w:rsidRPr="007D7496">
        <w:rPr>
          <w:rFonts w:ascii="Times New Roman" w:eastAsia="Times New Roman" w:hAnsi="Times New Roman" w:cs="Times New Roman"/>
          <w:bCs/>
          <w:sz w:val="24"/>
          <w:szCs w:val="24"/>
          <w:lang w:eastAsia="pl-PL"/>
        </w:rPr>
        <w:t>. Wejście projektowanej ustawy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życie</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Projekt określa termin wejścia ustawy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życie po upływie 14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 od dnia jej ogłoszenia. Jednocześnie wskazuje się, że przepisy przewidziane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45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1a</w:t>
      </w:r>
      <w:r w:rsidR="0084490C"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 45a § 2 Kodeksu karnego oraz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33 §</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1a</w:t>
      </w:r>
      <w:r w:rsidR="0084490C"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 43a Kodeksu karnego skarbowego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brzmieniu nadanym niniejszą ustawą stosuje się także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postępowaniach dotyczących czynów popełnionych przed dniem jej wejścia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życie. Rozwiązanie to nie może być jednak utożsamiane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retroaktywnością prawa karnego.</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pierwszej kolejności należy zauważyć, iż przepadek rozszerzony jest znany obecnie obowiązującemu prawu polskiemu. Zmiana zakresu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sposobu stosowania szczegółowych regulacji składających się na tę konstrukcję nie tylko nie wpływa na definicję żadnego czynu zabronionego, ale nie odnosi się ani do kary, ani do przepadku jako takiego.</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Co więcej,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judykaturze podkreśla się, że odebranie sprawcy korzyści osiągniętej z</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popełnienia przestępstwa nie może być uznane za śr</w:t>
      </w:r>
      <w:r w:rsidR="006B16EE" w:rsidRPr="007D7496">
        <w:rPr>
          <w:rFonts w:ascii="Times New Roman" w:eastAsia="Times New Roman" w:hAnsi="Times New Roman" w:cs="Times New Roman"/>
          <w:bCs/>
          <w:sz w:val="24"/>
          <w:szCs w:val="24"/>
          <w:lang w:eastAsia="pl-PL"/>
        </w:rPr>
        <w:t>odek wyłącznie represyjny (por. </w:t>
      </w:r>
      <w:r w:rsidRPr="007D7496">
        <w:rPr>
          <w:rFonts w:ascii="Times New Roman" w:eastAsia="Times New Roman" w:hAnsi="Times New Roman" w:cs="Times New Roman"/>
          <w:bCs/>
          <w:sz w:val="24"/>
          <w:szCs w:val="24"/>
          <w:lang w:eastAsia="pl-PL"/>
        </w:rPr>
        <w:t>wyrok TK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13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lipca 2004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 P 20/03). Podstawową funkcją tego środka prawnego nie jest bowiem wymierzenie sprawcy dolegliwości (ukaranie go). Przepadek korzyści uzyskanych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ma wiele funkcji,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restytucyjną, służącą przywróceniu stanu zgodności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prawem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odtworzeniu swego rodzaju równowagi społecznej, zakłóconej przestępstwem. Jest to niewątpliwie zgodne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zasadą sprawiedliwości społecznej (art. 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Konstytucji</w:t>
      </w:r>
      <w:r w:rsidR="000878D8">
        <w:rPr>
          <w:rFonts w:ascii="Times New Roman" w:eastAsia="Times New Roman" w:hAnsi="Times New Roman" w:cs="Times New Roman"/>
          <w:bCs/>
          <w:sz w:val="24"/>
          <w:szCs w:val="24"/>
          <w:lang w:eastAsia="pl-PL"/>
        </w:rPr>
        <w:t xml:space="preserve"> RP</w:t>
      </w:r>
      <w:r w:rsidRPr="007D7496">
        <w:rPr>
          <w:rFonts w:ascii="Times New Roman" w:eastAsia="Times New Roman" w:hAnsi="Times New Roman" w:cs="Times New Roman"/>
          <w:bCs/>
          <w:sz w:val="24"/>
          <w:szCs w:val="24"/>
          <w:lang w:eastAsia="pl-PL"/>
        </w:rPr>
        <w:t>)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służy ochronie porządku publicznego jako wartości konstytucyjnej (art. 31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Konstytucji</w:t>
      </w:r>
      <w:r w:rsidR="000878D8">
        <w:rPr>
          <w:rFonts w:ascii="Times New Roman" w:eastAsia="Times New Roman" w:hAnsi="Times New Roman" w:cs="Times New Roman"/>
          <w:bCs/>
          <w:sz w:val="24"/>
          <w:szCs w:val="24"/>
          <w:lang w:eastAsia="pl-PL"/>
        </w:rPr>
        <w:t xml:space="preserve"> RP</w:t>
      </w:r>
      <w:r w:rsidRPr="007D7496">
        <w:rPr>
          <w:rFonts w:ascii="Times New Roman" w:eastAsia="Times New Roman" w:hAnsi="Times New Roman" w:cs="Times New Roman"/>
          <w:bCs/>
          <w:sz w:val="24"/>
          <w:szCs w:val="24"/>
          <w:lang w:eastAsia="pl-PL"/>
        </w:rPr>
        <w:t>). Argumentem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tej mierze może być – sygnalizowana wcześniej – zmiana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dniem 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lipca 2015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systematyki Kodeksu karnego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wyodrębnienie przepadku jako swoistego środka prawnego, niebędącego karą ani środkiem karnym.</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W konsekwencji omawiany przepis nie może być uznany za przepis zaostrzający – z</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mocą wsteczną – wymiar kary za popełnienie przestępstwa. Tym samym nie jest on niezgodny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zasadą wyrażoną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42 ust.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Konstytucji</w:t>
      </w:r>
      <w:r w:rsidR="000878D8">
        <w:rPr>
          <w:rFonts w:ascii="Times New Roman" w:eastAsia="Times New Roman" w:hAnsi="Times New Roman" w:cs="Times New Roman"/>
          <w:bCs/>
          <w:sz w:val="24"/>
          <w:szCs w:val="24"/>
          <w:lang w:eastAsia="pl-PL"/>
        </w:rPr>
        <w:t xml:space="preserve"> RP</w:t>
      </w:r>
      <w:r w:rsidRPr="007D7496">
        <w:rPr>
          <w:rFonts w:ascii="Times New Roman" w:eastAsia="Times New Roman" w:hAnsi="Times New Roman" w:cs="Times New Roman"/>
          <w:bCs/>
          <w:sz w:val="24"/>
          <w:szCs w:val="24"/>
          <w:lang w:eastAsia="pl-PL"/>
        </w:rPr>
        <w:t>,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mianowicie </w:t>
      </w:r>
      <w:proofErr w:type="spellStart"/>
      <w:r w:rsidRPr="007D7496">
        <w:rPr>
          <w:rFonts w:ascii="Times New Roman" w:eastAsia="Times New Roman" w:hAnsi="Times New Roman" w:cs="Times New Roman"/>
          <w:bCs/>
          <w:i/>
          <w:sz w:val="24"/>
          <w:szCs w:val="24"/>
          <w:lang w:eastAsia="pl-PL"/>
        </w:rPr>
        <w:t>nulla</w:t>
      </w:r>
      <w:proofErr w:type="spellEnd"/>
      <w:r w:rsidRPr="007D7496">
        <w:rPr>
          <w:rFonts w:ascii="Times New Roman" w:eastAsia="Times New Roman" w:hAnsi="Times New Roman" w:cs="Times New Roman"/>
          <w:bCs/>
          <w:i/>
          <w:sz w:val="24"/>
          <w:szCs w:val="24"/>
          <w:lang w:eastAsia="pl-PL"/>
        </w:rPr>
        <w:t xml:space="preserve"> poena sine lege </w:t>
      </w:r>
      <w:proofErr w:type="spellStart"/>
      <w:r w:rsidRPr="007D7496">
        <w:rPr>
          <w:rFonts w:ascii="Times New Roman" w:eastAsia="Times New Roman" w:hAnsi="Times New Roman" w:cs="Times New Roman"/>
          <w:bCs/>
          <w:i/>
          <w:sz w:val="24"/>
          <w:szCs w:val="24"/>
          <w:lang w:eastAsia="pl-PL"/>
        </w:rPr>
        <w:t>praevia</w:t>
      </w:r>
      <w:proofErr w:type="spellEnd"/>
      <w:r w:rsidRPr="007D7496">
        <w:rPr>
          <w:rFonts w:ascii="Times New Roman" w:eastAsia="Times New Roman" w:hAnsi="Times New Roman" w:cs="Times New Roman"/>
          <w:bCs/>
          <w:sz w:val="24"/>
          <w:szCs w:val="24"/>
          <w:lang w:eastAsia="pl-PL"/>
        </w:rPr>
        <w:t>.</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lastRenderedPageBreak/>
        <w:t xml:space="preserve">W literaturze wskazuje się, </w:t>
      </w:r>
      <w:r w:rsidR="00E450E0">
        <w:rPr>
          <w:rFonts w:ascii="Times New Roman" w:eastAsia="Times New Roman" w:hAnsi="Times New Roman" w:cs="Times New Roman"/>
          <w:bCs/>
          <w:sz w:val="24"/>
          <w:szCs w:val="24"/>
          <w:lang w:eastAsia="pl-PL"/>
        </w:rPr>
        <w:t>ż</w:t>
      </w:r>
      <w:r w:rsidRPr="007D7496">
        <w:rPr>
          <w:rFonts w:ascii="Times New Roman" w:eastAsia="Times New Roman" w:hAnsi="Times New Roman" w:cs="Times New Roman"/>
          <w:bCs/>
          <w:sz w:val="24"/>
          <w:szCs w:val="24"/>
          <w:lang w:eastAsia="pl-PL"/>
        </w:rPr>
        <w:t>e „racje wprowadzenia domniemań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mają wyłącznie charakter polityczno</w:t>
      </w:r>
      <w:r w:rsidR="0084490C"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kryminalny. Ich usprawiedliwieniem jest stworzenie ułatwień dowodowych dla organów ścigania.” (por.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Zalewski, [w:] Kodeks karny. Część ogólna. Komentarz do artykułów 32</w:t>
      </w:r>
      <w:r w:rsidR="00F00786" w:rsidRPr="007D7496">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116, </w:t>
      </w:r>
      <w:r w:rsidR="006B16EE" w:rsidRPr="007D7496">
        <w:rPr>
          <w:rFonts w:ascii="Times New Roman" w:eastAsia="Times New Roman" w:hAnsi="Times New Roman" w:cs="Times New Roman"/>
          <w:bCs/>
          <w:sz w:val="24"/>
          <w:szCs w:val="24"/>
          <w:lang w:eastAsia="pl-PL"/>
        </w:rPr>
        <w:t>Tom II, red. M. Królikowski, R. </w:t>
      </w:r>
      <w:proofErr w:type="spellStart"/>
      <w:r w:rsidRPr="007D7496">
        <w:rPr>
          <w:rFonts w:ascii="Times New Roman" w:eastAsia="Times New Roman" w:hAnsi="Times New Roman" w:cs="Times New Roman"/>
          <w:bCs/>
          <w:sz w:val="24"/>
          <w:szCs w:val="24"/>
          <w:lang w:eastAsia="pl-PL"/>
        </w:rPr>
        <w:t>Zawłocki</w:t>
      </w:r>
      <w:proofErr w:type="spellEnd"/>
      <w:r w:rsidRPr="007D7496">
        <w:rPr>
          <w:rFonts w:ascii="Times New Roman" w:eastAsia="Times New Roman" w:hAnsi="Times New Roman" w:cs="Times New Roman"/>
          <w:bCs/>
          <w:sz w:val="24"/>
          <w:szCs w:val="24"/>
          <w:lang w:eastAsia="pl-PL"/>
        </w:rPr>
        <w:t>, Warszawa 2011, str. 209). Projektodawca podziela to stanowisko. Domniemania,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których mowa, są środkiem polityki karnej. Jak zaś słusznie stwierdził Trybunał Konstytucyjny, sprawca przestępstwa „nie może oczekiwać korzyści, które dla niego mogłyby wynikać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związku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naruszeniem prawa ze względu na taką,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nie inną politykę karną, bo ta –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zależności od istoty zagrożeń związanych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konkretnymi przestępstwami – może podlegać modyfikacjom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zmianom.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sensie skarżący przed wydaniem wyroku, czy nawet przed wszczęciem postępowania karnego, nie może zakładać, że te elementy normy prawnej (porządku prawnego) związanej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karalnością czynów, które nie stanowią prawa konstytucyjnie chronionego, nie ulegną zmianie</w:t>
      </w:r>
      <w:r w:rsidR="00D77869">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(wyrok TK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25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maja 2004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sprawie SK 44/03).</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Powyższy pogląd, wyrażony na gruncie przedawnienia, odnosi się również do zasad orzekania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przepadku korzyści pochodzących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tym domniemań z</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art.</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45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33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k.k.s. Nie istnieją podstawy konstytucyjne dla udzielenia sprawcy czynu zabronionego ochrony odnoszącej się do mienia uzyskanego za pomocą przestępstwa. Niezależnie od przepisów obowiązujących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chwili popełnienia czynu, przestępca powinien zawsze liczyć się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tym, </w:t>
      </w:r>
      <w:r w:rsidR="00424AA2">
        <w:rPr>
          <w:rFonts w:ascii="Times New Roman" w:eastAsia="Times New Roman" w:hAnsi="Times New Roman" w:cs="Times New Roman"/>
          <w:bCs/>
          <w:sz w:val="24"/>
          <w:szCs w:val="24"/>
          <w:lang w:eastAsia="pl-PL"/>
        </w:rPr>
        <w:t>ż</w:t>
      </w:r>
      <w:r w:rsidRPr="007D7496">
        <w:rPr>
          <w:rFonts w:ascii="Times New Roman" w:eastAsia="Times New Roman" w:hAnsi="Times New Roman" w:cs="Times New Roman"/>
          <w:bCs/>
          <w:sz w:val="24"/>
          <w:szCs w:val="24"/>
          <w:lang w:eastAsia="pl-PL"/>
        </w:rPr>
        <w:t>e korzyści</w:t>
      </w:r>
      <w:r w:rsidR="00424AA2">
        <w:rPr>
          <w:rFonts w:ascii="Times New Roman" w:eastAsia="Times New Roman" w:hAnsi="Times New Roman" w:cs="Times New Roman"/>
          <w:bCs/>
          <w:sz w:val="24"/>
          <w:szCs w:val="24"/>
          <w:lang w:eastAsia="pl-PL"/>
        </w:rPr>
        <w:t>,</w:t>
      </w:r>
      <w:r w:rsidRPr="007D7496">
        <w:rPr>
          <w:rFonts w:ascii="Times New Roman" w:eastAsia="Times New Roman" w:hAnsi="Times New Roman" w:cs="Times New Roman"/>
          <w:bCs/>
          <w:sz w:val="24"/>
          <w:szCs w:val="24"/>
          <w:lang w:eastAsia="pl-PL"/>
        </w:rPr>
        <w:t xml:space="preserve"> jakie odniósł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przestępstwa, mogą mu zostać odebrane. Pod tym względem sytuacja prawna sprawcy nie podlega ochronie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punktu widzenia zasady zaufania obywatela do państwa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stanowionego przez nie prawa. Odmienne stanowisko byłoby sprzeczne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postulatem sprawiedliwości społecznej.</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Z tych względów projektowane rozwiązania mogą być jedynie rozważane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kontekście wyboru ustawodawstwa względniejszego dla sprawcy (art. 4</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k.k.), co jednakże oznacza możliwość derogacji wskazanego przepisu k.k. przez omawiany przepis projektowanej ustawy, noszący znamię </w:t>
      </w:r>
      <w:r w:rsidRPr="007D7496">
        <w:rPr>
          <w:rFonts w:ascii="Times New Roman" w:eastAsia="Times New Roman" w:hAnsi="Times New Roman" w:cs="Times New Roman"/>
          <w:bCs/>
          <w:i/>
          <w:sz w:val="24"/>
          <w:szCs w:val="24"/>
          <w:lang w:eastAsia="pl-PL"/>
        </w:rPr>
        <w:t xml:space="preserve">legi </w:t>
      </w:r>
      <w:proofErr w:type="spellStart"/>
      <w:r w:rsidRPr="007D7496">
        <w:rPr>
          <w:rFonts w:ascii="Times New Roman" w:eastAsia="Times New Roman" w:hAnsi="Times New Roman" w:cs="Times New Roman"/>
          <w:bCs/>
          <w:i/>
          <w:sz w:val="24"/>
          <w:szCs w:val="24"/>
          <w:lang w:eastAsia="pl-PL"/>
        </w:rPr>
        <w:t>speciali</w:t>
      </w:r>
      <w:proofErr w:type="spellEnd"/>
      <w:r w:rsidRPr="007D7496">
        <w:rPr>
          <w:rFonts w:ascii="Times New Roman" w:eastAsia="Times New Roman" w:hAnsi="Times New Roman" w:cs="Times New Roman"/>
          <w:bCs/>
          <w:sz w:val="24"/>
          <w:szCs w:val="24"/>
          <w:lang w:eastAsia="pl-PL"/>
        </w:rPr>
        <w:t>. Co więcej, projektowana modyfikacja domniemania przestępczego pochodzenia mienia odnosi się wyłącznie do karnoprocesowej warstwy 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45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k.k.,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zatem stosowanie wobec niej reguły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której mowa, odnoszącej się do prawa materialnego, wydaje się wątpliwe. Należy również zauważyć, iż wsteczne stosowanie przepisów dopuszczających konfiskatę zostało </w:t>
      </w:r>
      <w:r w:rsidRPr="007D7496">
        <w:rPr>
          <w:rFonts w:ascii="Times New Roman" w:eastAsia="Times New Roman" w:hAnsi="Times New Roman" w:cs="Times New Roman"/>
          <w:bCs/>
          <w:sz w:val="24"/>
          <w:szCs w:val="24"/>
          <w:lang w:eastAsia="pl-PL"/>
        </w:rPr>
        <w:lastRenderedPageBreak/>
        <w:t>uznane za dopuszczalne przez ETPCz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 xml:space="preserve">sprawie 36862/05, </w:t>
      </w:r>
      <w:proofErr w:type="spellStart"/>
      <w:r w:rsidRPr="007D7496">
        <w:rPr>
          <w:rFonts w:ascii="Times New Roman" w:eastAsia="Times New Roman" w:hAnsi="Times New Roman" w:cs="Times New Roman"/>
          <w:bCs/>
          <w:sz w:val="24"/>
          <w:szCs w:val="24"/>
          <w:lang w:eastAsia="pl-PL"/>
        </w:rPr>
        <w:t>Gogitidze</w:t>
      </w:r>
      <w:proofErr w:type="spellEnd"/>
      <w:r w:rsidRPr="007D7496">
        <w:rPr>
          <w:rFonts w:ascii="Times New Roman" w:eastAsia="Times New Roman" w:hAnsi="Times New Roman" w:cs="Times New Roman"/>
          <w:bCs/>
          <w:sz w:val="24"/>
          <w:szCs w:val="24"/>
          <w:lang w:eastAsia="pl-PL"/>
        </w:rPr>
        <w:t xml:space="preserve">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inni przeciwko Gruzji.</w:t>
      </w:r>
    </w:p>
    <w:p w:rsidR="00065CF0" w:rsidRPr="007D7496" w:rsidRDefault="00065CF0" w:rsidP="00283A12">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sz w:val="24"/>
          <w:szCs w:val="24"/>
          <w:lang w:eastAsia="pl-PL"/>
        </w:rPr>
        <w:t>W wypadku przepadku orzekanego po śmierci oskarżonego lub w razie jego niewykrycia, reguła stosowania ustawy względniejszej dla sprawcy w ogóle nie może mieć zastosowania, ponieważ sprawca nie istnieje lub pozostaje nieznany. Jednocześnie przepisy umożliwiające przepadek w razie zawieszenia postępowania, pomimo ich usytuowania, mają charakter regulacji procesowej, co również wyłącza zasadę</w:t>
      </w:r>
      <w:r w:rsidR="006B16EE" w:rsidRPr="007D7496">
        <w:rPr>
          <w:rFonts w:ascii="Times New Roman" w:eastAsia="Times New Roman" w:hAnsi="Times New Roman" w:cs="Times New Roman"/>
          <w:i/>
          <w:sz w:val="24"/>
          <w:szCs w:val="24"/>
          <w:lang w:eastAsia="pl-PL"/>
        </w:rPr>
        <w:t xml:space="preserve"> lex </w:t>
      </w:r>
      <w:proofErr w:type="spellStart"/>
      <w:r w:rsidRPr="007D7496">
        <w:rPr>
          <w:rFonts w:ascii="Times New Roman" w:eastAsia="Times New Roman" w:hAnsi="Times New Roman" w:cs="Times New Roman"/>
          <w:i/>
          <w:sz w:val="24"/>
          <w:szCs w:val="24"/>
          <w:lang w:eastAsia="pl-PL"/>
        </w:rPr>
        <w:t>mitior</w:t>
      </w:r>
      <w:proofErr w:type="spellEnd"/>
      <w:r w:rsidRPr="007D7496">
        <w:rPr>
          <w:rFonts w:ascii="Times New Roman" w:eastAsia="Times New Roman" w:hAnsi="Times New Roman" w:cs="Times New Roman"/>
          <w:sz w:val="24"/>
          <w:szCs w:val="24"/>
          <w:lang w:eastAsia="pl-PL"/>
        </w:rPr>
        <w:t>. Tym samym z wyżej wskazanych względów oraz dla jednoznacznego przesądzenia tej kwestii należało uwzględnić w omawian</w:t>
      </w:r>
      <w:r w:rsidR="006B16EE" w:rsidRPr="007D7496">
        <w:rPr>
          <w:rFonts w:ascii="Times New Roman" w:eastAsia="Times New Roman" w:hAnsi="Times New Roman" w:cs="Times New Roman"/>
          <w:sz w:val="24"/>
          <w:szCs w:val="24"/>
          <w:lang w:eastAsia="pl-PL"/>
        </w:rPr>
        <w:t>ym przepisie także art. 45a § 2 </w:t>
      </w:r>
      <w:r w:rsidRPr="007D7496">
        <w:rPr>
          <w:rFonts w:ascii="Times New Roman" w:eastAsia="Times New Roman" w:hAnsi="Times New Roman" w:cs="Times New Roman"/>
          <w:sz w:val="24"/>
          <w:szCs w:val="24"/>
          <w:lang w:eastAsia="pl-PL"/>
        </w:rPr>
        <w:t xml:space="preserve">k.k. oraz </w:t>
      </w:r>
      <w:r w:rsidR="00424AA2">
        <w:rPr>
          <w:rFonts w:ascii="Times New Roman" w:eastAsia="Times New Roman" w:hAnsi="Times New Roman" w:cs="Times New Roman"/>
          <w:sz w:val="24"/>
          <w:szCs w:val="24"/>
          <w:lang w:eastAsia="pl-PL"/>
        </w:rPr>
        <w:t xml:space="preserve">art. </w:t>
      </w:r>
      <w:r w:rsidRPr="007D7496">
        <w:rPr>
          <w:rFonts w:ascii="Times New Roman" w:eastAsia="Times New Roman" w:hAnsi="Times New Roman" w:cs="Times New Roman"/>
          <w:sz w:val="24"/>
          <w:szCs w:val="24"/>
          <w:lang w:eastAsia="pl-PL"/>
        </w:rPr>
        <w:t>43a k.k.s.</w:t>
      </w:r>
    </w:p>
    <w:p w:rsidR="00065CF0" w:rsidRPr="007D7496" w:rsidRDefault="00065CF0" w:rsidP="0053040E">
      <w:pPr>
        <w:suppressAutoHyphens/>
        <w:autoSpaceDE w:val="0"/>
        <w:autoSpaceDN w:val="0"/>
        <w:adjustRightInd w:val="0"/>
        <w:spacing w:before="24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1</w:t>
      </w:r>
      <w:r w:rsidR="00424AA2">
        <w:rPr>
          <w:rFonts w:ascii="Times New Roman" w:eastAsia="Times New Roman" w:hAnsi="Times New Roman" w:cs="Times New Roman"/>
          <w:bCs/>
          <w:sz w:val="24"/>
          <w:szCs w:val="24"/>
          <w:lang w:eastAsia="pl-PL"/>
        </w:rPr>
        <w:t>6</w:t>
      </w:r>
      <w:r w:rsidRPr="007D7496">
        <w:rPr>
          <w:rFonts w:ascii="Times New Roman" w:eastAsia="Times New Roman" w:hAnsi="Times New Roman" w:cs="Times New Roman"/>
          <w:bCs/>
          <w:sz w:val="24"/>
          <w:szCs w:val="24"/>
          <w:lang w:eastAsia="pl-PL"/>
        </w:rPr>
        <w:t>. Uwagi końcowe</w:t>
      </w:r>
    </w:p>
    <w:p w:rsidR="00065CF0" w:rsidRPr="007D7496" w:rsidRDefault="00065CF0" w:rsidP="0053040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 xml:space="preserve">Projekt ustawy jest zgodny </w:t>
      </w:r>
      <w:r w:rsidR="00424AA2">
        <w:rPr>
          <w:rFonts w:ascii="Times New Roman" w:eastAsia="Times New Roman" w:hAnsi="Times New Roman" w:cs="Times New Roman"/>
          <w:bCs/>
          <w:sz w:val="24"/>
          <w:szCs w:val="24"/>
          <w:lang w:eastAsia="pl-PL"/>
        </w:rPr>
        <w:t xml:space="preserve">z </w:t>
      </w:r>
      <w:r w:rsidRPr="007D7496">
        <w:rPr>
          <w:rFonts w:ascii="Times New Roman" w:eastAsia="Times New Roman" w:hAnsi="Times New Roman" w:cs="Times New Roman"/>
          <w:bCs/>
          <w:sz w:val="24"/>
          <w:szCs w:val="24"/>
          <w:lang w:eastAsia="pl-PL"/>
        </w:rPr>
        <w:t>prawem Unii Europejskiej.</w:t>
      </w:r>
    </w:p>
    <w:p w:rsidR="00065CF0" w:rsidRPr="007D7496" w:rsidRDefault="00065CF0" w:rsidP="0053040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7D7496">
        <w:rPr>
          <w:rFonts w:ascii="Times New Roman" w:eastAsia="Times New Roman" w:hAnsi="Times New Roman" w:cs="Times New Roman"/>
          <w:bCs/>
          <w:sz w:val="24"/>
          <w:szCs w:val="24"/>
          <w:lang w:eastAsia="pl-PL"/>
        </w:rPr>
        <w:t>Projekt nie zawiera przepisów technicznych, a</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zatem nie podlega notyfikacji zgodnie z</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trybem przewidzianym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rozporządzeniu Rady Ministrów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23</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grudnia 2002</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w</w:t>
      </w:r>
      <w:r w:rsidR="006B16EE" w:rsidRPr="007D7496">
        <w:rPr>
          <w:rFonts w:ascii="Times New Roman" w:eastAsia="Times New Roman" w:hAnsi="Times New Roman" w:cs="Times New Roman"/>
          <w:bCs/>
          <w:sz w:val="24"/>
          <w:szCs w:val="24"/>
          <w:lang w:eastAsia="pl-PL"/>
        </w:rPr>
        <w:t> </w:t>
      </w:r>
      <w:r w:rsidRPr="007D7496">
        <w:rPr>
          <w:rFonts w:ascii="Times New Roman" w:eastAsia="Times New Roman" w:hAnsi="Times New Roman" w:cs="Times New Roman"/>
          <w:bCs/>
          <w:sz w:val="24"/>
          <w:szCs w:val="24"/>
          <w:lang w:eastAsia="pl-PL"/>
        </w:rPr>
        <w:t>sprawie sposobu funkcjonowania krajowego systemu notyfikacji norm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aktów prawnych (Dz.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 poz.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2039</w:t>
      </w:r>
      <w:r w:rsidR="00424AA2">
        <w:rPr>
          <w:rFonts w:ascii="Times New Roman" w:eastAsia="Times New Roman" w:hAnsi="Times New Roman" w:cs="Times New Roman"/>
          <w:bCs/>
          <w:sz w:val="24"/>
          <w:szCs w:val="24"/>
          <w:lang w:eastAsia="pl-PL"/>
        </w:rPr>
        <w:t xml:space="preserve"> oraz z 2004 r. poz. 597</w:t>
      </w:r>
      <w:r w:rsidRPr="007D7496">
        <w:rPr>
          <w:rFonts w:ascii="Times New Roman" w:eastAsia="Times New Roman" w:hAnsi="Times New Roman" w:cs="Times New Roman"/>
          <w:bCs/>
          <w:sz w:val="24"/>
          <w:szCs w:val="24"/>
          <w:lang w:eastAsia="pl-PL"/>
        </w:rPr>
        <w:t>).</w:t>
      </w:r>
    </w:p>
    <w:p w:rsidR="00065CF0" w:rsidRPr="007D7496" w:rsidRDefault="00065CF0" w:rsidP="00D77869">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D7496">
        <w:rPr>
          <w:rFonts w:ascii="Times New Roman" w:eastAsia="Times New Roman" w:hAnsi="Times New Roman" w:cs="Times New Roman"/>
          <w:bCs/>
          <w:sz w:val="24"/>
          <w:szCs w:val="24"/>
          <w:lang w:eastAsia="pl-PL"/>
        </w:rPr>
        <w:t>Zgodnie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art.</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ustawy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dnia 7</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lipca 2005</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 o</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działalności lobbingowej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procesie stanowienia prawa (Dz.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U. poz.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1414, z</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późn. zm.) projekt ustawy został udostępniony w</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Biuletynie Informacji Publicznej na stronach internetowych Ministerstwa Sprawiedliwości i</w:t>
      </w:r>
      <w:r w:rsidR="00D2432C" w:rsidRPr="007D7496">
        <w:rPr>
          <w:rFonts w:ascii="Times New Roman" w:eastAsia="Times New Roman" w:hAnsi="Times New Roman" w:cs="Times New Roman"/>
          <w:bCs/>
          <w:sz w:val="24"/>
          <w:szCs w:val="24"/>
          <w:lang w:eastAsia="pl-PL"/>
        </w:rPr>
        <w:t xml:space="preserve"> </w:t>
      </w:r>
      <w:r w:rsidRPr="007D7496">
        <w:rPr>
          <w:rFonts w:ascii="Times New Roman" w:eastAsia="Times New Roman" w:hAnsi="Times New Roman" w:cs="Times New Roman"/>
          <w:bCs/>
          <w:sz w:val="24"/>
          <w:szCs w:val="24"/>
          <w:lang w:eastAsia="pl-PL"/>
        </w:rPr>
        <w:t>Rządowego Centrum Legislacji. Żaden z uprawnionych podmiotów nie wyraził zainteresowania udziałem w pracach nad projektem.</w:t>
      </w:r>
    </w:p>
    <w:sectPr w:rsidR="00065CF0" w:rsidRPr="007D7496" w:rsidSect="001710D4">
      <w:footerReference w:type="default" r:id="rId7"/>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4AD" w:rsidRDefault="003614AD" w:rsidP="001710D4">
      <w:pPr>
        <w:spacing w:after="0" w:line="240" w:lineRule="auto"/>
      </w:pPr>
      <w:r>
        <w:separator/>
      </w:r>
    </w:p>
  </w:endnote>
  <w:endnote w:type="continuationSeparator" w:id="0">
    <w:p w:rsidR="003614AD" w:rsidRDefault="003614AD" w:rsidP="00171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8096517"/>
      <w:docPartObj>
        <w:docPartGallery w:val="Page Numbers (Bottom of Page)"/>
        <w:docPartUnique/>
      </w:docPartObj>
    </w:sdtPr>
    <w:sdtEndPr>
      <w:rPr>
        <w:rFonts w:ascii="Times New Roman" w:hAnsi="Times New Roman" w:cs="Times New Roman"/>
        <w:sz w:val="24"/>
        <w:szCs w:val="24"/>
      </w:rPr>
    </w:sdtEndPr>
    <w:sdtContent>
      <w:p w:rsidR="003614AD" w:rsidRPr="001710D4" w:rsidRDefault="003614AD">
        <w:pPr>
          <w:pStyle w:val="Stopka"/>
          <w:jc w:val="center"/>
          <w:rPr>
            <w:rFonts w:ascii="Times New Roman" w:hAnsi="Times New Roman" w:cs="Times New Roman"/>
            <w:sz w:val="24"/>
            <w:szCs w:val="24"/>
          </w:rPr>
        </w:pPr>
        <w:r w:rsidRPr="001710D4">
          <w:rPr>
            <w:rFonts w:ascii="Times New Roman" w:hAnsi="Times New Roman" w:cs="Times New Roman"/>
            <w:sz w:val="24"/>
            <w:szCs w:val="24"/>
          </w:rPr>
          <w:fldChar w:fldCharType="begin"/>
        </w:r>
        <w:r w:rsidRPr="001710D4">
          <w:rPr>
            <w:rFonts w:ascii="Times New Roman" w:hAnsi="Times New Roman" w:cs="Times New Roman"/>
            <w:sz w:val="24"/>
            <w:szCs w:val="24"/>
          </w:rPr>
          <w:instrText>PAGE   \* MERGEFORMAT</w:instrText>
        </w:r>
        <w:r w:rsidRPr="001710D4">
          <w:rPr>
            <w:rFonts w:ascii="Times New Roman" w:hAnsi="Times New Roman" w:cs="Times New Roman"/>
            <w:sz w:val="24"/>
            <w:szCs w:val="24"/>
          </w:rPr>
          <w:fldChar w:fldCharType="separate"/>
        </w:r>
        <w:r w:rsidR="005E3798">
          <w:rPr>
            <w:rFonts w:ascii="Times New Roman" w:hAnsi="Times New Roman" w:cs="Times New Roman"/>
            <w:noProof/>
            <w:sz w:val="24"/>
            <w:szCs w:val="24"/>
          </w:rPr>
          <w:t>47</w:t>
        </w:r>
        <w:r w:rsidRPr="001710D4">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4AD" w:rsidRDefault="003614AD" w:rsidP="001710D4">
      <w:pPr>
        <w:spacing w:after="0" w:line="240" w:lineRule="auto"/>
      </w:pPr>
      <w:r>
        <w:separator/>
      </w:r>
    </w:p>
  </w:footnote>
  <w:footnote w:type="continuationSeparator" w:id="0">
    <w:p w:rsidR="003614AD" w:rsidRDefault="003614AD" w:rsidP="001710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CF0"/>
    <w:rsid w:val="00065CF0"/>
    <w:rsid w:val="000878D8"/>
    <w:rsid w:val="000B6F4A"/>
    <w:rsid w:val="000E67B7"/>
    <w:rsid w:val="000F5E14"/>
    <w:rsid w:val="00154A48"/>
    <w:rsid w:val="001710D4"/>
    <w:rsid w:val="001E6BF1"/>
    <w:rsid w:val="001F7835"/>
    <w:rsid w:val="002049EF"/>
    <w:rsid w:val="00283A12"/>
    <w:rsid w:val="00285853"/>
    <w:rsid w:val="00294916"/>
    <w:rsid w:val="00310E40"/>
    <w:rsid w:val="003205CF"/>
    <w:rsid w:val="00357F56"/>
    <w:rsid w:val="003614AD"/>
    <w:rsid w:val="0036153D"/>
    <w:rsid w:val="00397FB0"/>
    <w:rsid w:val="0040315F"/>
    <w:rsid w:val="00404A9A"/>
    <w:rsid w:val="00424AA2"/>
    <w:rsid w:val="0053040E"/>
    <w:rsid w:val="005E3798"/>
    <w:rsid w:val="00603003"/>
    <w:rsid w:val="00692F2A"/>
    <w:rsid w:val="006A637F"/>
    <w:rsid w:val="006B16EE"/>
    <w:rsid w:val="006F540B"/>
    <w:rsid w:val="00760377"/>
    <w:rsid w:val="007D7496"/>
    <w:rsid w:val="00805C44"/>
    <w:rsid w:val="00813CAA"/>
    <w:rsid w:val="0084490C"/>
    <w:rsid w:val="008D483E"/>
    <w:rsid w:val="00975241"/>
    <w:rsid w:val="009D7B2A"/>
    <w:rsid w:val="00A450C8"/>
    <w:rsid w:val="00B10A8C"/>
    <w:rsid w:val="00B60630"/>
    <w:rsid w:val="00C8229B"/>
    <w:rsid w:val="00C9548F"/>
    <w:rsid w:val="00CB5ACF"/>
    <w:rsid w:val="00D2432C"/>
    <w:rsid w:val="00D77869"/>
    <w:rsid w:val="00DF1448"/>
    <w:rsid w:val="00DF197B"/>
    <w:rsid w:val="00E450E0"/>
    <w:rsid w:val="00E64D9F"/>
    <w:rsid w:val="00EC05FB"/>
    <w:rsid w:val="00EC422F"/>
    <w:rsid w:val="00F00786"/>
    <w:rsid w:val="00F703FE"/>
    <w:rsid w:val="00F94E73"/>
    <w:rsid w:val="00FD36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Nagwek">
    <w:name w:val="header"/>
    <w:basedOn w:val="Normalny"/>
    <w:link w:val="NagwekZnak"/>
    <w:uiPriority w:val="99"/>
    <w:unhideWhenUsed/>
    <w:rsid w:val="00065CF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5CF0"/>
  </w:style>
  <w:style w:type="paragraph" w:styleId="Stopka">
    <w:name w:val="footer"/>
    <w:basedOn w:val="Normalny"/>
    <w:link w:val="StopkaZnak"/>
    <w:uiPriority w:val="99"/>
    <w:unhideWhenUsed/>
    <w:rsid w:val="001710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710D4"/>
  </w:style>
  <w:style w:type="paragraph" w:styleId="Tekstdymka">
    <w:name w:val="Balloon Text"/>
    <w:basedOn w:val="Normalny"/>
    <w:link w:val="TekstdymkaZnak"/>
    <w:uiPriority w:val="99"/>
    <w:semiHidden/>
    <w:unhideWhenUsed/>
    <w:rsid w:val="003205C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205CF"/>
    <w:rPr>
      <w:rFonts w:ascii="Tahoma" w:hAnsi="Tahoma" w:cs="Tahoma"/>
      <w:sz w:val="16"/>
      <w:szCs w:val="16"/>
    </w:rPr>
  </w:style>
  <w:style w:type="character" w:styleId="Odwoaniedokomentarza">
    <w:name w:val="annotation reference"/>
    <w:basedOn w:val="Domylnaczcionkaakapitu"/>
    <w:uiPriority w:val="99"/>
    <w:semiHidden/>
    <w:unhideWhenUsed/>
    <w:rsid w:val="0053040E"/>
    <w:rPr>
      <w:sz w:val="16"/>
      <w:szCs w:val="16"/>
    </w:rPr>
  </w:style>
  <w:style w:type="paragraph" w:styleId="Tekstkomentarza">
    <w:name w:val="annotation text"/>
    <w:basedOn w:val="Normalny"/>
    <w:link w:val="TekstkomentarzaZnak"/>
    <w:uiPriority w:val="99"/>
    <w:semiHidden/>
    <w:unhideWhenUsed/>
    <w:rsid w:val="0053040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3040E"/>
    <w:rPr>
      <w:sz w:val="20"/>
      <w:szCs w:val="20"/>
    </w:rPr>
  </w:style>
  <w:style w:type="paragraph" w:styleId="Tematkomentarza">
    <w:name w:val="annotation subject"/>
    <w:basedOn w:val="Tekstkomentarza"/>
    <w:next w:val="Tekstkomentarza"/>
    <w:link w:val="TematkomentarzaZnak"/>
    <w:uiPriority w:val="99"/>
    <w:semiHidden/>
    <w:unhideWhenUsed/>
    <w:rsid w:val="0053040E"/>
    <w:rPr>
      <w:b/>
      <w:bCs/>
    </w:rPr>
  </w:style>
  <w:style w:type="character" w:customStyle="1" w:styleId="TematkomentarzaZnak">
    <w:name w:val="Temat komentarza Znak"/>
    <w:basedOn w:val="TekstkomentarzaZnak"/>
    <w:link w:val="Tematkomentarza"/>
    <w:uiPriority w:val="99"/>
    <w:semiHidden/>
    <w:rsid w:val="0053040E"/>
    <w:rPr>
      <w:b/>
      <w:bCs/>
      <w:sz w:val="20"/>
      <w:szCs w:val="20"/>
    </w:rPr>
  </w:style>
  <w:style w:type="paragraph" w:styleId="Poprawka">
    <w:name w:val="Revision"/>
    <w:hidden/>
    <w:uiPriority w:val="99"/>
    <w:semiHidden/>
    <w:rsid w:val="0053040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Nagwek">
    <w:name w:val="header"/>
    <w:basedOn w:val="Normalny"/>
    <w:link w:val="NagwekZnak"/>
    <w:uiPriority w:val="99"/>
    <w:unhideWhenUsed/>
    <w:rsid w:val="00065CF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5CF0"/>
  </w:style>
  <w:style w:type="paragraph" w:styleId="Stopka">
    <w:name w:val="footer"/>
    <w:basedOn w:val="Normalny"/>
    <w:link w:val="StopkaZnak"/>
    <w:uiPriority w:val="99"/>
    <w:unhideWhenUsed/>
    <w:rsid w:val="001710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710D4"/>
  </w:style>
  <w:style w:type="paragraph" w:styleId="Tekstdymka">
    <w:name w:val="Balloon Text"/>
    <w:basedOn w:val="Normalny"/>
    <w:link w:val="TekstdymkaZnak"/>
    <w:uiPriority w:val="99"/>
    <w:semiHidden/>
    <w:unhideWhenUsed/>
    <w:rsid w:val="003205C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205CF"/>
    <w:rPr>
      <w:rFonts w:ascii="Tahoma" w:hAnsi="Tahoma" w:cs="Tahoma"/>
      <w:sz w:val="16"/>
      <w:szCs w:val="16"/>
    </w:rPr>
  </w:style>
  <w:style w:type="character" w:styleId="Odwoaniedokomentarza">
    <w:name w:val="annotation reference"/>
    <w:basedOn w:val="Domylnaczcionkaakapitu"/>
    <w:uiPriority w:val="99"/>
    <w:semiHidden/>
    <w:unhideWhenUsed/>
    <w:rsid w:val="0053040E"/>
    <w:rPr>
      <w:sz w:val="16"/>
      <w:szCs w:val="16"/>
    </w:rPr>
  </w:style>
  <w:style w:type="paragraph" w:styleId="Tekstkomentarza">
    <w:name w:val="annotation text"/>
    <w:basedOn w:val="Normalny"/>
    <w:link w:val="TekstkomentarzaZnak"/>
    <w:uiPriority w:val="99"/>
    <w:semiHidden/>
    <w:unhideWhenUsed/>
    <w:rsid w:val="0053040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3040E"/>
    <w:rPr>
      <w:sz w:val="20"/>
      <w:szCs w:val="20"/>
    </w:rPr>
  </w:style>
  <w:style w:type="paragraph" w:styleId="Tematkomentarza">
    <w:name w:val="annotation subject"/>
    <w:basedOn w:val="Tekstkomentarza"/>
    <w:next w:val="Tekstkomentarza"/>
    <w:link w:val="TematkomentarzaZnak"/>
    <w:uiPriority w:val="99"/>
    <w:semiHidden/>
    <w:unhideWhenUsed/>
    <w:rsid w:val="0053040E"/>
    <w:rPr>
      <w:b/>
      <w:bCs/>
    </w:rPr>
  </w:style>
  <w:style w:type="character" w:customStyle="1" w:styleId="TematkomentarzaZnak">
    <w:name w:val="Temat komentarza Znak"/>
    <w:basedOn w:val="TekstkomentarzaZnak"/>
    <w:link w:val="Tematkomentarza"/>
    <w:uiPriority w:val="99"/>
    <w:semiHidden/>
    <w:rsid w:val="0053040E"/>
    <w:rPr>
      <w:b/>
      <w:bCs/>
      <w:sz w:val="20"/>
      <w:szCs w:val="20"/>
    </w:rPr>
  </w:style>
  <w:style w:type="paragraph" w:styleId="Poprawka">
    <w:name w:val="Revision"/>
    <w:hidden/>
    <w:uiPriority w:val="99"/>
    <w:semiHidden/>
    <w:rsid w:val="005304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15691</Words>
  <Characters>94150</Characters>
  <Application>Microsoft Office Word</Application>
  <DocSecurity>0</DocSecurity>
  <Lines>784</Lines>
  <Paragraphs>219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Cwiek</dc:creator>
  <cp:lastModifiedBy>Ewa A. Genert</cp:lastModifiedBy>
  <cp:revision>2</cp:revision>
  <dcterms:created xsi:type="dcterms:W3CDTF">2017-01-03T14:01:00Z</dcterms:created>
  <dcterms:modified xsi:type="dcterms:W3CDTF">2017-01-03T14:01:00Z</dcterms:modified>
</cp:coreProperties>
</file>