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6AD" w:rsidRPr="00C576AD" w:rsidRDefault="00C576AD" w:rsidP="00C576AD">
      <w:pPr>
        <w:keepNext/>
        <w:suppressAutoHyphens/>
        <w:spacing w:after="120" w:line="360" w:lineRule="auto"/>
        <w:jc w:val="center"/>
        <w:rPr>
          <w:rFonts w:ascii="Times" w:eastAsia="Times New Roman" w:hAnsi="Times" w:cs="Times New Roman"/>
          <w:bCs/>
          <w:caps/>
          <w:kern w:val="24"/>
          <w:sz w:val="24"/>
          <w:szCs w:val="24"/>
          <w:lang w:eastAsia="pl-PL"/>
        </w:rPr>
      </w:pPr>
      <w:bookmarkStart w:id="0" w:name="_GoBack"/>
      <w:bookmarkEnd w:id="0"/>
      <w:r w:rsidRPr="00C576AD">
        <w:rPr>
          <w:rFonts w:ascii="Times" w:eastAsia="Times New Roman" w:hAnsi="Times" w:cs="Times New Roman"/>
          <w:bCs/>
          <w:caps/>
          <w:kern w:val="24"/>
          <w:sz w:val="24"/>
          <w:szCs w:val="24"/>
          <w:lang w:eastAsia="pl-PL"/>
        </w:rPr>
        <w:t>UZASADNIENIE</w:t>
      </w:r>
      <w:r w:rsidR="00ED1747" w:rsidRPr="00ED1747">
        <w:rPr>
          <w:rFonts w:ascii="Times" w:eastAsia="Times New Roman" w:hAnsi="Times" w:cs="Times New Roman"/>
          <w:bCs/>
          <w:caps/>
          <w:kern w:val="24"/>
          <w:sz w:val="24"/>
          <w:szCs w:val="24"/>
          <w:lang w:eastAsia="pl-PL"/>
        </w:rPr>
        <w:t xml:space="preserve"> </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576AD">
        <w:rPr>
          <w:rFonts w:ascii="Times" w:eastAsia="Times New Roman" w:hAnsi="Times" w:cs="Arial"/>
          <w:bCs/>
          <w:sz w:val="24"/>
          <w:szCs w:val="20"/>
          <w:lang w:eastAsia="pl-PL"/>
        </w:rPr>
        <w:t xml:space="preserve">Zaproponowane </w:t>
      </w:r>
      <w:r w:rsidR="000C7773">
        <w:rPr>
          <w:rFonts w:ascii="Times" w:eastAsia="Times New Roman" w:hAnsi="Times" w:cs="Arial"/>
          <w:bCs/>
          <w:sz w:val="24"/>
          <w:szCs w:val="20"/>
          <w:lang w:eastAsia="pl-PL"/>
        </w:rPr>
        <w:t xml:space="preserve">zmiany </w:t>
      </w:r>
      <w:r w:rsidRPr="00C576AD">
        <w:rPr>
          <w:rFonts w:ascii="Times" w:eastAsia="Times New Roman" w:hAnsi="Times" w:cs="Arial"/>
          <w:bCs/>
          <w:sz w:val="24"/>
          <w:szCs w:val="20"/>
          <w:lang w:eastAsia="pl-PL"/>
        </w:rPr>
        <w:t>w projekcie ustawy o zmianie ustawy o zawodach lekarza i</w:t>
      </w:r>
      <w:r w:rsidR="00ED1747">
        <w:rPr>
          <w:rFonts w:ascii="Times" w:eastAsia="Times New Roman" w:hAnsi="Times" w:cs="Arial"/>
          <w:bCs/>
          <w:sz w:val="24"/>
          <w:szCs w:val="20"/>
          <w:lang w:eastAsia="pl-PL"/>
        </w:rPr>
        <w:t xml:space="preserve"> </w:t>
      </w:r>
      <w:r w:rsidRPr="00C576AD">
        <w:rPr>
          <w:rFonts w:ascii="Times" w:eastAsia="Times New Roman" w:hAnsi="Times" w:cs="Arial"/>
          <w:bCs/>
          <w:sz w:val="24"/>
          <w:szCs w:val="20"/>
          <w:lang w:eastAsia="pl-PL"/>
        </w:rPr>
        <w:t>lekarza dentysty oraz ustawy o pobieraniu, przechowywaniu i przeszczepianiu komórek, tkanek i narządów wynikają z konieczności przeniesienia przepisów dotyczących stwierdzenia trwałego nieodwracalnego ustania czynności mózgu, jak również stwierdzenia zgonu wskutek nieodwracalnego zatrzymania krążenia, z ustawy z</w:t>
      </w:r>
      <w:r w:rsidR="00ED1747">
        <w:rPr>
          <w:rFonts w:ascii="Times" w:eastAsia="Times New Roman" w:hAnsi="Times" w:cs="Arial"/>
          <w:bCs/>
          <w:sz w:val="24"/>
          <w:szCs w:val="20"/>
          <w:lang w:eastAsia="pl-PL"/>
        </w:rPr>
        <w:t xml:space="preserve"> </w:t>
      </w:r>
      <w:r w:rsidRPr="00C576AD">
        <w:rPr>
          <w:rFonts w:ascii="Times" w:eastAsia="Times New Roman" w:hAnsi="Times" w:cs="Arial"/>
          <w:bCs/>
          <w:sz w:val="24"/>
          <w:szCs w:val="20"/>
          <w:lang w:eastAsia="pl-PL"/>
        </w:rPr>
        <w:t>dnia 1 lipca 2005 r. o</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pobieraniu, przechowywaniu i przeszczepianiu komórek, tkanek i narządów (Dz. U. z</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2015 r. poz. 793, z późn. zm.), zwanej dalej „ustawą transplantacyjną”, do ustawy z</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dnia 5 grudnia 1996 r. o zawodach lekarza i lekarza dentysty (Dz. U. z 2015 r. poz.</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 xml:space="preserve">464, z późn. zm.), zwanej dalej „ustawą o zawodach lekarza”. Zdaniem ekspertów wywodzących się ze środowiska anestezjologów </w:t>
      </w:r>
      <w:r w:rsidR="00ED1747">
        <w:rPr>
          <w:rFonts w:ascii="Times" w:eastAsia="Times New Roman" w:hAnsi="Times" w:cs="Arial"/>
          <w:bCs/>
          <w:sz w:val="24"/>
          <w:szCs w:val="20"/>
          <w:lang w:eastAsia="pl-PL"/>
        </w:rPr>
        <w:t>– co do zasady –</w:t>
      </w:r>
      <w:r w:rsidRPr="00C576AD">
        <w:rPr>
          <w:rFonts w:ascii="Times" w:eastAsia="Times New Roman" w:hAnsi="Times" w:cs="Arial"/>
          <w:bCs/>
          <w:sz w:val="24"/>
          <w:szCs w:val="20"/>
          <w:lang w:eastAsia="pl-PL"/>
        </w:rPr>
        <w:t xml:space="preserve"> stwierdzanie zgonu jest jedną z wielu czynności, które wykonuje każdy lekarz i najwłaściwszą ustawą do regulacji tej materii jest ustawa o zawodach lekarza i lekarza dentysty. Wyżej wymienione przepisy w ustawie transplantacyjnej stwarzają w</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społeczeństwie bardzo niekorzystne wrażenie, że stwierdzanie śmierci wskutek trwałego nieodwra</w:t>
      </w:r>
      <w:r w:rsidR="000C7773">
        <w:rPr>
          <w:rFonts w:ascii="Times" w:eastAsia="Times New Roman" w:hAnsi="Times" w:cs="Arial"/>
          <w:bCs/>
          <w:sz w:val="24"/>
          <w:szCs w:val="20"/>
          <w:lang w:eastAsia="pl-PL"/>
        </w:rPr>
        <w:t>calnego ustania czynności mózgu</w:t>
      </w:r>
      <w:r w:rsidRPr="00C576AD">
        <w:rPr>
          <w:rFonts w:ascii="Times" w:eastAsia="Times New Roman" w:hAnsi="Times" w:cs="Arial"/>
          <w:bCs/>
          <w:sz w:val="24"/>
          <w:szCs w:val="20"/>
          <w:lang w:eastAsia="pl-PL"/>
        </w:rPr>
        <w:t xml:space="preserve"> jest wykonywane przez lekarzy w</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celu pobrania komórek, tkanek i narządów i w ten sposób powoduje to nie tylko opór wśród społeczeństwa dla tej metody postępowania, ale także wśród lekarzy, tym samym tworząc barierę dla rozwoju transplantologii w Rzeczypospolitej Polskiej. Dlatego też takie przepisy nie powinny być wprost łączone z przepisami ustawy transplantacyjnej. Stanowisko takie prezentuje także Krajowa Rada Transplantacyjna, która składa się z</w:t>
      </w:r>
      <w:r w:rsidR="00ED1747">
        <w:rPr>
          <w:rFonts w:ascii="Times" w:eastAsia="Times New Roman" w:hAnsi="Times" w:cs="Arial"/>
          <w:bCs/>
          <w:sz w:val="24"/>
          <w:szCs w:val="20"/>
          <w:lang w:eastAsia="pl-PL"/>
        </w:rPr>
        <w:t xml:space="preserve"> </w:t>
      </w:r>
      <w:r w:rsidRPr="00C576AD">
        <w:rPr>
          <w:rFonts w:ascii="Times" w:eastAsia="Times New Roman" w:hAnsi="Times" w:cs="Arial"/>
          <w:bCs/>
          <w:sz w:val="24"/>
          <w:szCs w:val="20"/>
          <w:lang w:eastAsia="pl-PL"/>
        </w:rPr>
        <w:t>ekspertów z</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 xml:space="preserve">różnorodnych dziedzin i jest organem doradczym i opiniodawczym ministra właściwego do spraw zdrowia. </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576AD">
        <w:rPr>
          <w:rFonts w:ascii="Times" w:eastAsia="Times New Roman" w:hAnsi="Times" w:cs="Arial"/>
          <w:bCs/>
          <w:sz w:val="24"/>
          <w:szCs w:val="20"/>
          <w:lang w:eastAsia="pl-PL"/>
        </w:rPr>
        <w:t xml:space="preserve">W zmienianym art. 43 ust. 1 ustawy o zawodach lekarza i lekarza dentysty jest zawarta generalna zasada, że lekarz może stwierdzić zgon na podstawie osobiście wykonanych badań i ustaleń. W artykule tym usunięto wyrazy „z zastrzeżeniem sytuacji określonych w odrębnych przepisach”, gdyż zastrzeżenie to dotyczyło przepisów w ustawie transplantacyjnej. Ust. 3 w art. 43 został uzupełniony wskazaniem, iż lekarz może także wystawić kartę zgonu na podstawie dokumentacji stwierdzenia trwałego nieodwracalnego ustania czynności mózgu (śmierci mózgu) lub nieodwracalnego zatrzymania krążenia poprzedzającego pobranie narządów, o których mowa w art. 43a. Po art. 43 dodano nowy art. 43a, dotyczący procedury stwierdzania trwałego nieodwracalnego ustania czynności mózgu, jak również nieodwracalnego zatrzymania </w:t>
      </w:r>
      <w:r w:rsidRPr="00C576AD">
        <w:rPr>
          <w:rFonts w:ascii="Times" w:eastAsia="Times New Roman" w:hAnsi="Times" w:cs="Arial"/>
          <w:bCs/>
          <w:sz w:val="24"/>
          <w:szCs w:val="20"/>
          <w:lang w:eastAsia="pl-PL"/>
        </w:rPr>
        <w:lastRenderedPageBreak/>
        <w:t xml:space="preserve">krążenia poprzedzającego pobranie narządów. Określona w tym przepisie procedura </w:t>
      </w:r>
      <w:r w:rsidR="00ED1747">
        <w:rPr>
          <w:rFonts w:ascii="Times" w:eastAsia="Times New Roman" w:hAnsi="Times" w:cs="Arial"/>
          <w:bCs/>
          <w:sz w:val="24"/>
          <w:szCs w:val="20"/>
          <w:lang w:eastAsia="pl-PL"/>
        </w:rPr>
        <w:br/>
      </w:r>
      <w:r w:rsidRPr="00C576AD">
        <w:rPr>
          <w:rFonts w:ascii="Times" w:eastAsia="Times New Roman" w:hAnsi="Times" w:cs="Arial"/>
          <w:bCs/>
          <w:sz w:val="24"/>
          <w:szCs w:val="20"/>
          <w:lang w:eastAsia="pl-PL"/>
        </w:rPr>
        <w:t>2-osobowego (2 lekarzy specjalistów</w:t>
      </w:r>
      <w:r w:rsidR="000C7773">
        <w:rPr>
          <w:rFonts w:ascii="Times" w:eastAsia="Times New Roman" w:hAnsi="Times" w:cs="Arial"/>
          <w:bCs/>
          <w:sz w:val="24"/>
          <w:szCs w:val="20"/>
          <w:lang w:eastAsia="pl-PL"/>
        </w:rPr>
        <w:t>,</w:t>
      </w:r>
      <w:r w:rsidRPr="00C576AD">
        <w:rPr>
          <w:rFonts w:ascii="Times" w:eastAsia="Times New Roman" w:hAnsi="Times" w:cs="Arial"/>
          <w:bCs/>
          <w:sz w:val="24"/>
          <w:szCs w:val="20"/>
          <w:lang w:eastAsia="pl-PL"/>
        </w:rPr>
        <w:t xml:space="preserve"> posiadających II stopień specjalizacji lub tytuł specjalisty, w tym jeden specjalista w dziedzinie anestezjologii i intensywnej terapii lub neonatologii, a drugi w dziedzinie medycyny ratunkowej, chorób wewnętrznych, kardiologii, kardiologii dziecięcej lub pediatrii) stwierdzenia nieodwracalnego zatrzymania krążenia ma dotyczyć przypadków przed pobraniem narządów, rozumianych jako zespół tkanek o określonej budowie i funkcjach, w</w:t>
      </w:r>
      <w:r w:rsidR="00ED1747">
        <w:rPr>
          <w:rFonts w:ascii="Times" w:eastAsia="Times New Roman" w:hAnsi="Times" w:cs="Arial"/>
          <w:bCs/>
          <w:sz w:val="24"/>
          <w:szCs w:val="20"/>
          <w:lang w:eastAsia="pl-PL"/>
        </w:rPr>
        <w:t xml:space="preserve"> </w:t>
      </w:r>
      <w:r w:rsidRPr="00C576AD">
        <w:rPr>
          <w:rFonts w:ascii="Times" w:eastAsia="Times New Roman" w:hAnsi="Times" w:cs="Arial"/>
          <w:bCs/>
          <w:sz w:val="24"/>
          <w:szCs w:val="20"/>
          <w:lang w:eastAsia="pl-PL"/>
        </w:rPr>
        <w:t>tym przede wszystkim serca, wątroby, nerek, płuc, trzustki. Należy podkreślić, iż</w:t>
      </w:r>
      <w:r w:rsidR="00ED1747">
        <w:rPr>
          <w:rFonts w:ascii="Times" w:eastAsia="Times New Roman" w:hAnsi="Times" w:cs="Arial"/>
          <w:bCs/>
          <w:sz w:val="24"/>
          <w:szCs w:val="20"/>
          <w:lang w:eastAsia="pl-PL"/>
        </w:rPr>
        <w:t xml:space="preserve"> </w:t>
      </w:r>
      <w:r w:rsidRPr="00C576AD">
        <w:rPr>
          <w:rFonts w:ascii="Times" w:eastAsia="Times New Roman" w:hAnsi="Times" w:cs="Arial"/>
          <w:bCs/>
          <w:sz w:val="24"/>
          <w:szCs w:val="20"/>
          <w:lang w:eastAsia="pl-PL"/>
        </w:rPr>
        <w:t>pobranie narządów po rozpoznaniu zatrzymania krążenia musi być wykonane w bardzo krótkim czasie. Dlatego też rozpoznanie to różni się od „rutynowego” rozpoznania zatrzymania krążenia i ze wzg</w:t>
      </w:r>
      <w:r w:rsidR="000C7773">
        <w:rPr>
          <w:rFonts w:ascii="Times" w:eastAsia="Times New Roman" w:hAnsi="Times" w:cs="Arial"/>
          <w:bCs/>
          <w:sz w:val="24"/>
          <w:szCs w:val="20"/>
          <w:lang w:eastAsia="pl-PL"/>
        </w:rPr>
        <w:t>lędu na potencjalne wątpliwości</w:t>
      </w:r>
      <w:r w:rsidRPr="00C576AD">
        <w:rPr>
          <w:rFonts w:ascii="Times" w:eastAsia="Times New Roman" w:hAnsi="Times" w:cs="Arial"/>
          <w:bCs/>
          <w:sz w:val="24"/>
          <w:szCs w:val="20"/>
          <w:lang w:eastAsia="pl-PL"/>
        </w:rPr>
        <w:t xml:space="preserve"> bądź ewentualne zarzuty, że osoba, która chce doprowadzić do pobrania narządów</w:t>
      </w:r>
      <w:r w:rsidR="000C7773">
        <w:rPr>
          <w:rFonts w:ascii="Times" w:eastAsia="Times New Roman" w:hAnsi="Times" w:cs="Arial"/>
          <w:bCs/>
          <w:sz w:val="24"/>
          <w:szCs w:val="20"/>
          <w:lang w:eastAsia="pl-PL"/>
        </w:rPr>
        <w:t>,</w:t>
      </w:r>
      <w:r w:rsidRPr="00C576AD">
        <w:rPr>
          <w:rFonts w:ascii="Times" w:eastAsia="Times New Roman" w:hAnsi="Times" w:cs="Arial"/>
          <w:bCs/>
          <w:sz w:val="24"/>
          <w:szCs w:val="20"/>
          <w:lang w:eastAsia="pl-PL"/>
        </w:rPr>
        <w:t xml:space="preserve"> niestarannie dokona takiego rozpoznania zatrzymania krążenia, w większości krajów prowadzone jest dwuosobowo. Dla odróżnienia od rutynowego stwierdzenia zatrzymania krążenia, w obwieszczeniu Ministra Zdrowia z 2010 r. procedurę tę określono jako „rozpoznanie nieodwracalnego zatrzymania krążenia przed pobraniem narządów”. Natomiast pobranie komórek i</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 xml:space="preserve">tkanek (np. rogówki) będzie możliwe po rutynowym, jednoosobowym stwierdzeniu zgonu, także wskutek nieodwracalnego zatrzymania krążenia. </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576AD">
        <w:rPr>
          <w:rFonts w:ascii="Times" w:eastAsia="Times New Roman" w:hAnsi="Times" w:cs="Arial"/>
          <w:bCs/>
          <w:sz w:val="24"/>
          <w:szCs w:val="20"/>
          <w:lang w:eastAsia="pl-PL"/>
        </w:rPr>
        <w:t>Ponadto w projekcie wprowadzono zasadę, iż trwałe nieodwracalne ustanie czynności mózgu ma stwierdzać dwóch lekarzy, posiadających specjalizację, w tym jeden specjalista w dziedzinie anestezjologii i intensywnej terapii lub neonatologii, a drugi w</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dziedzinie neurologii, neurologii dziecięcej lub neurochirurgii. Dotychczas była to komisja złożona z trzech lekarzy o określonych specjalnościach. Należy wskazać, iż dwóch lekarzy stanowi w większości krajów Europy, w Stanach Zjednoczonych i</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Kanadzie skład wystarczający do procedowania stwierdzania śmierci mózgu. Powoływanie komisji przez kierownika podmiotu leczniczego jest pozostałością poprzednich rozwiązań prawnych. Trzeci lekarz w polskiej komisji był pozostałością po medyku sądowym z pierwszych kryteriów określonych w 1984 r. Zgodnie z panującym ówcześnie poglądem, śmierć mózgu jest najczęściej wynikiem czynu zabronionego i</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 xml:space="preserve">medyk sądowy w komisji będzie zabezpieczał postępowanie dowodowe. Wkrótce jednak okazało się, że śmierć mózgu jest wynikiem zdarzeń medycznych, niebędących przedmiotem postępowania sądowego, jednakże trzeci członek komisji pozostał. Obecnie w związku z fluktuacją kadr zdarza się, że członkowie dawniej powołanej </w:t>
      </w:r>
      <w:r w:rsidRPr="00C576AD">
        <w:rPr>
          <w:rFonts w:ascii="Times" w:eastAsia="Times New Roman" w:hAnsi="Times" w:cs="Arial"/>
          <w:bCs/>
          <w:sz w:val="24"/>
          <w:szCs w:val="20"/>
          <w:lang w:eastAsia="pl-PL"/>
        </w:rPr>
        <w:lastRenderedPageBreak/>
        <w:t>komisji nie są dostępni, a zatrudniony niedawno kompetentny specjalista nie ma powołania do komisji. Powoduje to często problemy organizacyjne szczególnie w</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mniejszych podmiotach leczniczych. Wezwanie dwóch dostępnych specjalistów będzie rozwiązaniem skutecznym i zgodnym z zasadami stosowanymi w innych krajach.</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576AD">
        <w:rPr>
          <w:rFonts w:ascii="Times" w:eastAsia="Times New Roman" w:hAnsi="Times" w:cs="Arial"/>
          <w:bCs/>
          <w:sz w:val="24"/>
          <w:szCs w:val="20"/>
          <w:lang w:eastAsia="pl-PL"/>
        </w:rPr>
        <w:t>Wprowadzenie neonatologa i neurologa dziecięcego umożliwi orzekanie w</w:t>
      </w:r>
      <w:r w:rsidR="00ED1747">
        <w:rPr>
          <w:rFonts w:ascii="Times" w:eastAsia="Times New Roman" w:hAnsi="Times" w:cs="Arial"/>
          <w:bCs/>
          <w:sz w:val="24"/>
          <w:szCs w:val="20"/>
          <w:lang w:eastAsia="pl-PL"/>
        </w:rPr>
        <w:t xml:space="preserve"> </w:t>
      </w:r>
      <w:r w:rsidRPr="00C576AD">
        <w:rPr>
          <w:rFonts w:ascii="Times" w:eastAsia="Times New Roman" w:hAnsi="Times" w:cs="Arial"/>
          <w:bCs/>
          <w:sz w:val="24"/>
          <w:szCs w:val="20"/>
          <w:lang w:eastAsia="pl-PL"/>
        </w:rPr>
        <w:t>oddziałach noworodków prowadzonych przez neonatologów. Według dotychczasowych przepisów neurolog dziecięcy nie jest uprawniony do orzekania, co jest nielogiczne w takich podmiotach leczniczych, jak np. Instytut Pomnik „Centrum Zdrowia Dziecka” w</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 xml:space="preserve">Warszawie, w przypadku rozpoznawania śmierci mózgu u dzieci. Wymienieni lekarze będą wzywani przez lekarza dyżurnego, jako konsultanci, pod warunkiem, że będą specjalistami odpowiednich dziedzin. Ponadto będą występować jako osoby stwierdzające śmierć mózgu w protokole postępowania diagnostycznego śmierci mózgu. </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C576AD">
        <w:rPr>
          <w:rFonts w:ascii="Times" w:eastAsia="Times New Roman" w:hAnsi="Times" w:cs="Arial"/>
          <w:sz w:val="24"/>
          <w:szCs w:val="20"/>
          <w:lang w:eastAsia="pl-PL"/>
        </w:rPr>
        <w:t>W obu powyżej omawianych przypadkach sposób i kryteria stwierdzania trwałego i</w:t>
      </w:r>
      <w:r w:rsidR="00ED1747">
        <w:rPr>
          <w:rFonts w:ascii="Times" w:eastAsia="Times New Roman" w:hAnsi="Times" w:cs="Arial"/>
          <w:sz w:val="24"/>
          <w:szCs w:val="20"/>
          <w:lang w:eastAsia="pl-PL"/>
        </w:rPr>
        <w:t> </w:t>
      </w:r>
      <w:r w:rsidRPr="00C576AD">
        <w:rPr>
          <w:rFonts w:ascii="Times" w:eastAsia="Times New Roman" w:hAnsi="Times" w:cs="Arial"/>
          <w:sz w:val="24"/>
          <w:szCs w:val="20"/>
          <w:lang w:eastAsia="pl-PL"/>
        </w:rPr>
        <w:t>nieodwracalnego ustania czynności mózgu oraz nieodwracalnego zatrzymania krążenia poprzedzającego pobranie narządów będą ustalane przez lekarzy specjalistów będących ekspertami w danych dziedzinach medycyny (powoływanych i</w:t>
      </w:r>
      <w:r w:rsidR="00ED1747">
        <w:rPr>
          <w:rFonts w:ascii="Times" w:eastAsia="Times New Roman" w:hAnsi="Times" w:cs="Arial"/>
          <w:sz w:val="24"/>
          <w:szCs w:val="20"/>
          <w:lang w:eastAsia="pl-PL"/>
        </w:rPr>
        <w:t> </w:t>
      </w:r>
      <w:r w:rsidRPr="00C576AD">
        <w:rPr>
          <w:rFonts w:ascii="Times" w:eastAsia="Times New Roman" w:hAnsi="Times" w:cs="Arial"/>
          <w:sz w:val="24"/>
          <w:szCs w:val="20"/>
          <w:lang w:eastAsia="pl-PL"/>
        </w:rPr>
        <w:t>odwoływanych przez</w:t>
      </w:r>
      <w:r w:rsidR="00ED1747">
        <w:rPr>
          <w:rFonts w:ascii="Times" w:eastAsia="Times New Roman" w:hAnsi="Times" w:cs="Arial"/>
          <w:sz w:val="24"/>
          <w:szCs w:val="20"/>
          <w:lang w:eastAsia="pl-PL"/>
        </w:rPr>
        <w:t xml:space="preserve"> </w:t>
      </w:r>
      <w:r w:rsidRPr="00C576AD">
        <w:rPr>
          <w:rFonts w:ascii="Times" w:eastAsia="Times New Roman" w:hAnsi="Times" w:cs="Arial"/>
          <w:sz w:val="24"/>
          <w:szCs w:val="20"/>
          <w:lang w:eastAsia="pl-PL"/>
        </w:rPr>
        <w:t xml:space="preserve">ministra właściwego do spraw zdrowia), a następnie ogłaszane w drodze obwieszczenia tego ministra. Obwieszczenie nie jest aktem prawa powszechnie obowiązującego i nie zostało wskazane w zamkniętym katalogu źródeł prawa w art. 87 Konstytucji. W obwieszczeniu nie mogą się zatem znaleźć przepisy nakładające na podmioty prawa jakiekolwiek obowiązki oraz nadające tym podmiotom jakiekolwiek </w:t>
      </w:r>
      <w:r w:rsidR="000C7773">
        <w:rPr>
          <w:rFonts w:ascii="Times" w:eastAsia="Times New Roman" w:hAnsi="Times" w:cs="Arial"/>
          <w:sz w:val="24"/>
          <w:szCs w:val="20"/>
          <w:lang w:eastAsia="pl-PL"/>
        </w:rPr>
        <w:t>uprawnienia. I z taką sytuacją –</w:t>
      </w:r>
      <w:r w:rsidRPr="00C576AD">
        <w:rPr>
          <w:rFonts w:ascii="Times" w:eastAsia="Times New Roman" w:hAnsi="Times" w:cs="Arial"/>
          <w:sz w:val="24"/>
          <w:szCs w:val="20"/>
          <w:lang w:eastAsia="pl-PL"/>
        </w:rPr>
        <w:t xml:space="preserve"> tj. nienakładania obowiązków i nieprzyznawania praw mamy do czynienia w przypadku projektowanej regulacji. Opis ten został sformułowany w oparciu o wiedzę merytoryczną, celem</w:t>
      </w:r>
      <w:r w:rsidR="00ED1747">
        <w:rPr>
          <w:rFonts w:ascii="Times" w:eastAsia="Times New Roman" w:hAnsi="Times" w:cs="Arial"/>
          <w:sz w:val="24"/>
          <w:szCs w:val="20"/>
          <w:lang w:eastAsia="pl-PL"/>
        </w:rPr>
        <w:t xml:space="preserve"> –</w:t>
      </w:r>
      <w:r w:rsidRPr="00C576AD">
        <w:rPr>
          <w:rFonts w:ascii="Times" w:eastAsia="Times New Roman" w:hAnsi="Times" w:cs="Arial"/>
          <w:sz w:val="24"/>
          <w:szCs w:val="20"/>
          <w:lang w:eastAsia="pl-PL"/>
        </w:rPr>
        <w:t xml:space="preserve"> jeżeli nie wykluczenia </w:t>
      </w:r>
      <w:r w:rsidR="00ED1747">
        <w:rPr>
          <w:rFonts w:ascii="Times" w:eastAsia="Times New Roman" w:hAnsi="Times" w:cs="Arial"/>
          <w:sz w:val="24"/>
          <w:szCs w:val="20"/>
          <w:lang w:eastAsia="pl-PL"/>
        </w:rPr>
        <w:t>–</w:t>
      </w:r>
      <w:r w:rsidRPr="00C576AD">
        <w:rPr>
          <w:rFonts w:ascii="Times" w:eastAsia="Times New Roman" w:hAnsi="Times" w:cs="Arial"/>
          <w:sz w:val="24"/>
          <w:szCs w:val="20"/>
          <w:lang w:eastAsia="pl-PL"/>
        </w:rPr>
        <w:t xml:space="preserve"> to co najmniej zminimalizowania pomyłek przy przeprowadzaniu wszystkich „stwierdzeń” i</w:t>
      </w:r>
      <w:r w:rsidR="00ED1747">
        <w:rPr>
          <w:rFonts w:ascii="Times" w:eastAsia="Times New Roman" w:hAnsi="Times" w:cs="Arial"/>
          <w:sz w:val="24"/>
          <w:szCs w:val="20"/>
          <w:lang w:eastAsia="pl-PL"/>
        </w:rPr>
        <w:t> </w:t>
      </w:r>
      <w:r w:rsidRPr="00C576AD">
        <w:rPr>
          <w:rFonts w:ascii="Times" w:eastAsia="Times New Roman" w:hAnsi="Times" w:cs="Arial"/>
          <w:sz w:val="24"/>
          <w:szCs w:val="20"/>
          <w:lang w:eastAsia="pl-PL"/>
        </w:rPr>
        <w:t xml:space="preserve">„wykluczeń” oraz celem właściwego wykonania prób oraz w uzasadnionych wypadkach badań instrumentalnych. Mając na względzie użyte w obwieszczeniu wyrazy, takie jak: wytyczne, wskazówki i uwagi, nie można mieć wątpliwości, iż obwieszczenia nie mają (nie będą miały) waloru normatywnego. Obwieszczenia są bowiem nośnikiem zaleceń opracowanych przez wybitne autorytety polskiego świata medycznego. Taka forma ogłoszenia wytycznych dotyczących aktualnej wiedzy </w:t>
      </w:r>
      <w:r w:rsidRPr="00C576AD">
        <w:rPr>
          <w:rFonts w:ascii="Times" w:eastAsia="Times New Roman" w:hAnsi="Times" w:cs="Arial"/>
          <w:sz w:val="24"/>
          <w:szCs w:val="20"/>
          <w:lang w:eastAsia="pl-PL"/>
        </w:rPr>
        <w:lastRenderedPageBreak/>
        <w:t>medycznej jest uznana przez środowisko medyczne za najbardziej racjonalną i</w:t>
      </w:r>
      <w:r w:rsidR="00ED1747">
        <w:rPr>
          <w:rFonts w:ascii="Times" w:eastAsia="Times New Roman" w:hAnsi="Times" w:cs="Arial"/>
          <w:sz w:val="24"/>
          <w:szCs w:val="20"/>
          <w:lang w:eastAsia="pl-PL"/>
        </w:rPr>
        <w:t> </w:t>
      </w:r>
      <w:r w:rsidRPr="00C576AD">
        <w:rPr>
          <w:rFonts w:ascii="Times" w:eastAsia="Times New Roman" w:hAnsi="Times" w:cs="Arial"/>
          <w:sz w:val="24"/>
          <w:szCs w:val="20"/>
          <w:lang w:eastAsia="pl-PL"/>
        </w:rPr>
        <w:t>efektywną. Wprowadzono także zasadę, iż minister właściwy do spraw zdrowia, nie rzadziej niż raz na 5 lat, będzie powierzać specjalistom z odpowiednich dziedzin medycyny dokonanie oceny zgodności sposobu i kryteriów, o których mowa w art. 43a ust. 2, z aktualnym stanem wiedzy medycznej. W art. 43a wprowadzono także przepis (ust. 7) wskazujący, iż stwierdzenie trwałego nieodwracalnego ustania czynności mózgu (śmierci mózgu) lub nieodwracalnego zatrzymania krążenia jest równoznaczne ze stwierdzeniem zgonu. Przepis ten koreluje z ust. 3 art. 43a.</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576AD">
        <w:rPr>
          <w:rFonts w:ascii="Times" w:eastAsia="Times New Roman" w:hAnsi="Times" w:cs="Arial"/>
          <w:bCs/>
          <w:sz w:val="24"/>
          <w:szCs w:val="20"/>
          <w:lang w:eastAsia="pl-PL"/>
        </w:rPr>
        <w:t>W ustawie transplantacyjnej wprowadzono porządkujące przepisy wskazujące, iż pobranie komórek, tkanek lub narządów do przeszczepienia jest dopuszczalne po stwierdzeniu zgonu w sposób określony w ustawie z dnia 5 grudnia 1996 r. o zawodach lekarza i lekarza dentysty, tj. na podstawie osobiście wykonanych badań i ustaleń (czyli w najczęściej stosowany sposób stwierdzenia zgonu), zgonu w wyniku trwałego nieodwracalnego ustania czynności mózgu oraz nieodwracalnego zatrzymania krążenia (art. 4). Wskazano również, iż w postępowaniu obejmującym pobieranie i</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przeszczepianie komórek, tkanek lub narządów od osoby zmarłej nie mogą brać udziału lekarze, którzy stwierdzili u tej osoby trwałe nieodwracalne ustanie czynności mózgu albo nieodwracalne zatrzymanie krążenia. Podkreślenia wymaga, iż przepisy te mają na celu zwiększenie zaufania do transplantologii poprzez fakt wyłączenia lekarzy, którzy dokonują ww. czynności, od czynności bezpośrednio związanych z procedurą przeszczepiania. Dodano również przepis (art. 9b), który wyklucza udział lekarza w</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 xml:space="preserve">postępowaniu obejmującym pobieranie i przeszczepianie komórek, tkanek lub narządów od osoby zmarłej, której stwierdził zgon. Ponadto w ustawie transplantacyjnej pozostał przepis określający, iż stwierdzenie trwałego nieodwracalnego ustania czynności mózgu w sposób określony w ustawie z dnia 5 grudnia 1996 r. o zawodach lekarza i lekarza dentysty wchodzi w zakres kosztów pobrania komórek, tkanek i narządów (art. 3 ust. 3 – w przepisie tym usunięto wyraz „komisyjnego” oraz dodano wyrazy „nieodwracalnego zatrzymania krążenia, poprzedzającego pobranie narządów”). </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C576AD">
        <w:rPr>
          <w:rFonts w:ascii="Times" w:eastAsia="Times New Roman" w:hAnsi="Times" w:cs="Arial"/>
          <w:sz w:val="24"/>
          <w:szCs w:val="20"/>
          <w:lang w:eastAsia="pl-PL"/>
        </w:rPr>
        <w:t xml:space="preserve">Projekt ustawy zawiera także przepis przejściowy (art. 3 projektu ustawy) wskazujący, iż do czasu ogłoszenia sposobu i kryteriów stwierdzenia trwałego nieodwracalnego ustania czynności mózgu (śmierci mózgu) oraz nieodwracalnego zatrzymania krążenia poprzedzającego pobranie narządów na podstawie art. 43a ust. 3 ustawy o zawodach lekarza, stosuje się kryteria i sposób ogłoszone obecnie na podstawie art. 9 ust. 3 </w:t>
      </w:r>
      <w:r w:rsidRPr="00C576AD">
        <w:rPr>
          <w:rFonts w:ascii="Times" w:eastAsia="Times New Roman" w:hAnsi="Times" w:cs="Arial"/>
          <w:sz w:val="24"/>
          <w:szCs w:val="20"/>
          <w:lang w:eastAsia="pl-PL"/>
        </w:rPr>
        <w:lastRenderedPageBreak/>
        <w:t>i</w:t>
      </w:r>
      <w:r w:rsidR="00ED1747">
        <w:rPr>
          <w:rFonts w:ascii="Times" w:eastAsia="Times New Roman" w:hAnsi="Times" w:cs="Arial"/>
          <w:sz w:val="24"/>
          <w:szCs w:val="20"/>
          <w:lang w:eastAsia="pl-PL"/>
        </w:rPr>
        <w:t> </w:t>
      </w:r>
      <w:r w:rsidRPr="00C576AD">
        <w:rPr>
          <w:rFonts w:ascii="Times" w:eastAsia="Times New Roman" w:hAnsi="Times" w:cs="Arial"/>
          <w:sz w:val="24"/>
          <w:szCs w:val="20"/>
          <w:lang w:eastAsia="pl-PL"/>
        </w:rPr>
        <w:t>art.</w:t>
      </w:r>
      <w:r w:rsidR="00ED1747">
        <w:rPr>
          <w:rFonts w:ascii="Times" w:eastAsia="Times New Roman" w:hAnsi="Times" w:cs="Arial"/>
          <w:sz w:val="24"/>
          <w:szCs w:val="20"/>
          <w:lang w:eastAsia="pl-PL"/>
        </w:rPr>
        <w:t> </w:t>
      </w:r>
      <w:r w:rsidRPr="00C576AD">
        <w:rPr>
          <w:rFonts w:ascii="Times" w:eastAsia="Times New Roman" w:hAnsi="Times" w:cs="Arial"/>
          <w:sz w:val="24"/>
          <w:szCs w:val="20"/>
          <w:lang w:eastAsia="pl-PL"/>
        </w:rPr>
        <w:t xml:space="preserve">9a ust. 3 ustawy transplantacyjnej. Ma to na celu zachowanie ciągłości stosowania przepisów obwieszczenia Ministra Zdrowia określającego </w:t>
      </w:r>
      <w:r w:rsidR="000C7773">
        <w:rPr>
          <w:rFonts w:ascii="Times" w:eastAsia="Times New Roman" w:hAnsi="Times" w:cs="Arial"/>
          <w:sz w:val="24"/>
          <w:szCs w:val="20"/>
          <w:lang w:eastAsia="pl-PL"/>
        </w:rPr>
        <w:t>kryteria</w:t>
      </w:r>
      <w:r w:rsidR="000C7773" w:rsidRPr="000C7773">
        <w:rPr>
          <w:rFonts w:ascii="Times" w:eastAsia="Times New Roman" w:hAnsi="Times" w:cs="Arial"/>
          <w:sz w:val="24"/>
          <w:szCs w:val="20"/>
          <w:lang w:eastAsia="pl-PL"/>
        </w:rPr>
        <w:t xml:space="preserve"> </w:t>
      </w:r>
      <w:r w:rsidR="000C7773" w:rsidRPr="00C576AD">
        <w:rPr>
          <w:rFonts w:ascii="Times" w:eastAsia="Times New Roman" w:hAnsi="Times" w:cs="Arial"/>
          <w:sz w:val="24"/>
          <w:szCs w:val="20"/>
          <w:lang w:eastAsia="pl-PL"/>
        </w:rPr>
        <w:t xml:space="preserve">i sposób </w:t>
      </w:r>
      <w:r w:rsidRPr="00C576AD">
        <w:rPr>
          <w:rFonts w:ascii="Times" w:eastAsia="Times New Roman" w:hAnsi="Times" w:cs="Arial"/>
          <w:sz w:val="24"/>
          <w:szCs w:val="20"/>
          <w:lang w:eastAsia="pl-PL"/>
        </w:rPr>
        <w:t>stwierdzenia trwałego nieodwracalnego ustania czynności mózgu (śmierci mózgu) oraz nieodwracalnego zatrzymania krążenia poprzedzającego pobranie narządów.</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576AD">
        <w:rPr>
          <w:rFonts w:ascii="Times" w:eastAsia="Times New Roman" w:hAnsi="Times" w:cs="Arial"/>
          <w:bCs/>
          <w:sz w:val="24"/>
          <w:szCs w:val="20"/>
          <w:lang w:eastAsia="pl-PL"/>
        </w:rPr>
        <w:t>Projektowana regulacja nie zawiera przepisów technicznych w rozumieniu rozporządzenia Rady Ministrów z dnia 23 grudnia 2002 r. w sprawie sposobu funkcjonowania krajowego systemu notyfikacji norm i aktów prawnych (Dz. U. poz.</w:t>
      </w:r>
      <w:r w:rsidR="00ED1747">
        <w:rPr>
          <w:rFonts w:ascii="Times" w:eastAsia="Times New Roman" w:hAnsi="Times" w:cs="Arial"/>
          <w:bCs/>
          <w:sz w:val="24"/>
          <w:szCs w:val="20"/>
          <w:lang w:eastAsia="pl-PL"/>
        </w:rPr>
        <w:t> </w:t>
      </w:r>
      <w:r w:rsidRPr="00C576AD">
        <w:rPr>
          <w:rFonts w:ascii="Times" w:eastAsia="Times New Roman" w:hAnsi="Times" w:cs="Arial"/>
          <w:bCs/>
          <w:sz w:val="24"/>
          <w:szCs w:val="20"/>
          <w:lang w:eastAsia="pl-PL"/>
        </w:rPr>
        <w:t>2039 oraz z 2004 r. poz. 597) i nie podlega notyfikacji Komisji Europejskiej.</w:t>
      </w:r>
    </w:p>
    <w:p w:rsidR="00C576AD" w:rsidRPr="00C576AD" w:rsidRDefault="00C576AD" w:rsidP="00ED1747">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C576AD">
        <w:rPr>
          <w:rFonts w:ascii="Times" w:eastAsia="Times New Roman" w:hAnsi="Times" w:cs="Arial"/>
          <w:bCs/>
          <w:sz w:val="24"/>
          <w:szCs w:val="20"/>
          <w:lang w:eastAsia="pl-PL"/>
        </w:rPr>
        <w:t>Przedmiotowy projekt nie jest sprzeczny z prawem Unii Europejskiej. Projekt nie był przedstawiany organom i instytucjom Unii Europejskiej, w tym Europejskiemu Bankowi Centralnemu, w celu uzyskania opinii, dokonania powiadomienia, konsultacji albo uzgodnienia.</w:t>
      </w:r>
    </w:p>
    <w:sectPr w:rsidR="00C576AD" w:rsidRPr="00C576AD" w:rsidSect="00ED1747">
      <w:footerReference w:type="default" r:id="rId7"/>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747" w:rsidRDefault="00ED1747" w:rsidP="00ED1747">
      <w:pPr>
        <w:spacing w:after="0" w:line="240" w:lineRule="auto"/>
      </w:pPr>
      <w:r>
        <w:separator/>
      </w:r>
    </w:p>
  </w:endnote>
  <w:endnote w:type="continuationSeparator" w:id="0">
    <w:p w:rsidR="00ED1747" w:rsidRDefault="00ED1747" w:rsidP="00ED1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060538"/>
      <w:docPartObj>
        <w:docPartGallery w:val="Page Numbers (Bottom of Page)"/>
        <w:docPartUnique/>
      </w:docPartObj>
    </w:sdtPr>
    <w:sdtEndPr>
      <w:rPr>
        <w:rFonts w:ascii="Times New Roman" w:hAnsi="Times New Roman" w:cs="Times New Roman"/>
        <w:sz w:val="24"/>
        <w:szCs w:val="24"/>
      </w:rPr>
    </w:sdtEndPr>
    <w:sdtContent>
      <w:p w:rsidR="00ED1747" w:rsidRPr="00ED1747" w:rsidRDefault="00ED1747" w:rsidP="00ED1747">
        <w:pPr>
          <w:pStyle w:val="Stopka"/>
          <w:jc w:val="center"/>
          <w:rPr>
            <w:rFonts w:ascii="Times New Roman" w:hAnsi="Times New Roman" w:cs="Times New Roman"/>
            <w:sz w:val="24"/>
            <w:szCs w:val="24"/>
          </w:rPr>
        </w:pPr>
        <w:r w:rsidRPr="00ED1747">
          <w:rPr>
            <w:rFonts w:ascii="Times New Roman" w:hAnsi="Times New Roman" w:cs="Times New Roman"/>
            <w:sz w:val="24"/>
            <w:szCs w:val="24"/>
          </w:rPr>
          <w:fldChar w:fldCharType="begin"/>
        </w:r>
        <w:r w:rsidRPr="00ED1747">
          <w:rPr>
            <w:rFonts w:ascii="Times New Roman" w:hAnsi="Times New Roman" w:cs="Times New Roman"/>
            <w:sz w:val="24"/>
            <w:szCs w:val="24"/>
          </w:rPr>
          <w:instrText>PAGE   \* MERGEFORMAT</w:instrText>
        </w:r>
        <w:r w:rsidRPr="00ED1747">
          <w:rPr>
            <w:rFonts w:ascii="Times New Roman" w:hAnsi="Times New Roman" w:cs="Times New Roman"/>
            <w:sz w:val="24"/>
            <w:szCs w:val="24"/>
          </w:rPr>
          <w:fldChar w:fldCharType="separate"/>
        </w:r>
        <w:r w:rsidR="00442178">
          <w:rPr>
            <w:rFonts w:ascii="Times New Roman" w:hAnsi="Times New Roman" w:cs="Times New Roman"/>
            <w:noProof/>
            <w:sz w:val="24"/>
            <w:szCs w:val="24"/>
          </w:rPr>
          <w:t>5</w:t>
        </w:r>
        <w:r w:rsidRPr="00ED174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747" w:rsidRDefault="00ED1747" w:rsidP="00ED1747">
      <w:pPr>
        <w:spacing w:after="0" w:line="240" w:lineRule="auto"/>
      </w:pPr>
      <w:r>
        <w:separator/>
      </w:r>
    </w:p>
  </w:footnote>
  <w:footnote w:type="continuationSeparator" w:id="0">
    <w:p w:rsidR="00ED1747" w:rsidRDefault="00ED1747" w:rsidP="00ED17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6AD"/>
    <w:rsid w:val="000C7773"/>
    <w:rsid w:val="00175A27"/>
    <w:rsid w:val="00250305"/>
    <w:rsid w:val="00282157"/>
    <w:rsid w:val="00442178"/>
    <w:rsid w:val="0069354A"/>
    <w:rsid w:val="00777034"/>
    <w:rsid w:val="009A480B"/>
    <w:rsid w:val="00A61B74"/>
    <w:rsid w:val="00AA4052"/>
    <w:rsid w:val="00AD6A67"/>
    <w:rsid w:val="00B92A4D"/>
    <w:rsid w:val="00BE4B65"/>
    <w:rsid w:val="00C576AD"/>
    <w:rsid w:val="00C64C3C"/>
    <w:rsid w:val="00C70323"/>
    <w:rsid w:val="00CC5016"/>
    <w:rsid w:val="00ED1747"/>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576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76AD"/>
  </w:style>
  <w:style w:type="paragraph" w:styleId="Stopka">
    <w:name w:val="footer"/>
    <w:basedOn w:val="Normalny"/>
    <w:link w:val="StopkaZnak"/>
    <w:uiPriority w:val="99"/>
    <w:unhideWhenUsed/>
    <w:rsid w:val="00ED17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D17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576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76AD"/>
  </w:style>
  <w:style w:type="paragraph" w:styleId="Stopka">
    <w:name w:val="footer"/>
    <w:basedOn w:val="Normalny"/>
    <w:link w:val="StopkaZnak"/>
    <w:uiPriority w:val="99"/>
    <w:unhideWhenUsed/>
    <w:rsid w:val="00ED17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D1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1593</Words>
  <Characters>9563</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2017-01-10T09:34:00Z</dcterms:created>
  <dcterms:modified xsi:type="dcterms:W3CDTF">2017-01-10T09:34:00Z</dcterms:modified>
</cp:coreProperties>
</file>