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CA" w:rsidRPr="00E14AD0" w:rsidRDefault="000C19CA" w:rsidP="000C19CA">
      <w:pPr>
        <w:pStyle w:val="TYTDZOZNoznaczenietytuulubdziau"/>
        <w:rPr>
          <w:rFonts w:ascii="Times New Roman" w:hAnsi="Times New Roman" w:cs="Times New Roman"/>
        </w:rPr>
      </w:pPr>
      <w:bookmarkStart w:id="0" w:name="_GoBack"/>
      <w:bookmarkEnd w:id="0"/>
      <w:r w:rsidRPr="00E14AD0">
        <w:rPr>
          <w:rFonts w:ascii="Times New Roman" w:hAnsi="Times New Roman" w:cs="Times New Roman"/>
        </w:rPr>
        <w:t>UZASADNIENIE</w:t>
      </w:r>
    </w:p>
    <w:p w:rsidR="00E14AD0" w:rsidRPr="00E14AD0" w:rsidRDefault="00E14AD0" w:rsidP="00D877F0">
      <w:pPr>
        <w:spacing w:before="120"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14AD0">
        <w:rPr>
          <w:rFonts w:ascii="Times New Roman" w:eastAsia="Calibri" w:hAnsi="Times New Roman"/>
          <w:b/>
          <w:sz w:val="24"/>
          <w:szCs w:val="24"/>
        </w:rPr>
        <w:t>1. Wyjaśnienie potrzeby i celu wydania ustawy</w:t>
      </w:r>
    </w:p>
    <w:p w:rsidR="00F83151" w:rsidRDefault="000C19CA" w:rsidP="00F83151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E14AD0">
        <w:rPr>
          <w:rFonts w:ascii="Times New Roman" w:hAnsi="Times New Roman" w:cs="Times New Roman"/>
          <w:szCs w:val="24"/>
        </w:rPr>
        <w:t>Proponowane zmiany ustawy z dnia 29 lipca 2005 r. o ofercie publicznej i warunkach wprowadzania instrumentów finansowych do zorganizowanego systemu obrotu oraz o spółkach publicznych (Dz. U. z 201</w:t>
      </w:r>
      <w:r w:rsidR="00E14AD0" w:rsidRPr="00E14AD0">
        <w:rPr>
          <w:rFonts w:ascii="Times New Roman" w:hAnsi="Times New Roman" w:cs="Times New Roman"/>
          <w:szCs w:val="24"/>
        </w:rPr>
        <w:t>6</w:t>
      </w:r>
      <w:r w:rsidRPr="00E14AD0">
        <w:rPr>
          <w:rFonts w:ascii="Times New Roman" w:hAnsi="Times New Roman" w:cs="Times New Roman"/>
          <w:szCs w:val="24"/>
        </w:rPr>
        <w:t xml:space="preserve"> r. poz. 1</w:t>
      </w:r>
      <w:r w:rsidR="00E14AD0" w:rsidRPr="00E14AD0">
        <w:rPr>
          <w:rFonts w:ascii="Times New Roman" w:hAnsi="Times New Roman" w:cs="Times New Roman"/>
          <w:szCs w:val="24"/>
        </w:rPr>
        <w:t>6</w:t>
      </w:r>
      <w:r w:rsidRPr="00E14AD0">
        <w:rPr>
          <w:rFonts w:ascii="Times New Roman" w:hAnsi="Times New Roman" w:cs="Times New Roman"/>
          <w:szCs w:val="24"/>
        </w:rPr>
        <w:t>3</w:t>
      </w:r>
      <w:r w:rsidR="00E14AD0" w:rsidRPr="00E14AD0">
        <w:rPr>
          <w:rFonts w:ascii="Times New Roman" w:hAnsi="Times New Roman" w:cs="Times New Roman"/>
          <w:szCs w:val="24"/>
        </w:rPr>
        <w:t>9</w:t>
      </w:r>
      <w:r w:rsidRPr="00E14AD0">
        <w:rPr>
          <w:rFonts w:ascii="Times New Roman" w:hAnsi="Times New Roman" w:cs="Times New Roman"/>
          <w:szCs w:val="24"/>
        </w:rPr>
        <w:t xml:space="preserve">), zwanej dalej „ustawą o ofercie”, </w:t>
      </w:r>
      <w:r w:rsidR="009951E1">
        <w:rPr>
          <w:rFonts w:ascii="Times New Roman" w:hAnsi="Times New Roman" w:cs="Times New Roman"/>
          <w:szCs w:val="24"/>
        </w:rPr>
        <w:t xml:space="preserve">polegają co </w:t>
      </w:r>
      <w:r w:rsidR="008108D4">
        <w:rPr>
          <w:rFonts w:ascii="Times New Roman" w:hAnsi="Times New Roman" w:cs="Times New Roman"/>
          <w:szCs w:val="24"/>
        </w:rPr>
        <w:t xml:space="preserve">do istoty </w:t>
      </w:r>
      <w:r w:rsidR="009951E1">
        <w:rPr>
          <w:rFonts w:ascii="Times New Roman" w:hAnsi="Times New Roman" w:cs="Times New Roman"/>
          <w:szCs w:val="24"/>
        </w:rPr>
        <w:t>na</w:t>
      </w:r>
      <w:r w:rsidRPr="00E14AD0">
        <w:rPr>
          <w:rFonts w:ascii="Times New Roman" w:hAnsi="Times New Roman" w:cs="Times New Roman"/>
          <w:szCs w:val="24"/>
        </w:rPr>
        <w:t xml:space="preserve"> </w:t>
      </w:r>
      <w:r w:rsidR="009951E1">
        <w:rPr>
          <w:rFonts w:ascii="Times New Roman" w:hAnsi="Times New Roman" w:cs="Times New Roman"/>
          <w:szCs w:val="24"/>
        </w:rPr>
        <w:t>uchyleniu</w:t>
      </w:r>
      <w:r w:rsidR="00F83151" w:rsidRPr="00E14AD0">
        <w:rPr>
          <w:rFonts w:ascii="Times New Roman" w:hAnsi="Times New Roman" w:cs="Times New Roman"/>
          <w:szCs w:val="24"/>
        </w:rPr>
        <w:t xml:space="preserve"> obowiązku ogłaszania wezwania, o którym mowa w art. 72</w:t>
      </w:r>
      <w:r w:rsidR="008108D4">
        <w:rPr>
          <w:rFonts w:ascii="Times New Roman" w:hAnsi="Times New Roman" w:cs="Times New Roman"/>
          <w:szCs w:val="24"/>
        </w:rPr>
        <w:t xml:space="preserve"> tej ustawy</w:t>
      </w:r>
      <w:r w:rsidR="009951E1">
        <w:rPr>
          <w:rFonts w:ascii="Times New Roman" w:hAnsi="Times New Roman" w:cs="Times New Roman"/>
          <w:szCs w:val="24"/>
        </w:rPr>
        <w:t>, i mają na celu uwzględnienie obecnego stanu rozwoju polskiego rynku kapitałowego</w:t>
      </w:r>
      <w:r w:rsidR="00F83151">
        <w:rPr>
          <w:rFonts w:ascii="Times New Roman" w:hAnsi="Times New Roman" w:cs="Times New Roman"/>
          <w:szCs w:val="24"/>
        </w:rPr>
        <w:t>.</w:t>
      </w:r>
    </w:p>
    <w:p w:rsidR="00E14AD0" w:rsidRPr="00E14AD0" w:rsidRDefault="00E14AD0" w:rsidP="00D877F0">
      <w:pPr>
        <w:spacing w:before="120"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14AD0">
        <w:rPr>
          <w:rFonts w:ascii="Times New Roman" w:eastAsia="Calibri" w:hAnsi="Times New Roman"/>
          <w:b/>
          <w:sz w:val="24"/>
          <w:szCs w:val="24"/>
        </w:rPr>
        <w:t>2. Przedstawienie rzeczywistego stanu w dziedzinie, która ma być unormowana</w:t>
      </w:r>
    </w:p>
    <w:p w:rsidR="009A2936" w:rsidRPr="00E14AD0" w:rsidRDefault="009A2936" w:rsidP="009A2936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Pr="00E14AD0">
        <w:rPr>
          <w:rFonts w:ascii="Times New Roman" w:hAnsi="Times New Roman" w:cs="Times New Roman"/>
          <w:szCs w:val="24"/>
        </w:rPr>
        <w:t>bowiąz</w:t>
      </w:r>
      <w:r>
        <w:rPr>
          <w:rFonts w:ascii="Times New Roman" w:hAnsi="Times New Roman" w:cs="Times New Roman"/>
          <w:szCs w:val="24"/>
        </w:rPr>
        <w:t>e</w:t>
      </w:r>
      <w:r w:rsidRPr="00E14AD0">
        <w:rPr>
          <w:rFonts w:ascii="Times New Roman" w:hAnsi="Times New Roman" w:cs="Times New Roman"/>
          <w:szCs w:val="24"/>
        </w:rPr>
        <w:t>k ogłaszania wezwania, o którym mowa w art. 72</w:t>
      </w:r>
      <w:r>
        <w:rPr>
          <w:rFonts w:ascii="Times New Roman" w:hAnsi="Times New Roman" w:cs="Times New Roman"/>
          <w:szCs w:val="24"/>
        </w:rPr>
        <w:t xml:space="preserve"> ustawy o ofercie</w:t>
      </w:r>
      <w:r w:rsidR="00BF59C7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Pr="00E14AD0">
        <w:rPr>
          <w:rFonts w:ascii="Times New Roman" w:hAnsi="Times New Roman" w:cs="Times New Roman"/>
          <w:szCs w:val="24"/>
        </w:rPr>
        <w:t>został wprowadzony w czasie, gdy polski rynek kapitałowy znajdował się na innym poziomie rozwoju niż ma to miejsce obecnie. Celem tego wezwania było uniemożliwienie skupowania w krótkim okresie czasu akcji spółki publicznej, w wyniku którego kurs akcji spółki zostałby ukształtowany w nienaturalny sposób. Wydaje się, że nie ma racjonalnych przesłanek dla zakazu nabywania znacznych pakietów akcji spółek publicznych w drodze transakcji zawieranych na rynku regulowanym. Rezygnacja z wezwania określonego w art. 72 ustawy o ofercie nie będzie równoznaczna z umożliwieniem „cichego” przejmowania kontroli nad spółkami publicznymi, bowiem na akcjonariuszach spoczywa obowiązek notyfikacyjny związany z nabywaniem znacznych pakietów akcji spółek publicznych.</w:t>
      </w:r>
    </w:p>
    <w:p w:rsidR="00E14AD0" w:rsidRPr="00E14AD0" w:rsidRDefault="00E14AD0" w:rsidP="00D877F0">
      <w:pPr>
        <w:spacing w:before="120"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14AD0">
        <w:rPr>
          <w:rFonts w:ascii="Times New Roman" w:eastAsia="Calibri" w:hAnsi="Times New Roman"/>
          <w:b/>
          <w:sz w:val="24"/>
          <w:szCs w:val="24"/>
        </w:rPr>
        <w:t>3. Wykazanie różnic pomiędzy dotychczasowym a projektowanym stanem prawnym</w:t>
      </w:r>
    </w:p>
    <w:p w:rsidR="008108D4" w:rsidRPr="00E14AD0" w:rsidRDefault="008108D4" w:rsidP="008108D4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Pr="00E14AD0">
        <w:rPr>
          <w:rFonts w:ascii="Times New Roman" w:hAnsi="Times New Roman" w:cs="Times New Roman"/>
          <w:szCs w:val="24"/>
        </w:rPr>
        <w:t xml:space="preserve">godnie z art. 72 ust. 1 ustawy o ofercie, nabycie akcji spółki publicznej w liczbie powodującej zwiększenie udziału w ogólnej liczbie głosów o więcej niż 10 % ogólnej liczby głosów w okresie krótszym niż 60 dni, przez podmiot, którego udział w ogólnej liczbie głosów w tej spółce wynosi mniej niż 33 % lub </w:t>
      </w:r>
      <w:r w:rsidR="009951E1">
        <w:rPr>
          <w:rFonts w:ascii="Times New Roman" w:hAnsi="Times New Roman" w:cs="Times New Roman"/>
          <w:szCs w:val="24"/>
        </w:rPr>
        <w:t xml:space="preserve">takie </w:t>
      </w:r>
      <w:r>
        <w:rPr>
          <w:rFonts w:ascii="Times New Roman" w:hAnsi="Times New Roman" w:cs="Times New Roman"/>
          <w:szCs w:val="24"/>
        </w:rPr>
        <w:t xml:space="preserve">nabycie </w:t>
      </w:r>
      <w:r w:rsidRPr="00E14AD0">
        <w:rPr>
          <w:rFonts w:ascii="Times New Roman" w:hAnsi="Times New Roman" w:cs="Times New Roman"/>
          <w:szCs w:val="24"/>
        </w:rPr>
        <w:t>5 % ogólnej liczby głosów w okresie krótszym niż 12 miesięcy, przez akcjonariusza, którego udział w ogólnej liczbie głosów w tej spółce wynosi co najmniej 33 %, może nastąpić wyłącznie w wyniku ogłoszenia wezwania do zapisywania się na sprzedaż lub zamianę tych akcji w liczbie nie mniejszej niż odpowiednio 10 % lub 5 % ogólnej liczby głosów.</w:t>
      </w:r>
    </w:p>
    <w:p w:rsidR="00F766A1" w:rsidRPr="00F766A1" w:rsidRDefault="00F766A1" w:rsidP="00F766A1">
      <w:pPr>
        <w:pStyle w:val="NIEARTTEKSTtekstnieartykuowanynppodstprawnarozplubpreambua"/>
        <w:spacing w:before="0"/>
        <w:ind w:firstLine="0"/>
      </w:pPr>
      <w:r>
        <w:rPr>
          <w:rFonts w:ascii="Times New Roman" w:hAnsi="Times New Roman" w:cs="Times New Roman"/>
          <w:szCs w:val="24"/>
        </w:rPr>
        <w:t>Projektowane przepisy</w:t>
      </w:r>
      <w:r w:rsidR="009A2936">
        <w:rPr>
          <w:rFonts w:ascii="Times New Roman" w:hAnsi="Times New Roman" w:cs="Times New Roman"/>
          <w:szCs w:val="24"/>
        </w:rPr>
        <w:t xml:space="preserve"> uchylają </w:t>
      </w:r>
      <w:r>
        <w:rPr>
          <w:rFonts w:ascii="Times New Roman" w:hAnsi="Times New Roman" w:cs="Times New Roman"/>
          <w:szCs w:val="24"/>
        </w:rPr>
        <w:t>art. 72 ustawy o ofercie</w:t>
      </w:r>
      <w:r w:rsidR="00960677">
        <w:rPr>
          <w:rFonts w:ascii="Times New Roman" w:hAnsi="Times New Roman" w:cs="Times New Roman"/>
          <w:szCs w:val="24"/>
        </w:rPr>
        <w:t xml:space="preserve"> (art. 1 pkt 1)</w:t>
      </w:r>
      <w:r>
        <w:rPr>
          <w:rFonts w:ascii="Times New Roman" w:hAnsi="Times New Roman" w:cs="Times New Roman"/>
          <w:szCs w:val="24"/>
        </w:rPr>
        <w:t>. Pozostałe regulacje zawarte w projekcie mają charakter wynikowy i stanowią konsekwencję uchylenia wymienionego przepisu.</w:t>
      </w:r>
    </w:p>
    <w:p w:rsidR="00F766A1" w:rsidRDefault="00F766A1" w:rsidP="000C19CA">
      <w:pPr>
        <w:pStyle w:val="NIEARTTEKSTtekstnieartykuowanynppodstprawnarozplubpreambua"/>
        <w:ind w:firstLine="0"/>
        <w:rPr>
          <w:rStyle w:val="Ppogrubienie"/>
          <w:rFonts w:ascii="Times New Roman" w:hAnsi="Times New Roman" w:cs="Times New Roman"/>
          <w:b w:val="0"/>
          <w:szCs w:val="24"/>
        </w:rPr>
      </w:pPr>
      <w:bookmarkStart w:id="1" w:name="OLE_LINK1"/>
    </w:p>
    <w:p w:rsidR="000C19CA" w:rsidRPr="00B86534" w:rsidRDefault="000C19CA" w:rsidP="000C19CA">
      <w:pPr>
        <w:pStyle w:val="NIEARTTEKSTtekstnieartykuowanynppodstprawnarozplubpreambua"/>
        <w:ind w:firstLine="0"/>
        <w:rPr>
          <w:rStyle w:val="Ppogrubienie"/>
          <w:rFonts w:ascii="Times New Roman" w:hAnsi="Times New Roman" w:cs="Times New Roman"/>
          <w:b w:val="0"/>
          <w:szCs w:val="24"/>
        </w:rPr>
      </w:pPr>
      <w:r w:rsidRPr="00B86534">
        <w:rPr>
          <w:rStyle w:val="Ppogrubienie"/>
          <w:rFonts w:ascii="Times New Roman" w:hAnsi="Times New Roman" w:cs="Times New Roman"/>
          <w:b w:val="0"/>
          <w:szCs w:val="24"/>
        </w:rPr>
        <w:lastRenderedPageBreak/>
        <w:t>Art. 2</w:t>
      </w:r>
    </w:p>
    <w:p w:rsidR="009A2936" w:rsidRDefault="000C19CA" w:rsidP="000C19CA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E14AD0">
        <w:rPr>
          <w:rFonts w:ascii="Times New Roman" w:hAnsi="Times New Roman" w:cs="Times New Roman"/>
          <w:szCs w:val="24"/>
        </w:rPr>
        <w:t>Przedmiotowa regulacja stanowi przepis przejściowy przewidujący, że do wezwania ogłoszonego przed dniem wejścia w życie niniejsz</w:t>
      </w:r>
      <w:r w:rsidR="009A2936">
        <w:rPr>
          <w:rFonts w:ascii="Times New Roman" w:hAnsi="Times New Roman" w:cs="Times New Roman"/>
          <w:szCs w:val="24"/>
        </w:rPr>
        <w:t xml:space="preserve">ej ustawy na podstawie art. 72 </w:t>
      </w:r>
      <w:r w:rsidRPr="00E14AD0">
        <w:rPr>
          <w:rFonts w:ascii="Times New Roman" w:hAnsi="Times New Roman" w:cs="Times New Roman"/>
          <w:szCs w:val="24"/>
        </w:rPr>
        <w:t>ustawy o ofercie w brzmieniu dotychczasowym, w którym transakcja nabycia akcji objętych zapisami złożonymi w odpowiedzi na wezwanie nie została zakończona przed dniem wejścia w życie projektowanej ustawy, stosowane będą przepisy dotychczasowe</w:t>
      </w:r>
      <w:bookmarkStart w:id="2" w:name="OLE_LINK6"/>
      <w:bookmarkEnd w:id="1"/>
      <w:r w:rsidR="00F766A1">
        <w:rPr>
          <w:rFonts w:ascii="Times New Roman" w:hAnsi="Times New Roman" w:cs="Times New Roman"/>
          <w:szCs w:val="24"/>
        </w:rPr>
        <w:t>.</w:t>
      </w:r>
    </w:p>
    <w:bookmarkEnd w:id="2"/>
    <w:p w:rsidR="000C19CA" w:rsidRPr="00D877F0" w:rsidRDefault="009A2936" w:rsidP="000C19CA">
      <w:pPr>
        <w:pStyle w:val="NIEARTTEKSTtekstnieartykuowanynppodstprawnarozplubpreambua"/>
        <w:ind w:firstLine="0"/>
        <w:rPr>
          <w:rStyle w:val="Ppogrubienie"/>
          <w:rFonts w:ascii="Times New Roman" w:hAnsi="Times New Roman" w:cs="Times New Roman"/>
          <w:b w:val="0"/>
          <w:szCs w:val="24"/>
        </w:rPr>
      </w:pPr>
      <w:r>
        <w:rPr>
          <w:rStyle w:val="Ppogrubienie"/>
          <w:rFonts w:ascii="Times New Roman" w:hAnsi="Times New Roman" w:cs="Times New Roman"/>
          <w:b w:val="0"/>
          <w:szCs w:val="24"/>
        </w:rPr>
        <w:t>Art. 3</w:t>
      </w:r>
    </w:p>
    <w:p w:rsidR="000C19CA" w:rsidRPr="00E14AD0" w:rsidRDefault="000C19CA" w:rsidP="000C19CA">
      <w:pPr>
        <w:pStyle w:val="NIEARTTEKSTtekstnieartykuowanynppodstprawnarozplubpreambua"/>
        <w:ind w:firstLine="0"/>
        <w:rPr>
          <w:rStyle w:val="Ppogrubienie"/>
          <w:rFonts w:ascii="Times New Roman" w:hAnsi="Times New Roman" w:cs="Times New Roman"/>
          <w:b w:val="0"/>
          <w:szCs w:val="24"/>
        </w:rPr>
      </w:pPr>
      <w:r w:rsidRPr="00E14AD0">
        <w:rPr>
          <w:rFonts w:ascii="Times New Roman" w:hAnsi="Times New Roman" w:cs="Times New Roman"/>
          <w:szCs w:val="24"/>
        </w:rPr>
        <w:t>Ponadto, zaproponowano przepis przejściowy utrzymujący w mocy przepisy wykonawcze wydane na podstawie art. 81 ustawy o ofercie do dnia wejścia w życie przepisów wykonawczych wydanych na podstawie art. 81 ustawy o ofercie, w brzmieniu nadanym projektowaną ustawą, nie dłużej jednak niż przez 6 miesięcy od dnia jej wejścia w życie.</w:t>
      </w:r>
    </w:p>
    <w:p w:rsidR="000C19CA" w:rsidRPr="002C59CF" w:rsidRDefault="000C19CA" w:rsidP="000C19CA">
      <w:pPr>
        <w:pStyle w:val="NIEARTTEKSTtekstnieartykuowanynppodstprawnarozplubpreambua"/>
        <w:ind w:firstLine="0"/>
        <w:rPr>
          <w:rStyle w:val="Ppogrubienie"/>
          <w:b w:val="0"/>
        </w:rPr>
      </w:pPr>
      <w:r w:rsidRPr="002C59CF">
        <w:rPr>
          <w:rStyle w:val="Ppogrubienie"/>
          <w:b w:val="0"/>
        </w:rPr>
        <w:t xml:space="preserve">Art. </w:t>
      </w:r>
      <w:r w:rsidR="009A2936">
        <w:rPr>
          <w:rStyle w:val="Ppogrubienie"/>
          <w:b w:val="0"/>
        </w:rPr>
        <w:t>4</w:t>
      </w:r>
    </w:p>
    <w:p w:rsidR="000C19CA" w:rsidRPr="0089509D" w:rsidRDefault="000C19CA" w:rsidP="000C19CA">
      <w:pPr>
        <w:pStyle w:val="NIEARTTEKSTtekstnieartykuowanynppodstprawnarozplubpreambua"/>
        <w:ind w:firstLine="0"/>
        <w:rPr>
          <w:rStyle w:val="Ppogrubienie"/>
          <w:b w:val="0"/>
        </w:rPr>
      </w:pPr>
      <w:r w:rsidRPr="0089509D">
        <w:rPr>
          <w:rStyle w:val="Ppogrubienie"/>
          <w:b w:val="0"/>
        </w:rPr>
        <w:t xml:space="preserve">Zakłada się, że ustawa wejdzie w życie po upływie 14 dni od dnia ogłoszenia. </w:t>
      </w:r>
    </w:p>
    <w:p w:rsidR="00D92943" w:rsidRPr="00D92943" w:rsidRDefault="00D92943" w:rsidP="0089509D">
      <w:pPr>
        <w:spacing w:before="120"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D92943">
        <w:rPr>
          <w:rFonts w:ascii="Times New Roman" w:eastAsia="Calibri" w:hAnsi="Times New Roman"/>
          <w:b/>
          <w:sz w:val="24"/>
          <w:szCs w:val="24"/>
        </w:rPr>
        <w:t xml:space="preserve">4. Przedstawienie przewidywanych skutków </w:t>
      </w:r>
    </w:p>
    <w:p w:rsidR="003D4C71" w:rsidRDefault="003D4C71" w:rsidP="0089509D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3D4C71">
        <w:rPr>
          <w:rFonts w:ascii="Times New Roman" w:eastAsia="Calibri" w:hAnsi="Times New Roman"/>
          <w:b/>
          <w:sz w:val="24"/>
          <w:szCs w:val="24"/>
        </w:rPr>
        <w:t>4.1. Skutki społeczne</w:t>
      </w:r>
    </w:p>
    <w:p w:rsidR="003D4C71" w:rsidRPr="0089509D" w:rsidRDefault="003D4C71" w:rsidP="00EC73C3">
      <w:pPr>
        <w:pStyle w:val="NIEARTTEKSTtekstnieartykuowanynppodstprawnarozplubpreambua"/>
        <w:spacing w:before="0"/>
        <w:ind w:firstLine="0"/>
        <w:rPr>
          <w:rStyle w:val="Ppogrubienie"/>
        </w:rPr>
      </w:pPr>
      <w:r>
        <w:rPr>
          <w:rStyle w:val="Ppogrubienie"/>
          <w:rFonts w:cs="Times New Roman"/>
          <w:b w:val="0"/>
          <w:szCs w:val="24"/>
        </w:rPr>
        <w:t xml:space="preserve">Przedmiotowy projekt wpłynie na </w:t>
      </w:r>
      <w:r w:rsidR="00EC73C3">
        <w:rPr>
          <w:rStyle w:val="Ppogrubienie"/>
          <w:rFonts w:cs="Times New Roman"/>
          <w:b w:val="0"/>
          <w:szCs w:val="24"/>
        </w:rPr>
        <w:t xml:space="preserve">zmniejszenie obowiązków nakładanych na </w:t>
      </w:r>
      <w:r w:rsidRPr="0089509D">
        <w:rPr>
          <w:rStyle w:val="Ppogrubienie"/>
          <w:b w:val="0"/>
          <w:szCs w:val="24"/>
        </w:rPr>
        <w:t>uczestników polskiego rynku kapitałowego.</w:t>
      </w:r>
    </w:p>
    <w:p w:rsidR="003C3CFB" w:rsidRPr="003C3CFB" w:rsidRDefault="003C3CFB" w:rsidP="0089509D">
      <w:pPr>
        <w:spacing w:before="120"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3C3CFB">
        <w:rPr>
          <w:rFonts w:ascii="Times New Roman" w:eastAsia="Calibri" w:hAnsi="Times New Roman"/>
          <w:b/>
          <w:sz w:val="24"/>
          <w:szCs w:val="24"/>
        </w:rPr>
        <w:t>4.2. Skutki gospodarcze</w:t>
      </w:r>
    </w:p>
    <w:p w:rsidR="00D92943" w:rsidRPr="00040732" w:rsidRDefault="009A2936" w:rsidP="0089509D">
      <w:pPr>
        <w:pStyle w:val="NIEARTTEKSTtekstnieartykuowanynppodstprawnarozplubpreambua"/>
        <w:spacing w:before="0"/>
        <w:ind w:firstLine="0"/>
        <w:rPr>
          <w:rStyle w:val="Ppogrubienie"/>
          <w:b w:val="0"/>
        </w:rPr>
      </w:pPr>
      <w:r>
        <w:rPr>
          <w:rStyle w:val="Ppogrubienie"/>
          <w:rFonts w:cs="Times New Roman"/>
          <w:b w:val="0"/>
          <w:szCs w:val="24"/>
        </w:rPr>
        <w:t>Proponowana regulacja przyczyni się do s</w:t>
      </w:r>
      <w:r w:rsidR="003C3CFB" w:rsidRPr="00040732">
        <w:rPr>
          <w:rStyle w:val="Ppogrubienie"/>
          <w:rFonts w:cs="Times New Roman"/>
          <w:b w:val="0"/>
          <w:szCs w:val="24"/>
        </w:rPr>
        <w:t xml:space="preserve">tworzenie bardziej efektywnego i konkurencyjnego rynku przejęć w Polsce </w:t>
      </w:r>
      <w:r>
        <w:rPr>
          <w:rStyle w:val="Ppogrubienie"/>
          <w:rFonts w:cs="Times New Roman"/>
          <w:b w:val="0"/>
          <w:szCs w:val="24"/>
        </w:rPr>
        <w:t xml:space="preserve">i </w:t>
      </w:r>
      <w:r w:rsidR="003C3CFB" w:rsidRPr="00040732">
        <w:rPr>
          <w:rStyle w:val="Ppogrubienie"/>
          <w:rFonts w:cs="Times New Roman"/>
          <w:b w:val="0"/>
          <w:szCs w:val="24"/>
        </w:rPr>
        <w:t>przełoży się na zwiększenie efektywności gospodarczej spółek publicznych, poprzez uzyskanie przez te spółki korzyści związanych ze zwiększeniem skali ich działalności i wynikające stąd obniżenie kosztów ich funkcjonowania, a tym samym przyczyni się do wzmocnienia konkurencyjności gospodarki narodowej.</w:t>
      </w:r>
    </w:p>
    <w:p w:rsidR="003C3CFB" w:rsidRPr="003C3CFB" w:rsidRDefault="003C3CFB" w:rsidP="0089509D">
      <w:pPr>
        <w:spacing w:before="120"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3C3CFB">
        <w:rPr>
          <w:rFonts w:ascii="Times New Roman" w:eastAsia="Calibri" w:hAnsi="Times New Roman"/>
          <w:b/>
          <w:sz w:val="24"/>
          <w:szCs w:val="24"/>
        </w:rPr>
        <w:t>4.3. Skutki finansowe</w:t>
      </w:r>
    </w:p>
    <w:p w:rsidR="003D4C71" w:rsidRPr="00E14AD0" w:rsidRDefault="00763B47" w:rsidP="0089509D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>
        <w:rPr>
          <w:rStyle w:val="Ppogrubienie"/>
          <w:rFonts w:cs="Times New Roman"/>
          <w:b w:val="0"/>
          <w:szCs w:val="24"/>
        </w:rPr>
        <w:t>Przewiduje się, że w</w:t>
      </w:r>
      <w:r w:rsidR="003C3CFB" w:rsidRPr="0089509D">
        <w:rPr>
          <w:rStyle w:val="Ppogrubienie"/>
          <w:rFonts w:cs="Times New Roman"/>
          <w:b w:val="0"/>
          <w:szCs w:val="24"/>
        </w:rPr>
        <w:t>ejście</w:t>
      </w:r>
      <w:r w:rsidR="003C3CFB" w:rsidRPr="009963A0">
        <w:rPr>
          <w:rFonts w:ascii="Times New Roman" w:eastAsia="Times New Roman" w:hAnsi="Times New Roman"/>
          <w:sz w:val="23"/>
          <w:szCs w:val="23"/>
        </w:rPr>
        <w:t xml:space="preserve"> w życie projektowanej ustawy nie </w:t>
      </w:r>
      <w:r w:rsidR="003C3CFB">
        <w:rPr>
          <w:rFonts w:ascii="Times New Roman" w:eastAsia="Times New Roman" w:hAnsi="Times New Roman"/>
          <w:sz w:val="23"/>
          <w:szCs w:val="23"/>
        </w:rPr>
        <w:t xml:space="preserve">spowoduje skutków finansowych. </w:t>
      </w:r>
    </w:p>
    <w:p w:rsidR="003C3CFB" w:rsidRPr="003C3CFB" w:rsidRDefault="003C3CFB" w:rsidP="0089509D">
      <w:pPr>
        <w:spacing w:before="120"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3C3CFB">
        <w:rPr>
          <w:rFonts w:ascii="Times New Roman" w:eastAsia="Calibri" w:hAnsi="Times New Roman"/>
          <w:b/>
          <w:sz w:val="24"/>
          <w:szCs w:val="24"/>
        </w:rPr>
        <w:t>4.4. Skutki prawne</w:t>
      </w:r>
    </w:p>
    <w:p w:rsidR="003C3CFB" w:rsidRDefault="003C3CFB" w:rsidP="0089509D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89509D">
        <w:rPr>
          <w:rFonts w:ascii="Times New Roman" w:eastAsia="Times New Roman" w:hAnsi="Times New Roman"/>
          <w:sz w:val="23"/>
          <w:szCs w:val="23"/>
        </w:rPr>
        <w:t>Projektowane</w:t>
      </w:r>
      <w:r>
        <w:rPr>
          <w:rStyle w:val="Ppogrubienie"/>
          <w:rFonts w:cs="Times New Roman"/>
          <w:b w:val="0"/>
          <w:szCs w:val="24"/>
        </w:rPr>
        <w:t xml:space="preserve"> regulacje z</w:t>
      </w:r>
      <w:r w:rsidRPr="00257427">
        <w:rPr>
          <w:rStyle w:val="Ppogrubienie"/>
          <w:rFonts w:cs="Times New Roman"/>
          <w:b w:val="0"/>
          <w:szCs w:val="24"/>
        </w:rPr>
        <w:t>większ</w:t>
      </w:r>
      <w:r>
        <w:rPr>
          <w:rStyle w:val="Ppogrubienie"/>
          <w:rFonts w:cs="Times New Roman"/>
          <w:b w:val="0"/>
          <w:szCs w:val="24"/>
        </w:rPr>
        <w:t>ą</w:t>
      </w:r>
      <w:r w:rsidRPr="00257427">
        <w:rPr>
          <w:rStyle w:val="Ppogrubienie"/>
          <w:rFonts w:cs="Times New Roman"/>
          <w:b w:val="0"/>
          <w:szCs w:val="24"/>
        </w:rPr>
        <w:t xml:space="preserve"> przejrzystoś</w:t>
      </w:r>
      <w:r>
        <w:rPr>
          <w:rStyle w:val="Ppogrubienie"/>
          <w:rFonts w:cs="Times New Roman"/>
          <w:b w:val="0"/>
          <w:szCs w:val="24"/>
        </w:rPr>
        <w:t>ć</w:t>
      </w:r>
      <w:r w:rsidRPr="00257427">
        <w:rPr>
          <w:rStyle w:val="Ppogrubienie"/>
          <w:rFonts w:cs="Times New Roman"/>
          <w:b w:val="0"/>
          <w:szCs w:val="24"/>
        </w:rPr>
        <w:t xml:space="preserve"> regulacji dotyczących przejmowania spółek publicznych</w:t>
      </w:r>
      <w:r>
        <w:rPr>
          <w:rFonts w:ascii="Times New Roman" w:hAnsi="Times New Roman" w:cs="Times New Roman"/>
          <w:szCs w:val="24"/>
        </w:rPr>
        <w:t>.</w:t>
      </w:r>
    </w:p>
    <w:p w:rsidR="003C3CFB" w:rsidRPr="003C3CFB" w:rsidRDefault="003C3CFB" w:rsidP="0089509D">
      <w:pPr>
        <w:spacing w:before="120"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3C3CFB">
        <w:rPr>
          <w:rFonts w:ascii="Times New Roman" w:eastAsia="Calibri" w:hAnsi="Times New Roman"/>
          <w:b/>
          <w:sz w:val="24"/>
          <w:szCs w:val="24"/>
        </w:rPr>
        <w:t>5. Wskazanie źródła finansowania</w:t>
      </w:r>
    </w:p>
    <w:p w:rsidR="00763B47" w:rsidRDefault="00763B47" w:rsidP="0089509D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Mając na uwadze, że zgodnie z przewidywaniami projektowana ustawa nie </w:t>
      </w:r>
      <w:r w:rsidRPr="0089509D">
        <w:rPr>
          <w:rFonts w:ascii="Times New Roman" w:hAnsi="Times New Roman" w:cs="Times New Roman"/>
          <w:szCs w:val="24"/>
        </w:rPr>
        <w:t>spowoduje skutków finansowych</w:t>
      </w:r>
      <w:r w:rsidR="00F766A1">
        <w:rPr>
          <w:rFonts w:ascii="Times New Roman" w:hAnsi="Times New Roman" w:cs="Times New Roman"/>
          <w:szCs w:val="24"/>
        </w:rPr>
        <w:t>,</w:t>
      </w:r>
      <w:r w:rsidRPr="0089509D">
        <w:rPr>
          <w:rFonts w:ascii="Times New Roman" w:hAnsi="Times New Roman" w:cs="Times New Roman"/>
          <w:szCs w:val="24"/>
        </w:rPr>
        <w:t xml:space="preserve"> wskazanie źródła finansowania jest bezprzedmiotowe.</w:t>
      </w:r>
    </w:p>
    <w:p w:rsidR="00763B47" w:rsidRPr="00763B47" w:rsidRDefault="00763B47" w:rsidP="0089509D">
      <w:pPr>
        <w:spacing w:before="120"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763B47">
        <w:rPr>
          <w:rFonts w:ascii="Times New Roman" w:eastAsia="Calibri" w:hAnsi="Times New Roman"/>
          <w:b/>
          <w:sz w:val="24"/>
          <w:szCs w:val="24"/>
        </w:rPr>
        <w:t>6. Zgodność projektu z prawem Unii Europejskiej.</w:t>
      </w:r>
    </w:p>
    <w:p w:rsidR="00B6696F" w:rsidRPr="00E14AD0" w:rsidRDefault="000C19CA" w:rsidP="0089509D">
      <w:pPr>
        <w:pStyle w:val="NIEARTTEKSTtekstnieartykuowanynppodstprawnarozplubpreambua"/>
        <w:spacing w:before="0"/>
        <w:ind w:firstLine="0"/>
        <w:rPr>
          <w:rFonts w:ascii="Times New Roman" w:hAnsi="Times New Roman"/>
          <w:szCs w:val="24"/>
        </w:rPr>
      </w:pPr>
      <w:r w:rsidRPr="00E14AD0">
        <w:rPr>
          <w:rFonts w:ascii="Times New Roman" w:hAnsi="Times New Roman" w:cs="Times New Roman"/>
          <w:szCs w:val="24"/>
        </w:rPr>
        <w:t>Projekt jest zgodny z prawem Unii Europejskiej.</w:t>
      </w:r>
    </w:p>
    <w:sectPr w:rsidR="00B6696F" w:rsidRPr="00E14AD0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2E" w:rsidRDefault="0022782E">
      <w:pPr>
        <w:spacing w:after="0" w:line="240" w:lineRule="auto"/>
      </w:pPr>
      <w:r>
        <w:separator/>
      </w:r>
    </w:p>
  </w:endnote>
  <w:endnote w:type="continuationSeparator" w:id="0">
    <w:p w:rsidR="0022782E" w:rsidRDefault="0022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2E" w:rsidRDefault="0022782E">
      <w:pPr>
        <w:spacing w:after="0" w:line="240" w:lineRule="auto"/>
      </w:pPr>
      <w:r>
        <w:separator/>
      </w:r>
    </w:p>
  </w:footnote>
  <w:footnote w:type="continuationSeparator" w:id="0">
    <w:p w:rsidR="0022782E" w:rsidRDefault="0022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0C19CA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2963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CA"/>
    <w:rsid w:val="00040732"/>
    <w:rsid w:val="000A1978"/>
    <w:rsid w:val="000C19CA"/>
    <w:rsid w:val="00123DEF"/>
    <w:rsid w:val="00144233"/>
    <w:rsid w:val="0015282D"/>
    <w:rsid w:val="001D5EA5"/>
    <w:rsid w:val="001F40BF"/>
    <w:rsid w:val="0022782E"/>
    <w:rsid w:val="00241D07"/>
    <w:rsid w:val="002773B2"/>
    <w:rsid w:val="002C59CF"/>
    <w:rsid w:val="003C3CFB"/>
    <w:rsid w:val="003D4C71"/>
    <w:rsid w:val="0046281F"/>
    <w:rsid w:val="00485035"/>
    <w:rsid w:val="00501E68"/>
    <w:rsid w:val="00586645"/>
    <w:rsid w:val="005A73A2"/>
    <w:rsid w:val="005D5E61"/>
    <w:rsid w:val="00636E05"/>
    <w:rsid w:val="006F20DF"/>
    <w:rsid w:val="00763B47"/>
    <w:rsid w:val="008108D4"/>
    <w:rsid w:val="0089509D"/>
    <w:rsid w:val="008E3272"/>
    <w:rsid w:val="00960677"/>
    <w:rsid w:val="009951E1"/>
    <w:rsid w:val="009A2936"/>
    <w:rsid w:val="009E311F"/>
    <w:rsid w:val="00A0486D"/>
    <w:rsid w:val="00A96C61"/>
    <w:rsid w:val="00AE09A7"/>
    <w:rsid w:val="00AE6B2A"/>
    <w:rsid w:val="00B209DE"/>
    <w:rsid w:val="00B65C93"/>
    <w:rsid w:val="00B6696F"/>
    <w:rsid w:val="00B86534"/>
    <w:rsid w:val="00BF59C7"/>
    <w:rsid w:val="00D17A31"/>
    <w:rsid w:val="00D62963"/>
    <w:rsid w:val="00D877F0"/>
    <w:rsid w:val="00D92943"/>
    <w:rsid w:val="00E14AD0"/>
    <w:rsid w:val="00E41A18"/>
    <w:rsid w:val="00E525B0"/>
    <w:rsid w:val="00E92560"/>
    <w:rsid w:val="00EC73C3"/>
    <w:rsid w:val="00F13950"/>
    <w:rsid w:val="00F56D84"/>
    <w:rsid w:val="00F766A1"/>
    <w:rsid w:val="00F8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89F00-23E7-4BB1-8823-EA2A313B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9C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C19CA"/>
    <w:pPr>
      <w:tabs>
        <w:tab w:val="center" w:pos="4536"/>
        <w:tab w:val="right" w:pos="9072"/>
      </w:tabs>
      <w:suppressAutoHyphens/>
    </w:pPr>
    <w:rPr>
      <w:rFonts w:ascii="Times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C19CA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C19C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C19CA"/>
    <w:rPr>
      <w:bCs/>
    </w:rPr>
  </w:style>
  <w:style w:type="paragraph" w:customStyle="1" w:styleId="PKTpunkt">
    <w:name w:val="PKT – punkt"/>
    <w:uiPriority w:val="13"/>
    <w:qFormat/>
    <w:rsid w:val="000C19C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0C19CA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C19C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C19CA"/>
    <w:rPr>
      <w:b w:val="0"/>
      <w:i w:val="0"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C19C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C19CA"/>
    <w:rPr>
      <w:i/>
    </w:rPr>
  </w:style>
  <w:style w:type="character" w:customStyle="1" w:styleId="BEZWERSALIKW">
    <w:name w:val="_BEZ_WERSALIKÓW_"/>
    <w:basedOn w:val="Domylnaczcionkaakapitu"/>
    <w:uiPriority w:val="4"/>
    <w:qFormat/>
    <w:rsid w:val="000C19CA"/>
    <w:rPr>
      <w:caps/>
    </w:rPr>
  </w:style>
  <w:style w:type="character" w:styleId="Pogrubienie">
    <w:name w:val="Strong"/>
    <w:basedOn w:val="Domylnaczcionkaakapitu"/>
    <w:qFormat/>
    <w:rsid w:val="000C19CA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9DE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3CFB"/>
    <w:pPr>
      <w:spacing w:after="0" w:line="240" w:lineRule="auto"/>
      <w:ind w:left="720"/>
      <w:contextualSpacing/>
    </w:pPr>
    <w:rPr>
      <w:rFonts w:ascii="Cambria" w:eastAsia="Calibri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56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1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0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68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15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75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078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4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56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64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62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98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46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8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513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956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06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86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00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9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01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07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904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27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60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98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99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544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43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11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PiS</dc:creator>
  <cp:keywords/>
  <dc:description/>
  <cp:lastModifiedBy>Grażyna D. Grabowska</cp:lastModifiedBy>
  <cp:revision>2</cp:revision>
  <cp:lastPrinted>2016-12-08T10:58:00Z</cp:lastPrinted>
  <dcterms:created xsi:type="dcterms:W3CDTF">2017-01-11T14:12:00Z</dcterms:created>
  <dcterms:modified xsi:type="dcterms:W3CDTF">2017-01-11T14:12:00Z</dcterms:modified>
</cp:coreProperties>
</file>