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088F" w:rsidRPr="00A9088F" w:rsidRDefault="00A9088F" w:rsidP="00AB4AE6">
      <w:pPr>
        <w:keepNext/>
        <w:suppressAutoHyphens/>
        <w:spacing w:before="120" w:after="120" w:line="360" w:lineRule="auto"/>
        <w:jc w:val="center"/>
        <w:rPr>
          <w:rFonts w:ascii="Times" w:eastAsia="Times New Roman" w:hAnsi="Times" w:cs="Arial"/>
          <w:bCs/>
          <w:sz w:val="24"/>
          <w:szCs w:val="24"/>
          <w:lang w:eastAsia="pl-PL"/>
        </w:rPr>
      </w:pPr>
      <w:bookmarkStart w:id="0" w:name="_GoBack"/>
      <w:bookmarkEnd w:id="0"/>
      <w:r w:rsidRPr="00A9088F">
        <w:rPr>
          <w:rFonts w:ascii="Times" w:eastAsia="Times New Roman" w:hAnsi="Times" w:cs="Arial"/>
          <w:bCs/>
          <w:sz w:val="24"/>
          <w:szCs w:val="24"/>
          <w:lang w:eastAsia="pl-PL"/>
        </w:rPr>
        <w:t>UZASADNIENIE</w:t>
      </w:r>
    </w:p>
    <w:p w:rsidR="00A9088F" w:rsidRPr="00A9088F" w:rsidRDefault="00A9088F" w:rsidP="00AB4AE6">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Proces oceny funkcjonowania agencji płatniczych w Polsce, jak również powołanie na ich bazie instytucji realizującej odpowiedzialny rozwój rolnictwa i obszarów wiejskich jest jednym z podstawowych celów do osiągnięcia, ujętym w „Programie Działań Ministerstwa Rolnictwa i Rozwoju Wsi na lata 2015–2019”.</w:t>
      </w:r>
    </w:p>
    <w:p w:rsidR="00A9088F" w:rsidRPr="00A9088F" w:rsidRDefault="00A9088F" w:rsidP="00AB4AE6">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Aktualnie istniejący stan prawny sankcjonuje funkcjonowanie w obszarze rolnictwa aż trzech agencji rolniczych, tj. Agencji Restrukturyzacji i Modernizacji Rolnictwa, zwanej dalej „ARiMR”, Agencji Rynku Rolnego, zwanej dalej „ARR”, oraz Agencji Nieruchomości Rolnych, zwanej dalej „ANR”. Dwie pierwsze instytucje pełnią przy tym funkcję akredytowanych agencji płatniczych Unii Europejskiej, co jest ewenementem na skalę europejską, a ponadto w odbiorze społecznym prowadzi do nieprzejrzystości, zdublowania i</w:t>
      </w:r>
      <w:r w:rsidR="006261D3">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rozmycia kompetencji i odpowiedzialności w</w:t>
      </w:r>
      <w:r w:rsidR="00AB4AE6">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 xml:space="preserve">dziedzinie wsparcia rolnictwa. Równocześnie w obrocie funkcjonuje szereg instytucji wsparcia rolnictwa, </w:t>
      </w:r>
      <w:r w:rsidR="00640F17">
        <w:rPr>
          <w:rFonts w:ascii="Times" w:eastAsia="Times New Roman" w:hAnsi="Times" w:cs="Arial"/>
          <w:bCs/>
          <w:sz w:val="24"/>
          <w:szCs w:val="20"/>
          <w:lang w:eastAsia="pl-PL"/>
        </w:rPr>
        <w:t xml:space="preserve">takich </w:t>
      </w:r>
      <w:r w:rsidRPr="00A9088F">
        <w:rPr>
          <w:rFonts w:ascii="Times" w:eastAsia="Times New Roman" w:hAnsi="Times" w:cs="Arial"/>
          <w:bCs/>
          <w:sz w:val="24"/>
          <w:szCs w:val="20"/>
          <w:lang w:eastAsia="pl-PL"/>
        </w:rPr>
        <w:t>jak centra doradztwa rolniczego oraz instytuty badawcze nadzorowane przez resort rolnictwa. Instytucje te charakteryzują się aktualnie autonomią w zakresie prowadzonych prac i programów, co negatywnie wpływa na efektywność działań i wydatkowania środków publicznych.</w:t>
      </w:r>
    </w:p>
    <w:p w:rsidR="00A9088F" w:rsidRPr="00A9088F" w:rsidRDefault="00A9088F" w:rsidP="00AB4AE6">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 xml:space="preserve">W obszarze gospodarowania nieruchomościami rolnymi Skarbu Państwa </w:t>
      </w:r>
      <w:r w:rsidR="00640F17" w:rsidRPr="00A9088F">
        <w:rPr>
          <w:rFonts w:ascii="Times" w:eastAsia="Times New Roman" w:hAnsi="Times" w:cs="Arial"/>
          <w:bCs/>
          <w:sz w:val="24"/>
          <w:szCs w:val="20"/>
          <w:lang w:eastAsia="pl-PL"/>
        </w:rPr>
        <w:t xml:space="preserve">należy </w:t>
      </w:r>
      <w:r w:rsidRPr="00A9088F">
        <w:rPr>
          <w:rFonts w:ascii="Times" w:eastAsia="Times New Roman" w:hAnsi="Times" w:cs="Arial"/>
          <w:bCs/>
          <w:sz w:val="24"/>
          <w:szCs w:val="20"/>
          <w:lang w:eastAsia="pl-PL"/>
        </w:rPr>
        <w:t>stwierdzić zmniejszenie się powierzchni zasobu takich nieruchomości, które również wpłynąć powinno na sposób funkcjonowania instytucji odpowiedzialnej za tę gospodarkę.</w:t>
      </w:r>
    </w:p>
    <w:p w:rsidR="00A9088F" w:rsidRPr="00A9088F" w:rsidRDefault="00A9088F" w:rsidP="00AB4AE6">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Odpowiedzią na powyższe problemy jest projektowany i wdrażany przez Ministra Rolnictwa i</w:t>
      </w:r>
      <w:r w:rsidR="006261D3">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Rozwoju Wsi program optymalizacji działania agencji rolniczych, oparty na następujących założeniach, których efektem jest niniejszy projekt ustawy:</w:t>
      </w:r>
    </w:p>
    <w:p w:rsidR="00A9088F" w:rsidRPr="00A9088F" w:rsidRDefault="00AB4AE6" w:rsidP="00A9088F">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1)</w:t>
      </w:r>
      <w:r w:rsidR="00A9088F" w:rsidRPr="00A9088F">
        <w:rPr>
          <w:rFonts w:ascii="Times" w:eastAsia="Times New Roman" w:hAnsi="Times" w:cs="Arial"/>
          <w:bCs/>
          <w:sz w:val="24"/>
          <w:szCs w:val="20"/>
          <w:lang w:eastAsia="pl-PL"/>
        </w:rPr>
        <w:tab/>
        <w:t>Krajowy Ośrodek Wsparcia Rolnictwa, zwany dalej „KOWR”, będzie podstawową instytucją realizującą zadania w zakresie programowania rozwoju obszarów wiejskich wraz z zadaniem prowadzenia optymalnej i zgodnej z</w:t>
      </w:r>
      <w:r>
        <w:rPr>
          <w:rFonts w:ascii="Times" w:eastAsia="Times New Roman" w:hAnsi="Times" w:cs="Arial"/>
          <w:bCs/>
          <w:sz w:val="24"/>
          <w:szCs w:val="20"/>
          <w:lang w:eastAsia="pl-PL"/>
        </w:rPr>
        <w:t> </w:t>
      </w:r>
      <w:r w:rsidR="00A9088F" w:rsidRPr="00A9088F">
        <w:rPr>
          <w:rFonts w:ascii="Times" w:eastAsia="Times New Roman" w:hAnsi="Times" w:cs="Arial"/>
          <w:bCs/>
          <w:sz w:val="24"/>
          <w:szCs w:val="20"/>
          <w:lang w:eastAsia="pl-PL"/>
        </w:rPr>
        <w:t>interesem publicznym polityki gospodarowania nieruchomościami rolnymi, pozostającymi w zasobie Własności Rolnej Skarbu Państwa,</w:t>
      </w:r>
    </w:p>
    <w:p w:rsidR="00A9088F" w:rsidRPr="00A9088F" w:rsidRDefault="00AB4AE6" w:rsidP="00A9088F">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2)</w:t>
      </w:r>
      <w:r w:rsidR="00A9088F" w:rsidRPr="00A9088F">
        <w:rPr>
          <w:rFonts w:ascii="Times" w:eastAsia="Times New Roman" w:hAnsi="Times" w:cs="Arial"/>
          <w:bCs/>
          <w:sz w:val="24"/>
          <w:szCs w:val="20"/>
          <w:lang w:eastAsia="pl-PL"/>
        </w:rPr>
        <w:tab/>
        <w:t>KOWR nie będzie wykonywać zadań agencji płatniczej Unii Europejskiej, a</w:t>
      </w:r>
      <w:r>
        <w:rPr>
          <w:rFonts w:ascii="Times" w:eastAsia="Times New Roman" w:hAnsi="Times" w:cs="Arial"/>
          <w:bCs/>
          <w:sz w:val="24"/>
          <w:szCs w:val="20"/>
          <w:lang w:eastAsia="pl-PL"/>
        </w:rPr>
        <w:t> </w:t>
      </w:r>
      <w:r w:rsidR="00A9088F" w:rsidRPr="00A9088F">
        <w:rPr>
          <w:rFonts w:ascii="Times" w:eastAsia="Times New Roman" w:hAnsi="Times" w:cs="Arial"/>
          <w:bCs/>
          <w:sz w:val="24"/>
          <w:szCs w:val="20"/>
          <w:lang w:eastAsia="pl-PL"/>
        </w:rPr>
        <w:t>zadania te przejmie ARiMR jako jedyna właściwa na obszarze Rzeczypospolitej Polskiej,</w:t>
      </w:r>
    </w:p>
    <w:p w:rsidR="00A9088F" w:rsidRPr="00A9088F" w:rsidRDefault="00AB4AE6" w:rsidP="00A9088F">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3)</w:t>
      </w:r>
      <w:r w:rsidR="00A9088F" w:rsidRPr="00A9088F">
        <w:rPr>
          <w:rFonts w:ascii="Times" w:eastAsia="Times New Roman" w:hAnsi="Times" w:cs="Arial"/>
          <w:bCs/>
          <w:sz w:val="24"/>
          <w:szCs w:val="20"/>
          <w:lang w:eastAsia="pl-PL"/>
        </w:rPr>
        <w:tab/>
        <w:t>podstawą majątkową i osobową funkcjonowania KOWR będą zasoby ARR i</w:t>
      </w:r>
      <w:r>
        <w:rPr>
          <w:rFonts w:ascii="Times" w:eastAsia="Times New Roman" w:hAnsi="Times" w:cs="Arial"/>
          <w:bCs/>
          <w:sz w:val="24"/>
          <w:szCs w:val="20"/>
          <w:lang w:eastAsia="pl-PL"/>
        </w:rPr>
        <w:t> </w:t>
      </w:r>
      <w:r w:rsidR="00A9088F" w:rsidRPr="00A9088F">
        <w:rPr>
          <w:rFonts w:ascii="Times" w:eastAsia="Times New Roman" w:hAnsi="Times" w:cs="Arial"/>
          <w:bCs/>
          <w:sz w:val="24"/>
          <w:szCs w:val="20"/>
          <w:lang w:eastAsia="pl-PL"/>
        </w:rPr>
        <w:t>ANR, które ulegają zniesieniu, a wykorzystanie zasobów tych dwóch instytucji przez jedną nowo</w:t>
      </w:r>
      <w:r w:rsidR="00640F17">
        <w:rPr>
          <w:rFonts w:ascii="Times" w:eastAsia="Times New Roman" w:hAnsi="Times" w:cs="Arial"/>
          <w:bCs/>
          <w:sz w:val="24"/>
          <w:szCs w:val="20"/>
          <w:lang w:eastAsia="pl-PL"/>
        </w:rPr>
        <w:t xml:space="preserve"> </w:t>
      </w:r>
      <w:r w:rsidR="00A9088F" w:rsidRPr="00A9088F">
        <w:rPr>
          <w:rFonts w:ascii="Times" w:eastAsia="Times New Roman" w:hAnsi="Times" w:cs="Arial"/>
          <w:bCs/>
          <w:sz w:val="24"/>
          <w:szCs w:val="20"/>
          <w:lang w:eastAsia="pl-PL"/>
        </w:rPr>
        <w:t>utworzoną instytucję pozwoli na ich racjonalną optymalizację.</w:t>
      </w:r>
    </w:p>
    <w:p w:rsidR="00A9088F" w:rsidRPr="00A9088F" w:rsidRDefault="00A9088F" w:rsidP="00AB4AE6">
      <w:pPr>
        <w:suppressAutoHyphens/>
        <w:autoSpaceDE w:val="0"/>
        <w:autoSpaceDN w:val="0"/>
        <w:adjustRightInd w:val="0"/>
        <w:spacing w:after="0" w:line="360" w:lineRule="auto"/>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lastRenderedPageBreak/>
        <w:t>Proponowana regulacja nie tylko poprawia stan istniejący obecnie w obszarze agencji rolnych, prowadząc do racjonalizacji podziału zadań i optymalizacji ponoszonych na nie wydatków, lecz także tworzy zręby dla rozpoczęcia drugiego etapu racjonalizacji, zamykającego proces optymalizacji w sferze rozwoju obszarów wiejskich. Na podstawie projektowanej ustawy KOWR będzie instytucją przygotowaną strukturalnie i</w:t>
      </w:r>
      <w:r w:rsidR="00AB4AE6">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posiadającą odpowiednie kompetencje do tego, aby przejąć i twórczo rozwinąć zadania związane z</w:t>
      </w:r>
      <w:r w:rsidR="006261D3">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 xml:space="preserve">doradztwem rolniczym, programami pomocowymi dla rolnictwa. KOWR docelowo </w:t>
      </w:r>
      <w:r w:rsidR="00640F17" w:rsidRPr="00A9088F">
        <w:rPr>
          <w:rFonts w:ascii="Times" w:eastAsia="Times New Roman" w:hAnsi="Times" w:cs="Arial"/>
          <w:bCs/>
          <w:sz w:val="24"/>
          <w:szCs w:val="20"/>
          <w:lang w:eastAsia="pl-PL"/>
        </w:rPr>
        <w:t xml:space="preserve">będzie </w:t>
      </w:r>
      <w:r w:rsidRPr="00A9088F">
        <w:rPr>
          <w:rFonts w:ascii="Times" w:eastAsia="Times New Roman" w:hAnsi="Times" w:cs="Arial"/>
          <w:bCs/>
          <w:sz w:val="24"/>
          <w:szCs w:val="20"/>
          <w:lang w:eastAsia="pl-PL"/>
        </w:rPr>
        <w:t>zarządzać także nowymi instrumentami wsparcia i</w:t>
      </w:r>
      <w:r w:rsidR="00AB4AE6">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stabilizowania sytuacji w</w:t>
      </w:r>
      <w:r w:rsidR="006261D3">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rolnictwie,</w:t>
      </w:r>
      <w:r w:rsidR="00640F17">
        <w:rPr>
          <w:rFonts w:ascii="Times" w:eastAsia="Times New Roman" w:hAnsi="Times" w:cs="Arial"/>
          <w:bCs/>
          <w:sz w:val="24"/>
          <w:szCs w:val="20"/>
          <w:lang w:eastAsia="pl-PL"/>
        </w:rPr>
        <w:t xml:space="preserve"> takich</w:t>
      </w:r>
      <w:r w:rsidRPr="00A9088F">
        <w:rPr>
          <w:rFonts w:ascii="Times" w:eastAsia="Times New Roman" w:hAnsi="Times" w:cs="Arial"/>
          <w:bCs/>
          <w:sz w:val="24"/>
          <w:szCs w:val="20"/>
          <w:lang w:eastAsia="pl-PL"/>
        </w:rPr>
        <w:t xml:space="preserve"> jak na przykład ochrona dochodów rolniczych, marketing rolny oraz scalanie i</w:t>
      </w:r>
      <w:r w:rsidR="006261D3">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 xml:space="preserve">wymiana gruntów. Wyposażenie KOWR w kolejne zadania i kompetencje </w:t>
      </w:r>
      <w:r w:rsidR="00640F17" w:rsidRPr="00A9088F">
        <w:rPr>
          <w:rFonts w:ascii="Times" w:eastAsia="Times New Roman" w:hAnsi="Times" w:cs="Arial"/>
          <w:bCs/>
          <w:sz w:val="24"/>
          <w:szCs w:val="20"/>
          <w:lang w:eastAsia="pl-PL"/>
        </w:rPr>
        <w:t xml:space="preserve">będzie </w:t>
      </w:r>
      <w:r w:rsidRPr="00A9088F">
        <w:rPr>
          <w:rFonts w:ascii="Times" w:eastAsia="Times New Roman" w:hAnsi="Times" w:cs="Arial"/>
          <w:bCs/>
          <w:sz w:val="24"/>
          <w:szCs w:val="20"/>
          <w:lang w:eastAsia="pl-PL"/>
        </w:rPr>
        <w:t>wymagało dokonania w przyszłości kolejnych zmian przepisów. Przewiduje się, że nastąpi to dopiero po zakończeniu wdrażania obecnie projektowanych rozwiązań, tak aby nie zaburzyć płynnego przejęcia przez KOWR zadań wykonywanych obecnie przez ANR i części zadań wykonywanych obecnie przez ARR.</w:t>
      </w:r>
    </w:p>
    <w:p w:rsidR="00A9088F" w:rsidRPr="00A9088F" w:rsidRDefault="00A9088F" w:rsidP="00AB4AE6">
      <w:pPr>
        <w:suppressAutoHyphens/>
        <w:autoSpaceDE w:val="0"/>
        <w:autoSpaceDN w:val="0"/>
        <w:adjustRightInd w:val="0"/>
        <w:spacing w:after="0" w:line="360" w:lineRule="auto"/>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Projektowana ustawa stworzy podstawę prawną do</w:t>
      </w:r>
      <w:r w:rsidR="00AB4AE6">
        <w:rPr>
          <w:rFonts w:ascii="Times" w:eastAsia="Times New Roman" w:hAnsi="Times" w:cs="Arial"/>
          <w:bCs/>
          <w:sz w:val="24"/>
          <w:szCs w:val="20"/>
          <w:lang w:eastAsia="pl-PL"/>
        </w:rPr>
        <w:t xml:space="preserve"> </w:t>
      </w:r>
      <w:r w:rsidRPr="00A9088F">
        <w:rPr>
          <w:rFonts w:ascii="Times" w:eastAsia="Times New Roman" w:hAnsi="Times" w:cs="Arial"/>
          <w:bCs/>
          <w:sz w:val="24"/>
          <w:szCs w:val="20"/>
          <w:lang w:eastAsia="pl-PL"/>
        </w:rPr>
        <w:t>projektowania wydatków budżetowych na funkcjonowanie i realizację zadań przez dwie agencje wykonawcze działające w rolnictwie w</w:t>
      </w:r>
      <w:r w:rsidR="006261D3">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miejsce obecnych trzech.</w:t>
      </w:r>
      <w:r w:rsidRPr="00A9088F" w:rsidDel="002474FD">
        <w:rPr>
          <w:rFonts w:ascii="Times" w:eastAsia="Times New Roman" w:hAnsi="Times" w:cs="Arial"/>
          <w:bCs/>
          <w:sz w:val="24"/>
          <w:szCs w:val="20"/>
          <w:lang w:eastAsia="pl-PL"/>
        </w:rPr>
        <w:t xml:space="preserve"> </w:t>
      </w:r>
      <w:r w:rsidRPr="00A9088F">
        <w:rPr>
          <w:rFonts w:ascii="Times" w:eastAsia="Times New Roman" w:hAnsi="Times" w:cs="Arial"/>
          <w:bCs/>
          <w:sz w:val="24"/>
          <w:szCs w:val="20"/>
          <w:lang w:eastAsia="pl-PL"/>
        </w:rPr>
        <w:t>Efekty społeczno-gospodarcze projektowanej regulacji stanowią niewątpliwie największą wartość dodaną. Projekt wychodzi naprzeciw systemowej reformie agencji rolnych działających w Polsce. Projektowane rozwiązanie likwiduje i usprawnia negatywnie odbierany w</w:t>
      </w:r>
      <w:r w:rsidR="00AB4AE6">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społeczeństwie dualizm agencji rolnych o funkcjach płatniczych. Tym samym skupione w jednej instytucji zostają funkcje płatnicze realizowane w imieniu Unii Europejskiej oraz funkcje rozwojowe, promocyjne i edukacyjne. Założonym efektem społeczno-gospodarczym będzie zatem zwiększanie sprawności i efektywności działania polskiej administracji publicznej, przy minimalizowaniu kosztów tej działalności, a także wynikający z efektu skali – wzrost intensywności działań promocyjnych polskiego rolnictwa i</w:t>
      </w:r>
      <w:r w:rsidR="006261D3">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 xml:space="preserve">polskiej żywności, powodujący w konsekwencji zwiększenie konsumpcji i dodatnio oddziaływujący na poziom dochodów </w:t>
      </w:r>
      <w:r w:rsidR="00640F17">
        <w:rPr>
          <w:rFonts w:ascii="Times" w:eastAsia="Times New Roman" w:hAnsi="Times" w:cs="Arial"/>
          <w:bCs/>
          <w:sz w:val="24"/>
          <w:szCs w:val="20"/>
          <w:lang w:eastAsia="pl-PL"/>
        </w:rPr>
        <w:t>zarówno</w:t>
      </w:r>
      <w:r w:rsidRPr="00A9088F">
        <w:rPr>
          <w:rFonts w:ascii="Times" w:eastAsia="Times New Roman" w:hAnsi="Times" w:cs="Arial"/>
          <w:bCs/>
          <w:sz w:val="24"/>
          <w:szCs w:val="20"/>
          <w:lang w:eastAsia="pl-PL"/>
        </w:rPr>
        <w:t xml:space="preserve"> w</w:t>
      </w:r>
      <w:r w:rsidR="00640F17">
        <w:rPr>
          <w:rFonts w:ascii="Times" w:eastAsia="Times New Roman" w:hAnsi="Times" w:cs="Arial"/>
          <w:bCs/>
          <w:sz w:val="24"/>
          <w:szCs w:val="20"/>
          <w:lang w:eastAsia="pl-PL"/>
        </w:rPr>
        <w:t xml:space="preserve"> </w:t>
      </w:r>
      <w:r w:rsidRPr="00A9088F">
        <w:rPr>
          <w:rFonts w:ascii="Times" w:eastAsia="Times New Roman" w:hAnsi="Times" w:cs="Arial"/>
          <w:bCs/>
          <w:sz w:val="24"/>
          <w:szCs w:val="20"/>
          <w:lang w:eastAsia="pl-PL"/>
        </w:rPr>
        <w:t>rolnictwie, jak i w sektorze rolno</w:t>
      </w:r>
      <w:r w:rsidR="00640F17">
        <w:rPr>
          <w:rFonts w:ascii="Times" w:eastAsia="Times New Roman" w:hAnsi="Times" w:cs="Arial"/>
          <w:bCs/>
          <w:sz w:val="24"/>
          <w:szCs w:val="20"/>
          <w:lang w:eastAsia="pl-PL"/>
        </w:rPr>
        <w:t>-</w:t>
      </w:r>
      <w:r w:rsidR="00640F17">
        <w:rPr>
          <w:rFonts w:ascii="Times" w:eastAsia="Times New Roman" w:hAnsi="Times" w:cs="Arial"/>
          <w:bCs/>
          <w:sz w:val="24"/>
          <w:szCs w:val="20"/>
          <w:lang w:eastAsia="pl-PL"/>
        </w:rPr>
        <w:br/>
      </w:r>
      <w:r w:rsidRPr="00A9088F">
        <w:rPr>
          <w:rFonts w:ascii="Times" w:eastAsia="Times New Roman" w:hAnsi="Times" w:cs="Arial"/>
          <w:bCs/>
          <w:sz w:val="24"/>
          <w:szCs w:val="20"/>
          <w:lang w:eastAsia="pl-PL"/>
        </w:rPr>
        <w:t>-spożywczym. Optymalizacji i zreformowaniu ulega też funkcja gospodarowania nieruchomościami rolnymi, a także zarządzania spółkami sektora rolniczego.</w:t>
      </w:r>
    </w:p>
    <w:p w:rsidR="00A9088F" w:rsidRPr="00A9088F" w:rsidRDefault="00A9088F" w:rsidP="00AB4AE6">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 xml:space="preserve">W zakresie skutków prawnych nastąpi uproszczenie regulacji przez zmniejszenie liczby aktów prawnych, zwłaszcza aktów wykonawczych. Równocześnie </w:t>
      </w:r>
      <w:r w:rsidR="00A73E03">
        <w:rPr>
          <w:rFonts w:ascii="Times" w:eastAsia="Times New Roman" w:hAnsi="Times" w:cs="Arial"/>
          <w:bCs/>
          <w:sz w:val="24"/>
          <w:szCs w:val="20"/>
          <w:lang w:eastAsia="pl-PL"/>
        </w:rPr>
        <w:t xml:space="preserve">Rzeczpospolita </w:t>
      </w:r>
      <w:r w:rsidRPr="00A9088F">
        <w:rPr>
          <w:rFonts w:ascii="Times" w:eastAsia="Times New Roman" w:hAnsi="Times" w:cs="Arial"/>
          <w:bCs/>
          <w:sz w:val="24"/>
          <w:szCs w:val="20"/>
          <w:lang w:eastAsia="pl-PL"/>
        </w:rPr>
        <w:t xml:space="preserve">Polska dołączy do większości państw Unii Europejskiej, w których funkcje agencji płatniczej </w:t>
      </w:r>
      <w:r w:rsidR="00A73E03" w:rsidRPr="00A9088F">
        <w:rPr>
          <w:rFonts w:ascii="Times" w:eastAsia="Times New Roman" w:hAnsi="Times" w:cs="Arial"/>
          <w:bCs/>
          <w:sz w:val="24"/>
          <w:szCs w:val="20"/>
          <w:lang w:eastAsia="pl-PL"/>
        </w:rPr>
        <w:t xml:space="preserve">są </w:t>
      </w:r>
      <w:r w:rsidRPr="00A9088F">
        <w:rPr>
          <w:rFonts w:ascii="Times" w:eastAsia="Times New Roman" w:hAnsi="Times" w:cs="Arial"/>
          <w:bCs/>
          <w:sz w:val="24"/>
          <w:szCs w:val="20"/>
          <w:lang w:eastAsia="pl-PL"/>
        </w:rPr>
        <w:lastRenderedPageBreak/>
        <w:t>realizowane tylko przez jeden podmiot, co ułatwi bieżącą współpracę z organami Komisji Europejskiej, a</w:t>
      </w:r>
      <w:r w:rsidR="006261D3">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także dodatnio wpłynie na czytelność i sprawność systemu.</w:t>
      </w:r>
    </w:p>
    <w:p w:rsidR="00A9088F" w:rsidRPr="00A9088F" w:rsidRDefault="00A9088F" w:rsidP="00AB4AE6">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Realizowane przekształcenia optymalizacyjne i powołanie nowej instytucji KOWR przyniesie wymierne finansowo korzyści społeczne oraz korzyści dla budżetu państwa przez oszczędności finansowe i przeniesienie zaoszczędzonych środków na działania prorozwojowe (tj. ewentualne przyszłe zadania, jakie realizować będzie mógł KOWR), nakierowanie działań na priorytetowe cele, ograniczenie liczby podmiotów z 3 do 2 oraz zrealizowanie założeń jednego punktu kontaktu z beneficjentem, tzw. zasady jednego okienka</w:t>
      </w:r>
      <w:r w:rsidR="00640F17">
        <w:rPr>
          <w:rFonts w:ascii="Times" w:eastAsia="Times New Roman" w:hAnsi="Times" w:cs="Arial"/>
          <w:bCs/>
          <w:sz w:val="24"/>
          <w:szCs w:val="20"/>
          <w:lang w:eastAsia="pl-PL"/>
        </w:rPr>
        <w:t>,</w:t>
      </w:r>
      <w:r w:rsidRPr="00A9088F">
        <w:rPr>
          <w:rFonts w:ascii="Times" w:eastAsia="Times New Roman" w:hAnsi="Times" w:cs="Arial"/>
          <w:bCs/>
          <w:sz w:val="24"/>
          <w:szCs w:val="20"/>
          <w:lang w:eastAsia="pl-PL"/>
        </w:rPr>
        <w:t xml:space="preserve"> i większą dostępność wsparcia dla beneficjentów.</w:t>
      </w:r>
    </w:p>
    <w:p w:rsidR="00A9088F" w:rsidRPr="00A9088F" w:rsidRDefault="00A9088F" w:rsidP="00AB4AE6">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Zakłada się, że KOWR podlegać będzie nadzorowi ministra właściwego do spraw rozwoju wsi, umiejscowiony zostanie w Warszawie i przybierze formę prawną państwowej osoby prawnej będącej agencją wykonawczą w rozumieniu przepisów ustawy z dnia 27 sierpnia 2009 r. o finansach publicznych (art. 2). Regulacje są wzorowane na rozwiązaniach prawnych przyjętych w odniesieniu do znoszonych ARR i</w:t>
      </w:r>
      <w:r w:rsidR="00AB4AE6">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 xml:space="preserve">ANR, które w tym zakresie projektodawca uznaje za sprawdzone i efektywne. KOWR wyposażony zostanie także w struktury terenowe odpowiadające administracyjnemu podziałowi kraju i działające na szczeblu województw (art. 5). Bazą do utworzenia struktur terenowych będą ich działające aktualnie odpowiedniki jednostek organizacyjnych ARR i ANR, które powielają się. W efekcie zatem oczekiwać należy pozytywnych aspektów ekonomicznych wynikających ze scalenia tych struktur. Dotyczy to przede wszystkim kosztów najmu siedzib czy </w:t>
      </w:r>
      <w:r w:rsidR="00640F17">
        <w:rPr>
          <w:rFonts w:ascii="Times" w:eastAsia="Times New Roman" w:hAnsi="Times" w:cs="Arial"/>
          <w:bCs/>
          <w:sz w:val="24"/>
          <w:szCs w:val="20"/>
          <w:lang w:eastAsia="pl-PL"/>
        </w:rPr>
        <w:t>liczby</w:t>
      </w:r>
      <w:r w:rsidRPr="00A9088F">
        <w:rPr>
          <w:rFonts w:ascii="Times" w:eastAsia="Times New Roman" w:hAnsi="Times" w:cs="Arial"/>
          <w:bCs/>
          <w:sz w:val="24"/>
          <w:szCs w:val="20"/>
          <w:lang w:eastAsia="pl-PL"/>
        </w:rPr>
        <w:t xml:space="preserve"> stanowisk kierowniczych.</w:t>
      </w:r>
    </w:p>
    <w:p w:rsidR="00A9088F" w:rsidRPr="00A9088F" w:rsidRDefault="00A9088F" w:rsidP="00AB4AE6">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Podstawą prawną działania KOWR będzie, jak w przypadku innych agencji wykonawczych, statut nadawany przez ministra właściwego do spraw rozwoju wsi (art.</w:t>
      </w:r>
      <w:r w:rsidR="006261D3">
        <w:rPr>
          <w:rFonts w:ascii="Times" w:eastAsia="Times New Roman" w:hAnsi="Times" w:cs="Arial"/>
          <w:bCs/>
          <w:sz w:val="24"/>
          <w:szCs w:val="20"/>
          <w:lang w:eastAsia="pl-PL"/>
        </w:rPr>
        <w:t xml:space="preserve"> </w:t>
      </w:r>
      <w:r w:rsidRPr="00A9088F">
        <w:rPr>
          <w:rFonts w:ascii="Times" w:eastAsia="Times New Roman" w:hAnsi="Times" w:cs="Arial"/>
          <w:bCs/>
          <w:sz w:val="24"/>
          <w:szCs w:val="20"/>
          <w:lang w:eastAsia="pl-PL"/>
        </w:rPr>
        <w:t>3), które to rozwiązanie zapewnia możliwość elastycznego dostosowania rozwiązań do potrzeb wynikających z aktualnych zadań</w:t>
      </w:r>
      <w:r w:rsidR="00A73E03">
        <w:rPr>
          <w:rFonts w:ascii="Times" w:eastAsia="Times New Roman" w:hAnsi="Times" w:cs="Arial"/>
          <w:bCs/>
          <w:sz w:val="24"/>
          <w:szCs w:val="20"/>
          <w:lang w:eastAsia="pl-PL"/>
        </w:rPr>
        <w:t>,</w:t>
      </w:r>
      <w:r w:rsidRPr="00A9088F">
        <w:rPr>
          <w:rFonts w:ascii="Times" w:eastAsia="Times New Roman" w:hAnsi="Times" w:cs="Arial"/>
          <w:bCs/>
          <w:sz w:val="24"/>
          <w:szCs w:val="20"/>
          <w:lang w:eastAsia="pl-PL"/>
        </w:rPr>
        <w:t xml:space="preserve"> przy zachowaniu priorytetów wynikających z ram ustawowych.</w:t>
      </w:r>
    </w:p>
    <w:p w:rsidR="00A9088F" w:rsidRPr="00A9088F" w:rsidRDefault="00A9088F" w:rsidP="00AB4AE6">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Organem KOWR będzie Dyrektor Generalny, a nie – jak miało to miejsce dotychczas – Prezes (art. 4). Projektowane rozwiązanie zakłada położenie akcentu na charakter wykonawczy KOWR i unikanie omyłkowej identyfikacji tego podmiotu jako jednostki niepublicznej należącej do sfery prawa handlowego, co miało w przeszłości miejsce zwłaszcza w odniesieniu do zadań ARR, realizowanych na gruncie międzynarodowej promocji żywności. Nie ma ku temu żadnych przeszkód prawnych. Z dyrektorem generalnym jako organem zarządzającym danym podmiotem mamy do czynienia w</w:t>
      </w:r>
      <w:r w:rsidR="006261D3">
        <w:rPr>
          <w:rFonts w:ascii="Times" w:eastAsia="Times New Roman" w:hAnsi="Times" w:cs="Arial"/>
          <w:bCs/>
          <w:sz w:val="24"/>
          <w:szCs w:val="20"/>
          <w:lang w:eastAsia="pl-PL"/>
        </w:rPr>
        <w:t xml:space="preserve"> </w:t>
      </w:r>
      <w:r w:rsidRPr="00A9088F">
        <w:rPr>
          <w:rFonts w:ascii="Times" w:eastAsia="Times New Roman" w:hAnsi="Times" w:cs="Arial"/>
          <w:bCs/>
          <w:sz w:val="24"/>
          <w:szCs w:val="20"/>
          <w:lang w:eastAsia="pl-PL"/>
        </w:rPr>
        <w:t xml:space="preserve">takich instytucjach jak Lasy Państwowe czy też Generalna Dyrekcja Dróg Krajowych i Autostrad. </w:t>
      </w:r>
    </w:p>
    <w:p w:rsidR="00A9088F" w:rsidRPr="00A9088F" w:rsidRDefault="00A9088F" w:rsidP="00AB4AE6">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lastRenderedPageBreak/>
        <w:t>Bez zmian w stosunku do rozwiązań funkcjonujących obecnie w ARR i ANR pozostaje natomiast sposób powoływania i wymagania kompetencyjne co do osoby kierującej KOWR</w:t>
      </w:r>
      <w:r w:rsidR="00AB4AE6">
        <w:rPr>
          <w:rFonts w:ascii="Times" w:eastAsia="Times New Roman" w:hAnsi="Times" w:cs="Arial"/>
          <w:bCs/>
          <w:sz w:val="24"/>
          <w:szCs w:val="20"/>
          <w:lang w:eastAsia="pl-PL"/>
        </w:rPr>
        <w:t xml:space="preserve"> </w:t>
      </w:r>
      <w:r w:rsidRPr="00A9088F">
        <w:rPr>
          <w:rFonts w:ascii="Times" w:eastAsia="Times New Roman" w:hAnsi="Times" w:cs="Arial"/>
          <w:bCs/>
          <w:sz w:val="24"/>
          <w:szCs w:val="20"/>
          <w:lang w:eastAsia="pl-PL"/>
        </w:rPr>
        <w:t>i</w:t>
      </w:r>
      <w:r w:rsidR="006261D3">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jej zastępców, a także do osób zajmujących stanowiska kierownicze (art. 4–6), gdzie utrzymano powołanie jako podstawę nawiązania stosunku pracy. Jednocześnie, w</w:t>
      </w:r>
      <w:r w:rsidR="00AB4AE6">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celu wyeliminowania pojawiających się wątpliwości co do tego</w:t>
      </w:r>
      <w:r w:rsidR="00640F17">
        <w:rPr>
          <w:rFonts w:ascii="Times" w:eastAsia="Times New Roman" w:hAnsi="Times" w:cs="Arial"/>
          <w:bCs/>
          <w:sz w:val="24"/>
          <w:szCs w:val="20"/>
          <w:lang w:eastAsia="pl-PL"/>
        </w:rPr>
        <w:t>,</w:t>
      </w:r>
      <w:r w:rsidRPr="00A9088F">
        <w:rPr>
          <w:rFonts w:ascii="Times" w:eastAsia="Times New Roman" w:hAnsi="Times" w:cs="Arial"/>
          <w:bCs/>
          <w:sz w:val="24"/>
          <w:szCs w:val="20"/>
          <w:lang w:eastAsia="pl-PL"/>
        </w:rPr>
        <w:t xml:space="preserve"> kto wykonuje czynności z zakresu prawa pracy w odniesieniu do Dyrektora Generalnego, proponuje się rozstrzygnąć tę kwestię wprost w projektowanej ustawie. Co do zasady czynności z</w:t>
      </w:r>
      <w:r w:rsidR="006261D3">
        <w:rPr>
          <w:rFonts w:ascii="Times" w:eastAsia="Times New Roman" w:hAnsi="Times" w:cs="Arial"/>
          <w:bCs/>
          <w:sz w:val="24"/>
          <w:szCs w:val="20"/>
          <w:lang w:eastAsia="pl-PL"/>
        </w:rPr>
        <w:t xml:space="preserve"> </w:t>
      </w:r>
      <w:r w:rsidRPr="00A9088F">
        <w:rPr>
          <w:rFonts w:ascii="Times" w:eastAsia="Times New Roman" w:hAnsi="Times" w:cs="Arial"/>
          <w:bCs/>
          <w:sz w:val="24"/>
          <w:szCs w:val="20"/>
          <w:lang w:eastAsia="pl-PL"/>
        </w:rPr>
        <w:t>zakresu prawa pracy w</w:t>
      </w:r>
      <w:r w:rsidR="006261D3">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 xml:space="preserve">odniesieniu do Dyrektora Generalnego </w:t>
      </w:r>
      <w:r w:rsidR="00640F17" w:rsidRPr="00A9088F">
        <w:rPr>
          <w:rFonts w:ascii="Times" w:eastAsia="Times New Roman" w:hAnsi="Times" w:cs="Arial"/>
          <w:bCs/>
          <w:sz w:val="24"/>
          <w:szCs w:val="20"/>
          <w:lang w:eastAsia="pl-PL"/>
        </w:rPr>
        <w:t xml:space="preserve">będzie </w:t>
      </w:r>
      <w:r w:rsidRPr="00A9088F">
        <w:rPr>
          <w:rFonts w:ascii="Times" w:eastAsia="Times New Roman" w:hAnsi="Times" w:cs="Arial"/>
          <w:bCs/>
          <w:sz w:val="24"/>
          <w:szCs w:val="20"/>
          <w:lang w:eastAsia="pl-PL"/>
        </w:rPr>
        <w:t>wykonywał minister</w:t>
      </w:r>
      <w:r w:rsidR="004761C1">
        <w:rPr>
          <w:rFonts w:ascii="Times" w:eastAsia="Times New Roman" w:hAnsi="Times" w:cs="Arial"/>
          <w:bCs/>
          <w:sz w:val="24"/>
          <w:szCs w:val="20"/>
          <w:lang w:eastAsia="pl-PL"/>
        </w:rPr>
        <w:t xml:space="preserve"> właściwy do spraw rozwoju wsi.</w:t>
      </w:r>
    </w:p>
    <w:p w:rsidR="00A9088F" w:rsidRPr="00A9088F" w:rsidRDefault="00A9088F" w:rsidP="00AB4AE6">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Wymagania wobec osoby kierującej KOWR i jej zastępców, a także do osób zajmujących stanowiska kierownicze</w:t>
      </w:r>
      <w:r w:rsidRPr="00A9088F" w:rsidDel="00704F3B">
        <w:rPr>
          <w:rFonts w:ascii="Times" w:eastAsia="Times New Roman" w:hAnsi="Times" w:cs="Arial"/>
          <w:bCs/>
          <w:sz w:val="24"/>
          <w:szCs w:val="20"/>
          <w:lang w:eastAsia="pl-PL"/>
        </w:rPr>
        <w:t xml:space="preserve"> </w:t>
      </w:r>
      <w:r w:rsidRPr="00A9088F">
        <w:rPr>
          <w:rFonts w:ascii="Times" w:eastAsia="Times New Roman" w:hAnsi="Times" w:cs="Arial"/>
          <w:bCs/>
          <w:sz w:val="24"/>
          <w:szCs w:val="20"/>
          <w:lang w:eastAsia="pl-PL"/>
        </w:rPr>
        <w:t xml:space="preserve">zostały określone tak samo jak w Agencjach. Nie ulega modyfikacji w stosunku do rozwiązań obowiązujących w </w:t>
      </w:r>
      <w:r w:rsidR="00A73E03" w:rsidRPr="00A9088F">
        <w:rPr>
          <w:rFonts w:ascii="Times" w:eastAsia="Times New Roman" w:hAnsi="Times" w:cs="Arial"/>
          <w:bCs/>
          <w:sz w:val="24"/>
          <w:szCs w:val="20"/>
          <w:lang w:eastAsia="pl-PL"/>
        </w:rPr>
        <w:t xml:space="preserve">znoszonych </w:t>
      </w:r>
      <w:r w:rsidRPr="00A9088F">
        <w:rPr>
          <w:rFonts w:ascii="Times" w:eastAsia="Times New Roman" w:hAnsi="Times" w:cs="Arial"/>
          <w:bCs/>
          <w:sz w:val="24"/>
          <w:szCs w:val="20"/>
          <w:lang w:eastAsia="pl-PL"/>
        </w:rPr>
        <w:t>Agencjach także sposób naboru pracowników, oparty na zasadzie otwartości i konkurencyjności (art. 7).</w:t>
      </w:r>
    </w:p>
    <w:p w:rsidR="00A9088F" w:rsidRPr="00A9088F" w:rsidRDefault="00A9088F" w:rsidP="00AB4AE6">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Projekt nie zawiera regulacji w zakresie trybu i zakresu przejścia pracowników ARR i</w:t>
      </w:r>
      <w:r w:rsidR="006261D3">
        <w:rPr>
          <w:rFonts w:ascii="Times" w:eastAsia="Times New Roman" w:hAnsi="Times" w:cs="Arial"/>
          <w:bCs/>
          <w:sz w:val="24"/>
          <w:szCs w:val="20"/>
          <w:lang w:eastAsia="pl-PL"/>
        </w:rPr>
        <w:t xml:space="preserve"> </w:t>
      </w:r>
      <w:r w:rsidRPr="00A9088F">
        <w:rPr>
          <w:rFonts w:ascii="Times" w:eastAsia="Times New Roman" w:hAnsi="Times" w:cs="Arial"/>
          <w:bCs/>
          <w:sz w:val="24"/>
          <w:szCs w:val="20"/>
          <w:lang w:eastAsia="pl-PL"/>
        </w:rPr>
        <w:t xml:space="preserve">ARR do KOWR, pozostawiając tę kwestie do regulacji w projekcie ustawy </w:t>
      </w:r>
      <w:r w:rsidR="00640F17">
        <w:rPr>
          <w:rFonts w:ascii="Times" w:eastAsia="Times New Roman" w:hAnsi="Times" w:cs="Arial"/>
          <w:bCs/>
          <w:sz w:val="24"/>
          <w:szCs w:val="20"/>
          <w:lang w:eastAsia="pl-PL"/>
        </w:rPr>
        <w:t xml:space="preserve">– </w:t>
      </w:r>
      <w:r w:rsidRPr="00A9088F">
        <w:rPr>
          <w:rFonts w:ascii="Times" w:eastAsia="Times New Roman" w:hAnsi="Times" w:cs="Arial"/>
          <w:bCs/>
          <w:sz w:val="24"/>
          <w:szCs w:val="20"/>
          <w:lang w:eastAsia="pl-PL"/>
        </w:rPr>
        <w:t>Przepisy wprowadzając</w:t>
      </w:r>
      <w:r w:rsidR="00640F17">
        <w:rPr>
          <w:rFonts w:ascii="Times" w:eastAsia="Times New Roman" w:hAnsi="Times" w:cs="Arial"/>
          <w:bCs/>
          <w:sz w:val="24"/>
          <w:szCs w:val="20"/>
          <w:lang w:eastAsia="pl-PL"/>
        </w:rPr>
        <w:t>e</w:t>
      </w:r>
      <w:r w:rsidRPr="00A9088F">
        <w:rPr>
          <w:rFonts w:ascii="Times" w:eastAsia="Times New Roman" w:hAnsi="Times" w:cs="Arial"/>
          <w:bCs/>
          <w:sz w:val="24"/>
          <w:szCs w:val="20"/>
          <w:lang w:eastAsia="pl-PL"/>
        </w:rPr>
        <w:t xml:space="preserve"> ustawę</w:t>
      </w:r>
      <w:r w:rsidR="00A73E03">
        <w:rPr>
          <w:rFonts w:ascii="Times" w:eastAsia="Times New Roman" w:hAnsi="Times" w:cs="Arial"/>
          <w:bCs/>
          <w:sz w:val="24"/>
          <w:szCs w:val="20"/>
          <w:lang w:eastAsia="pl-PL"/>
        </w:rPr>
        <w:t xml:space="preserve"> o Krajowym Ośrodku Wsparcia Rolnictwa</w:t>
      </w:r>
      <w:r w:rsidRPr="00A9088F">
        <w:rPr>
          <w:rFonts w:ascii="Times" w:eastAsia="Times New Roman" w:hAnsi="Times" w:cs="Arial"/>
          <w:bCs/>
          <w:sz w:val="24"/>
          <w:szCs w:val="20"/>
          <w:lang w:eastAsia="pl-PL"/>
        </w:rPr>
        <w:t>.</w:t>
      </w:r>
    </w:p>
    <w:p w:rsidR="00A9088F" w:rsidRPr="00A9088F" w:rsidRDefault="00A9088F" w:rsidP="00AB4AE6">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Dyrektor Generalny oraz dyrektorzy oddziałów terenowych KOWR wyposażeni zostają w kompetencję do wydawania w ramach swoich zadań decyzji administracyjnych (art.</w:t>
      </w:r>
      <w:r w:rsidR="00AB4AE6">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8). Kompetencja ta niezbędna jest do wykonywania tej części zadań KOWR, która realizowana będzie w reżimie prawno-administracyjnym. Należy podkreślić, że w</w:t>
      </w:r>
      <w:r w:rsidR="006261D3">
        <w:rPr>
          <w:rFonts w:ascii="Times" w:eastAsia="Times New Roman" w:hAnsi="Times" w:cs="Arial"/>
          <w:bCs/>
          <w:sz w:val="24"/>
          <w:szCs w:val="20"/>
          <w:lang w:eastAsia="pl-PL"/>
        </w:rPr>
        <w:t xml:space="preserve"> </w:t>
      </w:r>
      <w:r w:rsidRPr="00A9088F">
        <w:rPr>
          <w:rFonts w:ascii="Times" w:eastAsia="Times New Roman" w:hAnsi="Times" w:cs="Arial"/>
          <w:bCs/>
          <w:sz w:val="24"/>
          <w:szCs w:val="20"/>
          <w:lang w:eastAsia="pl-PL"/>
        </w:rPr>
        <w:t>odniesieniu do niektórych zadań, jakie będzie wykonywać KOWR, w przepisach odrębnych przewidziano przepisy, które modyfikują reguły postępowania administracyjnego zawarte w Kodeksie postępowania administracyjnego. Przykładem takich przepisów są art. 10a i art. 10b ustawy z</w:t>
      </w:r>
      <w:r w:rsidR="006261D3">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 xml:space="preserve">dnia 9 maja 2008 r. o Agencji Restrukturyzacji i Modernizacji Rolnictwa dodawane projektowaną ustawą – Przepisy wprowadzające ustawę o </w:t>
      </w:r>
      <w:r w:rsidR="004761C1" w:rsidRPr="00A9088F">
        <w:rPr>
          <w:rFonts w:ascii="Times" w:eastAsia="Times New Roman" w:hAnsi="Times" w:cs="Arial"/>
          <w:bCs/>
          <w:sz w:val="24"/>
          <w:szCs w:val="20"/>
          <w:lang w:eastAsia="pl-PL"/>
        </w:rPr>
        <w:t>K</w:t>
      </w:r>
      <w:r w:rsidR="004761C1">
        <w:rPr>
          <w:rFonts w:ascii="Times" w:eastAsia="Times New Roman" w:hAnsi="Times" w:cs="Arial"/>
          <w:bCs/>
          <w:sz w:val="24"/>
          <w:szCs w:val="20"/>
          <w:lang w:eastAsia="pl-PL"/>
        </w:rPr>
        <w:t xml:space="preserve">rajowym </w:t>
      </w:r>
      <w:r w:rsidR="004761C1" w:rsidRPr="00A9088F">
        <w:rPr>
          <w:rFonts w:ascii="Times" w:eastAsia="Times New Roman" w:hAnsi="Times" w:cs="Arial"/>
          <w:bCs/>
          <w:sz w:val="24"/>
          <w:szCs w:val="20"/>
          <w:lang w:eastAsia="pl-PL"/>
        </w:rPr>
        <w:t>O</w:t>
      </w:r>
      <w:r w:rsidR="004761C1">
        <w:rPr>
          <w:rFonts w:ascii="Times" w:eastAsia="Times New Roman" w:hAnsi="Times" w:cs="Arial"/>
          <w:bCs/>
          <w:sz w:val="24"/>
          <w:szCs w:val="20"/>
          <w:lang w:eastAsia="pl-PL"/>
        </w:rPr>
        <w:t xml:space="preserve">środku </w:t>
      </w:r>
      <w:r w:rsidR="004761C1" w:rsidRPr="00A9088F">
        <w:rPr>
          <w:rFonts w:ascii="Times" w:eastAsia="Times New Roman" w:hAnsi="Times" w:cs="Arial"/>
          <w:bCs/>
          <w:sz w:val="24"/>
          <w:szCs w:val="20"/>
          <w:lang w:eastAsia="pl-PL"/>
        </w:rPr>
        <w:t>W</w:t>
      </w:r>
      <w:r w:rsidR="004761C1">
        <w:rPr>
          <w:rFonts w:ascii="Times" w:eastAsia="Times New Roman" w:hAnsi="Times" w:cs="Arial"/>
          <w:bCs/>
          <w:sz w:val="24"/>
          <w:szCs w:val="20"/>
          <w:lang w:eastAsia="pl-PL"/>
        </w:rPr>
        <w:t xml:space="preserve">sparcia </w:t>
      </w:r>
      <w:r w:rsidR="004761C1" w:rsidRPr="00A9088F">
        <w:rPr>
          <w:rFonts w:ascii="Times" w:eastAsia="Times New Roman" w:hAnsi="Times" w:cs="Arial"/>
          <w:bCs/>
          <w:sz w:val="24"/>
          <w:szCs w:val="20"/>
          <w:lang w:eastAsia="pl-PL"/>
        </w:rPr>
        <w:t>R</w:t>
      </w:r>
      <w:r w:rsidR="004761C1">
        <w:rPr>
          <w:rFonts w:ascii="Times" w:eastAsia="Times New Roman" w:hAnsi="Times" w:cs="Arial"/>
          <w:bCs/>
          <w:sz w:val="24"/>
          <w:szCs w:val="20"/>
          <w:lang w:eastAsia="pl-PL"/>
        </w:rPr>
        <w:t>olnictwa</w:t>
      </w:r>
      <w:r w:rsidRPr="00A9088F">
        <w:rPr>
          <w:rFonts w:ascii="Times" w:eastAsia="Times New Roman" w:hAnsi="Times" w:cs="Arial"/>
          <w:bCs/>
          <w:sz w:val="24"/>
          <w:szCs w:val="20"/>
          <w:lang w:eastAsia="pl-PL"/>
        </w:rPr>
        <w:t xml:space="preserve">. Na mocy tych przepisów niektóre przepisy Kodeksu postępowania administracyjnego (art. 7, art. 9, art. 10, art. 75 § 1, art. 77 § 1 oraz art. 81 </w:t>
      </w:r>
      <w:r w:rsidR="004761C1">
        <w:rPr>
          <w:rFonts w:ascii="Times" w:eastAsia="Times New Roman" w:hAnsi="Times" w:cs="Arial"/>
          <w:bCs/>
          <w:sz w:val="24"/>
          <w:szCs w:val="20"/>
          <w:lang w:eastAsia="pl-PL"/>
        </w:rPr>
        <w:t>k.p.a.</w:t>
      </w:r>
      <w:r w:rsidRPr="00A9088F">
        <w:rPr>
          <w:rFonts w:ascii="Times" w:eastAsia="Times New Roman" w:hAnsi="Times" w:cs="Arial"/>
          <w:bCs/>
          <w:sz w:val="24"/>
          <w:szCs w:val="20"/>
          <w:lang w:eastAsia="pl-PL"/>
        </w:rPr>
        <w:t>) nie mają zastosowania do postępowań w sprawach objętych zadaniami delegowanymi przez ARiMR do KOWR. Analogiczne przepisy obowiązują również obecnie, tj. takie wyłączenia stosowania przepisów Kodeksu postępowania administracyjnego przewiduje art. 7 ustawy z</w:t>
      </w:r>
      <w:r w:rsidR="004761C1">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dnia 11 marca 2004 r. o Agencji Rynku Rolnego i organizacji niektórych rynków rolnych (Dz. U. z 2016 r. poz. 401, z</w:t>
      </w:r>
      <w:r w:rsidR="00AB4AE6">
        <w:rPr>
          <w:rFonts w:ascii="Times" w:eastAsia="Times New Roman" w:hAnsi="Times" w:cs="Arial"/>
          <w:bCs/>
          <w:sz w:val="24"/>
          <w:szCs w:val="20"/>
          <w:lang w:eastAsia="pl-PL"/>
        </w:rPr>
        <w:t> </w:t>
      </w:r>
      <w:proofErr w:type="spellStart"/>
      <w:r w:rsidRPr="00A9088F">
        <w:rPr>
          <w:rFonts w:ascii="Times" w:eastAsia="Times New Roman" w:hAnsi="Times" w:cs="Arial"/>
          <w:bCs/>
          <w:sz w:val="24"/>
          <w:szCs w:val="20"/>
          <w:lang w:eastAsia="pl-PL"/>
        </w:rPr>
        <w:t>późn</w:t>
      </w:r>
      <w:proofErr w:type="spellEnd"/>
      <w:r w:rsidRPr="00A9088F">
        <w:rPr>
          <w:rFonts w:ascii="Times" w:eastAsia="Times New Roman" w:hAnsi="Times" w:cs="Arial"/>
          <w:bCs/>
          <w:sz w:val="24"/>
          <w:szCs w:val="20"/>
          <w:lang w:eastAsia="pl-PL"/>
        </w:rPr>
        <w:t>.</w:t>
      </w:r>
      <w:r w:rsidR="00AB4AE6">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 xml:space="preserve">zm.). Wobec planowanego zniesienia ARR i przejęcia części jej zadań przez ARiMR zaproponowano, aby przepis wzorowany na art. 7 powyższej </w:t>
      </w:r>
      <w:r w:rsidRPr="00A9088F">
        <w:rPr>
          <w:rFonts w:ascii="Times" w:eastAsia="Times New Roman" w:hAnsi="Times" w:cs="Arial"/>
          <w:bCs/>
          <w:sz w:val="24"/>
          <w:szCs w:val="20"/>
          <w:lang w:eastAsia="pl-PL"/>
        </w:rPr>
        <w:lastRenderedPageBreak/>
        <w:t>ustawy został wprowadzony w</w:t>
      </w:r>
      <w:r w:rsidR="006261D3">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ustawie z dnia 9 maja 2008 r. o Agencji Restrukturyzacji i</w:t>
      </w:r>
      <w:r w:rsidR="00AB4AE6">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Modernizacji Rolnictwa jako jej art. 10a. Właściwe jest bowiem, aby przejęte przez ARiMR zadania, które dotychczas wykonywała ARR, były wykonywane na takich samych zasadach jak obecnie. Ułatwi to proces uzyskiwania akredytacji przez ARiMR w odniesieniu do zadań agencji płatniczej realizowanych dotychczas przez ARR. Dotychczasowe procedury i tryb postępowania przez ARR przy realizacji tych zadań były bowiem przedmiotem badania akredytacyjnego poprzedzającego przyznanie akredytacji ARR jako agencji płatniczej. Wykonywanie tych zadań zgodnie z tymi procedurami i trybem przez ARiMR niewątpliwie przyczyni się do ułatwienia procesu przyznawania akredytacji ARiMR jako agencji płatniczej. Ponadto ten tryb postępowania jest znany podmiotom uczestniczącym w mechanizmach dotychczas administrowanych przez ARR, a zatem zmiana organizacyjna będąca wynikiem projektowanych przepisów nie będzie w tym zakresie generować negatywnych skutków dla tych podmiotów. Z tych samych względów, a więc aby ułatwić proces przyznawania akredytacji ARiMR jako agencji płatniczej oraz ograniczyć zaskoczenie podmiotów uczestniczących w mechanizmach administrowanych dotychczas przez ARR, zaproponowano, aby jednocześnie z przejęciem przez ARiMR zadań realizowanych dotychczas przez ARR, część tych zadań ARiMR, jako jedyna agencja płatnicza, delegowała KOWR. W odniesieniu do tych zadań konieczne jest stosowanie tych samych reguł dotyczących trybu postępowania, czemu daje wyraz art. 10b ustawy z</w:t>
      </w:r>
      <w:r w:rsidR="00AB4AE6">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dnia 9 maja 2008 r. o</w:t>
      </w:r>
      <w:r w:rsidR="006261D3">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Agencji Restrukturyzacji i Modernizacji Rolnictwa dodawany projektowaną ustawą – Przepisy wprowadzające ustawę o K</w:t>
      </w:r>
      <w:r w:rsidR="004761C1">
        <w:rPr>
          <w:rFonts w:ascii="Times" w:eastAsia="Times New Roman" w:hAnsi="Times" w:cs="Arial"/>
          <w:bCs/>
          <w:sz w:val="24"/>
          <w:szCs w:val="20"/>
          <w:lang w:eastAsia="pl-PL"/>
        </w:rPr>
        <w:t xml:space="preserve">rajowym </w:t>
      </w:r>
      <w:r w:rsidRPr="00A9088F">
        <w:rPr>
          <w:rFonts w:ascii="Times" w:eastAsia="Times New Roman" w:hAnsi="Times" w:cs="Arial"/>
          <w:bCs/>
          <w:sz w:val="24"/>
          <w:szCs w:val="20"/>
          <w:lang w:eastAsia="pl-PL"/>
        </w:rPr>
        <w:t>O</w:t>
      </w:r>
      <w:r w:rsidR="004761C1">
        <w:rPr>
          <w:rFonts w:ascii="Times" w:eastAsia="Times New Roman" w:hAnsi="Times" w:cs="Arial"/>
          <w:bCs/>
          <w:sz w:val="24"/>
          <w:szCs w:val="20"/>
          <w:lang w:eastAsia="pl-PL"/>
        </w:rPr>
        <w:t xml:space="preserve">środku </w:t>
      </w:r>
      <w:r w:rsidRPr="00A9088F">
        <w:rPr>
          <w:rFonts w:ascii="Times" w:eastAsia="Times New Roman" w:hAnsi="Times" w:cs="Arial"/>
          <w:bCs/>
          <w:sz w:val="24"/>
          <w:szCs w:val="20"/>
          <w:lang w:eastAsia="pl-PL"/>
        </w:rPr>
        <w:t>W</w:t>
      </w:r>
      <w:r w:rsidR="004761C1">
        <w:rPr>
          <w:rFonts w:ascii="Times" w:eastAsia="Times New Roman" w:hAnsi="Times" w:cs="Arial"/>
          <w:bCs/>
          <w:sz w:val="24"/>
          <w:szCs w:val="20"/>
          <w:lang w:eastAsia="pl-PL"/>
        </w:rPr>
        <w:t xml:space="preserve">sparcia </w:t>
      </w:r>
      <w:r w:rsidRPr="00A9088F">
        <w:rPr>
          <w:rFonts w:ascii="Times" w:eastAsia="Times New Roman" w:hAnsi="Times" w:cs="Arial"/>
          <w:bCs/>
          <w:sz w:val="24"/>
          <w:szCs w:val="20"/>
          <w:lang w:eastAsia="pl-PL"/>
        </w:rPr>
        <w:t>R</w:t>
      </w:r>
      <w:r w:rsidR="004761C1">
        <w:rPr>
          <w:rFonts w:ascii="Times" w:eastAsia="Times New Roman" w:hAnsi="Times" w:cs="Arial"/>
          <w:bCs/>
          <w:sz w:val="24"/>
          <w:szCs w:val="20"/>
          <w:lang w:eastAsia="pl-PL"/>
        </w:rPr>
        <w:t>olnictwa</w:t>
      </w:r>
      <w:r w:rsidRPr="00A9088F">
        <w:rPr>
          <w:rFonts w:ascii="Times" w:eastAsia="Times New Roman" w:hAnsi="Times" w:cs="Arial"/>
          <w:bCs/>
          <w:sz w:val="24"/>
          <w:szCs w:val="20"/>
          <w:lang w:eastAsia="pl-PL"/>
        </w:rPr>
        <w:t>.</w:t>
      </w:r>
    </w:p>
    <w:p w:rsidR="00A9088F" w:rsidRPr="00A9088F" w:rsidRDefault="00A9088F" w:rsidP="00AB4AE6">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Z racji połączenia kompetencji dwóch znoszonych Agencji</w:t>
      </w:r>
      <w:r w:rsidR="00A73E03">
        <w:rPr>
          <w:rFonts w:ascii="Times" w:eastAsia="Times New Roman" w:hAnsi="Times" w:cs="Arial"/>
          <w:bCs/>
          <w:sz w:val="24"/>
          <w:szCs w:val="20"/>
          <w:lang w:eastAsia="pl-PL"/>
        </w:rPr>
        <w:t>,</w:t>
      </w:r>
      <w:r w:rsidRPr="00A9088F">
        <w:rPr>
          <w:rFonts w:ascii="Times" w:eastAsia="Times New Roman" w:hAnsi="Times" w:cs="Arial"/>
          <w:bCs/>
          <w:sz w:val="24"/>
          <w:szCs w:val="20"/>
          <w:lang w:eastAsia="pl-PL"/>
        </w:rPr>
        <w:t xml:space="preserve"> powiązanego równocześnie z</w:t>
      </w:r>
      <w:r w:rsidR="006261D3">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przekazaniem części zadań do ARiMR</w:t>
      </w:r>
      <w:r w:rsidR="00A73E03">
        <w:rPr>
          <w:rFonts w:ascii="Times" w:eastAsia="Times New Roman" w:hAnsi="Times" w:cs="Arial"/>
          <w:bCs/>
          <w:sz w:val="24"/>
          <w:szCs w:val="20"/>
          <w:lang w:eastAsia="pl-PL"/>
        </w:rPr>
        <w:t>,</w:t>
      </w:r>
      <w:r w:rsidRPr="00A9088F">
        <w:rPr>
          <w:rFonts w:ascii="Times" w:eastAsia="Times New Roman" w:hAnsi="Times" w:cs="Arial"/>
          <w:bCs/>
          <w:sz w:val="24"/>
          <w:szCs w:val="20"/>
          <w:lang w:eastAsia="pl-PL"/>
        </w:rPr>
        <w:t xml:space="preserve"> konieczne jest wskazanie kompetencji, jakie przypisane zostaną KOWR. Dlatego też projekt zawiera wyszczególnienie najważniejszych jej zadań (art. 9). Katalog ten ma charakter otwarty i zakłada możliwość powierzenia dodatkowych zadań w drodze ustaw szczególnych bez konieczności zmiany ustawy projektowanej, co jest szczególnie istotne w aspekcie wspomnianego wyżej przewidywanego rozszerzenia zadań KOWR o nowe instytucje wdrażane w ramach drugiego etapu procesu optymalizacji instytucji działających w</w:t>
      </w:r>
      <w:r w:rsidR="00AB4AE6">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obszarze rolnictwa. W tym celu zmieniane będą jednak inne ustawy i dopiero wówczas możliwe będzie oszacowanie ewentualnych skutków finansowych.</w:t>
      </w:r>
    </w:p>
    <w:p w:rsidR="00A9088F" w:rsidRPr="00A9088F" w:rsidRDefault="00A9088F" w:rsidP="00AB4AE6">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 xml:space="preserve">Równocześnie przewiduje się możliwość wykonywania przez KOWR zadań delegowanych (art. 9 ust. 3). Jest to niezbędne zwłaszcza z uwagi na fakt, że niektóre zadania realizowane </w:t>
      </w:r>
      <w:r w:rsidRPr="00A9088F">
        <w:rPr>
          <w:rFonts w:ascii="Times" w:eastAsia="Times New Roman" w:hAnsi="Times" w:cs="Arial"/>
          <w:bCs/>
          <w:sz w:val="24"/>
          <w:szCs w:val="20"/>
          <w:lang w:eastAsia="pl-PL"/>
        </w:rPr>
        <w:lastRenderedPageBreak/>
        <w:t>dotychczas przez ARR i dotyczące Wspólnej Polityki Rolnej U</w:t>
      </w:r>
      <w:r w:rsidR="004761C1">
        <w:rPr>
          <w:rFonts w:ascii="Times" w:eastAsia="Times New Roman" w:hAnsi="Times" w:cs="Arial"/>
          <w:bCs/>
          <w:sz w:val="24"/>
          <w:szCs w:val="20"/>
          <w:lang w:eastAsia="pl-PL"/>
        </w:rPr>
        <w:t xml:space="preserve">nii </w:t>
      </w:r>
      <w:r w:rsidRPr="00A9088F">
        <w:rPr>
          <w:rFonts w:ascii="Times" w:eastAsia="Times New Roman" w:hAnsi="Times" w:cs="Arial"/>
          <w:bCs/>
          <w:sz w:val="24"/>
          <w:szCs w:val="20"/>
          <w:lang w:eastAsia="pl-PL"/>
        </w:rPr>
        <w:t>E</w:t>
      </w:r>
      <w:r w:rsidR="004761C1">
        <w:rPr>
          <w:rFonts w:ascii="Times" w:eastAsia="Times New Roman" w:hAnsi="Times" w:cs="Arial"/>
          <w:bCs/>
          <w:sz w:val="24"/>
          <w:szCs w:val="20"/>
          <w:lang w:eastAsia="pl-PL"/>
        </w:rPr>
        <w:t>uropejskiej</w:t>
      </w:r>
      <w:r w:rsidRPr="00A9088F">
        <w:rPr>
          <w:rFonts w:ascii="Times" w:eastAsia="Times New Roman" w:hAnsi="Times" w:cs="Arial"/>
          <w:bCs/>
          <w:sz w:val="24"/>
          <w:szCs w:val="20"/>
          <w:lang w:eastAsia="pl-PL"/>
        </w:rPr>
        <w:t>, przekazywane w drodze ustawy wprowadzającej niniejszy projekt do realizacji przez ARiMR, muszą być wykonywane w sposób ciągły. Wymaga to zachowania, przynajmniej przez pewien czas, możliwości realizowania ich w oparciu o</w:t>
      </w:r>
      <w:r w:rsidR="00AB4AE6">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doświadczone zasoby ludzkie i</w:t>
      </w:r>
      <w:r w:rsidR="004761C1">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 xml:space="preserve">systemy informatyczne byłej ARR, które w części znajdą się w KOWR. </w:t>
      </w:r>
    </w:p>
    <w:p w:rsidR="00A9088F" w:rsidRPr="00A9088F" w:rsidRDefault="00A9088F" w:rsidP="00AB4AE6">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Dążeniem jest, aby KOWR był docelowo podstawową jednostką promującą polską żywność, polskie rolnictwo i sektor rolno-spożywczy w całym obszarze administracji publicznej, a nie tylko – co zostanie osiągnięte już po wdrożeniu projektu – w ramach resortu rolnictwa. Dlatego też proponuje się upoważnienie innych jednostek sektora finansów publicznych do zlecania zadań na rzecz KOWR (art. 10).</w:t>
      </w:r>
    </w:p>
    <w:p w:rsidR="00A9088F" w:rsidRPr="00A9088F" w:rsidRDefault="00A9088F" w:rsidP="00AB4AE6">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Gospodarka finansowa KOWR prowadzona będzie na zasadach analogicznych do Agencji znoszonych, z uwzględnieniem konieczności połączenia ich cech specyficznych, w</w:t>
      </w:r>
      <w:r w:rsidR="006261D3">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szczególności potrzeby sprawnego gospodarowania nieruchomościami rolnymi Skarbu Państwa, wykonywan</w:t>
      </w:r>
      <w:r w:rsidR="00640F17">
        <w:rPr>
          <w:rFonts w:ascii="Times" w:eastAsia="Times New Roman" w:hAnsi="Times" w:cs="Arial"/>
          <w:bCs/>
          <w:sz w:val="24"/>
          <w:szCs w:val="20"/>
          <w:lang w:eastAsia="pl-PL"/>
        </w:rPr>
        <w:t>ego</w:t>
      </w:r>
      <w:r w:rsidRPr="00A9088F">
        <w:rPr>
          <w:rFonts w:ascii="Times" w:eastAsia="Times New Roman" w:hAnsi="Times" w:cs="Arial"/>
          <w:bCs/>
          <w:sz w:val="24"/>
          <w:szCs w:val="20"/>
          <w:lang w:eastAsia="pl-PL"/>
        </w:rPr>
        <w:t xml:space="preserve"> obecnie przez ANR. W</w:t>
      </w:r>
      <w:r w:rsidR="00AB4AE6">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aspekcie finansowym przejawem tej specyfiki było sporządzanie odrębnych planów finansowych – dla ANR oraz dla Zasobu Własności Rolnej Skarbu Państwa. Założeniem projektu jest, że znajdą się w nim tylko przepisy dotyczące gospodarki finansowej KOWR, natomiast regulacje dotyczące Zasobu pozostaną w przepisach ustawy z dnia 19 października 1991 r. o gospodarowaniu nieruchomościami rolnym</w:t>
      </w:r>
      <w:r w:rsidR="00A73E03">
        <w:rPr>
          <w:rFonts w:ascii="Times" w:eastAsia="Times New Roman" w:hAnsi="Times" w:cs="Arial"/>
          <w:bCs/>
          <w:sz w:val="24"/>
          <w:szCs w:val="20"/>
          <w:lang w:eastAsia="pl-PL"/>
        </w:rPr>
        <w:t>i</w:t>
      </w:r>
      <w:r w:rsidRPr="00A9088F">
        <w:rPr>
          <w:rFonts w:ascii="Times" w:eastAsia="Times New Roman" w:hAnsi="Times" w:cs="Arial"/>
          <w:bCs/>
          <w:sz w:val="24"/>
          <w:szCs w:val="20"/>
          <w:lang w:eastAsia="pl-PL"/>
        </w:rPr>
        <w:t xml:space="preserve"> Skarbu Państwa.</w:t>
      </w:r>
    </w:p>
    <w:p w:rsidR="00A9088F" w:rsidRPr="00A9088F" w:rsidRDefault="00A9088F" w:rsidP="00AB4AE6">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W zakresie gospodarki finansowej utrzyman</w:t>
      </w:r>
      <w:r w:rsidR="00A73E03">
        <w:rPr>
          <w:rFonts w:ascii="Times" w:eastAsia="Times New Roman" w:hAnsi="Times" w:cs="Arial"/>
          <w:bCs/>
          <w:sz w:val="24"/>
          <w:szCs w:val="20"/>
          <w:lang w:eastAsia="pl-PL"/>
        </w:rPr>
        <w:t>o</w:t>
      </w:r>
      <w:r w:rsidRPr="00A9088F">
        <w:rPr>
          <w:rFonts w:ascii="Times" w:eastAsia="Times New Roman" w:hAnsi="Times" w:cs="Arial"/>
          <w:bCs/>
          <w:sz w:val="24"/>
          <w:szCs w:val="20"/>
          <w:lang w:eastAsia="pl-PL"/>
        </w:rPr>
        <w:t xml:space="preserve"> dotychczasowe zasady jej prowadzenia i</w:t>
      </w:r>
      <w:r w:rsidR="006261D3">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zakres przepisów je regulujących. Zarówno bowiem w sferze samej materii, jak i</w:t>
      </w:r>
      <w:r w:rsidR="00AB4AE6">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technik legislacyjnych, aktualnie obowiązujące rozwiązania oceniono jako efektywne i</w:t>
      </w:r>
      <w:r w:rsidR="00AB4AE6">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we właściwy sposób zabezpieczające interes KOWR. Podstawowe reguły w tym obszarze obejmują: zasadę samodzielnej gospodarki finansowej prowadzonej w oparciu o zatwierdzony przez właściwych ministrów roczny plan finansowy (art. 11), obowiązek prowadzenia rachunkowości i badania sprawozdania finansowego przez biegłego rewidenta (art. 12), wskazanie katalogu kosztów i przychodów KOWR oraz zasad tworzenia jego funduszy (art.</w:t>
      </w:r>
      <w:r w:rsidR="006261D3">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 xml:space="preserve">13). Jednocześnie w art. 11 ust. 4 wprowadzono regulację porządkującą kwestie dotyczące zasad wynagradzania pracowników KOWR. Zasady wynagradzania będą określone w regulaminie wynagradzania, ustalonym przez Dyrektora Generalnego KOWR za zgodą nadzorującego KOWR ministra, a więc ministra właściwego do spraw rozwoju wsi. </w:t>
      </w:r>
    </w:p>
    <w:p w:rsidR="00A9088F" w:rsidRPr="00A9088F" w:rsidRDefault="00A9088F" w:rsidP="00AB4AE6">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lastRenderedPageBreak/>
        <w:t>Projekt wyposaża KOWR w szereg uprawnień, które posiadają obecnie ARR lub ANR, a</w:t>
      </w:r>
      <w:r w:rsidR="006261D3">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które ocenia się jako niezbędne dla sprawnego wykonywania zadań przez KOWR. Wachlarz uprawnień obejmuje elementy o charakterze:</w:t>
      </w:r>
    </w:p>
    <w:p w:rsidR="00A9088F" w:rsidRPr="00A9088F" w:rsidRDefault="00A9088F" w:rsidP="00A9088F">
      <w:pPr>
        <w:spacing w:after="0" w:line="360" w:lineRule="auto"/>
        <w:ind w:left="510" w:hanging="510"/>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 xml:space="preserve">1) </w:t>
      </w:r>
      <w:r w:rsidRPr="00A9088F">
        <w:rPr>
          <w:rFonts w:ascii="Times" w:eastAsia="Times New Roman" w:hAnsi="Times" w:cs="Arial"/>
          <w:bCs/>
          <w:sz w:val="24"/>
          <w:szCs w:val="20"/>
          <w:lang w:eastAsia="pl-PL"/>
        </w:rPr>
        <w:tab/>
        <w:t>informacyjnym, jak możliwość korzystania z systemów ewidencyjnych ARiMR (art.</w:t>
      </w:r>
      <w:r w:rsidR="006261D3">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16),</w:t>
      </w:r>
    </w:p>
    <w:p w:rsidR="00A9088F" w:rsidRPr="00A9088F" w:rsidRDefault="00A9088F" w:rsidP="00A9088F">
      <w:pPr>
        <w:spacing w:after="0" w:line="360" w:lineRule="auto"/>
        <w:ind w:left="510" w:hanging="510"/>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 xml:space="preserve">2) </w:t>
      </w:r>
      <w:r w:rsidRPr="00A9088F">
        <w:rPr>
          <w:rFonts w:ascii="Times" w:eastAsia="Times New Roman" w:hAnsi="Times" w:cs="Arial"/>
          <w:bCs/>
          <w:sz w:val="24"/>
          <w:szCs w:val="20"/>
          <w:lang w:eastAsia="pl-PL"/>
        </w:rPr>
        <w:tab/>
        <w:t>zarządczym, jak prawo posiadania, obejmowania lub nabywania akcji lub udziałów w</w:t>
      </w:r>
      <w:r w:rsidR="006261D3">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spółkach (art. 17),</w:t>
      </w:r>
    </w:p>
    <w:p w:rsidR="00A9088F" w:rsidRPr="00A9088F" w:rsidRDefault="00A9088F" w:rsidP="00A9088F">
      <w:pPr>
        <w:spacing w:after="0" w:line="360" w:lineRule="auto"/>
        <w:ind w:left="510" w:hanging="510"/>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 xml:space="preserve">3) </w:t>
      </w:r>
      <w:r w:rsidRPr="00A9088F">
        <w:rPr>
          <w:rFonts w:ascii="Times" w:eastAsia="Times New Roman" w:hAnsi="Times" w:cs="Arial"/>
          <w:bCs/>
          <w:sz w:val="24"/>
          <w:szCs w:val="20"/>
          <w:lang w:eastAsia="pl-PL"/>
        </w:rPr>
        <w:tab/>
        <w:t>sprzedaży wierzytelności (art. 18),</w:t>
      </w:r>
    </w:p>
    <w:p w:rsidR="00A9088F" w:rsidRPr="00A9088F" w:rsidRDefault="00A9088F" w:rsidP="00A9088F">
      <w:pPr>
        <w:spacing w:after="0" w:line="360" w:lineRule="auto"/>
        <w:ind w:left="510" w:hanging="510"/>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 xml:space="preserve">4) </w:t>
      </w:r>
      <w:r w:rsidRPr="00A9088F">
        <w:rPr>
          <w:rFonts w:ascii="Times" w:eastAsia="Times New Roman" w:hAnsi="Times" w:cs="Arial"/>
          <w:bCs/>
          <w:sz w:val="24"/>
          <w:szCs w:val="20"/>
          <w:lang w:eastAsia="pl-PL"/>
        </w:rPr>
        <w:tab/>
        <w:t>kontrolnym, jak prawo przeprowadzania kontroli w podmiotach uczestniczących w</w:t>
      </w:r>
      <w:r w:rsidR="00AB4AE6">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mechanizmach administrowanych przez KOWR w ramach realizowanych zadań (art.</w:t>
      </w:r>
      <w:r w:rsidR="006261D3">
        <w:rPr>
          <w:rFonts w:ascii="Times" w:eastAsia="Times New Roman" w:hAnsi="Times" w:cs="Arial"/>
          <w:bCs/>
          <w:sz w:val="24"/>
          <w:szCs w:val="20"/>
          <w:lang w:eastAsia="pl-PL"/>
        </w:rPr>
        <w:t> </w:t>
      </w:r>
      <w:r w:rsidRPr="00A9088F">
        <w:rPr>
          <w:rFonts w:ascii="Times" w:eastAsia="Times New Roman" w:hAnsi="Times" w:cs="Arial"/>
          <w:bCs/>
          <w:sz w:val="24"/>
          <w:szCs w:val="20"/>
          <w:lang w:eastAsia="pl-PL"/>
        </w:rPr>
        <w:t>19)</w:t>
      </w:r>
      <w:r w:rsidR="00A73E03">
        <w:rPr>
          <w:rFonts w:ascii="Times" w:eastAsia="Times New Roman" w:hAnsi="Times" w:cs="Arial"/>
          <w:bCs/>
          <w:sz w:val="24"/>
          <w:szCs w:val="20"/>
          <w:lang w:eastAsia="pl-PL"/>
        </w:rPr>
        <w:t>,</w:t>
      </w:r>
      <w:r w:rsidRPr="00A9088F">
        <w:rPr>
          <w:rFonts w:ascii="Times" w:eastAsia="Times New Roman" w:hAnsi="Times" w:cs="Arial"/>
          <w:bCs/>
          <w:sz w:val="24"/>
          <w:szCs w:val="20"/>
          <w:lang w:eastAsia="pl-PL"/>
        </w:rPr>
        <w:t xml:space="preserve"> łącznie z prawem powierzania takich kontroli wyspecjalizowanym podmiotom (art. 20).</w:t>
      </w:r>
    </w:p>
    <w:p w:rsidR="00A9088F" w:rsidRPr="00A9088F" w:rsidRDefault="00A9088F" w:rsidP="00AB4AE6">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Z uwagi na stopień skomplikowania materii regulowanej ustawą, zwłaszcza potrzebę rozdzielenia zadań znoszonych podmiotów między KOWR a ARiMR, zakłada się odrębną ustawę wprowadzającą projektowaną ustawę. Dlatego też w projekcie zamieszczono jedynie odwołanie do ustawy wprowadzającej, zaś pominięto niezbędne zmiany przepisów dotychczasowych.</w:t>
      </w:r>
    </w:p>
    <w:p w:rsidR="00A9088F" w:rsidRPr="00A9088F" w:rsidRDefault="00A9088F" w:rsidP="00AB4AE6">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Zakłada się, że projektowane regulacje wejdą w życie z dniem 1 lipca 2017 r.</w:t>
      </w:r>
    </w:p>
    <w:p w:rsidR="00A9088F" w:rsidRPr="00A9088F" w:rsidRDefault="00A9088F" w:rsidP="00AB4AE6">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Projekt ustawy jest zgodny z prawem Unii Europejskiej.</w:t>
      </w:r>
    </w:p>
    <w:p w:rsidR="00A9088F" w:rsidRPr="00A9088F" w:rsidRDefault="00A9088F" w:rsidP="00AB4AE6">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 xml:space="preserve">Projekt ustawy nie wymaga notyfikacji w rozumieniu przepisów rozporządzenia Rady Ministrów z dnia 23 grudnia 2002 r. w sprawie sposobu funkcjonowania krajowego systemu notyfikacji norm i aktów prawnych (Dz. U. poz. 2039, z </w:t>
      </w:r>
      <w:proofErr w:type="spellStart"/>
      <w:r w:rsidRPr="00A9088F">
        <w:rPr>
          <w:rFonts w:ascii="Times" w:eastAsia="Times New Roman" w:hAnsi="Times" w:cs="Arial"/>
          <w:bCs/>
          <w:sz w:val="24"/>
          <w:szCs w:val="20"/>
          <w:lang w:eastAsia="pl-PL"/>
        </w:rPr>
        <w:t>późn</w:t>
      </w:r>
      <w:proofErr w:type="spellEnd"/>
      <w:r w:rsidRPr="00A9088F">
        <w:rPr>
          <w:rFonts w:ascii="Times" w:eastAsia="Times New Roman" w:hAnsi="Times" w:cs="Arial"/>
          <w:bCs/>
          <w:sz w:val="24"/>
          <w:szCs w:val="20"/>
          <w:lang w:eastAsia="pl-PL"/>
        </w:rPr>
        <w:t>. zm.).</w:t>
      </w:r>
    </w:p>
    <w:p w:rsidR="00836F83" w:rsidRDefault="00A9088F" w:rsidP="00AB4AE6">
      <w:pPr>
        <w:spacing w:before="120" w:after="0" w:line="360" w:lineRule="auto"/>
        <w:jc w:val="both"/>
        <w:rPr>
          <w:rFonts w:ascii="Times" w:eastAsia="Times New Roman" w:hAnsi="Times" w:cs="Arial"/>
          <w:bCs/>
          <w:sz w:val="24"/>
          <w:szCs w:val="20"/>
          <w:lang w:eastAsia="pl-PL"/>
        </w:rPr>
      </w:pPr>
      <w:r w:rsidRPr="00A9088F">
        <w:rPr>
          <w:rFonts w:ascii="Times" w:eastAsia="Times New Roman" w:hAnsi="Times" w:cs="Arial"/>
          <w:bCs/>
          <w:sz w:val="24"/>
          <w:szCs w:val="20"/>
          <w:lang w:eastAsia="pl-PL"/>
        </w:rPr>
        <w:t>Projekt ustawy został wpisany do Wykazu prac legislacyjnych i programowych Rady Ministrów.</w:t>
      </w:r>
    </w:p>
    <w:sectPr w:rsidR="00836F83" w:rsidSect="006261D3">
      <w:footerReference w:type="default" r:id="rId7"/>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4AE6" w:rsidRDefault="00AB4AE6" w:rsidP="00AB4AE6">
      <w:pPr>
        <w:spacing w:after="0" w:line="240" w:lineRule="auto"/>
      </w:pPr>
      <w:r>
        <w:separator/>
      </w:r>
    </w:p>
  </w:endnote>
  <w:endnote w:type="continuationSeparator" w:id="0">
    <w:p w:rsidR="00AB4AE6" w:rsidRDefault="00AB4AE6" w:rsidP="00AB4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6703048"/>
      <w:docPartObj>
        <w:docPartGallery w:val="Page Numbers (Bottom of Page)"/>
        <w:docPartUnique/>
      </w:docPartObj>
    </w:sdtPr>
    <w:sdtEndPr/>
    <w:sdtContent>
      <w:p w:rsidR="00AB4AE6" w:rsidRDefault="00AB4AE6" w:rsidP="00AB4AE6">
        <w:pPr>
          <w:pStyle w:val="Stopka"/>
          <w:jc w:val="center"/>
        </w:pPr>
        <w:r w:rsidRPr="00AB4AE6">
          <w:rPr>
            <w:rFonts w:ascii="Times New Roman" w:hAnsi="Times New Roman" w:cs="Times New Roman"/>
            <w:sz w:val="24"/>
            <w:szCs w:val="24"/>
          </w:rPr>
          <w:fldChar w:fldCharType="begin"/>
        </w:r>
        <w:r w:rsidRPr="00AB4AE6">
          <w:rPr>
            <w:rFonts w:ascii="Times New Roman" w:hAnsi="Times New Roman" w:cs="Times New Roman"/>
            <w:sz w:val="24"/>
            <w:szCs w:val="24"/>
          </w:rPr>
          <w:instrText>PAGE   \* MERGEFORMAT</w:instrText>
        </w:r>
        <w:r w:rsidRPr="00AB4AE6">
          <w:rPr>
            <w:rFonts w:ascii="Times New Roman" w:hAnsi="Times New Roman" w:cs="Times New Roman"/>
            <w:sz w:val="24"/>
            <w:szCs w:val="24"/>
          </w:rPr>
          <w:fldChar w:fldCharType="separate"/>
        </w:r>
        <w:r w:rsidR="00B529C3">
          <w:rPr>
            <w:rFonts w:ascii="Times New Roman" w:hAnsi="Times New Roman" w:cs="Times New Roman"/>
            <w:noProof/>
            <w:sz w:val="24"/>
            <w:szCs w:val="24"/>
          </w:rPr>
          <w:t>7</w:t>
        </w:r>
        <w:r w:rsidRPr="00AB4AE6">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4AE6" w:rsidRDefault="00AB4AE6" w:rsidP="00AB4AE6">
      <w:pPr>
        <w:spacing w:after="0" w:line="240" w:lineRule="auto"/>
      </w:pPr>
      <w:r>
        <w:separator/>
      </w:r>
    </w:p>
  </w:footnote>
  <w:footnote w:type="continuationSeparator" w:id="0">
    <w:p w:rsidR="00AB4AE6" w:rsidRDefault="00AB4AE6" w:rsidP="00AB4A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88F"/>
    <w:rsid w:val="00175A27"/>
    <w:rsid w:val="00250305"/>
    <w:rsid w:val="00282157"/>
    <w:rsid w:val="004761C1"/>
    <w:rsid w:val="006261D3"/>
    <w:rsid w:val="00640F17"/>
    <w:rsid w:val="0069354A"/>
    <w:rsid w:val="00777034"/>
    <w:rsid w:val="009A480B"/>
    <w:rsid w:val="00A10E06"/>
    <w:rsid w:val="00A61B74"/>
    <w:rsid w:val="00A73E03"/>
    <w:rsid w:val="00A9088F"/>
    <w:rsid w:val="00AA4052"/>
    <w:rsid w:val="00AB4AE6"/>
    <w:rsid w:val="00AD6A67"/>
    <w:rsid w:val="00B529C3"/>
    <w:rsid w:val="00B92A4D"/>
    <w:rsid w:val="00BE4B65"/>
    <w:rsid w:val="00C64C3C"/>
    <w:rsid w:val="00C70323"/>
    <w:rsid w:val="00CC5016"/>
    <w:rsid w:val="00FC5B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B4AE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B4AE6"/>
  </w:style>
  <w:style w:type="paragraph" w:styleId="Stopka">
    <w:name w:val="footer"/>
    <w:basedOn w:val="Normalny"/>
    <w:link w:val="StopkaZnak"/>
    <w:uiPriority w:val="99"/>
    <w:unhideWhenUsed/>
    <w:rsid w:val="00AB4AE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B4AE6"/>
  </w:style>
  <w:style w:type="paragraph" w:styleId="Tekstdymka">
    <w:name w:val="Balloon Text"/>
    <w:basedOn w:val="Normalny"/>
    <w:link w:val="TekstdymkaZnak"/>
    <w:uiPriority w:val="99"/>
    <w:semiHidden/>
    <w:unhideWhenUsed/>
    <w:rsid w:val="00A73E0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73E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B4AE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B4AE6"/>
  </w:style>
  <w:style w:type="paragraph" w:styleId="Stopka">
    <w:name w:val="footer"/>
    <w:basedOn w:val="Normalny"/>
    <w:link w:val="StopkaZnak"/>
    <w:uiPriority w:val="99"/>
    <w:unhideWhenUsed/>
    <w:rsid w:val="00AB4AE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B4AE6"/>
  </w:style>
  <w:style w:type="paragraph" w:styleId="Tekstdymka">
    <w:name w:val="Balloon Text"/>
    <w:basedOn w:val="Normalny"/>
    <w:link w:val="TekstdymkaZnak"/>
    <w:uiPriority w:val="99"/>
    <w:semiHidden/>
    <w:unhideWhenUsed/>
    <w:rsid w:val="00A73E0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73E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2369</Words>
  <Characters>14668</Characters>
  <Application>Microsoft Office Word</Application>
  <DocSecurity>0</DocSecurity>
  <Lines>266</Lines>
  <Paragraphs>159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Roza Chmielewska</dc:creator>
  <cp:lastModifiedBy>Ewa A. Genert</cp:lastModifiedBy>
  <cp:revision>2</cp:revision>
  <cp:lastPrinted>2017-01-17T14:18:00Z</cp:lastPrinted>
  <dcterms:created xsi:type="dcterms:W3CDTF">2017-01-19T13:35:00Z</dcterms:created>
  <dcterms:modified xsi:type="dcterms:W3CDTF">2017-01-19T13:35:00Z</dcterms:modified>
</cp:coreProperties>
</file>