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F37B9" w:rsidRPr="009C7802" w:rsidRDefault="004F37B9" w:rsidP="009C7802">
      <w:pPr>
        <w:spacing w:before="120" w:line="360" w:lineRule="auto"/>
        <w:jc w:val="center"/>
        <w:rPr>
          <w:lang w:eastAsia="en-US"/>
        </w:rPr>
      </w:pPr>
      <w:bookmarkStart w:id="0" w:name="_GoBack"/>
      <w:bookmarkEnd w:id="0"/>
      <w:r w:rsidRPr="009C7802">
        <w:rPr>
          <w:lang w:eastAsia="en-US"/>
        </w:rPr>
        <w:t>UZASADNIENIE</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Stworzenie nowych ram instytucjonalnego wsparcia odpowiedzialnego rozwoju rolnictwa i obszarów wiejskich jest jednym z podstawowych celów do osiągnięcia, ujętym w</w:t>
      </w:r>
      <w:r w:rsidR="009C7802">
        <w:rPr>
          <w:lang w:eastAsia="en-US"/>
        </w:rPr>
        <w:t xml:space="preserve"> </w:t>
      </w:r>
      <w:r w:rsidRPr="00CA5A71">
        <w:rPr>
          <w:lang w:eastAsia="en-US"/>
        </w:rPr>
        <w:t>„Programie Działań Ministerstwa Rolni</w:t>
      </w:r>
      <w:r w:rsidR="009C7802">
        <w:rPr>
          <w:lang w:eastAsia="en-US"/>
        </w:rPr>
        <w:t xml:space="preserve">ctwa i Rozwoju Wsi na lata </w:t>
      </w:r>
      <w:r w:rsidR="009C7802">
        <w:rPr>
          <w:lang w:eastAsia="en-US"/>
        </w:rPr>
        <w:br/>
        <w:t>2015</w:t>
      </w:r>
      <w:r w:rsidRPr="00CA5A71">
        <w:rPr>
          <w:lang w:eastAsia="en-US"/>
        </w:rPr>
        <w:t>–2019”.</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W istniejącym obecnie stanie prawnym w obszarze rolnictwa funkcjonują aż trzy agencje rolne</w:t>
      </w:r>
      <w:r w:rsidR="000F679F">
        <w:rPr>
          <w:lang w:eastAsia="en-US"/>
        </w:rPr>
        <w:t>,</w:t>
      </w:r>
      <w:r w:rsidRPr="00CA5A71">
        <w:rPr>
          <w:lang w:eastAsia="en-US"/>
        </w:rPr>
        <w:t xml:space="preserve"> tj. Agencja Restrukturyzacji i Modernizacji Rolnictwa, zwana dalej „ARiMR”, Agencja Rynku Rolnego, zwana dalej „ARR”, oraz Agencja Nieruchomości Rolnych, zwana dalej „ANR”. Dwie pierwsze instytucje pełnią przy tym funkcję akredytowanych agencji płatniczych Unii Europejskiej.</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Projektowana ustawa stanowi element realizacji procesu optymalizacji funkcjonowania agencji rolniczych w Polsce i jednocześnie kompatybilny projekt w stosunku do projektu ustawy o Krajowym Ośrodku Wsparcia Rolnictwa. Przedmiotowa koncepcja optymalizacji polega na:</w:t>
      </w:r>
    </w:p>
    <w:p w:rsidR="004F37B9" w:rsidRPr="00CA5A71" w:rsidRDefault="004F37B9" w:rsidP="009C7802">
      <w:pPr>
        <w:numPr>
          <w:ilvl w:val="0"/>
          <w:numId w:val="1"/>
        </w:numPr>
        <w:autoSpaceDE w:val="0"/>
        <w:autoSpaceDN w:val="0"/>
        <w:adjustRightInd w:val="0"/>
        <w:spacing w:before="120" w:line="360" w:lineRule="auto"/>
        <w:ind w:left="426" w:hanging="426"/>
        <w:jc w:val="both"/>
        <w:rPr>
          <w:lang w:eastAsia="en-US"/>
        </w:rPr>
      </w:pPr>
      <w:r w:rsidRPr="00CA5A71">
        <w:rPr>
          <w:lang w:eastAsia="en-US"/>
        </w:rPr>
        <w:t>ograniczeniu liczby funkcjonujących w Polsce agencji rolnych, tj. ARiMR, ARR i</w:t>
      </w:r>
      <w:r w:rsidR="009C7802">
        <w:rPr>
          <w:lang w:eastAsia="en-US"/>
        </w:rPr>
        <w:t> </w:t>
      </w:r>
      <w:r w:rsidRPr="00CA5A71">
        <w:rPr>
          <w:lang w:eastAsia="en-US"/>
        </w:rPr>
        <w:t>ANR</w:t>
      </w:r>
      <w:r w:rsidR="000F679F">
        <w:rPr>
          <w:lang w:eastAsia="en-US"/>
        </w:rPr>
        <w:t>,</w:t>
      </w:r>
      <w:r w:rsidRPr="00CA5A71">
        <w:rPr>
          <w:lang w:eastAsia="en-US"/>
        </w:rPr>
        <w:t xml:space="preserve"> do jednej agencji, tj. agencji płatniczej </w:t>
      </w:r>
      <w:r w:rsidR="009C7802">
        <w:rPr>
          <w:lang w:eastAsia="en-US"/>
        </w:rPr>
        <w:t>–</w:t>
      </w:r>
      <w:r w:rsidRPr="00CA5A71">
        <w:rPr>
          <w:lang w:eastAsia="en-US"/>
        </w:rPr>
        <w:t xml:space="preserve"> ARiMR oraz utworzeniu jednostki odpowiedzialnej za zadania w zakresie programowania rozwoju polskiej wsi i</w:t>
      </w:r>
      <w:r w:rsidR="009C7802">
        <w:rPr>
          <w:lang w:eastAsia="en-US"/>
        </w:rPr>
        <w:t> </w:t>
      </w:r>
      <w:r w:rsidRPr="00CA5A71">
        <w:rPr>
          <w:lang w:eastAsia="en-US"/>
        </w:rPr>
        <w:t>gospodarowania nieruchomościami rolnymi, pozostającymi w zasobie Skarbu Państwa – Krajowego Ośrodka Wsparcia Rolnictwa, zwanego dalej „KOWR”;</w:t>
      </w:r>
    </w:p>
    <w:p w:rsidR="004F37B9" w:rsidRPr="00CA5A71" w:rsidRDefault="004F37B9" w:rsidP="009C7802">
      <w:pPr>
        <w:numPr>
          <w:ilvl w:val="0"/>
          <w:numId w:val="1"/>
        </w:numPr>
        <w:autoSpaceDE w:val="0"/>
        <w:autoSpaceDN w:val="0"/>
        <w:adjustRightInd w:val="0"/>
        <w:spacing w:before="120" w:line="360" w:lineRule="auto"/>
        <w:ind w:left="426" w:hanging="426"/>
        <w:jc w:val="both"/>
        <w:rPr>
          <w:lang w:eastAsia="en-US"/>
        </w:rPr>
      </w:pPr>
      <w:r w:rsidRPr="00CA5A71">
        <w:rPr>
          <w:lang w:eastAsia="en-US"/>
        </w:rPr>
        <w:t>utworzeniu jednej agencji płatniczej – ARiMR, która jako jedyna wykonywać będzie zadania agencji płatniczej Unii Europejskiej na obszarze Rzeczypospolitej Polskiej. Należy podkreślić, że projektowane rozwiązanie wpisuje się w treść art. 7 rozporządzenia Parlamentu Europejskiego i Rady (UE) nr 1306/2013 z 17 grudnia 2013 r. w sprawie finansowania wspólnej polityki rolnej, zarządzania nią i</w:t>
      </w:r>
      <w:r w:rsidR="009C7802">
        <w:rPr>
          <w:lang w:eastAsia="en-US"/>
        </w:rPr>
        <w:t> </w:t>
      </w:r>
      <w:r w:rsidRPr="00CA5A71">
        <w:rPr>
          <w:lang w:eastAsia="en-US"/>
        </w:rPr>
        <w:t>monitorowania jej oraz uchylające</w:t>
      </w:r>
      <w:r w:rsidR="000F679F">
        <w:rPr>
          <w:lang w:eastAsia="en-US"/>
        </w:rPr>
        <w:t>go</w:t>
      </w:r>
      <w:r w:rsidRPr="00CA5A71">
        <w:rPr>
          <w:lang w:eastAsia="en-US"/>
        </w:rPr>
        <w:t xml:space="preserve"> rozporządzenia Rady (EWG) nr 352/78, (WE) nr 165/94, (WE) nr 2799/98, (WE) nr 814/2000, (WE) nr 1290/2005 i (WE) nr</w:t>
      </w:r>
      <w:r w:rsidR="009C7802">
        <w:rPr>
          <w:lang w:eastAsia="en-US"/>
        </w:rPr>
        <w:t> </w:t>
      </w:r>
      <w:r w:rsidRPr="00CA5A71">
        <w:rPr>
          <w:lang w:eastAsia="en-US"/>
        </w:rPr>
        <w:t>485/2008, zgodnie z którym każde państwo członkowskie, uwzględniając swoje przepisy konstytucyjne, ogranicza liczbę akredytowanych agencji płatniczych do nie więcej niż jednej na poziomie krajowym lub, w przypadku gdy ma to zastosowanie, jednej na region. Zapewnić ma to w szczególności większą przejrzystość krajowych systemów kontroli oraz zmniejszenie obciążeń organizacyjnych związanych z administracją i audytem;</w:t>
      </w:r>
    </w:p>
    <w:p w:rsidR="004F37B9" w:rsidRPr="00CA5A71" w:rsidRDefault="004F37B9" w:rsidP="009C7802">
      <w:pPr>
        <w:numPr>
          <w:ilvl w:val="0"/>
          <w:numId w:val="1"/>
        </w:numPr>
        <w:autoSpaceDE w:val="0"/>
        <w:autoSpaceDN w:val="0"/>
        <w:adjustRightInd w:val="0"/>
        <w:spacing w:before="120" w:line="360" w:lineRule="auto"/>
        <w:ind w:left="426" w:hanging="426"/>
        <w:jc w:val="both"/>
        <w:rPr>
          <w:lang w:eastAsia="en-US"/>
        </w:rPr>
      </w:pPr>
      <w:r w:rsidRPr="00CA5A71">
        <w:rPr>
          <w:lang w:eastAsia="en-US"/>
        </w:rPr>
        <w:lastRenderedPageBreak/>
        <w:t>wykorzystaniu zasobów ARR i ANR, które ulegają zniesieniu, do zapewnienia funkcjonowania KOWR i realizacji nowych zadań przez ARiMR.</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Proponowana regulacja poprawia stan istniejący obecnie w obszarze agencji rolnych, prowadząc do racjonalizacji podziału zadań i optymalizacji ponoszonych na nie wydatków. Aby osiągnąć zakładane cele</w:t>
      </w:r>
      <w:r w:rsidR="000F679F">
        <w:rPr>
          <w:lang w:eastAsia="en-US"/>
        </w:rPr>
        <w:t>,</w:t>
      </w:r>
      <w:r w:rsidRPr="00CA5A71">
        <w:rPr>
          <w:lang w:eastAsia="en-US"/>
        </w:rPr>
        <w:t xml:space="preserve"> konieczne jest dokonanie zmian w wielu ustawach, które regulują zadania wykonywane obecnie przez ARiMR, ANR i ARR, w</w:t>
      </w:r>
      <w:r w:rsidR="009C7802">
        <w:rPr>
          <w:lang w:eastAsia="en-US"/>
        </w:rPr>
        <w:t> </w:t>
      </w:r>
      <w:r w:rsidRPr="00CA5A71">
        <w:rPr>
          <w:lang w:eastAsia="en-US"/>
        </w:rPr>
        <w:t>celu przyporządkowania określonych zadań odpowiednio do ARiMR albo do KOWR. Należy jednocześnie podkreślić, że skupienie zadań agencji płatniczej w</w:t>
      </w:r>
      <w:r w:rsidR="009C7802">
        <w:rPr>
          <w:lang w:eastAsia="en-US"/>
        </w:rPr>
        <w:t> </w:t>
      </w:r>
      <w:r w:rsidRPr="00CA5A71">
        <w:rPr>
          <w:lang w:eastAsia="en-US"/>
        </w:rPr>
        <w:t>jednym podmiocie, tj. w ARiMR</w:t>
      </w:r>
      <w:r w:rsidR="000F679F">
        <w:rPr>
          <w:lang w:eastAsia="en-US"/>
        </w:rPr>
        <w:t>,</w:t>
      </w:r>
      <w:r w:rsidRPr="00CA5A71">
        <w:rPr>
          <w:lang w:eastAsia="en-US"/>
        </w:rPr>
        <w:t xml:space="preserve"> nie eliminuje możliwości delegowania zadań agencji płatniczej innym podmiotom. Możliwość delegowania zadań agencji płatniczej wprost wynika z art. 7 ust. 1 akapit drugi rozporządzenia Parlamentu Europejskiego i</w:t>
      </w:r>
      <w:r w:rsidR="009C7802">
        <w:rPr>
          <w:lang w:eastAsia="en-US"/>
        </w:rPr>
        <w:t> </w:t>
      </w:r>
      <w:r w:rsidRPr="00CA5A71">
        <w:rPr>
          <w:lang w:eastAsia="en-US"/>
        </w:rPr>
        <w:t>Rady (UE) nr 1306/2013 z dnia 17 grudnia 2013</w:t>
      </w:r>
      <w:r w:rsidR="000F679F">
        <w:rPr>
          <w:lang w:eastAsia="en-US"/>
        </w:rPr>
        <w:t xml:space="preserve"> r.</w:t>
      </w:r>
      <w:r w:rsidRPr="00CA5A71">
        <w:rPr>
          <w:lang w:eastAsia="en-US"/>
        </w:rPr>
        <w:t xml:space="preserve"> </w:t>
      </w:r>
      <w:r w:rsidRPr="00CA5A71">
        <w:rPr>
          <w:bCs/>
          <w:lang w:eastAsia="en-US"/>
        </w:rPr>
        <w:t>w sprawie finansowania wspólnej polityki rolnej, zarządzania nią i monitorowania jej oraz uchylające</w:t>
      </w:r>
      <w:r w:rsidR="000F679F">
        <w:rPr>
          <w:bCs/>
          <w:lang w:eastAsia="en-US"/>
        </w:rPr>
        <w:t>go</w:t>
      </w:r>
      <w:r w:rsidRPr="00CA5A71">
        <w:rPr>
          <w:bCs/>
          <w:lang w:eastAsia="en-US"/>
        </w:rPr>
        <w:t xml:space="preserve"> rozporządzenia Rady (EWG) nr 352/78, (WE) nr 165/94, (WE) nr 2799/98, (WE) nr 814/2000, (WE) nr</w:t>
      </w:r>
      <w:r w:rsidR="009C7802">
        <w:rPr>
          <w:bCs/>
          <w:lang w:eastAsia="en-US"/>
        </w:rPr>
        <w:t> </w:t>
      </w:r>
      <w:r w:rsidRPr="00CA5A71">
        <w:rPr>
          <w:bCs/>
          <w:lang w:eastAsia="en-US"/>
        </w:rPr>
        <w:t>1290/2005 i (WE) nr 485/2008</w:t>
      </w:r>
      <w:r w:rsidRPr="00CA5A71">
        <w:rPr>
          <w:lang w:eastAsia="en-US"/>
        </w:rPr>
        <w:t>. Planuje się, że niektóre zadania agencji płatniczej będą delegowane KOWR, m.in. w zakresie dotychczas wykonywanych przez ARR zadań dotyczących działania „Systemy jakości produktów rolnych i środków spożywczych” objętego Programem Rozwoju Obszarów Wiejskich na lata 2014–2020.</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Ponadto konieczne jest wprowadzenie sz</w:t>
      </w:r>
      <w:r w:rsidR="00883EB0">
        <w:rPr>
          <w:lang w:eastAsia="en-US"/>
        </w:rPr>
        <w:t>eregu regulacji przejściowych i </w:t>
      </w:r>
      <w:r w:rsidRPr="00CA5A71">
        <w:rPr>
          <w:lang w:eastAsia="en-US"/>
        </w:rPr>
        <w:t>dostosowujących, które oprócz procesu utworzenia KOWR</w:t>
      </w:r>
      <w:r w:rsidR="00883EB0">
        <w:rPr>
          <w:lang w:eastAsia="en-US"/>
        </w:rPr>
        <w:t xml:space="preserve"> będą regulować w </w:t>
      </w:r>
      <w:r w:rsidRPr="00CA5A71">
        <w:rPr>
          <w:lang w:eastAsia="en-US"/>
        </w:rPr>
        <w:t xml:space="preserve">szczególności skutki proponowanych zmian w zakresie dotyczącym pracowników tych agencji, praw i obowiązków tych agencji, w tym ich mienia, postępowań administracyjnych prowadzonych przez organy funkcjonujące w strukturze tych agencji oraz postępowań sądowych, sądowo-administracyjnych i egzekucyjnych, w których stroną lub uczestnikiem są te agencje albo organy funkcjonujące w ich strukturach. </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 xml:space="preserve">Za procesy wynikające ze zniesienia ARR i ANR oraz utworzenia KOWR odpowiedzialny będzie Pełnomocnik powołany przez ministra właściwego do spraw rozwoju wsi. W zarządzeniu powołującym pełnomocnika minister właściwy do spraw rozwoju wsi określi także szczegółowo zakres jego zadań oraz wskaże środki niezbędne do ich realizacji. Zadanie polegające na przeniesieniu części zadań znoszonej ARR do ARiMR powierzone zostanie w ustawie Prezesowi ARiMR. W ramach tego zadania </w:t>
      </w:r>
      <w:r w:rsidRPr="00CA5A71">
        <w:rPr>
          <w:lang w:eastAsia="en-US"/>
        </w:rPr>
        <w:lastRenderedPageBreak/>
        <w:t xml:space="preserve">Prezes ARiMR dokona niezbędnych czynności organizacyjnych i prawnych zmierzających do jego realizacji. </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Zmiany wprowadzone niniejszą ustawą będą dotyczyły 43 ustaw. Zmiany wprowadzone do ustaw regulujących zadania poszczególnych agencji polegają przede wszystkim na rozdzieleniu dotychczasowych zadań i kompetencji znoszonych agencji na nowo</w:t>
      </w:r>
      <w:r w:rsidR="000F679F">
        <w:rPr>
          <w:lang w:eastAsia="en-US"/>
        </w:rPr>
        <w:t xml:space="preserve"> </w:t>
      </w:r>
      <w:r w:rsidRPr="00CA5A71">
        <w:rPr>
          <w:lang w:eastAsia="en-US"/>
        </w:rPr>
        <w:t>tworzony KOWR oraz w szczególności w zakresie zadań płatniczych WPR na ARiMR. Co do zasady propozycje rozwiązań prawnych nie modyfikują aktualnego trybu postępowania organów w</w:t>
      </w:r>
      <w:r w:rsidR="009C7802">
        <w:rPr>
          <w:lang w:eastAsia="en-US"/>
        </w:rPr>
        <w:t xml:space="preserve"> </w:t>
      </w:r>
      <w:r w:rsidRPr="00CA5A71">
        <w:rPr>
          <w:lang w:eastAsia="en-US"/>
        </w:rPr>
        <w:t>zakresie realizowanych przez nie zadań, z tym jednak zastrzeżeniem, że dostosowują ten tryb do struktur organizacyjnych jednostek, które przejmą ich realizację.</w:t>
      </w:r>
    </w:p>
    <w:p w:rsidR="004F37B9" w:rsidRPr="00CA5A71" w:rsidRDefault="004F37B9" w:rsidP="009C7802">
      <w:pPr>
        <w:spacing w:before="120" w:line="360" w:lineRule="auto"/>
        <w:jc w:val="both"/>
        <w:rPr>
          <w:lang w:eastAsia="en-US"/>
        </w:rPr>
      </w:pPr>
      <w:r w:rsidRPr="00CA5A71">
        <w:rPr>
          <w:lang w:eastAsia="en-US"/>
        </w:rPr>
        <w:t>Zmiany będą dotyczyły następujących ustaw:</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26 marca 1982 r. o scalaniu i wymianie gruntów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6 lipca 1982 r. o księgach wieczystych i hipotece</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15 listopada 1984 r. o podatku rolnym</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20 grudnia 1990 r. o ubezpieczeniu społecznym rolników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12 stycznia 1991 r. o podatkach i opłatach lokalnych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28 września 1991 r. o lasach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19 października 1991 r. o gospodarowaniu nieruchomościami rolnymi Skarbu Państwa</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15 lutego 1992 r. o podatku dochodowym od osób prawnych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3 lutego 1993 r. o restrukturyzacji finansowej przedsiębiorstw i banków oraz o</w:t>
      </w:r>
      <w:r w:rsidR="009C7802">
        <w:rPr>
          <w:lang w:eastAsia="en-US"/>
        </w:rPr>
        <w:t xml:space="preserve"> </w:t>
      </w:r>
      <w:r w:rsidRPr="00CA5A71">
        <w:rPr>
          <w:lang w:eastAsia="en-US"/>
        </w:rPr>
        <w:t>zmianie niektórych ustaw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22 czerwca 1995 r. o zakwaterowaniu Sił Zbrojnych Rzeczypospolitej Polskiej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21 sierpnia 1997 r. o gospodarce nieruchomościami</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4 września 1997 r. o działach administracji rządowej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15 września 2000 r. o grupach producentów rolnych i ich związkach oraz o</w:t>
      </w:r>
      <w:r w:rsidR="009C7802">
        <w:rPr>
          <w:lang w:eastAsia="en-US"/>
        </w:rPr>
        <w:t> </w:t>
      </w:r>
      <w:r w:rsidRPr="00CA5A71">
        <w:rPr>
          <w:lang w:eastAsia="en-US"/>
        </w:rPr>
        <w:t>zmianie innych ustaw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21 grudnia 2000 r. o jakości handlowej artykułów rolno-spożywczych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30 października 2002 r. o podatku leśnym</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11 kwietnia 2003 r. o kształtowaniu ustroju rolnego</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28 listopada 2003 r. o świadczeniach rodzinnych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lastRenderedPageBreak/>
        <w:t>z dnia 28 listopada 2003 r. o wspieraniu rozwoju obszarów wiejskich ze środków pochodzących z Sekcji Gwarancji Europejskiego Funduszu Orientacji i Gwarancji Rolnej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18 grudnia 2003 r. o krajowym systemie ewidencji producentów, ewidencji gospodarstw rolnych oraz ewidencji wniosków o przyznanie płatności</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19 grudnia 2003 r. o organizacji rynków owoców i warzyw oraz rynku chmielu</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11 marca 2004 r. o Agencji Rynku Rolnego i organizacji niektórych rynków rolnych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12 marca 2004 r. o pomocy społecznej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16 kwietnia 2004 r. o administrowaniu obrotem towarowym z zagranicą</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20 kwietnia 2004 r. o organizacji rynku mleka i przetworów mlecznych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22 października 2004 r. o jednostkach doradztwa rolniczego</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8 lipca 2005 r. o realizacji prawa do rekompensaty z tytułu pozostawienia nieruchomości poza obecnymi granicami Rzeczypospolitej Polskiej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25 sierpnia 2006 r. o biokomponentach i biopaliwach ciekłych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25 sierpnia 2006 r. o systemie monitorowania i kontrolowania jakości paliw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22 września 2006 r. o uruchamianiu środków pochodzących z budżetu Unii Europejskiej przeznaczonych na finansowanie wspólnej polityki rolnej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16 listopada 2006 r. o opłacie skarbowej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7 marca 2007 r. o wspieraniu rozwoju obszarów wiejskich z udziałem środków Europejskiego Funduszu Rolnego na rzecz Rozwoju Obszarów Wiejskich w ramach Programu Rozwoju Obszarów Wiejskich na lata 2007–2013</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7 września 2007 r. o pomocy osobom uprawnionym do alimentów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9 maja 2008 r. o Agencji Restrukturyzacji i Modernizacji Rolnictwa</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22 maja 2009 r. o funduszach promocji produktów rolno-spożywczych</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30 kwietnia 2010 r. o Polskiej Akademii Nauk</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12 maja 2011 r. o wyrobie i rozlewie wyrobów winiarskich, obrocie tymi wyrobami i organizacji rynku wina</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5 lutego 2015 r. o płatnościach w ramach systemów wsparcia bezpośredniego</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lastRenderedPageBreak/>
        <w:t xml:space="preserve">z dnia 20 lutego 2015 r. o wspieraniu rozwoju obszarów wiejskich z udziałem środków Europejskiego Funduszu Rolnego na rzecz Rozwoju Obszarów Wiejskich w ramach Programu Rozwoju </w:t>
      </w:r>
      <w:r w:rsidR="003206BA">
        <w:rPr>
          <w:lang w:eastAsia="en-US"/>
        </w:rPr>
        <w:t>Obszarów Wiejskich na lata 2014–</w:t>
      </w:r>
      <w:r w:rsidRPr="00CA5A71">
        <w:rPr>
          <w:lang w:eastAsia="en-US"/>
        </w:rPr>
        <w:t>2020</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20 lutego 2015 r. o odnawialnych źródłach energii</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27 maja 2015 r. o finansowaniu wspólnej polityki rolnej</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11 lutego 2016 r. o pomocy państwa w wychowywaniu dzieci</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14 kwietnia 2016 r. o wstrzymaniu sprzedaży nieruchomości Zasobu Własności Rolnej Skarbu Państwa oraz o zmianie niektórych ustaw</w:t>
      </w:r>
      <w:r w:rsidR="000F679F">
        <w:rPr>
          <w:lang w:eastAsia="en-US"/>
        </w:rPr>
        <w:t>;</w:t>
      </w:r>
    </w:p>
    <w:p w:rsidR="004F37B9" w:rsidRPr="00CA5A71" w:rsidRDefault="004F37B9" w:rsidP="009C7802">
      <w:pPr>
        <w:numPr>
          <w:ilvl w:val="0"/>
          <w:numId w:val="2"/>
        </w:numPr>
        <w:autoSpaceDE w:val="0"/>
        <w:autoSpaceDN w:val="0"/>
        <w:adjustRightInd w:val="0"/>
        <w:spacing w:line="360" w:lineRule="auto"/>
        <w:ind w:left="425" w:hanging="425"/>
        <w:jc w:val="both"/>
        <w:rPr>
          <w:lang w:eastAsia="en-US"/>
        </w:rPr>
      </w:pPr>
      <w:r w:rsidRPr="00CA5A71">
        <w:rPr>
          <w:lang w:eastAsia="en-US"/>
        </w:rPr>
        <w:t>z dnia 16 grudnia 2016 r. o zasadach zarządzania mieniem państwowym.</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Zmiany wprowadzane w przywołanych ustawach dostosowują poszczególne przepisy odnoszące się obecnie do ANR i ARR oraz organów funkcjonujących w ramach tych osób prawnych poprzez odpowiednie określenie podmiotu (ARiMR lub KOWR) lub jego organów. Przewiduje się również, że akty wykonawcze wydane na podstawie zmienianych ustaw zachowają moc. Ponadto w istotnej części projektowane zmiany dotyczą</w:t>
      </w:r>
      <w:r w:rsidR="009C7802">
        <w:rPr>
          <w:lang w:eastAsia="en-US"/>
        </w:rPr>
        <w:t xml:space="preserve"> </w:t>
      </w:r>
      <w:r w:rsidRPr="00CA5A71">
        <w:rPr>
          <w:lang w:eastAsia="en-US"/>
        </w:rPr>
        <w:t xml:space="preserve">ustawy z dnia 9 maja 2008 r. o Agencji Restrukturyzacji i Modernizacji Rolnictwa poprzez dodanie w art. 6 katalogu zadań, które dotychczas były realizowane przez ARR, a które to zadania z dniem wejścia w życie ustawy staną się zadaniami agencji płatniczej. W projekcie określono również, które z przejętych zadań realizowanych przez agencję płatniczą będą realizowane jako zadania delegowane przez KOWR. </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Ustawa z dnia 11 marca 2004 r. o Agencji Rynku Rolnego i organizacji niektórych rynków rolnych zawierała przepisy mające zastosowanie do wykonywanych przez ARR zadań, które to przepisy w istotnej części znajdowały swoje odzwierciedlenie w</w:t>
      </w:r>
      <w:r w:rsidR="009C7802">
        <w:rPr>
          <w:lang w:eastAsia="en-US"/>
        </w:rPr>
        <w:t> </w:t>
      </w:r>
      <w:r w:rsidRPr="00CA5A71">
        <w:rPr>
          <w:lang w:eastAsia="en-US"/>
        </w:rPr>
        <w:t>obowiązującej ustawie o</w:t>
      </w:r>
      <w:r w:rsidR="009C7802">
        <w:rPr>
          <w:lang w:eastAsia="en-US"/>
        </w:rPr>
        <w:t xml:space="preserve"> </w:t>
      </w:r>
      <w:r w:rsidRPr="00CA5A71">
        <w:rPr>
          <w:lang w:eastAsia="en-US"/>
        </w:rPr>
        <w:t>ARiMR. W związku z tym w ustawie z dnia 9 maja 2008 r. o Agencji Restrukturyzacji i Modernizacji Rolnictwa wprowadzono zmiany poprzez dodanie odpowiednich przepisów dotyczących: wyłączenia stosowania niektórych przepisów Kodeksu postępowania administracyjnego w sprawach będących dotychczas we właściwości organów funkcjonujących w strukturze ARR, stworzenia podstaw prawnych dochodzenia należności z tytułu nienależnie zwolnionych zabezpieczeń w</w:t>
      </w:r>
      <w:r w:rsidR="009C7802">
        <w:rPr>
          <w:lang w:eastAsia="en-US"/>
        </w:rPr>
        <w:t> </w:t>
      </w:r>
      <w:r w:rsidRPr="00CA5A71">
        <w:rPr>
          <w:lang w:eastAsia="en-US"/>
        </w:rPr>
        <w:t xml:space="preserve">mechanizmach handlu zagranicznego oraz z tytułu kar administracyjnych, jak również z tytułu kwoty nieuiszczonych należności z tytułu opłat. W odniesieniu do wyłączenia stosowania niektórych przepisów Kodeksu postępowania administracyjnego należy wskazać, że analogiczną regulację przewiduje obecnie art. 7 ustawy z dnia </w:t>
      </w:r>
      <w:r w:rsidRPr="00CA5A71">
        <w:rPr>
          <w:lang w:eastAsia="en-US"/>
        </w:rPr>
        <w:lastRenderedPageBreak/>
        <w:t>11</w:t>
      </w:r>
      <w:r w:rsidR="009C7802">
        <w:rPr>
          <w:lang w:eastAsia="en-US"/>
        </w:rPr>
        <w:t> </w:t>
      </w:r>
      <w:r w:rsidRPr="00CA5A71">
        <w:rPr>
          <w:lang w:eastAsia="en-US"/>
        </w:rPr>
        <w:t>marca 2004 r. o Agencji Rynku Rolnego i organizacji niektórych rynków rolnych. Wobec planowanego zniesienia AR</w:t>
      </w:r>
      <w:r w:rsidR="00502CA9">
        <w:rPr>
          <w:lang w:eastAsia="en-US"/>
        </w:rPr>
        <w:t>R i </w:t>
      </w:r>
      <w:r w:rsidRPr="00CA5A71">
        <w:rPr>
          <w:lang w:eastAsia="en-US"/>
        </w:rPr>
        <w:t xml:space="preserve">przejęcia części jej zadań przez ARiMR zaproponowano, aby przepis wzorowany na art. 7 powyższej ustawy został wprowadzony w ustawie z dnia 9 maja 2008 </w:t>
      </w:r>
      <w:r w:rsidR="00502CA9">
        <w:rPr>
          <w:lang w:eastAsia="en-US"/>
        </w:rPr>
        <w:t>r. o Agencji Restrukturyzacji i </w:t>
      </w:r>
      <w:r w:rsidRPr="00CA5A71">
        <w:rPr>
          <w:lang w:eastAsia="en-US"/>
        </w:rPr>
        <w:t>Modernizacji Rolnictwa jako jej art. 10a. Właściwe jest bowiem, aby przejęte przez ARiMR zadania, które dotychczas wykonywała ARR, były wykonywane na takich samych zasadach jak obecnie. Ułatwi to proces uzyskiwania akredytacji przez ARiMR w odniesieniu do zadań agencji płatniczej realizowanych dotychczas przez ARR. Dotychczasowe procedury i tryb postępowania przez ARR przy realizacji tych zadań były bowiem przedmiotem badania akredytacyjnego poprzedzającego przyznanie akredytacji ARR jako agencji płatniczej. Wykonywanie tych zadań zgodnie z tymi procedurami i trybem przez ARiMR niewątpliwie przyczyni się do ułatwienia procesu przyznawania akredytacji ARiMR jako agencji płatniczej. Ponadto ten tryb postępowania jest znany podmiotom uczestniczącym w mechanizmach dotychczas administrowanych przez ARR, a zatem zmiana organizacyjna będąca wynikiem projektowanych przepisów nie będzie w tym zakresie generować negatywnych skutków dla tych podmiotów. Z tych samych względów, a więc aby ułatwić proces przyznawania akredytacji ARiMR jako agencji płatniczej oraz ograniczyć zaskoczenie podmiotów uczestniczących w mechanizmach administrowanych dotychczas przez ARR, zaproponowano, aby jednocześnie z przejęciem przez ARiMR zadań realizowanych dotychczas przez ARR, część tych zadań ARiMR, jako jedyna agencja płatnicza, delegowała KOWR. W odniesieniu do tych zadań konieczne jest stosowanie tych samych reguł dotyczących trybu postępowania, czemu daje wyraz art. 10b ustawy z</w:t>
      </w:r>
      <w:r w:rsidR="009C7802">
        <w:rPr>
          <w:lang w:eastAsia="en-US"/>
        </w:rPr>
        <w:t> </w:t>
      </w:r>
      <w:r w:rsidRPr="00CA5A71">
        <w:rPr>
          <w:lang w:eastAsia="en-US"/>
        </w:rPr>
        <w:t xml:space="preserve">dnia 9 maja 2008 r. o Agencji Restrukturyzacji i Modernizacji Rolnictwa dodawany projektowaną ustawą. </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Ponadto z uwagi na to, że w zakresie dotychczas obsługiwanych zadań przez ARiMR odpowiednie podstawy prawne dotyczące przeprowadzania kontroli zostały określone w</w:t>
      </w:r>
      <w:r w:rsidR="009C7802">
        <w:rPr>
          <w:lang w:eastAsia="en-US"/>
        </w:rPr>
        <w:t> </w:t>
      </w:r>
      <w:r w:rsidRPr="00CA5A71">
        <w:rPr>
          <w:lang w:eastAsia="en-US"/>
        </w:rPr>
        <w:t>ustawach szczegółowych, również w odniesieniu do zadań przejmowanych od ARR proponuje się, aby regulacje dotyczące kontroli znalazły się w poszczególnych ustawach szczegółowych. Wobec tego proponuje się, aby przepisy określające reguły przeprowadzania kontroli pozostawić w zmienianej ustawie z dnia 11 marca 2004 r. o</w:t>
      </w:r>
      <w:r w:rsidR="009C7802">
        <w:rPr>
          <w:lang w:eastAsia="en-US"/>
        </w:rPr>
        <w:t> </w:t>
      </w:r>
      <w:r w:rsidRPr="00CA5A71">
        <w:rPr>
          <w:lang w:eastAsia="en-US"/>
        </w:rPr>
        <w:t xml:space="preserve">Agencji Rynku Rolnego i organizacji niektórych rynków rolnych (tytuł tej ustawy po zmianie otrzyma brzmienie „o organizacji niektórych rynków rolnych”), zaś w innych </w:t>
      </w:r>
      <w:r w:rsidRPr="00CA5A71">
        <w:rPr>
          <w:lang w:eastAsia="en-US"/>
        </w:rPr>
        <w:lastRenderedPageBreak/>
        <w:t>ustawach dotyczących przejmowanych zadań ARR wprowadzić odesłanie do odpowiedniego stosowania tych przepisów do kontroli przewidzianych w tych ustawach. Natomiast w zakresie zadań, które ma wykonywać KOWR jako zadania delegowane przez ARiMR, przepisy określające reguły przeprowadzania kontroli zostały zaproponowane w projekcie ustawy o Krajowym Ośrodku Wsparcia Rolnictwa.</w:t>
      </w:r>
    </w:p>
    <w:p w:rsidR="004F37B9" w:rsidRPr="00CA5A71" w:rsidRDefault="004F37B9" w:rsidP="009C7802">
      <w:pPr>
        <w:autoSpaceDE w:val="0"/>
        <w:autoSpaceDN w:val="0"/>
        <w:adjustRightInd w:val="0"/>
        <w:spacing w:before="120" w:line="360" w:lineRule="auto"/>
        <w:jc w:val="both"/>
      </w:pPr>
      <w:r w:rsidRPr="00CA5A71">
        <w:rPr>
          <w:lang w:eastAsia="en-US"/>
        </w:rPr>
        <w:t>W zmienianej ustawie z dnia 9 maja 2008 r. o Agencji Restrukturyzacji i Modernizacji Rolnictwa proponuje się wprowadzić również rozwiązanie, które będzie spójne z</w:t>
      </w:r>
      <w:r w:rsidR="009C7802">
        <w:rPr>
          <w:lang w:eastAsia="en-US"/>
        </w:rPr>
        <w:t> </w:t>
      </w:r>
      <w:r w:rsidRPr="00CA5A71">
        <w:rPr>
          <w:lang w:eastAsia="en-US"/>
        </w:rPr>
        <w:t>rozwiązaniem zaproponowanym w projekcie ustawy o Krajowym Ośrodku Wsparcia Rolnictwa, a dotyczące określenia</w:t>
      </w:r>
      <w:r w:rsidR="000F679F">
        <w:rPr>
          <w:lang w:eastAsia="en-US"/>
        </w:rPr>
        <w:t>,</w:t>
      </w:r>
      <w:r w:rsidRPr="00CA5A71">
        <w:rPr>
          <w:lang w:eastAsia="en-US"/>
        </w:rPr>
        <w:t xml:space="preserve"> kto wykonuje czynności z zakresu prawa pracy wobec Prezesa ARiMR. </w:t>
      </w:r>
      <w:r w:rsidRPr="00CA5A71">
        <w:rPr>
          <w:bCs/>
          <w:lang w:eastAsia="en-US"/>
        </w:rPr>
        <w:t>Co do zasady czynności z zakresu prawa pracy w odniesieniu do Prezesa ARiMR wykonywał będzie minister właściwy do spraw rozwoju wsi. Obecnie pojawiają się bowiem wątpliwości co do tego</w:t>
      </w:r>
      <w:r w:rsidR="000F679F">
        <w:rPr>
          <w:bCs/>
          <w:lang w:eastAsia="en-US"/>
        </w:rPr>
        <w:t>,</w:t>
      </w:r>
      <w:r w:rsidRPr="00CA5A71">
        <w:rPr>
          <w:bCs/>
          <w:lang w:eastAsia="en-US"/>
        </w:rPr>
        <w:t xml:space="preserve"> kto wykonuje czynności z</w:t>
      </w:r>
      <w:r w:rsidR="009C7802">
        <w:rPr>
          <w:bCs/>
          <w:lang w:eastAsia="en-US"/>
        </w:rPr>
        <w:t> </w:t>
      </w:r>
      <w:r w:rsidRPr="00CA5A71">
        <w:rPr>
          <w:bCs/>
          <w:lang w:eastAsia="en-US"/>
        </w:rPr>
        <w:t xml:space="preserve">zakresu prawa pracy w odniesieniu do Prezesa ARiMR. Prezes ARiMR jest bowiem powoływany przez Prezesa Rady Ministrów, który ponadto ustala wysokość jego wynagrodzenia </w:t>
      </w:r>
      <w:r w:rsidRPr="00CA5A71">
        <w:t>na zasadzie wyjątku od przepisów</w:t>
      </w:r>
      <w:r w:rsidR="009C7802">
        <w:t xml:space="preserve"> </w:t>
      </w:r>
      <w:r w:rsidRPr="00CA5A71">
        <w:t>ustawy z dnia 3 marca 2000 r. o</w:t>
      </w:r>
      <w:r w:rsidR="009C7802">
        <w:t> </w:t>
      </w:r>
      <w:r w:rsidRPr="00CA5A71">
        <w:t>wynagradzaniu osób kierujących niektórymi podmiotami prawnymi. Należy bowiem wskazać, że zgodnie z art. 6 ust. 1 tej ustawy</w:t>
      </w:r>
      <w:r w:rsidR="009C7802">
        <w:t xml:space="preserve"> </w:t>
      </w:r>
      <w:r w:rsidRPr="00CA5A71">
        <w:t>„organem właściwym do ustalania wynagrodzenia miesięcznego osób, o których mowa w art. 2 pkt 1, 5 i 7, w podmiotach wymienionych w art. 1 pkt</w:t>
      </w:r>
      <w:r w:rsidR="009C7802">
        <w:t xml:space="preserve"> </w:t>
      </w:r>
      <w:r w:rsidR="003206BA">
        <w:t>1–</w:t>
      </w:r>
      <w:r w:rsidRPr="00CA5A71">
        <w:t>3,</w:t>
      </w:r>
      <w:r w:rsidR="009C7802">
        <w:t xml:space="preserve"> </w:t>
      </w:r>
      <w:r w:rsidR="003206BA">
        <w:t>8–</w:t>
      </w:r>
      <w:r w:rsidRPr="00CA5A71">
        <w:t>10 i 12, oraz osób, o których mowa w art. 2 pkt 10, jest organ założycielski lub organ właściwy do reprezentowania Skarbu Państwa lub jednostki samorządu terytorialnego w podmiocie albo organ, który utworzył lub nadzoruje dany podmiot</w:t>
      </w:r>
      <w:r w:rsidR="009C7802">
        <w:t xml:space="preserve"> </w:t>
      </w:r>
      <w:r w:rsidRPr="00CA5A71">
        <w:t>albo któremu podlega podmiot wymieniony w art. 1 pkt</w:t>
      </w:r>
      <w:r w:rsidR="009C7802">
        <w:t xml:space="preserve"> 1–3, 8–</w:t>
      </w:r>
      <w:r w:rsidRPr="00CA5A71">
        <w:t>10 i 12, lub osoba, o której mowa w art. 2 pkt 10.”. Zgodnie zaś z art. 6 ust. 3 tej ustawy „Przepisu ust. 1 nie stosuje się, gdy odrębne przepisy upoważniają Prezesa Rady Ministrów do ustalenia wynagrodzenia miesięcznego.”. Taki wyjątek został wprowadzony w art. 21 ust. 6 obowiązującej usta</w:t>
      </w:r>
      <w:r w:rsidR="00502CA9">
        <w:t>wy o Agencji Restrukturyzacji i </w:t>
      </w:r>
      <w:r w:rsidRPr="00CA5A71">
        <w:t>Modernizacji Rolnictwa. Jednocześnie należy wskazać, że nie jest wprost rozstrzygnięte w przepisach</w:t>
      </w:r>
      <w:r w:rsidR="000F679F">
        <w:t>,</w:t>
      </w:r>
      <w:r w:rsidRPr="00CA5A71">
        <w:t xml:space="preserve"> kto wykonuje inne czynności z</w:t>
      </w:r>
      <w:r w:rsidR="009C7802">
        <w:t> </w:t>
      </w:r>
      <w:r w:rsidRPr="00CA5A71">
        <w:t>zakresu prawa pracy wobec Prezesa ARiMR. Dlatego proponuje się, aby te czynności co do zasady wykonywał minister właściwy do spraw rozwoju wsi.</w:t>
      </w:r>
    </w:p>
    <w:p w:rsidR="004F37B9" w:rsidRPr="00CA5A71" w:rsidRDefault="004F37B9" w:rsidP="009C7802">
      <w:pPr>
        <w:autoSpaceDE w:val="0"/>
        <w:autoSpaceDN w:val="0"/>
        <w:adjustRightInd w:val="0"/>
        <w:spacing w:before="120" w:line="360" w:lineRule="auto"/>
        <w:jc w:val="both"/>
        <w:rPr>
          <w:lang w:eastAsia="en-US"/>
        </w:rPr>
      </w:pPr>
      <w:r w:rsidRPr="00CA5A71">
        <w:rPr>
          <w:lang w:eastAsia="en-US"/>
        </w:rPr>
        <w:t xml:space="preserve">W związku ze zniesieniem ARR na podstawie przepisów ustawy, koniecznym było uchylenie w ustawie z dnia 11 marca 2004 r. o Agencji Rynku Rolnego i organizacji niektórych rynków rolnych przepisów dotyczących ustroju i zasad funkcjonowania </w:t>
      </w:r>
      <w:r w:rsidRPr="00CA5A71">
        <w:rPr>
          <w:lang w:eastAsia="en-US"/>
        </w:rPr>
        <w:lastRenderedPageBreak/>
        <w:t>ARR oraz Centralnego Rejestru Przedsiębiorców, zmiany tytułu ustawy oraz jej zakresu przedmiotowego, który po uchyleniu większości przepisów rozdziału dotyczącego funkcjonowania ARR oraz rozdziału regulującego Centralny Rejestr Przedsiębiorców dotyczy m.in. reguł przeprowadzania kontroli, o czym wspomniano wyżej, regulacji rynku zbóż, cukru, mięsa, określenia zasad uznawania organizacji producentów i</w:t>
      </w:r>
      <w:r w:rsidR="009C7802">
        <w:rPr>
          <w:lang w:eastAsia="en-US"/>
        </w:rPr>
        <w:t> </w:t>
      </w:r>
      <w:r w:rsidRPr="00CA5A71">
        <w:rPr>
          <w:lang w:eastAsia="en-US"/>
        </w:rPr>
        <w:t>zrzeszeń organizacji producentów oraz organizacji międzybranżowych funkcjonujących na rynkach rolnych innych niż rynki mleka i przetworów mlecznych oraz owoców i warzyw, udzielania dopłat z tytułu zużytego do siewu lub sadzenia materiału siewnego kategorii elitarny lub kwalifikowany. W celu zapewnienia lepszej dostępności usług dla rolników i poprawy efektywności obsługi składanych wniosków zadanie polegające na przyjmowaniu i</w:t>
      </w:r>
      <w:r w:rsidR="009C7802">
        <w:rPr>
          <w:lang w:eastAsia="en-US"/>
        </w:rPr>
        <w:t xml:space="preserve"> </w:t>
      </w:r>
      <w:r w:rsidRPr="00CA5A71">
        <w:rPr>
          <w:lang w:eastAsia="en-US"/>
        </w:rPr>
        <w:t xml:space="preserve">rozpatrywaniu </w:t>
      </w:r>
      <w:r w:rsidRPr="00CA5A71">
        <w:rPr>
          <w:iCs/>
          <w:lang w:eastAsia="en-US"/>
        </w:rPr>
        <w:t>wniosków o przyznanie dopłaty z</w:t>
      </w:r>
      <w:r w:rsidR="009C7802">
        <w:rPr>
          <w:iCs/>
          <w:lang w:eastAsia="en-US"/>
        </w:rPr>
        <w:t> </w:t>
      </w:r>
      <w:r w:rsidRPr="00CA5A71">
        <w:rPr>
          <w:iCs/>
          <w:lang w:eastAsia="en-US"/>
        </w:rPr>
        <w:t xml:space="preserve">tytułu zużytego do siewu lub sadzenia materiału siewnego kategorii elitarny lub kwalifikowany mającej charakter pomocy </w:t>
      </w:r>
      <w:r w:rsidRPr="00CA5A71">
        <w:rPr>
          <w:i/>
          <w:iCs/>
          <w:lang w:eastAsia="en-US"/>
        </w:rPr>
        <w:t>de minimis</w:t>
      </w:r>
      <w:r w:rsidRPr="00CA5A71">
        <w:rPr>
          <w:iCs/>
          <w:lang w:eastAsia="en-US"/>
        </w:rPr>
        <w:t xml:space="preserve"> w rolnictwie </w:t>
      </w:r>
      <w:r w:rsidRPr="00CA5A71">
        <w:rPr>
          <w:lang w:eastAsia="en-US"/>
        </w:rPr>
        <w:t>realizowane będzie przez kierowników biur powiatowych ARiMR, jako organ pierwszej instancji.</w:t>
      </w:r>
    </w:p>
    <w:p w:rsidR="004F37B9" w:rsidRPr="00CA5A71" w:rsidRDefault="004F37B9" w:rsidP="009C7802">
      <w:pPr>
        <w:spacing w:before="120" w:line="360" w:lineRule="auto"/>
        <w:jc w:val="both"/>
        <w:rPr>
          <w:lang w:eastAsia="en-US"/>
        </w:rPr>
      </w:pPr>
      <w:r w:rsidRPr="00CA5A71">
        <w:rPr>
          <w:lang w:eastAsia="en-US"/>
        </w:rPr>
        <w:t>W związku ze zniesieniem ARR, istotne zmiany dotyczyły ustawy z dnia 18 grudnia 2003 r. o</w:t>
      </w:r>
      <w:r w:rsidR="009C7802">
        <w:rPr>
          <w:lang w:eastAsia="en-US"/>
        </w:rPr>
        <w:t xml:space="preserve"> </w:t>
      </w:r>
      <w:r w:rsidRPr="00CA5A71">
        <w:rPr>
          <w:lang w:eastAsia="en-US"/>
        </w:rPr>
        <w:t>krajowym systemie ewidencji producentów, ewidencji gospodarstw rolnych oraz ewidencji wniosków o przyznanie płatności. Projekt przewiduje ograniczenie liczby rejestrów prowadzonych przez instytucje publiczne w celu identyfikacji podmiotów ubiegających się o</w:t>
      </w:r>
      <w:r w:rsidR="009C7802">
        <w:rPr>
          <w:lang w:eastAsia="en-US"/>
        </w:rPr>
        <w:t xml:space="preserve"> </w:t>
      </w:r>
      <w:r w:rsidRPr="00CA5A71">
        <w:rPr>
          <w:lang w:eastAsia="en-US"/>
        </w:rPr>
        <w:t xml:space="preserve">płatności z funduszy w ramach </w:t>
      </w:r>
      <w:r w:rsidR="00502CA9">
        <w:rPr>
          <w:lang w:eastAsia="en-US"/>
        </w:rPr>
        <w:t>W</w:t>
      </w:r>
      <w:r w:rsidRPr="00CA5A71">
        <w:rPr>
          <w:lang w:eastAsia="en-US"/>
        </w:rPr>
        <w:t xml:space="preserve">spólnej </w:t>
      </w:r>
      <w:r w:rsidR="00502CA9">
        <w:rPr>
          <w:lang w:eastAsia="en-US"/>
        </w:rPr>
        <w:t>P</w:t>
      </w:r>
      <w:r w:rsidRPr="00CA5A71">
        <w:rPr>
          <w:lang w:eastAsia="en-US"/>
        </w:rPr>
        <w:t xml:space="preserve">olityki </w:t>
      </w:r>
      <w:r w:rsidR="00502CA9">
        <w:rPr>
          <w:lang w:eastAsia="en-US"/>
        </w:rPr>
        <w:t>R</w:t>
      </w:r>
      <w:r w:rsidRPr="00CA5A71">
        <w:rPr>
          <w:lang w:eastAsia="en-US"/>
        </w:rPr>
        <w:t>olnej Unii Europejskiej. Obecnie ARiMR prowadzi w tym celu Krajowy system ewidencji producentów, ewidencji gospodarstw rolnych oraz ewidencji wniosków o przyznanie płatności, a ARR utrzymuje Centralny Rejestr Przedsiębiorców. Równocześnie liczba podmiotów w rejestrze ARR, które są jednocześnie podmiotami zarejestrowanymi w</w:t>
      </w:r>
      <w:r w:rsidR="009C7802">
        <w:rPr>
          <w:lang w:eastAsia="en-US"/>
        </w:rPr>
        <w:t> </w:t>
      </w:r>
      <w:r w:rsidRPr="00CA5A71">
        <w:rPr>
          <w:lang w:eastAsia="en-US"/>
        </w:rPr>
        <w:t>ARiMR</w:t>
      </w:r>
      <w:r w:rsidR="000F679F">
        <w:rPr>
          <w:lang w:eastAsia="en-US"/>
        </w:rPr>
        <w:t>,</w:t>
      </w:r>
      <w:r w:rsidRPr="00CA5A71">
        <w:rPr>
          <w:lang w:eastAsia="en-US"/>
        </w:rPr>
        <w:t xml:space="preserve"> wynosi około 93% z</w:t>
      </w:r>
      <w:r w:rsidR="009C7802">
        <w:rPr>
          <w:lang w:eastAsia="en-US"/>
        </w:rPr>
        <w:t xml:space="preserve"> </w:t>
      </w:r>
      <w:r w:rsidRPr="00CA5A71">
        <w:rPr>
          <w:lang w:eastAsia="en-US"/>
        </w:rPr>
        <w:t>obecnych 684 tys. podmiotów, co wskazuje na dużą skalę powielania się zadań w tym zakresie.</w:t>
      </w:r>
    </w:p>
    <w:p w:rsidR="004F37B9" w:rsidRPr="00CA5A71" w:rsidRDefault="004F37B9" w:rsidP="009C7802">
      <w:pPr>
        <w:spacing w:before="120" w:line="360" w:lineRule="auto"/>
        <w:jc w:val="both"/>
        <w:rPr>
          <w:lang w:eastAsia="en-US"/>
        </w:rPr>
      </w:pPr>
      <w:r w:rsidRPr="00CA5A71">
        <w:rPr>
          <w:lang w:eastAsia="en-US"/>
        </w:rPr>
        <w:t>Projektowana zmiana zakłada istotne uproszczenie w tym zakresie. Zamiast dwóch rejestrów (dotychczas osobno w ARiMR i osobno w ARR) b</w:t>
      </w:r>
      <w:r w:rsidR="009C7802">
        <w:rPr>
          <w:lang w:eastAsia="en-US"/>
        </w:rPr>
        <w:t>ędzie prowadzony jeden rejestr –</w:t>
      </w:r>
      <w:r w:rsidRPr="00CA5A71">
        <w:rPr>
          <w:lang w:eastAsia="en-US"/>
        </w:rPr>
        <w:t xml:space="preserve"> Krajowy system ewidencji producentów, ewidencji gospodarstw rolnych oraz ewidencji wniosków o przyznanie płatności, administrowany przez ARiMR. Z rejestru tego, do realizacji swoich zadań, korzystać będą zarówno ARiMR</w:t>
      </w:r>
      <w:r w:rsidR="000F679F">
        <w:rPr>
          <w:lang w:eastAsia="en-US"/>
        </w:rPr>
        <w:t>,</w:t>
      </w:r>
      <w:r w:rsidRPr="00CA5A71">
        <w:rPr>
          <w:lang w:eastAsia="en-US"/>
        </w:rPr>
        <w:t xml:space="preserve"> jak i KOWR. </w:t>
      </w:r>
    </w:p>
    <w:p w:rsidR="004F37B9" w:rsidRPr="00CA5A71" w:rsidRDefault="004F37B9" w:rsidP="009C7802">
      <w:pPr>
        <w:spacing w:before="120" w:line="360" w:lineRule="auto"/>
        <w:jc w:val="both"/>
        <w:rPr>
          <w:lang w:eastAsia="en-US"/>
        </w:rPr>
      </w:pPr>
      <w:r w:rsidRPr="00CA5A71">
        <w:rPr>
          <w:lang w:eastAsia="en-US"/>
        </w:rPr>
        <w:t>Oznacza to, że beneficjenci nie będą musieli, jak dotychczas, wpisywać się i</w:t>
      </w:r>
      <w:r w:rsidR="009C7802">
        <w:rPr>
          <w:lang w:eastAsia="en-US"/>
        </w:rPr>
        <w:t> </w:t>
      </w:r>
      <w:r w:rsidRPr="00CA5A71">
        <w:rPr>
          <w:lang w:eastAsia="en-US"/>
        </w:rPr>
        <w:t xml:space="preserve">aktualizować swoich danych, niezależnie w dwóch różnych instytucjach, </w:t>
      </w:r>
      <w:r w:rsidRPr="00CA5A71">
        <w:rPr>
          <w:lang w:eastAsia="en-US"/>
        </w:rPr>
        <w:lastRenderedPageBreak/>
        <w:t>w</w:t>
      </w:r>
      <w:r w:rsidR="009C7802">
        <w:rPr>
          <w:lang w:eastAsia="en-US"/>
        </w:rPr>
        <w:t> </w:t>
      </w:r>
      <w:r w:rsidRPr="00CA5A71">
        <w:rPr>
          <w:lang w:eastAsia="en-US"/>
        </w:rPr>
        <w:t>szczególności mających swoje biura w innych miejscowościach. Wprowadzana optymalizacja umożliwi wobec tego zmniejszenie liczby wizyt beneficjentów w</w:t>
      </w:r>
      <w:r w:rsidR="009C7802">
        <w:rPr>
          <w:lang w:eastAsia="en-US"/>
        </w:rPr>
        <w:t> </w:t>
      </w:r>
      <w:r w:rsidRPr="00CA5A71">
        <w:rPr>
          <w:lang w:eastAsia="en-US"/>
        </w:rPr>
        <w:t>jednostkach terenowych ARiMR oraz KOWR. Dotychczasowy beneficjent ARR w</w:t>
      </w:r>
      <w:r w:rsidR="009C7802">
        <w:rPr>
          <w:lang w:eastAsia="en-US"/>
        </w:rPr>
        <w:t> </w:t>
      </w:r>
      <w:r w:rsidRPr="00CA5A71">
        <w:rPr>
          <w:lang w:eastAsia="en-US"/>
        </w:rPr>
        <w:t>przedmiotowym zakresie będzie kontaktował się wyłącznie z ARiMR. Zamiast dwóch wizyt wystarczy jedna i tym samym skróci się czas niezbędny na załatwienie sprawy. Ponadto, biorąc pod uwagę większą dostępność biur powiatowych ARiMR (314 biur) niż oddziałów terenowych KOWR, a wcześniej ARR (16</w:t>
      </w:r>
      <w:r w:rsidR="009C7802">
        <w:rPr>
          <w:lang w:eastAsia="en-US"/>
        </w:rPr>
        <w:t xml:space="preserve"> </w:t>
      </w:r>
      <w:r w:rsidRPr="00CA5A71">
        <w:rPr>
          <w:lang w:eastAsia="en-US"/>
        </w:rPr>
        <w:t>oddziałów)</w:t>
      </w:r>
      <w:r w:rsidR="000F679F">
        <w:rPr>
          <w:lang w:eastAsia="en-US"/>
        </w:rPr>
        <w:t>,</w:t>
      </w:r>
      <w:r w:rsidRPr="00CA5A71">
        <w:rPr>
          <w:lang w:eastAsia="en-US"/>
        </w:rPr>
        <w:t xml:space="preserve"> spadnie koszt dojazdów beneficjenta do miejsca załatwienia sprawy.</w:t>
      </w:r>
    </w:p>
    <w:p w:rsidR="004F37B9" w:rsidRPr="00CA5A71" w:rsidRDefault="004F37B9" w:rsidP="009C7802">
      <w:pPr>
        <w:spacing w:before="120" w:line="360" w:lineRule="auto"/>
        <w:jc w:val="both"/>
        <w:rPr>
          <w:lang w:eastAsia="en-US"/>
        </w:rPr>
      </w:pPr>
      <w:r w:rsidRPr="00CA5A71">
        <w:rPr>
          <w:lang w:eastAsia="en-US"/>
        </w:rPr>
        <w:t>Obniżone zostaną równocześnie koszty utrzymania i aktualizacji danych beneficjentów w przedmiotowych rejestrach ponoszone ze środków publicznych przez instytucje administrujące tymi rejestrami.</w:t>
      </w:r>
    </w:p>
    <w:p w:rsidR="004F37B9" w:rsidRPr="00CA5A71" w:rsidRDefault="004F37B9" w:rsidP="009C7802">
      <w:pPr>
        <w:spacing w:before="120" w:line="360" w:lineRule="auto"/>
        <w:jc w:val="both"/>
        <w:rPr>
          <w:lang w:eastAsia="en-US"/>
        </w:rPr>
      </w:pPr>
      <w:r w:rsidRPr="00CA5A71">
        <w:rPr>
          <w:lang w:eastAsia="en-US"/>
        </w:rPr>
        <w:t>W związku z ograniczeniem liczby agencji płatniczych do jednej konieczna jest również zmiana przepisów ustawy z dnia 22 września 2006 r. o uruchamianiu środków pochodzących z budżetu Unii Europejskiej przeznaczonych na finansowanie wspólnej polityki rolnej oraz ustawy z dnia 27 maja 2015 r. o</w:t>
      </w:r>
      <w:r w:rsidR="009C7802">
        <w:rPr>
          <w:lang w:eastAsia="en-US"/>
        </w:rPr>
        <w:t> </w:t>
      </w:r>
      <w:r w:rsidRPr="00CA5A71">
        <w:rPr>
          <w:lang w:eastAsia="en-US"/>
        </w:rPr>
        <w:t>finansowaniu wspólnej polityki rolnej. Zmiany te polegają przede wszystkim na uchyleniu przepisów określających ministra właściwego do spraw rozwoju wsi jako jednostkę koordynującą. Państwo członkowskie Unii Europejskiej wyznacza jednostkę koordynującą tylko w sytuacji, gdy akredytowano więcej niż jedną agencję płatniczą. Jednocześnie w zmienianych przepisach zaproponowano, aby niektóre zadania dotychczasowej jednostki koordynującej nadal wykonywał minister właściwy do spraw rozwoju wsi, co zapewnieni temu ministrowi kontrolę nad działaniami agencji płatniczej w tym zakresie. Szczególnie istotne zadanie, jakie ma nadal wykonywać minister właściwy do spraw rozwoju wsi</w:t>
      </w:r>
      <w:r w:rsidR="000F679F">
        <w:rPr>
          <w:lang w:eastAsia="en-US"/>
        </w:rPr>
        <w:t>,</w:t>
      </w:r>
      <w:r w:rsidRPr="00CA5A71">
        <w:rPr>
          <w:lang w:eastAsia="en-US"/>
        </w:rPr>
        <w:t xml:space="preserve"> dotyczy prowadzenia spraw związanych z postępowaniami kontrolnymi Komisji Europejskiej wynikającymi z przepisów Unii Europejskiej, w szczególności z</w:t>
      </w:r>
      <w:r w:rsidR="009C7802">
        <w:rPr>
          <w:lang w:eastAsia="en-US"/>
        </w:rPr>
        <w:t> </w:t>
      </w:r>
      <w:r w:rsidRPr="00CA5A71">
        <w:rPr>
          <w:lang w:eastAsia="en-US"/>
        </w:rPr>
        <w:t>przepisów określających zasady wydatkowania środków Unii Europejskiej w ramach Wspólnej Polityki Rolnej.</w:t>
      </w:r>
    </w:p>
    <w:p w:rsidR="004F37B9" w:rsidRPr="00CA5A71" w:rsidRDefault="004F37B9" w:rsidP="009C7802">
      <w:pPr>
        <w:spacing w:before="120" w:line="360" w:lineRule="auto"/>
        <w:jc w:val="both"/>
        <w:rPr>
          <w:bCs/>
          <w:lang w:eastAsia="en-US"/>
        </w:rPr>
      </w:pPr>
      <w:r w:rsidRPr="00CA5A71">
        <w:rPr>
          <w:lang w:eastAsia="en-US"/>
        </w:rPr>
        <w:t>Przepisy wprowadzające ustawę o Krajowym Ośrodku Wsparcia Rolnictwa wskazują jako termin wejścia w życie ustawy o Krajowym Ośrodku Wsparcia Rolnictwa datę 1</w:t>
      </w:r>
      <w:r w:rsidR="009C7802">
        <w:rPr>
          <w:lang w:eastAsia="en-US"/>
        </w:rPr>
        <w:t> </w:t>
      </w:r>
      <w:r w:rsidRPr="00CA5A71">
        <w:rPr>
          <w:lang w:eastAsia="en-US"/>
        </w:rPr>
        <w:t>lipca 2017 r. oraz szczegółowo regulują skutki zniesienia ARR i ANR. Podstawowym skutkiem zniesienia tych agencji jest to, że stracą one swój byt prawny z dniem 30</w:t>
      </w:r>
      <w:r w:rsidR="009C7802">
        <w:rPr>
          <w:lang w:eastAsia="en-US"/>
        </w:rPr>
        <w:t> </w:t>
      </w:r>
      <w:r w:rsidRPr="00CA5A71">
        <w:rPr>
          <w:lang w:eastAsia="en-US"/>
        </w:rPr>
        <w:t xml:space="preserve">czerwca 2017 r. Nie przewiduje się jednak z tego powodu prowadzenia procesu </w:t>
      </w:r>
      <w:r w:rsidRPr="00CA5A71">
        <w:rPr>
          <w:lang w:eastAsia="en-US"/>
        </w:rPr>
        <w:lastRenderedPageBreak/>
        <w:t>likwidacji tych agencji, gdyż ich zadania, a także wszelkie prawa i obowiązki zostaną przejęte z mocy ustawy odpowiednio przez istniejącą obecnie ARiMR oraz nowo</w:t>
      </w:r>
      <w:r w:rsidR="000F679F">
        <w:rPr>
          <w:lang w:eastAsia="en-US"/>
        </w:rPr>
        <w:t xml:space="preserve"> </w:t>
      </w:r>
      <w:r w:rsidRPr="00CA5A71">
        <w:rPr>
          <w:lang w:eastAsia="en-US"/>
        </w:rPr>
        <w:t>utworzony z dniem 1 lipca 2017 r. KOWR. Ustawa wskazuje, że KOWR z dniem 1</w:t>
      </w:r>
      <w:r w:rsidR="000F679F">
        <w:rPr>
          <w:lang w:eastAsia="en-US"/>
        </w:rPr>
        <w:t> </w:t>
      </w:r>
      <w:r w:rsidRPr="00CA5A71">
        <w:rPr>
          <w:lang w:eastAsia="en-US"/>
        </w:rPr>
        <w:t>lipca 2017 r. z mocy prawa wstępuje w ogół praw i obowiązków znoszonych ARR i</w:t>
      </w:r>
      <w:r w:rsidR="009C7802">
        <w:rPr>
          <w:lang w:eastAsia="en-US"/>
        </w:rPr>
        <w:t> </w:t>
      </w:r>
      <w:r w:rsidRPr="00CA5A71">
        <w:rPr>
          <w:lang w:eastAsia="en-US"/>
        </w:rPr>
        <w:t>ANR z wyjątkiem praw i obowiązków związanych z wykonywaniem zadań przejmowanych przez ARiMR, które z dniem 30 czerwca 2017 r. staną się prawami i</w:t>
      </w:r>
      <w:r w:rsidR="009C7802">
        <w:rPr>
          <w:lang w:eastAsia="en-US"/>
        </w:rPr>
        <w:t> </w:t>
      </w:r>
      <w:r w:rsidRPr="00CA5A71">
        <w:rPr>
          <w:lang w:eastAsia="en-US"/>
        </w:rPr>
        <w:t>obowiązkami tej Agencji. Rozwiązanie to polegające na wskazaniu sukcesora generalnego znoszonych agencji wyłączy ryzyko pominięcia niektórych praw lub obowiązków w ramach przekazywania ich do nowych podmiotów. Proponowane rozwiązanie dotyczy wszystkich praw i obowiązków znoszonych agencji, w</w:t>
      </w:r>
      <w:r w:rsidR="009C7802">
        <w:rPr>
          <w:lang w:eastAsia="en-US"/>
        </w:rPr>
        <w:t> </w:t>
      </w:r>
      <w:r w:rsidRPr="00CA5A71">
        <w:rPr>
          <w:lang w:eastAsia="en-US"/>
        </w:rPr>
        <w:t xml:space="preserve">szczególności ich mienia, wierzytelności i zobowiązań, także wstąpienia na miejsce strony, którą dotychczas były ARR lub ANR, do obowiązujących umów i porozumień oraz praw i obowiązków </w:t>
      </w:r>
      <w:r w:rsidRPr="00CA5A71">
        <w:rPr>
          <w:bCs/>
          <w:lang w:eastAsia="en-US"/>
        </w:rPr>
        <w:t>wynikających z przepisów prawa, decyzji, postanowień i</w:t>
      </w:r>
      <w:r w:rsidR="009C7802">
        <w:rPr>
          <w:bCs/>
          <w:lang w:eastAsia="en-US"/>
        </w:rPr>
        <w:t> </w:t>
      </w:r>
      <w:r w:rsidRPr="00CA5A71">
        <w:rPr>
          <w:bCs/>
          <w:lang w:eastAsia="en-US"/>
        </w:rPr>
        <w:t>innych aktów administracyjnych. Katalog praw i obowiązków wprost wymienionych w tych przepisach jest przykładowy. Wymienione są najistotniejsze z punktu widzenia celu regulacji prawa i obowiązki, w które wstąpić ma odpowiednio KOWR albo ARiMR. Jest to celowo zastosowana technika legislacyjna, dzięki której eliminuje się wątpliwości, jakie mogłyby powstać na gruncie przepisu pozbawionego takiego przykładowego katalogu. Brak takiego wskazania mógłby dawać pole do wykładni tych przepisów niekoniecznie zgodnej z celem regulacji. Szczególnie istotne w tym względzie jest to, że KOWR, jako sukcesor generalny ANR, wstąpi w prawa wynikające z obowiązującego art. 5 ustawy z dnia 19 października 1991 r. o</w:t>
      </w:r>
      <w:r w:rsidR="009C7802">
        <w:rPr>
          <w:bCs/>
          <w:lang w:eastAsia="en-US"/>
        </w:rPr>
        <w:t> </w:t>
      </w:r>
      <w:r w:rsidRPr="00CA5A71">
        <w:rPr>
          <w:bCs/>
          <w:lang w:eastAsia="en-US"/>
        </w:rPr>
        <w:t>gospodarowaniu nieruchomościami rolnymi Skarbu Państwa, a więc będzie, tak jak obecnie ANR, powiernikiem Skarbu Państwa w stosunku do mienia wchodzącego w</w:t>
      </w:r>
      <w:r w:rsidR="009C7802">
        <w:rPr>
          <w:bCs/>
          <w:lang w:eastAsia="en-US"/>
        </w:rPr>
        <w:t> </w:t>
      </w:r>
      <w:r w:rsidRPr="00CA5A71">
        <w:rPr>
          <w:bCs/>
          <w:lang w:eastAsia="en-US"/>
        </w:rPr>
        <w:t>skład Zasobu Własności Rolnej Skarbu Państwa, a więc będzie wykonywać na rzecz Skarbu Państwa w stosunku do tego mienia prawo własności i inne prawa rzeczowe. Dzięki takiemu rozwiązaniu nie będzie konieczności ponownego powierzania wykonywania tych praw nowej jednostce, tj. KOWR.</w:t>
      </w:r>
    </w:p>
    <w:p w:rsidR="004F37B9" w:rsidRPr="00CA5A71" w:rsidRDefault="004F37B9" w:rsidP="009C7802">
      <w:pPr>
        <w:spacing w:before="120" w:line="360" w:lineRule="auto"/>
        <w:jc w:val="both"/>
        <w:rPr>
          <w:bCs/>
          <w:lang w:eastAsia="en-US"/>
        </w:rPr>
      </w:pPr>
      <w:r w:rsidRPr="00CA5A71">
        <w:rPr>
          <w:bCs/>
          <w:lang w:eastAsia="en-US"/>
        </w:rPr>
        <w:t>Należy również wskazać, że dzięki takiemu rozwiązaniu bilans zamknięcia ARR nie będzie uwzględniał praw i obowiązków, które z dniem 30 czerwca 2017 r. przeszły z</w:t>
      </w:r>
      <w:r w:rsidR="009C7802">
        <w:rPr>
          <w:bCs/>
          <w:lang w:eastAsia="en-US"/>
        </w:rPr>
        <w:t> </w:t>
      </w:r>
      <w:r w:rsidRPr="00CA5A71">
        <w:rPr>
          <w:bCs/>
          <w:lang w:eastAsia="en-US"/>
        </w:rPr>
        <w:t>mocy prawa na ARiMR. W konsekwencji jest możliwe zastosowanie rozwiązania polegającego na tym, że bilanse zamknięcia sporządzone przez ANR i ARR na dzień 30</w:t>
      </w:r>
      <w:r w:rsidR="009C7802">
        <w:rPr>
          <w:bCs/>
          <w:lang w:eastAsia="en-US"/>
        </w:rPr>
        <w:t> </w:t>
      </w:r>
      <w:r w:rsidRPr="00CA5A71">
        <w:rPr>
          <w:bCs/>
          <w:lang w:eastAsia="en-US"/>
        </w:rPr>
        <w:t>czerwca 2017 r. staną się bilansami otwarcia KOWR.</w:t>
      </w:r>
    </w:p>
    <w:p w:rsidR="004F37B9" w:rsidRPr="00CA5A71" w:rsidRDefault="004F37B9" w:rsidP="009C7802">
      <w:pPr>
        <w:spacing w:before="120" w:line="360" w:lineRule="auto"/>
        <w:jc w:val="both"/>
        <w:rPr>
          <w:bCs/>
          <w:lang w:eastAsia="en-US"/>
        </w:rPr>
      </w:pPr>
      <w:r w:rsidRPr="00CA5A71">
        <w:rPr>
          <w:bCs/>
          <w:lang w:eastAsia="en-US"/>
        </w:rPr>
        <w:lastRenderedPageBreak/>
        <w:t>Projektowane przepisy będą również oddziaływać na planowanie wydatków budżetu państwa. Każda z agencji działa na podstawie planu finansowego, który stanowi załącznik do budżetu państwa. Konieczne zatem jest wprowadzenie instrumentów pozwalających modyfikować te plany, a także w odniesieniu do nowej jednostki, tj.</w:t>
      </w:r>
      <w:r w:rsidR="009C7802">
        <w:rPr>
          <w:bCs/>
          <w:lang w:eastAsia="en-US"/>
        </w:rPr>
        <w:t> </w:t>
      </w:r>
      <w:r w:rsidRPr="00CA5A71">
        <w:rPr>
          <w:bCs/>
          <w:lang w:eastAsia="en-US"/>
        </w:rPr>
        <w:t>KOWR</w:t>
      </w:r>
      <w:r w:rsidR="000F679F">
        <w:rPr>
          <w:bCs/>
          <w:lang w:eastAsia="en-US"/>
        </w:rPr>
        <w:t>,</w:t>
      </w:r>
      <w:r w:rsidRPr="00CA5A71">
        <w:rPr>
          <w:bCs/>
          <w:lang w:eastAsia="en-US"/>
        </w:rPr>
        <w:t xml:space="preserve"> opracować nowy plan finansowy. Dlatego proponuje się wprowadzić przepis dostosowujący, na mocy którego w celu wykonania przepisów projektowanej ustawy Prezes Rady Ministrów będzie dokonywał, w drodze rozporządzenia, przeniesienia planowanych dochodów i wydatków budżetowych, w tym wynagrodzeń, między częściami, działami i rozdziałami budżetu państwa, z zachowaniem przeznaczenia środków publicznych wynikających z ustawy. Ponadto proponuje się, aby projekt planu finansowego KOWR na okres od 1 lipca 2017 do 31 grudnia 2017 r.</w:t>
      </w:r>
      <w:r w:rsidR="009C7802">
        <w:rPr>
          <w:bCs/>
          <w:lang w:eastAsia="en-US"/>
        </w:rPr>
        <w:t xml:space="preserve"> </w:t>
      </w:r>
      <w:r w:rsidRPr="00CA5A71">
        <w:rPr>
          <w:bCs/>
          <w:lang w:eastAsia="en-US"/>
        </w:rPr>
        <w:t>został opracowany przez Pełnomocnika do spraw utworzenia KOWR i przedstawiony do zatwierdzenia ministrowi właściwemu do spraw rozwoju wsi w terminie do dnia 31 maja 2017 r. Umożliwi to podjęcie wykonywania zadań przez KOWR z dniem 1 lipca 2017 r.</w:t>
      </w:r>
    </w:p>
    <w:p w:rsidR="004F37B9" w:rsidRPr="00CA5A71" w:rsidRDefault="004F37B9" w:rsidP="009C7802">
      <w:pPr>
        <w:spacing w:before="120" w:line="360" w:lineRule="auto"/>
        <w:jc w:val="both"/>
        <w:rPr>
          <w:bCs/>
          <w:i/>
          <w:lang w:eastAsia="en-US"/>
        </w:rPr>
      </w:pPr>
      <w:r w:rsidRPr="00CA5A71">
        <w:rPr>
          <w:lang w:eastAsia="en-US"/>
        </w:rPr>
        <w:t xml:space="preserve">Ustawa zakłada, że minister właściwy do spraw rozwoju wsi </w:t>
      </w:r>
      <w:r w:rsidRPr="00CA5A71">
        <w:rPr>
          <w:iCs/>
          <w:lang w:eastAsia="en-US"/>
        </w:rPr>
        <w:t xml:space="preserve">powoła w terminie 7 dni od dnia wejścia w życie jej art. 50 (przepis ten wejdzie w życie </w:t>
      </w:r>
      <w:r w:rsidR="00502CA9">
        <w:rPr>
          <w:iCs/>
          <w:lang w:eastAsia="en-US"/>
        </w:rPr>
        <w:t>z dniem następującym po dniu</w:t>
      </w:r>
      <w:r w:rsidR="009C7802">
        <w:rPr>
          <w:iCs/>
          <w:lang w:eastAsia="en-US"/>
        </w:rPr>
        <w:t xml:space="preserve"> </w:t>
      </w:r>
      <w:r w:rsidRPr="00CA5A71">
        <w:rPr>
          <w:iCs/>
          <w:lang w:eastAsia="en-US"/>
        </w:rPr>
        <w:t xml:space="preserve">ogłoszenia ustawy) </w:t>
      </w:r>
      <w:r w:rsidRPr="00CA5A71">
        <w:rPr>
          <w:lang w:eastAsia="en-US"/>
        </w:rPr>
        <w:t>Pełnomocnika do spraw utworzenia Krajowego Ośrodka Wsparcia Rolnictwa.</w:t>
      </w:r>
      <w:r w:rsidRPr="00CA5A71">
        <w:rPr>
          <w:bCs/>
          <w:lang w:eastAsia="en-US"/>
        </w:rPr>
        <w:t xml:space="preserve"> Celem działania Pełnomocnika będzie zorganizowanie KOWR, w</w:t>
      </w:r>
      <w:r w:rsidR="009C7802">
        <w:rPr>
          <w:bCs/>
          <w:lang w:eastAsia="en-US"/>
        </w:rPr>
        <w:t> </w:t>
      </w:r>
      <w:r w:rsidRPr="00CA5A71">
        <w:rPr>
          <w:bCs/>
          <w:lang w:eastAsia="en-US"/>
        </w:rPr>
        <w:t>tym:</w:t>
      </w:r>
    </w:p>
    <w:p w:rsidR="004F37B9" w:rsidRPr="00CA5A71" w:rsidRDefault="009C7802" w:rsidP="009C7802">
      <w:pPr>
        <w:tabs>
          <w:tab w:val="left" w:pos="406"/>
        </w:tabs>
        <w:spacing w:before="120" w:line="360" w:lineRule="auto"/>
        <w:ind w:left="406" w:hanging="406"/>
        <w:jc w:val="both"/>
        <w:rPr>
          <w:bCs/>
          <w:lang w:eastAsia="en-US"/>
        </w:rPr>
      </w:pPr>
      <w:r>
        <w:rPr>
          <w:bCs/>
          <w:lang w:eastAsia="en-US"/>
        </w:rPr>
        <w:t>1)</w:t>
      </w:r>
      <w:r>
        <w:rPr>
          <w:bCs/>
          <w:lang w:eastAsia="en-US"/>
        </w:rPr>
        <w:tab/>
      </w:r>
      <w:r w:rsidR="004F37B9" w:rsidRPr="00CA5A71">
        <w:rPr>
          <w:bCs/>
          <w:lang w:eastAsia="en-US"/>
        </w:rPr>
        <w:t>przygotowanie propozycji w zakresie siedzib oddziałów terenowych i biura KOWR;</w:t>
      </w:r>
    </w:p>
    <w:p w:rsidR="004F37B9" w:rsidRPr="00CA5A71" w:rsidRDefault="009C7802" w:rsidP="009C7802">
      <w:pPr>
        <w:tabs>
          <w:tab w:val="left" w:pos="406"/>
        </w:tabs>
        <w:spacing w:before="120" w:line="360" w:lineRule="auto"/>
        <w:ind w:left="406" w:hanging="406"/>
        <w:jc w:val="both"/>
        <w:rPr>
          <w:bCs/>
          <w:lang w:eastAsia="en-US"/>
        </w:rPr>
      </w:pPr>
      <w:r>
        <w:rPr>
          <w:bCs/>
          <w:lang w:eastAsia="en-US"/>
        </w:rPr>
        <w:t>2)</w:t>
      </w:r>
      <w:r>
        <w:rPr>
          <w:bCs/>
          <w:lang w:eastAsia="en-US"/>
        </w:rPr>
        <w:tab/>
      </w:r>
      <w:r w:rsidR="004F37B9" w:rsidRPr="00CA5A71">
        <w:rPr>
          <w:bCs/>
          <w:lang w:eastAsia="en-US"/>
        </w:rPr>
        <w:t>podejmowanie czynności związanych z przejmowaniem przez KOWR i ARiMR praw i obowiązków, w tym mienia, ANR i ARR;</w:t>
      </w:r>
    </w:p>
    <w:p w:rsidR="004F37B9" w:rsidRPr="00CA5A71" w:rsidRDefault="009C7802" w:rsidP="009C7802">
      <w:pPr>
        <w:tabs>
          <w:tab w:val="left" w:pos="406"/>
        </w:tabs>
        <w:spacing w:before="120" w:line="360" w:lineRule="auto"/>
        <w:ind w:left="406" w:hanging="406"/>
        <w:jc w:val="both"/>
        <w:rPr>
          <w:bCs/>
          <w:lang w:eastAsia="en-US"/>
        </w:rPr>
      </w:pPr>
      <w:r>
        <w:rPr>
          <w:bCs/>
          <w:lang w:eastAsia="en-US"/>
        </w:rPr>
        <w:t>3)</w:t>
      </w:r>
      <w:r>
        <w:rPr>
          <w:bCs/>
          <w:lang w:eastAsia="en-US"/>
        </w:rPr>
        <w:tab/>
      </w:r>
      <w:r w:rsidR="004F37B9" w:rsidRPr="00CA5A71">
        <w:rPr>
          <w:bCs/>
          <w:lang w:eastAsia="en-US"/>
        </w:rPr>
        <w:t xml:space="preserve">podejmowanie czynności związanych z </w:t>
      </w:r>
      <w:r>
        <w:rPr>
          <w:bCs/>
          <w:lang w:eastAsia="en-US"/>
        </w:rPr>
        <w:t>uregulowaniem stosunków pracy z </w:t>
      </w:r>
      <w:r w:rsidR="004F37B9" w:rsidRPr="00CA5A71">
        <w:rPr>
          <w:bCs/>
          <w:lang w:eastAsia="en-US"/>
        </w:rPr>
        <w:t>pracownikami ANR i ARR;</w:t>
      </w:r>
    </w:p>
    <w:p w:rsidR="004F37B9" w:rsidRPr="00CA5A71" w:rsidRDefault="009C7802" w:rsidP="009C7802">
      <w:pPr>
        <w:tabs>
          <w:tab w:val="left" w:pos="406"/>
        </w:tabs>
        <w:spacing w:before="120" w:line="360" w:lineRule="auto"/>
        <w:ind w:left="406" w:hanging="406"/>
        <w:jc w:val="both"/>
        <w:rPr>
          <w:bCs/>
          <w:lang w:eastAsia="en-US"/>
        </w:rPr>
      </w:pPr>
      <w:r>
        <w:rPr>
          <w:bCs/>
          <w:lang w:eastAsia="en-US"/>
        </w:rPr>
        <w:t>4)</w:t>
      </w:r>
      <w:r>
        <w:rPr>
          <w:bCs/>
          <w:lang w:eastAsia="en-US"/>
        </w:rPr>
        <w:tab/>
      </w:r>
      <w:r w:rsidR="004F37B9" w:rsidRPr="00CA5A71">
        <w:rPr>
          <w:bCs/>
          <w:lang w:eastAsia="en-US"/>
        </w:rPr>
        <w:t>podejmowanie innych czynności niezbędnych do rozpoczęcia działalności KOWR.</w:t>
      </w:r>
    </w:p>
    <w:p w:rsidR="004F37B9" w:rsidRPr="00CA5A71" w:rsidRDefault="004F37B9" w:rsidP="009C7802">
      <w:pPr>
        <w:spacing w:before="120" w:line="360" w:lineRule="auto"/>
        <w:jc w:val="both"/>
        <w:rPr>
          <w:lang w:eastAsia="en-US"/>
        </w:rPr>
      </w:pPr>
      <w:r w:rsidRPr="00CA5A71">
        <w:rPr>
          <w:lang w:eastAsia="en-US"/>
        </w:rPr>
        <w:t xml:space="preserve">Przewiduje się także, że w okresie poprzedzającym zasadniczy termin wejścia w życie ustawy konieczne będzie wykonanie szeregu czynności przygotowawczych w celu płynnego przejęcia zadań znoszonych agencji przez ARiMR i KOWR. W szczególności konieczne jest podjęcie działań mających na celu przyznanie ARiMR akredytacji jako agencji płatniczej w zakresie, w jakim akredytację posiada obecnie ARR. Proponuje się zatem wprowadzić przepis, na mocy którego </w:t>
      </w:r>
      <w:r w:rsidRPr="00CA5A71">
        <w:rPr>
          <w:bCs/>
          <w:lang w:eastAsia="en-US"/>
        </w:rPr>
        <w:t xml:space="preserve">minister właściwy do spraw finansów </w:t>
      </w:r>
      <w:r w:rsidRPr="00CA5A71">
        <w:rPr>
          <w:bCs/>
          <w:lang w:eastAsia="en-US"/>
        </w:rPr>
        <w:lastRenderedPageBreak/>
        <w:t>publicznych podejmie działania w celu przyznania na podstawie przepisów o</w:t>
      </w:r>
      <w:r w:rsidR="009C7802">
        <w:rPr>
          <w:bCs/>
          <w:lang w:eastAsia="en-US"/>
        </w:rPr>
        <w:t> </w:t>
      </w:r>
      <w:r w:rsidRPr="00CA5A71">
        <w:rPr>
          <w:bCs/>
          <w:lang w:eastAsia="en-US"/>
        </w:rPr>
        <w:t>finansowaniu wspólnej polityki rolnej z dniem 1 lipca 2017 r. ARiMR</w:t>
      </w:r>
      <w:r w:rsidRPr="00CA5A71">
        <w:rPr>
          <w:lang w:eastAsia="en-US"/>
        </w:rPr>
        <w:t xml:space="preserve"> </w:t>
      </w:r>
      <w:r w:rsidRPr="00CA5A71">
        <w:rPr>
          <w:bCs/>
          <w:lang w:eastAsia="en-US"/>
        </w:rPr>
        <w:t>akredytacji tymczasowej jako agencji płatniczej w zakresie niezbędnym do realizacji wykonywanych dotychczas przez ARR zadań agencji płatniczej, które z dniem wejścia w życie ustawy będą realizowane przez ARiMR, a Prezes ARiMR i Prezes ARR podejmą działania w celu uzyskania z tym dniem przez ARiMR tej akredytacji. Taka regulacja powinna wejść w życie wcześniej od zasadniczego terminu wejścia w życie ustawy. Stanowić ona będzie również podstawę do wydatkowania środków publicznych z przeznaczeniem na podjęcie tych działań.</w:t>
      </w:r>
    </w:p>
    <w:p w:rsidR="004F37B9" w:rsidRPr="00CA5A71" w:rsidRDefault="004F37B9" w:rsidP="009C7802">
      <w:pPr>
        <w:spacing w:before="120" w:line="360" w:lineRule="auto"/>
        <w:jc w:val="both"/>
        <w:rPr>
          <w:lang w:eastAsia="en-US"/>
        </w:rPr>
      </w:pPr>
      <w:r w:rsidRPr="00CA5A71">
        <w:rPr>
          <w:lang w:eastAsia="en-US"/>
        </w:rPr>
        <w:t>Ponadto zgodnie z ustawą minister właściwy do spraw rozwoju wsi ustali</w:t>
      </w:r>
      <w:r w:rsidR="000F679F">
        <w:rPr>
          <w:lang w:eastAsia="en-US"/>
        </w:rPr>
        <w:t>,</w:t>
      </w:r>
      <w:r w:rsidRPr="00CA5A71">
        <w:rPr>
          <w:lang w:eastAsia="en-US"/>
        </w:rPr>
        <w:t xml:space="preserve"> w drodze zarządzenia</w:t>
      </w:r>
      <w:r w:rsidR="000F679F">
        <w:rPr>
          <w:lang w:eastAsia="en-US"/>
        </w:rPr>
        <w:t>,</w:t>
      </w:r>
      <w:r w:rsidRPr="00CA5A71">
        <w:rPr>
          <w:lang w:eastAsia="en-US"/>
        </w:rPr>
        <w:t xml:space="preserve"> zasady wynagradzania pracowników KOWR. Wobec tego, że propozycja zatrudnienia w KOWR pracownikom ARR i ANR będzie składana przez Pełnomocnika przed utworzeniem KOWR, oczywiste jest, że w tym czasie nie będzie jeszcze obowiązywał regulamin wynagradzania w KOWR. Ten regulamin zostanie przyjęty najwcześniej w dniu utworzenia KOWR. Zatem konieczne jest określenie reguł</w:t>
      </w:r>
      <w:r w:rsidR="000F679F">
        <w:rPr>
          <w:lang w:eastAsia="en-US"/>
        </w:rPr>
        <w:t>,</w:t>
      </w:r>
      <w:r w:rsidRPr="00CA5A71">
        <w:rPr>
          <w:lang w:eastAsia="en-US"/>
        </w:rPr>
        <w:t xml:space="preserve"> według których pełnomocnik będzie proponował wynagrodzenie dotychczasowym pracownikom ARR i ANR. Wydanie tego zarządzenia jest niezbędne w celu umożliwienia Pełnomocnikowi proponowania pracownikom ARR i ANR zatrudnienia w KOWR na określonych warunk</w:t>
      </w:r>
      <w:r w:rsidR="000F679F">
        <w:rPr>
          <w:lang w:eastAsia="en-US"/>
        </w:rPr>
        <w:t>ach</w:t>
      </w:r>
      <w:r w:rsidRPr="00CA5A71">
        <w:rPr>
          <w:lang w:eastAsia="en-US"/>
        </w:rPr>
        <w:t>. Zasady wynagradzania pracowników w ARiMR są określone w regulaminie wynagradzania obowiązującym w tej agencji, zatem propozycja zatrudnienia w tej agencji będzie zawierała warunki wynikające z tego regulaminu.</w:t>
      </w:r>
    </w:p>
    <w:p w:rsidR="004F37B9" w:rsidRPr="00CA5A71" w:rsidRDefault="004F37B9" w:rsidP="009C7802">
      <w:pPr>
        <w:spacing w:before="120" w:line="360" w:lineRule="auto"/>
        <w:jc w:val="both"/>
        <w:rPr>
          <w:lang w:eastAsia="en-US"/>
        </w:rPr>
      </w:pPr>
      <w:r w:rsidRPr="00CA5A71">
        <w:rPr>
          <w:lang w:eastAsia="en-US"/>
        </w:rPr>
        <w:t>W zakresie zmian stosunków pracy, projektowane przepisy przewidują wyposażenie odpowiednio Pełnomocnika (w zakresie zadań, które realizował będzie KOWR) oraz Prezesa ARiMR (w zakresie przejmowanych przez tę instytucję zadań) w kompetencje do proponowania zatrudnienia pracownikom znoszonych agencji (zgodnie z wykazami przedstawionymi przez Prezesa ARR i Prezesa ANR) odpowiednio w KOWR albo w</w:t>
      </w:r>
      <w:r w:rsidR="009C7802">
        <w:rPr>
          <w:lang w:eastAsia="en-US"/>
        </w:rPr>
        <w:t> </w:t>
      </w:r>
      <w:r w:rsidRPr="00CA5A71">
        <w:rPr>
          <w:lang w:eastAsia="en-US"/>
        </w:rPr>
        <w:t>ARiMR na określonych warunk</w:t>
      </w:r>
      <w:r w:rsidR="000F679F">
        <w:rPr>
          <w:lang w:eastAsia="en-US"/>
        </w:rPr>
        <w:t>ach</w:t>
      </w:r>
      <w:r w:rsidRPr="00CA5A71">
        <w:rPr>
          <w:lang w:eastAsia="en-US"/>
        </w:rPr>
        <w:t xml:space="preserve"> pracy i płacy. Propozycja zatrudnienia zostanie złożona do dnia 31 marca 2017 r., natomiast pracownik będzie miał miesiąc na ewentualne przyjęcie albo odmow</w:t>
      </w:r>
      <w:r w:rsidR="009305D1">
        <w:rPr>
          <w:lang w:eastAsia="en-US"/>
        </w:rPr>
        <w:t>ę</w:t>
      </w:r>
      <w:r w:rsidRPr="00CA5A71">
        <w:rPr>
          <w:lang w:eastAsia="en-US"/>
        </w:rPr>
        <w:t xml:space="preserve"> przyjęcia przedstawionej propozycji. Na skutek przyjęcia propozycji dotychczasowy pracownik ARR lub ANR stanie się z dniem 1</w:t>
      </w:r>
      <w:r w:rsidR="009C7802">
        <w:rPr>
          <w:lang w:eastAsia="en-US"/>
        </w:rPr>
        <w:t> </w:t>
      </w:r>
      <w:r w:rsidRPr="00CA5A71">
        <w:rPr>
          <w:lang w:eastAsia="en-US"/>
        </w:rPr>
        <w:t xml:space="preserve">lipca 2017 r. pracownikiem odpowiednio KOWR albo ARiMR. W przypadku odmowy przyjęcia propozycji zatrudnienia stosunek pracy tych pracowników wygaśnie </w:t>
      </w:r>
      <w:r w:rsidRPr="00CA5A71">
        <w:rPr>
          <w:lang w:eastAsia="en-US"/>
        </w:rPr>
        <w:lastRenderedPageBreak/>
        <w:t xml:space="preserve">w dniu 30 czerwca 2017 r. Taki sam skutek, a więc wygaśniecie stosunku pracy, nastąpi w przypadku </w:t>
      </w:r>
      <w:r w:rsidRPr="00CA5A71">
        <w:rPr>
          <w:bCs/>
          <w:lang w:eastAsia="en-US"/>
        </w:rPr>
        <w:t xml:space="preserve">niezłożenia w terminie oświadczenia o przyjęciu albo o odmowie przyjęcia propozycji zatrudnienia, a także </w:t>
      </w:r>
      <w:r w:rsidRPr="00CA5A71">
        <w:rPr>
          <w:lang w:eastAsia="en-US"/>
        </w:rPr>
        <w:t>jeżeli w terminie do dnia 31 marca 2017 r. nie zostaną im zaproponowane warunki zatrudnienia przez Pełnomocnika albo przez Prezesa ARiMR. Jest to szczególny tryb zakończenia stosunków pracy pracowników znoszonych Agencji, w związku z tym konieczne jest wprowadzenie uregulowań gwarantujących określone świadczenia z tego tytułu. Proponuje się, aby tym pracownikom przysługiwała odprawa pieniężna ustalana na zasadach określonych w</w:t>
      </w:r>
      <w:r w:rsidR="009C7802">
        <w:rPr>
          <w:lang w:eastAsia="en-US"/>
        </w:rPr>
        <w:t> </w:t>
      </w:r>
      <w:r w:rsidRPr="00CA5A71">
        <w:rPr>
          <w:lang w:eastAsia="en-US"/>
        </w:rPr>
        <w:t>przepisach ustawy z dnia 13 marca 2003 r. o szczególnych zasadach rozwiązywania z</w:t>
      </w:r>
      <w:r w:rsidR="009C7802">
        <w:rPr>
          <w:lang w:eastAsia="en-US"/>
        </w:rPr>
        <w:t> </w:t>
      </w:r>
      <w:r w:rsidRPr="00CA5A71">
        <w:rPr>
          <w:lang w:eastAsia="en-US"/>
        </w:rPr>
        <w:t>pracownikami stosunków pracy z przyczyn niedotyczących pracowników.</w:t>
      </w:r>
    </w:p>
    <w:p w:rsidR="004F37B9" w:rsidRPr="00CA5A71" w:rsidRDefault="004F37B9" w:rsidP="009C7802">
      <w:pPr>
        <w:spacing w:before="120" w:line="360" w:lineRule="auto"/>
        <w:jc w:val="both"/>
        <w:rPr>
          <w:lang w:eastAsia="en-US"/>
        </w:rPr>
      </w:pPr>
      <w:r w:rsidRPr="00CA5A71">
        <w:rPr>
          <w:lang w:eastAsia="en-US"/>
        </w:rPr>
        <w:t>Zaproponowany mechanizm umożliwi przejęcie odpowiedniej liczby pracowników świadczących pracę w ARR i ANR przez instytucje, które będą realizowały zadania po dacie wejścia w życie ustawy</w:t>
      </w:r>
      <w:r w:rsidR="000F679F">
        <w:rPr>
          <w:lang w:eastAsia="en-US"/>
        </w:rPr>
        <w:t>,</w:t>
      </w:r>
      <w:r w:rsidRPr="00CA5A71">
        <w:rPr>
          <w:lang w:eastAsia="en-US"/>
        </w:rPr>
        <w:t xml:space="preserve"> i nie będzie stanowił zagrożenia ciągłości realizacji zadań. </w:t>
      </w:r>
    </w:p>
    <w:p w:rsidR="004F37B9" w:rsidRDefault="004F37B9" w:rsidP="009C7802">
      <w:pPr>
        <w:spacing w:before="120" w:line="360" w:lineRule="auto"/>
        <w:jc w:val="both"/>
        <w:rPr>
          <w:lang w:eastAsia="en-US"/>
        </w:rPr>
      </w:pPr>
      <w:r w:rsidRPr="00CA5A71">
        <w:rPr>
          <w:lang w:eastAsia="en-US"/>
        </w:rPr>
        <w:t>Ustawa reguluje także zasady kontynuacji postępowań sądowych i administracyjnych po dacie wejścia w życie ustawy oraz wskazuje organy właściwe do zmiany, uchylenia, stwierdzenia nieważności lub wygaśnięcia decyzji administracyjnych wydanych w</w:t>
      </w:r>
      <w:r w:rsidR="009C7802">
        <w:rPr>
          <w:lang w:eastAsia="en-US"/>
        </w:rPr>
        <w:t> </w:t>
      </w:r>
      <w:r w:rsidRPr="00CA5A71">
        <w:rPr>
          <w:lang w:eastAsia="en-US"/>
        </w:rPr>
        <w:t xml:space="preserve">zakresie zadań przejętych przez ARiMR oraz KOWR, jak też organy właściwe do wznowienia postępowań zakończonych przed dniem wejścia w życie ustawy. </w:t>
      </w:r>
    </w:p>
    <w:p w:rsidR="004F37B9" w:rsidRPr="00B257BB" w:rsidRDefault="004F37B9" w:rsidP="009C7802">
      <w:pPr>
        <w:spacing w:before="120" w:line="360" w:lineRule="auto"/>
        <w:jc w:val="both"/>
        <w:rPr>
          <w:lang w:eastAsia="en-US"/>
        </w:rPr>
      </w:pPr>
      <w:r w:rsidRPr="00CA5A71">
        <w:rPr>
          <w:bCs/>
          <w:lang w:eastAsia="en-US"/>
        </w:rPr>
        <w:t>W związku z koniecznością dokonania przeniesień sy</w:t>
      </w:r>
      <w:r>
        <w:rPr>
          <w:bCs/>
          <w:lang w:eastAsia="en-US"/>
        </w:rPr>
        <w:t xml:space="preserve">stemów informatycznych pomiędzy </w:t>
      </w:r>
      <w:r w:rsidRPr="00CA5A71">
        <w:rPr>
          <w:bCs/>
          <w:lang w:eastAsia="en-US"/>
        </w:rPr>
        <w:t>agencjami przewiduje się, że wydatki na ten cel będą uwzględniane w</w:t>
      </w:r>
      <w:r w:rsidR="009C7802">
        <w:rPr>
          <w:bCs/>
          <w:lang w:eastAsia="en-US"/>
        </w:rPr>
        <w:t> </w:t>
      </w:r>
      <w:r w:rsidRPr="00CA5A71">
        <w:rPr>
          <w:bCs/>
          <w:lang w:eastAsia="en-US"/>
        </w:rPr>
        <w:t xml:space="preserve">planach finansowych ARiMR i KOWR na kolejne lata budżetowe. </w:t>
      </w:r>
    </w:p>
    <w:p w:rsidR="000F679F" w:rsidRPr="00CA5A71" w:rsidRDefault="004F37B9" w:rsidP="000F679F">
      <w:pPr>
        <w:spacing w:before="120" w:line="360" w:lineRule="auto"/>
        <w:jc w:val="both"/>
        <w:rPr>
          <w:lang w:eastAsia="en-US"/>
        </w:rPr>
      </w:pPr>
      <w:r w:rsidRPr="00CA5A71">
        <w:rPr>
          <w:lang w:eastAsia="en-US"/>
        </w:rPr>
        <w:t>Proponuje się wejście w życie ustawy z dniem 1 lipca 2017 r. Przed zasadniczą datą wejścia w życie projektowanej ustawy, powinny jednak wejść w życie te jej przepisy, które są niezbędne do zafunkcjonowania zmian organizacyjnych wprowadzanych tą ustawą. Te przepisy powinny wejść w życie z dniem</w:t>
      </w:r>
      <w:r w:rsidR="000F679F">
        <w:rPr>
          <w:lang w:eastAsia="en-US"/>
        </w:rPr>
        <w:t xml:space="preserve"> następującym po dniu</w:t>
      </w:r>
      <w:r w:rsidRPr="00CA5A71">
        <w:rPr>
          <w:lang w:eastAsia="en-US"/>
        </w:rPr>
        <w:t xml:space="preserve"> ogłoszenia. Dotyczy to art. 45, art.</w:t>
      </w:r>
      <w:r w:rsidR="009C7802">
        <w:rPr>
          <w:lang w:eastAsia="en-US"/>
        </w:rPr>
        <w:t> </w:t>
      </w:r>
      <w:r w:rsidRPr="00CA5A71">
        <w:rPr>
          <w:lang w:eastAsia="en-US"/>
        </w:rPr>
        <w:t xml:space="preserve">46, art. 49–51 oraz art. 52 ust. 2–5 projektowanej ustawy. </w:t>
      </w:r>
      <w:r w:rsidR="000F679F">
        <w:rPr>
          <w:lang w:eastAsia="en-US"/>
        </w:rPr>
        <w:t>Przepisy te umożliwiają podjęcie czynności przygotowawczych w celu rozpoczęcia działalności przez KOWR z dniem 1 lipca 2017 r. oraz przejęcia niektórych zadań ARR przez ARiMR. W szczególności przepisy te dają podstawę do powołania Pełnomocnika oraz określają jego zadania. Z uwagi na powyższe przepisy te powinny wejść w życie niezwłocznie po ogłoszeniu ustawy.</w:t>
      </w:r>
      <w:r w:rsidR="00C632BA">
        <w:rPr>
          <w:lang w:eastAsia="en-US"/>
        </w:rPr>
        <w:t xml:space="preserve"> </w:t>
      </w:r>
      <w:r w:rsidR="000F679F">
        <w:rPr>
          <w:lang w:eastAsia="en-US"/>
        </w:rPr>
        <w:t>Z powyższych względów wejście</w:t>
      </w:r>
      <w:r w:rsidR="00C632BA">
        <w:rPr>
          <w:lang w:eastAsia="en-US"/>
        </w:rPr>
        <w:t xml:space="preserve"> w życie tych </w:t>
      </w:r>
      <w:r w:rsidR="00C632BA">
        <w:rPr>
          <w:lang w:eastAsia="en-US"/>
        </w:rPr>
        <w:lastRenderedPageBreak/>
        <w:t xml:space="preserve">przepisów </w:t>
      </w:r>
      <w:r w:rsidR="00883EB0">
        <w:rPr>
          <w:lang w:eastAsia="en-US"/>
        </w:rPr>
        <w:t>w tym</w:t>
      </w:r>
      <w:r w:rsidR="000F679F">
        <w:rPr>
          <w:lang w:eastAsia="en-US"/>
        </w:rPr>
        <w:t xml:space="preserve"> terminie nie jest sprzeczne</w:t>
      </w:r>
      <w:r w:rsidR="00C632BA">
        <w:rPr>
          <w:lang w:eastAsia="en-US"/>
        </w:rPr>
        <w:t xml:space="preserve"> </w:t>
      </w:r>
      <w:r w:rsidR="000F679F">
        <w:rPr>
          <w:lang w:eastAsia="en-US"/>
        </w:rPr>
        <w:t>z zasadami demokratycznego państwa prawnego.</w:t>
      </w:r>
    </w:p>
    <w:p w:rsidR="004F37B9" w:rsidRPr="00CA5A71" w:rsidRDefault="004F37B9" w:rsidP="009C7802">
      <w:pPr>
        <w:spacing w:before="120" w:line="360" w:lineRule="auto"/>
        <w:jc w:val="both"/>
        <w:rPr>
          <w:lang w:eastAsia="en-US"/>
        </w:rPr>
      </w:pPr>
      <w:r w:rsidRPr="00CA5A71">
        <w:rPr>
          <w:lang w:eastAsia="en-US"/>
        </w:rPr>
        <w:t>Projekt ustawy jest zgodny z prawem Unii Europejskiej.</w:t>
      </w:r>
    </w:p>
    <w:p w:rsidR="004F37B9" w:rsidRPr="00CA5A71" w:rsidRDefault="004F37B9" w:rsidP="009C7802">
      <w:pPr>
        <w:spacing w:before="120" w:line="360" w:lineRule="auto"/>
        <w:jc w:val="both"/>
        <w:rPr>
          <w:lang w:eastAsia="en-US"/>
        </w:rPr>
      </w:pPr>
      <w:r w:rsidRPr="00CA5A71">
        <w:rPr>
          <w:lang w:eastAsia="en-US"/>
        </w:rPr>
        <w:t>Stosownie do art. 5 ustawy z dnia 7 lipca 2005 r. o działalności lobbingowej w procesie stanowienia prawa (Dz. U. poz. 1414, z późn. zm.), projekt ustawy zosta</w:t>
      </w:r>
      <w:r w:rsidR="006C7DAA">
        <w:rPr>
          <w:lang w:eastAsia="en-US"/>
        </w:rPr>
        <w:t>ł</w:t>
      </w:r>
      <w:r w:rsidRPr="00CA5A71">
        <w:rPr>
          <w:lang w:eastAsia="en-US"/>
        </w:rPr>
        <w:t xml:space="preserve"> udostępniony w Biuletynie Informacji Publicznej Rządowego Centrum Legislacji.</w:t>
      </w:r>
    </w:p>
    <w:p w:rsidR="009C7802" w:rsidRPr="009C7802" w:rsidRDefault="004F37B9" w:rsidP="00F101C3">
      <w:pPr>
        <w:spacing w:before="120" w:line="360" w:lineRule="auto"/>
        <w:jc w:val="both"/>
        <w:rPr>
          <w:sz w:val="20"/>
          <w:szCs w:val="20"/>
        </w:rPr>
      </w:pPr>
      <w:r w:rsidRPr="00CA5A71">
        <w:rPr>
          <w:lang w:eastAsia="en-US"/>
        </w:rPr>
        <w:t>Projektowana ustawa została zamieszczona w Wykazie prac legislacyjnych Rady Ministrów.</w:t>
      </w:r>
    </w:p>
    <w:sectPr w:rsidR="009C7802" w:rsidRPr="009C7802" w:rsidSect="009C7802">
      <w:footerReference w:type="default" r:id="rId8"/>
      <w:pgSz w:w="11906" w:h="16838"/>
      <w:pgMar w:top="1588" w:right="1418" w:bottom="1418" w:left="1985"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9C7802" w:rsidRDefault="009C7802" w:rsidP="009C7802">
      <w:r>
        <w:separator/>
      </w:r>
    </w:p>
  </w:endnote>
  <w:endnote w:type="continuationSeparator" w:id="0">
    <w:p w:rsidR="009C7802" w:rsidRDefault="009C7802" w:rsidP="009C780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EE"/>
    <w:family w:val="roman"/>
    <w:pitch w:val="variable"/>
    <w:sig w:usb0="E0002AFF" w:usb1="C0007841" w:usb2="00000009" w:usb3="00000000" w:csb0="000001FF" w:csb1="00000000"/>
  </w:font>
  <w:font w:name="Calibri">
    <w:panose1 w:val="020F0502020204030204"/>
    <w:charset w:val="EE"/>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EE"/>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54110936"/>
      <w:docPartObj>
        <w:docPartGallery w:val="Page Numbers (Bottom of Page)"/>
        <w:docPartUnique/>
      </w:docPartObj>
    </w:sdtPr>
    <w:sdtEndPr/>
    <w:sdtContent>
      <w:p w:rsidR="009C7802" w:rsidRDefault="009C7802" w:rsidP="009C7802">
        <w:pPr>
          <w:pStyle w:val="Stopka"/>
          <w:jc w:val="center"/>
        </w:pPr>
        <w:r>
          <w:fldChar w:fldCharType="begin"/>
        </w:r>
        <w:r>
          <w:instrText>PAGE   \* MERGEFORMAT</w:instrText>
        </w:r>
        <w:r>
          <w:fldChar w:fldCharType="separate"/>
        </w:r>
        <w:r w:rsidR="00F714C4">
          <w:rPr>
            <w:noProof/>
          </w:rPr>
          <w:t>14</w:t>
        </w:r>
        <w:r>
          <w:fldChar w:fldCharType="end"/>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9C7802" w:rsidRDefault="009C7802" w:rsidP="009C7802">
      <w:r>
        <w:separator/>
      </w:r>
    </w:p>
  </w:footnote>
  <w:footnote w:type="continuationSeparator" w:id="0">
    <w:p w:rsidR="009C7802" w:rsidRDefault="009C7802" w:rsidP="009C780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2E2B5832"/>
    <w:multiLevelType w:val="hybridMultilevel"/>
    <w:tmpl w:val="6CD20D50"/>
    <w:lvl w:ilvl="0" w:tplc="04150011">
      <w:start w:val="1"/>
      <w:numFmt w:val="decimal"/>
      <w:lvlText w:val="%1)"/>
      <w:lvlJc w:val="left"/>
      <w:pPr>
        <w:ind w:left="1428" w:hanging="360"/>
      </w:pPr>
      <w:rPr>
        <w:rFonts w:cs="Times New Roman"/>
      </w:rPr>
    </w:lvl>
    <w:lvl w:ilvl="1" w:tplc="04150019">
      <w:start w:val="1"/>
      <w:numFmt w:val="lowerLetter"/>
      <w:lvlText w:val="%2."/>
      <w:lvlJc w:val="left"/>
      <w:pPr>
        <w:ind w:left="2148" w:hanging="360"/>
      </w:pPr>
      <w:rPr>
        <w:rFonts w:cs="Times New Roman"/>
      </w:rPr>
    </w:lvl>
    <w:lvl w:ilvl="2" w:tplc="0415001B">
      <w:start w:val="1"/>
      <w:numFmt w:val="lowerRoman"/>
      <w:lvlText w:val="%3."/>
      <w:lvlJc w:val="right"/>
      <w:pPr>
        <w:ind w:left="2868" w:hanging="180"/>
      </w:pPr>
      <w:rPr>
        <w:rFonts w:cs="Times New Roman"/>
      </w:rPr>
    </w:lvl>
    <w:lvl w:ilvl="3" w:tplc="0415000F">
      <w:start w:val="1"/>
      <w:numFmt w:val="decimal"/>
      <w:lvlText w:val="%4."/>
      <w:lvlJc w:val="left"/>
      <w:pPr>
        <w:ind w:left="3588" w:hanging="360"/>
      </w:pPr>
      <w:rPr>
        <w:rFonts w:cs="Times New Roman"/>
      </w:rPr>
    </w:lvl>
    <w:lvl w:ilvl="4" w:tplc="04150019">
      <w:start w:val="1"/>
      <w:numFmt w:val="lowerLetter"/>
      <w:lvlText w:val="%5."/>
      <w:lvlJc w:val="left"/>
      <w:pPr>
        <w:ind w:left="4308" w:hanging="360"/>
      </w:pPr>
      <w:rPr>
        <w:rFonts w:cs="Times New Roman"/>
      </w:rPr>
    </w:lvl>
    <w:lvl w:ilvl="5" w:tplc="0415001B">
      <w:start w:val="1"/>
      <w:numFmt w:val="lowerRoman"/>
      <w:lvlText w:val="%6."/>
      <w:lvlJc w:val="right"/>
      <w:pPr>
        <w:ind w:left="5028" w:hanging="180"/>
      </w:pPr>
      <w:rPr>
        <w:rFonts w:cs="Times New Roman"/>
      </w:rPr>
    </w:lvl>
    <w:lvl w:ilvl="6" w:tplc="0415000F">
      <w:start w:val="1"/>
      <w:numFmt w:val="decimal"/>
      <w:lvlText w:val="%7."/>
      <w:lvlJc w:val="left"/>
      <w:pPr>
        <w:ind w:left="5748" w:hanging="360"/>
      </w:pPr>
      <w:rPr>
        <w:rFonts w:cs="Times New Roman"/>
      </w:rPr>
    </w:lvl>
    <w:lvl w:ilvl="7" w:tplc="04150019">
      <w:start w:val="1"/>
      <w:numFmt w:val="lowerLetter"/>
      <w:lvlText w:val="%8."/>
      <w:lvlJc w:val="left"/>
      <w:pPr>
        <w:ind w:left="6468" w:hanging="360"/>
      </w:pPr>
      <w:rPr>
        <w:rFonts w:cs="Times New Roman"/>
      </w:rPr>
    </w:lvl>
    <w:lvl w:ilvl="8" w:tplc="0415001B">
      <w:start w:val="1"/>
      <w:numFmt w:val="lowerRoman"/>
      <w:lvlText w:val="%9."/>
      <w:lvlJc w:val="right"/>
      <w:pPr>
        <w:ind w:left="7188" w:hanging="180"/>
      </w:pPr>
      <w:rPr>
        <w:rFonts w:cs="Times New Roman"/>
      </w:rPr>
    </w:lvl>
  </w:abstractNum>
  <w:abstractNum w:abstractNumId="1">
    <w:nsid w:val="3DBE6357"/>
    <w:multiLevelType w:val="hybridMultilevel"/>
    <w:tmpl w:val="6CD20D50"/>
    <w:lvl w:ilvl="0" w:tplc="04150011">
      <w:start w:val="1"/>
      <w:numFmt w:val="decimal"/>
      <w:lvlText w:val="%1)"/>
      <w:lvlJc w:val="left"/>
      <w:pPr>
        <w:ind w:left="1428" w:hanging="360"/>
      </w:pPr>
      <w:rPr>
        <w:rFonts w:cs="Times New Roman"/>
      </w:rPr>
    </w:lvl>
    <w:lvl w:ilvl="1" w:tplc="04150019">
      <w:start w:val="1"/>
      <w:numFmt w:val="lowerLetter"/>
      <w:lvlText w:val="%2."/>
      <w:lvlJc w:val="left"/>
      <w:pPr>
        <w:ind w:left="2148" w:hanging="360"/>
      </w:pPr>
      <w:rPr>
        <w:rFonts w:cs="Times New Roman"/>
      </w:rPr>
    </w:lvl>
    <w:lvl w:ilvl="2" w:tplc="0415001B">
      <w:start w:val="1"/>
      <w:numFmt w:val="lowerRoman"/>
      <w:lvlText w:val="%3."/>
      <w:lvlJc w:val="right"/>
      <w:pPr>
        <w:ind w:left="2868" w:hanging="180"/>
      </w:pPr>
      <w:rPr>
        <w:rFonts w:cs="Times New Roman"/>
      </w:rPr>
    </w:lvl>
    <w:lvl w:ilvl="3" w:tplc="0415000F">
      <w:start w:val="1"/>
      <w:numFmt w:val="decimal"/>
      <w:lvlText w:val="%4."/>
      <w:lvlJc w:val="left"/>
      <w:pPr>
        <w:ind w:left="3588" w:hanging="360"/>
      </w:pPr>
      <w:rPr>
        <w:rFonts w:cs="Times New Roman"/>
      </w:rPr>
    </w:lvl>
    <w:lvl w:ilvl="4" w:tplc="04150019">
      <w:start w:val="1"/>
      <w:numFmt w:val="lowerLetter"/>
      <w:lvlText w:val="%5."/>
      <w:lvlJc w:val="left"/>
      <w:pPr>
        <w:ind w:left="4308" w:hanging="360"/>
      </w:pPr>
      <w:rPr>
        <w:rFonts w:cs="Times New Roman"/>
      </w:rPr>
    </w:lvl>
    <w:lvl w:ilvl="5" w:tplc="0415001B">
      <w:start w:val="1"/>
      <w:numFmt w:val="lowerRoman"/>
      <w:lvlText w:val="%6."/>
      <w:lvlJc w:val="right"/>
      <w:pPr>
        <w:ind w:left="5028" w:hanging="180"/>
      </w:pPr>
      <w:rPr>
        <w:rFonts w:cs="Times New Roman"/>
      </w:rPr>
    </w:lvl>
    <w:lvl w:ilvl="6" w:tplc="0415000F">
      <w:start w:val="1"/>
      <w:numFmt w:val="decimal"/>
      <w:lvlText w:val="%7."/>
      <w:lvlJc w:val="left"/>
      <w:pPr>
        <w:ind w:left="5748" w:hanging="360"/>
      </w:pPr>
      <w:rPr>
        <w:rFonts w:cs="Times New Roman"/>
      </w:rPr>
    </w:lvl>
    <w:lvl w:ilvl="7" w:tplc="04150019">
      <w:start w:val="1"/>
      <w:numFmt w:val="lowerLetter"/>
      <w:lvlText w:val="%8."/>
      <w:lvlJc w:val="left"/>
      <w:pPr>
        <w:ind w:left="6468" w:hanging="360"/>
      </w:pPr>
      <w:rPr>
        <w:rFonts w:cs="Times New Roman"/>
      </w:rPr>
    </w:lvl>
    <w:lvl w:ilvl="8" w:tplc="0415001B">
      <w:start w:val="1"/>
      <w:numFmt w:val="lowerRoman"/>
      <w:lvlText w:val="%9."/>
      <w:lvlJc w:val="right"/>
      <w:pPr>
        <w:ind w:left="7188" w:hanging="180"/>
      </w:pPr>
      <w:rPr>
        <w:rFonts w:cs="Times New Roman"/>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F37B9"/>
    <w:rsid w:val="000F679F"/>
    <w:rsid w:val="00175A27"/>
    <w:rsid w:val="00250305"/>
    <w:rsid w:val="00282157"/>
    <w:rsid w:val="003206BA"/>
    <w:rsid w:val="004F37B9"/>
    <w:rsid w:val="00502CA9"/>
    <w:rsid w:val="0069354A"/>
    <w:rsid w:val="006C7DAA"/>
    <w:rsid w:val="00777034"/>
    <w:rsid w:val="00883EB0"/>
    <w:rsid w:val="009305D1"/>
    <w:rsid w:val="009A480B"/>
    <w:rsid w:val="009C7802"/>
    <w:rsid w:val="00A61B74"/>
    <w:rsid w:val="00AA4052"/>
    <w:rsid w:val="00AD6A67"/>
    <w:rsid w:val="00B92A4D"/>
    <w:rsid w:val="00BE4B65"/>
    <w:rsid w:val="00C632BA"/>
    <w:rsid w:val="00C64C3C"/>
    <w:rsid w:val="00C70323"/>
    <w:rsid w:val="00CC5016"/>
    <w:rsid w:val="00D8098D"/>
    <w:rsid w:val="00D935DE"/>
    <w:rsid w:val="00F101C3"/>
    <w:rsid w:val="00F714C4"/>
    <w:rsid w:val="00FC5B8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F37B9"/>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C7802"/>
    <w:pPr>
      <w:tabs>
        <w:tab w:val="center" w:pos="4536"/>
        <w:tab w:val="right" w:pos="9072"/>
      </w:tabs>
    </w:pPr>
  </w:style>
  <w:style w:type="character" w:customStyle="1" w:styleId="NagwekZnak">
    <w:name w:val="Nagłówek Znak"/>
    <w:basedOn w:val="Domylnaczcionkaakapitu"/>
    <w:link w:val="Nagwek"/>
    <w:uiPriority w:val="99"/>
    <w:rsid w:val="009C7802"/>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9C7802"/>
    <w:pPr>
      <w:tabs>
        <w:tab w:val="center" w:pos="4536"/>
        <w:tab w:val="right" w:pos="9072"/>
      </w:tabs>
    </w:pPr>
  </w:style>
  <w:style w:type="character" w:customStyle="1" w:styleId="StopkaZnak">
    <w:name w:val="Stopka Znak"/>
    <w:basedOn w:val="Domylnaczcionkaakapitu"/>
    <w:link w:val="Stopka"/>
    <w:uiPriority w:val="99"/>
    <w:rsid w:val="009C7802"/>
    <w:rPr>
      <w:rFonts w:ascii="Times New Roman" w:eastAsia="Calibri" w:hAnsi="Times New Roman" w:cs="Times New Roman"/>
      <w:sz w:val="24"/>
      <w:szCs w:val="24"/>
      <w:lang w:eastAsia="pl-PL"/>
    </w:rPr>
  </w:style>
  <w:style w:type="paragraph" w:styleId="Tekstdymka">
    <w:name w:val="Balloon Text"/>
    <w:basedOn w:val="Normalny"/>
    <w:link w:val="TekstdymkaZnak"/>
    <w:uiPriority w:val="99"/>
    <w:semiHidden/>
    <w:unhideWhenUsed/>
    <w:rsid w:val="000F679F"/>
    <w:rPr>
      <w:rFonts w:ascii="Tahoma" w:hAnsi="Tahoma" w:cs="Tahoma"/>
      <w:sz w:val="16"/>
      <w:szCs w:val="16"/>
    </w:rPr>
  </w:style>
  <w:style w:type="character" w:customStyle="1" w:styleId="TekstdymkaZnak">
    <w:name w:val="Tekst dymka Znak"/>
    <w:basedOn w:val="Domylnaczcionkaakapitu"/>
    <w:link w:val="Tekstdymka"/>
    <w:uiPriority w:val="99"/>
    <w:semiHidden/>
    <w:rsid w:val="000F679F"/>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0F679F"/>
    <w:rPr>
      <w:sz w:val="16"/>
      <w:szCs w:val="16"/>
    </w:rPr>
  </w:style>
  <w:style w:type="paragraph" w:styleId="Tekstkomentarza">
    <w:name w:val="annotation text"/>
    <w:basedOn w:val="Normalny"/>
    <w:link w:val="TekstkomentarzaZnak"/>
    <w:uiPriority w:val="99"/>
    <w:semiHidden/>
    <w:unhideWhenUsed/>
    <w:rsid w:val="000F679F"/>
    <w:rPr>
      <w:sz w:val="20"/>
      <w:szCs w:val="20"/>
    </w:rPr>
  </w:style>
  <w:style w:type="character" w:customStyle="1" w:styleId="TekstkomentarzaZnak">
    <w:name w:val="Tekst komentarza Znak"/>
    <w:basedOn w:val="Domylnaczcionkaakapitu"/>
    <w:link w:val="Tekstkomentarza"/>
    <w:uiPriority w:val="99"/>
    <w:semiHidden/>
    <w:rsid w:val="000F679F"/>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F679F"/>
    <w:rPr>
      <w:b/>
      <w:bCs/>
    </w:rPr>
  </w:style>
  <w:style w:type="character" w:customStyle="1" w:styleId="TematkomentarzaZnak">
    <w:name w:val="Temat komentarza Znak"/>
    <w:basedOn w:val="TekstkomentarzaZnak"/>
    <w:link w:val="Tematkomentarza"/>
    <w:uiPriority w:val="99"/>
    <w:semiHidden/>
    <w:rsid w:val="000F679F"/>
    <w:rPr>
      <w:rFonts w:ascii="Times New Roman" w:eastAsia="Calibri" w:hAnsi="Times New Roman" w:cs="Times New Roman"/>
      <w:b/>
      <w:bCs/>
      <w:sz w:val="20"/>
      <w:szCs w:val="20"/>
      <w:lang w:eastAsia="pl-PL"/>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ny">
    <w:name w:val="Normal"/>
    <w:qFormat/>
    <w:rsid w:val="004F37B9"/>
    <w:pPr>
      <w:spacing w:after="0" w:line="240" w:lineRule="auto"/>
    </w:pPr>
    <w:rPr>
      <w:rFonts w:ascii="Times New Roman" w:eastAsia="Calibri" w:hAnsi="Times New Roman" w:cs="Times New Roman"/>
      <w:sz w:val="24"/>
      <w:szCs w:val="24"/>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Nagwek">
    <w:name w:val="header"/>
    <w:basedOn w:val="Normalny"/>
    <w:link w:val="NagwekZnak"/>
    <w:uiPriority w:val="99"/>
    <w:unhideWhenUsed/>
    <w:rsid w:val="009C7802"/>
    <w:pPr>
      <w:tabs>
        <w:tab w:val="center" w:pos="4536"/>
        <w:tab w:val="right" w:pos="9072"/>
      </w:tabs>
    </w:pPr>
  </w:style>
  <w:style w:type="character" w:customStyle="1" w:styleId="NagwekZnak">
    <w:name w:val="Nagłówek Znak"/>
    <w:basedOn w:val="Domylnaczcionkaakapitu"/>
    <w:link w:val="Nagwek"/>
    <w:uiPriority w:val="99"/>
    <w:rsid w:val="009C7802"/>
    <w:rPr>
      <w:rFonts w:ascii="Times New Roman" w:eastAsia="Calibri" w:hAnsi="Times New Roman" w:cs="Times New Roman"/>
      <w:sz w:val="24"/>
      <w:szCs w:val="24"/>
      <w:lang w:eastAsia="pl-PL"/>
    </w:rPr>
  </w:style>
  <w:style w:type="paragraph" w:styleId="Stopka">
    <w:name w:val="footer"/>
    <w:basedOn w:val="Normalny"/>
    <w:link w:val="StopkaZnak"/>
    <w:uiPriority w:val="99"/>
    <w:unhideWhenUsed/>
    <w:rsid w:val="009C7802"/>
    <w:pPr>
      <w:tabs>
        <w:tab w:val="center" w:pos="4536"/>
        <w:tab w:val="right" w:pos="9072"/>
      </w:tabs>
    </w:pPr>
  </w:style>
  <w:style w:type="character" w:customStyle="1" w:styleId="StopkaZnak">
    <w:name w:val="Stopka Znak"/>
    <w:basedOn w:val="Domylnaczcionkaakapitu"/>
    <w:link w:val="Stopka"/>
    <w:uiPriority w:val="99"/>
    <w:rsid w:val="009C7802"/>
    <w:rPr>
      <w:rFonts w:ascii="Times New Roman" w:eastAsia="Calibri" w:hAnsi="Times New Roman" w:cs="Times New Roman"/>
      <w:sz w:val="24"/>
      <w:szCs w:val="24"/>
      <w:lang w:eastAsia="pl-PL"/>
    </w:rPr>
  </w:style>
  <w:style w:type="paragraph" w:styleId="Tekstdymka">
    <w:name w:val="Balloon Text"/>
    <w:basedOn w:val="Normalny"/>
    <w:link w:val="TekstdymkaZnak"/>
    <w:uiPriority w:val="99"/>
    <w:semiHidden/>
    <w:unhideWhenUsed/>
    <w:rsid w:val="000F679F"/>
    <w:rPr>
      <w:rFonts w:ascii="Tahoma" w:hAnsi="Tahoma" w:cs="Tahoma"/>
      <w:sz w:val="16"/>
      <w:szCs w:val="16"/>
    </w:rPr>
  </w:style>
  <w:style w:type="character" w:customStyle="1" w:styleId="TekstdymkaZnak">
    <w:name w:val="Tekst dymka Znak"/>
    <w:basedOn w:val="Domylnaczcionkaakapitu"/>
    <w:link w:val="Tekstdymka"/>
    <w:uiPriority w:val="99"/>
    <w:semiHidden/>
    <w:rsid w:val="000F679F"/>
    <w:rPr>
      <w:rFonts w:ascii="Tahoma" w:eastAsia="Calibri" w:hAnsi="Tahoma" w:cs="Tahoma"/>
      <w:sz w:val="16"/>
      <w:szCs w:val="16"/>
      <w:lang w:eastAsia="pl-PL"/>
    </w:rPr>
  </w:style>
  <w:style w:type="character" w:styleId="Odwoaniedokomentarza">
    <w:name w:val="annotation reference"/>
    <w:basedOn w:val="Domylnaczcionkaakapitu"/>
    <w:uiPriority w:val="99"/>
    <w:semiHidden/>
    <w:unhideWhenUsed/>
    <w:rsid w:val="000F679F"/>
    <w:rPr>
      <w:sz w:val="16"/>
      <w:szCs w:val="16"/>
    </w:rPr>
  </w:style>
  <w:style w:type="paragraph" w:styleId="Tekstkomentarza">
    <w:name w:val="annotation text"/>
    <w:basedOn w:val="Normalny"/>
    <w:link w:val="TekstkomentarzaZnak"/>
    <w:uiPriority w:val="99"/>
    <w:semiHidden/>
    <w:unhideWhenUsed/>
    <w:rsid w:val="000F679F"/>
    <w:rPr>
      <w:sz w:val="20"/>
      <w:szCs w:val="20"/>
    </w:rPr>
  </w:style>
  <w:style w:type="character" w:customStyle="1" w:styleId="TekstkomentarzaZnak">
    <w:name w:val="Tekst komentarza Znak"/>
    <w:basedOn w:val="Domylnaczcionkaakapitu"/>
    <w:link w:val="Tekstkomentarza"/>
    <w:uiPriority w:val="99"/>
    <w:semiHidden/>
    <w:rsid w:val="000F679F"/>
    <w:rPr>
      <w:rFonts w:ascii="Times New Roman" w:eastAsia="Calibri" w:hAnsi="Times New Roman" w:cs="Times New Roman"/>
      <w:sz w:val="20"/>
      <w:szCs w:val="20"/>
      <w:lang w:eastAsia="pl-PL"/>
    </w:rPr>
  </w:style>
  <w:style w:type="paragraph" w:styleId="Tematkomentarza">
    <w:name w:val="annotation subject"/>
    <w:basedOn w:val="Tekstkomentarza"/>
    <w:next w:val="Tekstkomentarza"/>
    <w:link w:val="TematkomentarzaZnak"/>
    <w:uiPriority w:val="99"/>
    <w:semiHidden/>
    <w:unhideWhenUsed/>
    <w:rsid w:val="000F679F"/>
    <w:rPr>
      <w:b/>
      <w:bCs/>
    </w:rPr>
  </w:style>
  <w:style w:type="character" w:customStyle="1" w:styleId="TematkomentarzaZnak">
    <w:name w:val="Temat komentarza Znak"/>
    <w:basedOn w:val="TekstkomentarzaZnak"/>
    <w:link w:val="Tematkomentarza"/>
    <w:uiPriority w:val="99"/>
    <w:semiHidden/>
    <w:rsid w:val="000F679F"/>
    <w:rPr>
      <w:rFonts w:ascii="Times New Roman" w:eastAsia="Calibri" w:hAnsi="Times New Roman" w:cs="Times New Roman"/>
      <w:b/>
      <w:bCs/>
      <w:sz w:val="20"/>
      <w:szCs w:val="20"/>
      <w:lang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14</Pages>
  <Words>4429</Words>
  <Characters>26576</Characters>
  <Application>Microsoft Office Word</Application>
  <DocSecurity>0</DocSecurity>
  <Lines>221</Lines>
  <Paragraphs>61</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30944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Roza Chmielewska</dc:creator>
  <cp:lastModifiedBy>Ewa A. Genert</cp:lastModifiedBy>
  <cp:revision>2</cp:revision>
  <dcterms:created xsi:type="dcterms:W3CDTF">2017-01-19T13:41:00Z</dcterms:created>
  <dcterms:modified xsi:type="dcterms:W3CDTF">2017-01-19T13:41:00Z</dcterms:modified>
</cp:coreProperties>
</file>