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4D4" w:rsidRPr="000224D4" w:rsidRDefault="000224D4" w:rsidP="00461275">
      <w:pPr>
        <w:keepNext/>
        <w:suppressAutoHyphens/>
        <w:spacing w:after="0" w:line="360" w:lineRule="auto"/>
        <w:jc w:val="center"/>
        <w:rPr>
          <w:rFonts w:ascii="Times New Roman" w:eastAsia="Times New Roman" w:hAnsi="Times New Roman" w:cs="Times New Roman"/>
          <w:bCs/>
          <w:sz w:val="24"/>
          <w:szCs w:val="24"/>
          <w:lang w:eastAsia="pl-PL"/>
        </w:rPr>
      </w:pPr>
      <w:bookmarkStart w:id="0" w:name="_GoBack"/>
      <w:bookmarkEnd w:id="0"/>
      <w:r w:rsidRPr="000224D4">
        <w:rPr>
          <w:rFonts w:ascii="Times New Roman" w:eastAsia="Times New Roman" w:hAnsi="Times New Roman" w:cs="Times New Roman"/>
          <w:bCs/>
          <w:sz w:val="24"/>
          <w:szCs w:val="24"/>
          <w:lang w:eastAsia="pl-PL"/>
        </w:rPr>
        <w:t>UZASADNIENIE</w:t>
      </w:r>
    </w:p>
    <w:p w:rsidR="000224D4" w:rsidRPr="000224D4" w:rsidRDefault="000224D4" w:rsidP="00914B22">
      <w:pPr>
        <w:suppressAutoHyphens/>
        <w:autoSpaceDE w:val="0"/>
        <w:autoSpaceDN w:val="0"/>
        <w:adjustRightInd w:val="0"/>
        <w:spacing w:before="24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Opinia publiczna regularnie </w:t>
      </w:r>
      <w:r w:rsidR="00AC16E3" w:rsidRPr="000224D4">
        <w:rPr>
          <w:rFonts w:ascii="Times New Roman" w:eastAsia="Times New Roman" w:hAnsi="Times New Roman" w:cs="Times New Roman"/>
          <w:sz w:val="24"/>
          <w:szCs w:val="20"/>
          <w:lang w:eastAsia="pl-PL"/>
        </w:rPr>
        <w:t xml:space="preserve">jest </w:t>
      </w:r>
      <w:r w:rsidRPr="000224D4">
        <w:rPr>
          <w:rFonts w:ascii="Times New Roman" w:eastAsia="Times New Roman" w:hAnsi="Times New Roman" w:cs="Times New Roman"/>
          <w:sz w:val="24"/>
          <w:szCs w:val="20"/>
          <w:lang w:eastAsia="pl-PL"/>
        </w:rPr>
        <w:t>wstrząsana doniesieniami o rażącym nieprzestrzeganiu przepisów ruchu drogowego przez niektóry</w:t>
      </w:r>
      <w:r w:rsidR="00914B22">
        <w:rPr>
          <w:rFonts w:ascii="Times New Roman" w:eastAsia="Times New Roman" w:hAnsi="Times New Roman" w:cs="Times New Roman"/>
          <w:sz w:val="24"/>
          <w:szCs w:val="20"/>
          <w:lang w:eastAsia="pl-PL"/>
        </w:rPr>
        <w:t>ch kierowców, w szczególności o </w:t>
      </w:r>
      <w:r w:rsidRPr="000224D4">
        <w:rPr>
          <w:rFonts w:ascii="Times New Roman" w:eastAsia="Times New Roman" w:hAnsi="Times New Roman" w:cs="Times New Roman"/>
          <w:sz w:val="24"/>
          <w:szCs w:val="20"/>
          <w:lang w:eastAsia="pl-PL"/>
        </w:rPr>
        <w:t>powodowaniu przez nich wypadków skutkujących śmiercią lub ciężkimi uszkodzeniami ciała. Szczególny rezonans społeczny i powszechne potępienie wywołują doniesienia o popełnieniu takich czynów przez spraw</w:t>
      </w:r>
      <w:r w:rsidR="00914B22">
        <w:rPr>
          <w:rFonts w:ascii="Times New Roman" w:eastAsia="Times New Roman" w:hAnsi="Times New Roman" w:cs="Times New Roman"/>
          <w:sz w:val="24"/>
          <w:szCs w:val="20"/>
          <w:lang w:eastAsia="pl-PL"/>
        </w:rPr>
        <w:t>ców znajdujących się w </w:t>
      </w:r>
      <w:r w:rsidRPr="000224D4">
        <w:rPr>
          <w:rFonts w:ascii="Times New Roman" w:eastAsia="Times New Roman" w:hAnsi="Times New Roman" w:cs="Times New Roman"/>
          <w:sz w:val="24"/>
          <w:szCs w:val="20"/>
          <w:lang w:eastAsia="pl-PL"/>
        </w:rPr>
        <w:t>stanie nietrzeźwości lub pod wpływem środków odurzających. Reakcja na takie czyny organów ścigania i organów wymiaru sprawiedliwości nierzadko nie jest też adekwatna, a wymierzane kary rażą nadmierną łagodnością.</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Niezależnie od przyczyn tego zjawiska, związanych ze stopniem uwrażliwienia</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społecznego na problem naruszania norm prawnych w zakresie ruchu drogowego, skuteczności działań organów ścigania i prawidłowości stosowania obowiązujących unormowań prawnokarnych przez sądy, należy stwierdzić, że nieprawidłowości dotyczące stosowania w praktyce odpowiedzialności karnej w stosunku do sprawców takich czynów wynikają również z ułomności regulacji prawnych w tym zakresie. Te niewłaściwe, wymagające korekty uregulowania przysparzały w praktyce wielu komplikacji, utrudniając zarówno prowadze</w:t>
      </w:r>
      <w:r w:rsidR="00914B22">
        <w:rPr>
          <w:rFonts w:ascii="Times New Roman" w:eastAsia="Times New Roman" w:hAnsi="Times New Roman" w:cs="Times New Roman"/>
          <w:sz w:val="24"/>
          <w:szCs w:val="20"/>
          <w:lang w:eastAsia="pl-PL"/>
        </w:rPr>
        <w:t>nie postępowania karnego, jak i </w:t>
      </w:r>
      <w:r w:rsidRPr="000224D4">
        <w:rPr>
          <w:rFonts w:ascii="Times New Roman" w:eastAsia="Times New Roman" w:hAnsi="Times New Roman" w:cs="Times New Roman"/>
          <w:sz w:val="24"/>
          <w:szCs w:val="20"/>
          <w:lang w:eastAsia="pl-PL"/>
        </w:rPr>
        <w:t xml:space="preserve">wymierzenie w danym </w:t>
      </w:r>
      <w:r w:rsidR="00AC16E3">
        <w:rPr>
          <w:rFonts w:ascii="Times New Roman" w:eastAsia="Times New Roman" w:hAnsi="Times New Roman" w:cs="Times New Roman"/>
          <w:sz w:val="24"/>
          <w:szCs w:val="20"/>
          <w:lang w:eastAsia="pl-PL"/>
        </w:rPr>
        <w:t>przy</w:t>
      </w:r>
      <w:r w:rsidRPr="000224D4">
        <w:rPr>
          <w:rFonts w:ascii="Times New Roman" w:eastAsia="Times New Roman" w:hAnsi="Times New Roman" w:cs="Times New Roman"/>
          <w:sz w:val="24"/>
          <w:szCs w:val="20"/>
          <w:lang w:eastAsia="pl-PL"/>
        </w:rPr>
        <w:t>padku kary respektującej wszystkie dyrektywy jej wymiaru. Zamierzeniem projektodawcy jest</w:t>
      </w:r>
      <w:r w:rsidR="00AC16E3">
        <w:rPr>
          <w:rFonts w:ascii="Times New Roman" w:eastAsia="Times New Roman" w:hAnsi="Times New Roman" w:cs="Times New Roman"/>
          <w:sz w:val="24"/>
          <w:szCs w:val="20"/>
          <w:lang w:eastAsia="pl-PL"/>
        </w:rPr>
        <w:t xml:space="preserve"> wyeliminowanie tych uchybień i </w:t>
      </w:r>
      <w:r w:rsidRPr="000224D4">
        <w:rPr>
          <w:rFonts w:ascii="Times New Roman" w:eastAsia="Times New Roman" w:hAnsi="Times New Roman" w:cs="Times New Roman"/>
          <w:sz w:val="24"/>
          <w:szCs w:val="20"/>
          <w:lang w:eastAsia="pl-PL"/>
        </w:rPr>
        <w:t>uczynienie w ten sposób postępowania w sprawach</w:t>
      </w:r>
      <w:r w:rsidR="00E20232">
        <w:rPr>
          <w:rFonts w:ascii="Times New Roman" w:eastAsia="Times New Roman" w:hAnsi="Times New Roman" w:cs="Times New Roman"/>
          <w:sz w:val="24"/>
          <w:szCs w:val="20"/>
          <w:lang w:eastAsia="pl-PL"/>
        </w:rPr>
        <w:t xml:space="preserve"> o przestępstwa i wykroczenia w </w:t>
      </w:r>
      <w:r w:rsidRPr="000224D4">
        <w:rPr>
          <w:rFonts w:ascii="Times New Roman" w:eastAsia="Times New Roman" w:hAnsi="Times New Roman" w:cs="Times New Roman"/>
          <w:sz w:val="24"/>
          <w:szCs w:val="20"/>
          <w:lang w:eastAsia="pl-PL"/>
        </w:rPr>
        <w:t>ruchu drogowym efektywniejszym, a reakcji karnej odpowiadającej stopniowi społecznej szkodliwości czynu, zawinienia oraz rzeczywistym względom prewencji indywidualnej i generalnej.</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Pierwszą z kwestii wymagających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zdaniem projektodawców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ingerencji legislacyjnej jest kwestia biegu terminu przedawnienia karalności wykroczeń. Nie ma wątpliwości, że karalność wykroczenia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jako czynu charakteryzującego się najniższym abstrakcyjnym stopniem społecznej szkodliwości cz</w:t>
      </w:r>
      <w:r w:rsidR="00914B22">
        <w:rPr>
          <w:rFonts w:ascii="Times New Roman" w:eastAsia="Times New Roman" w:hAnsi="Times New Roman" w:cs="Times New Roman"/>
          <w:sz w:val="24"/>
          <w:szCs w:val="20"/>
          <w:lang w:eastAsia="pl-PL"/>
        </w:rPr>
        <w:t>ynu w porównaniu do występków i </w:t>
      </w:r>
      <w:r w:rsidRPr="000224D4">
        <w:rPr>
          <w:rFonts w:ascii="Times New Roman" w:eastAsia="Times New Roman" w:hAnsi="Times New Roman" w:cs="Times New Roman"/>
          <w:sz w:val="24"/>
          <w:szCs w:val="20"/>
          <w:lang w:eastAsia="pl-PL"/>
        </w:rPr>
        <w:t xml:space="preserve">zbrodni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powinna następować w stosunkowo krótkim okresie. W tym kontekście roczny okres przedawnienia karalności należy uzna</w:t>
      </w:r>
      <w:r w:rsidR="00914B22">
        <w:rPr>
          <w:rFonts w:ascii="Times New Roman" w:eastAsia="Times New Roman" w:hAnsi="Times New Roman" w:cs="Times New Roman"/>
          <w:sz w:val="24"/>
          <w:szCs w:val="20"/>
          <w:lang w:eastAsia="pl-PL"/>
        </w:rPr>
        <w:t>ć za optymalny. Jeżeli jednak w </w:t>
      </w:r>
      <w:r w:rsidRPr="000224D4">
        <w:rPr>
          <w:rFonts w:ascii="Times New Roman" w:eastAsia="Times New Roman" w:hAnsi="Times New Roman" w:cs="Times New Roman"/>
          <w:sz w:val="24"/>
          <w:szCs w:val="20"/>
          <w:lang w:eastAsia="pl-PL"/>
        </w:rPr>
        <w:t xml:space="preserve">czasie tego rocznego okresu wszczęto postępowanie w sprawie o wykroczenie, organy ścigania oraz wymiaru sprawiedliwości muszą mieć odpowiedni czas na przeprowadzenie postępowania i wydanie prawomocnego rozstrzygnięcia. Aktualnie </w:t>
      </w:r>
      <w:r w:rsidRPr="000224D4">
        <w:rPr>
          <w:rFonts w:ascii="Times New Roman" w:eastAsia="Times New Roman" w:hAnsi="Times New Roman" w:cs="Times New Roman"/>
          <w:sz w:val="24"/>
          <w:szCs w:val="20"/>
          <w:lang w:eastAsia="pl-PL"/>
        </w:rPr>
        <w:lastRenderedPageBreak/>
        <w:t xml:space="preserve">zgodnie z art. 45 § 1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jeżeli w tym okresie wszczęto postępowanie, karalność wykroczenia ustaje z upływem 2 lat od popełnienia czynu. Trzeba pamiętać, że w razie wszczęcia postępowania przed upływem rocznego terminu przedawnienia dochodzi do przedłużenia okresu przedawnienia karalności do 2 lat, nadal jednak liczonych od daty popełnienia czynu. Ten przedłużony okres musi być wystarczający na doprowadzenie do prawomocnego zakończenia procesu. Im później zatem wszczęto postępowanie, tym krótszy czas mają sądy na przeprowadzenie całej tej procedury. Na bieg przedmiotowego terminu nie ma już bowiem wpły</w:t>
      </w:r>
      <w:r w:rsidR="00914B22">
        <w:rPr>
          <w:rFonts w:ascii="Times New Roman" w:eastAsia="Times New Roman" w:hAnsi="Times New Roman" w:cs="Times New Roman"/>
          <w:sz w:val="24"/>
          <w:szCs w:val="20"/>
          <w:lang w:eastAsia="pl-PL"/>
        </w:rPr>
        <w:t>wu sam tok sprawy, odraczanie i </w:t>
      </w:r>
      <w:r w:rsidRPr="000224D4">
        <w:rPr>
          <w:rFonts w:ascii="Times New Roman" w:eastAsia="Times New Roman" w:hAnsi="Times New Roman" w:cs="Times New Roman"/>
          <w:sz w:val="24"/>
          <w:szCs w:val="20"/>
          <w:lang w:eastAsia="pl-PL"/>
        </w:rPr>
        <w:t>przerywanie rozprawy czy uchylenie wyroku w drugiej instancji i zwrot sprawy do ponownego jej rozpoznania itd. Zatem nawet jeżeli w dacie orzekania w pierwszej instancji przedawnienie jeszcze nie nastąpiło, ale o</w:t>
      </w:r>
      <w:r w:rsidR="00914B22">
        <w:rPr>
          <w:rFonts w:ascii="Times New Roman" w:eastAsia="Times New Roman" w:hAnsi="Times New Roman" w:cs="Times New Roman"/>
          <w:sz w:val="24"/>
          <w:szCs w:val="20"/>
          <w:lang w:eastAsia="pl-PL"/>
        </w:rPr>
        <w:t>bwiniony wystąpi z apelacją i </w:t>
      </w:r>
      <w:r w:rsidRPr="000224D4">
        <w:rPr>
          <w:rFonts w:ascii="Times New Roman" w:eastAsia="Times New Roman" w:hAnsi="Times New Roman" w:cs="Times New Roman"/>
          <w:sz w:val="24"/>
          <w:szCs w:val="20"/>
          <w:lang w:eastAsia="pl-PL"/>
        </w:rPr>
        <w:t>wówczas upłynie termin przedawnienia, musi dojść w sądzie odwoławczym do uchylenia wyroku i umorzenia postępowania, i to nawet gdyby skarżący cofnął następnie swój środek odwoławczy (zob. art. 104 § 1</w:t>
      </w:r>
      <w:r w:rsidR="003252FA">
        <w:rPr>
          <w:rFonts w:ascii="Times New Roman" w:eastAsia="Times New Roman" w:hAnsi="Times New Roman" w:cs="Times New Roman"/>
          <w:sz w:val="24"/>
          <w:szCs w:val="20"/>
          <w:lang w:eastAsia="pl-PL"/>
        </w:rPr>
        <w:t xml:space="preserve"> pkt 7 w zw. z art. 5 § 1 pkt 4 </w:t>
      </w:r>
      <w:proofErr w:type="spellStart"/>
      <w:r w:rsidRPr="000224D4">
        <w:rPr>
          <w:rFonts w:ascii="Times New Roman" w:eastAsia="Times New Roman" w:hAnsi="Times New Roman" w:cs="Times New Roman"/>
          <w:sz w:val="24"/>
          <w:szCs w:val="20"/>
          <w:lang w:eastAsia="pl-PL"/>
        </w:rPr>
        <w:t>k.p.w</w:t>
      </w:r>
      <w:proofErr w:type="spellEnd"/>
      <w:r w:rsidRPr="000224D4">
        <w:rPr>
          <w:rFonts w:ascii="Times New Roman" w:eastAsia="Times New Roman" w:hAnsi="Times New Roman" w:cs="Times New Roman"/>
          <w:sz w:val="24"/>
          <w:szCs w:val="20"/>
          <w:lang w:eastAsia="pl-PL"/>
        </w:rPr>
        <w:t xml:space="preserve">. i art. 432 k.p.k. w zw. z art. 105 § 2 </w:t>
      </w:r>
      <w:proofErr w:type="spellStart"/>
      <w:r w:rsidRPr="000224D4">
        <w:rPr>
          <w:rFonts w:ascii="Times New Roman" w:eastAsia="Times New Roman" w:hAnsi="Times New Roman" w:cs="Times New Roman"/>
          <w:sz w:val="24"/>
          <w:szCs w:val="20"/>
          <w:lang w:eastAsia="pl-PL"/>
        </w:rPr>
        <w:t>k.p.w</w:t>
      </w:r>
      <w:proofErr w:type="spellEnd"/>
      <w:r w:rsidRPr="000224D4">
        <w:rPr>
          <w:rFonts w:ascii="Times New Roman" w:eastAsia="Times New Roman" w:hAnsi="Times New Roman" w:cs="Times New Roman"/>
          <w:sz w:val="24"/>
          <w:szCs w:val="20"/>
          <w:lang w:eastAsia="pl-PL"/>
        </w:rPr>
        <w:t>.).</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Rozwiązanie takie nie uwzględnia złożoności postępowania prowadzonego w trybie procesowym przez sąd, z zachowaniem wszelkic</w:t>
      </w:r>
      <w:r w:rsidR="00914B22">
        <w:rPr>
          <w:rFonts w:ascii="Times New Roman" w:eastAsia="Times New Roman" w:hAnsi="Times New Roman" w:cs="Times New Roman"/>
          <w:sz w:val="24"/>
          <w:szCs w:val="20"/>
          <w:lang w:eastAsia="pl-PL"/>
        </w:rPr>
        <w:t>h gwarancji jego uczestników, w </w:t>
      </w:r>
      <w:r w:rsidRPr="000224D4">
        <w:rPr>
          <w:rFonts w:ascii="Times New Roman" w:eastAsia="Times New Roman" w:hAnsi="Times New Roman" w:cs="Times New Roman"/>
          <w:sz w:val="24"/>
          <w:szCs w:val="20"/>
          <w:lang w:eastAsia="pl-PL"/>
        </w:rPr>
        <w:t>postaci bardzo zbliżonej do procedury w sprawac</w:t>
      </w:r>
      <w:r w:rsidR="007767D6">
        <w:rPr>
          <w:rFonts w:ascii="Times New Roman" w:eastAsia="Times New Roman" w:hAnsi="Times New Roman" w:cs="Times New Roman"/>
          <w:sz w:val="24"/>
          <w:szCs w:val="20"/>
          <w:lang w:eastAsia="pl-PL"/>
        </w:rPr>
        <w:t>h o przestępstwa. W niektórych prz</w:t>
      </w:r>
      <w:r w:rsidRPr="000224D4">
        <w:rPr>
          <w:rFonts w:ascii="Times New Roman" w:eastAsia="Times New Roman" w:hAnsi="Times New Roman" w:cs="Times New Roman"/>
          <w:sz w:val="24"/>
          <w:szCs w:val="20"/>
          <w:lang w:eastAsia="pl-PL"/>
        </w:rPr>
        <w:t>ypadkach rzeczywisty czas na rozpoznanie takiej s</w:t>
      </w:r>
      <w:r w:rsidR="00914B22">
        <w:rPr>
          <w:rFonts w:ascii="Times New Roman" w:eastAsia="Times New Roman" w:hAnsi="Times New Roman" w:cs="Times New Roman"/>
          <w:sz w:val="24"/>
          <w:szCs w:val="20"/>
          <w:lang w:eastAsia="pl-PL"/>
        </w:rPr>
        <w:t>prawy o wykroczenie przez sąd w </w:t>
      </w:r>
      <w:r w:rsidRPr="000224D4">
        <w:rPr>
          <w:rFonts w:ascii="Times New Roman" w:eastAsia="Times New Roman" w:hAnsi="Times New Roman" w:cs="Times New Roman"/>
          <w:sz w:val="24"/>
          <w:szCs w:val="20"/>
          <w:lang w:eastAsia="pl-PL"/>
        </w:rPr>
        <w:t>dwóch instancjach może wynieść 8</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10 miesięcy, co w sądach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i to nie tylko wielkomiejskich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często okazuje się niemożliwe również z przyczyn obiektywnych. Strony procesowe mają bowiem szereg możliwości przeciągania i utrudniania biegu procesu, a w interesie obwinionego może leżeć umorzenie postępowania z powodu przedawnienia. Efektem tych regulacji są stosunkowo częste wypadki umorzenia postępowania sądowego z uwagi na przedawnienie karalności wykroczenia.</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Należy tytułem ilustracji wskazać, że w 2015 r. </w:t>
      </w:r>
      <w:r w:rsidR="00914B22">
        <w:rPr>
          <w:rFonts w:ascii="Times New Roman" w:eastAsia="Times New Roman" w:hAnsi="Times New Roman" w:cs="Times New Roman"/>
          <w:sz w:val="24"/>
          <w:szCs w:val="20"/>
          <w:lang w:eastAsia="pl-PL"/>
        </w:rPr>
        <w:t>sprawy ponad 1000 obwinionych o </w:t>
      </w:r>
      <w:r w:rsidRPr="000224D4">
        <w:rPr>
          <w:rFonts w:ascii="Times New Roman" w:eastAsia="Times New Roman" w:hAnsi="Times New Roman" w:cs="Times New Roman"/>
          <w:sz w:val="24"/>
          <w:szCs w:val="20"/>
          <w:lang w:eastAsia="pl-PL"/>
        </w:rPr>
        <w:t>wykroczenia drogowe sprawców (w tym 150 kolizji i 320 przekroczeń prędkości) przedawniły się (dane Ministerstwa Sprawiedliwości).</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Z tego względu proponuje się zmianę regulacji art. 45 § 1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w ten sposób, że</w:t>
      </w:r>
      <w:r w:rsidR="00914B22">
        <w:rPr>
          <w:rFonts w:ascii="Times New Roman" w:eastAsia="Times New Roman" w:hAnsi="Times New Roman" w:cs="Times New Roman"/>
          <w:sz w:val="24"/>
          <w:szCs w:val="20"/>
          <w:lang w:eastAsia="pl-PL"/>
        </w:rPr>
        <w:t xml:space="preserve"> jeżeli w </w:t>
      </w:r>
      <w:r w:rsidRPr="000224D4">
        <w:rPr>
          <w:rFonts w:ascii="Times New Roman" w:eastAsia="Times New Roman" w:hAnsi="Times New Roman" w:cs="Times New Roman"/>
          <w:sz w:val="24"/>
          <w:szCs w:val="20"/>
          <w:lang w:eastAsia="pl-PL"/>
        </w:rPr>
        <w:t>okresie rocznym wszczęto postępowanie, karalność</w:t>
      </w:r>
      <w:r w:rsidR="00914B22">
        <w:rPr>
          <w:rFonts w:ascii="Times New Roman" w:eastAsia="Times New Roman" w:hAnsi="Times New Roman" w:cs="Times New Roman"/>
          <w:sz w:val="24"/>
          <w:szCs w:val="20"/>
          <w:lang w:eastAsia="pl-PL"/>
        </w:rPr>
        <w:t xml:space="preserve"> wykroczenia ustaje z upływem 2 </w:t>
      </w:r>
      <w:r w:rsidRPr="000224D4">
        <w:rPr>
          <w:rFonts w:ascii="Times New Roman" w:eastAsia="Times New Roman" w:hAnsi="Times New Roman" w:cs="Times New Roman"/>
          <w:sz w:val="24"/>
          <w:szCs w:val="20"/>
          <w:lang w:eastAsia="pl-PL"/>
        </w:rPr>
        <w:t>lat od zakończenia tego okresu. Regulacja taka jest analogiczna</w:t>
      </w:r>
      <w:r w:rsidR="00914B22">
        <w:rPr>
          <w:rFonts w:ascii="Times New Roman" w:eastAsia="Times New Roman" w:hAnsi="Times New Roman" w:cs="Times New Roman"/>
          <w:sz w:val="24"/>
          <w:szCs w:val="20"/>
          <w:lang w:eastAsia="pl-PL"/>
        </w:rPr>
        <w:t xml:space="preserve"> do rozwiązań </w:t>
      </w:r>
      <w:r w:rsidR="00914B22">
        <w:rPr>
          <w:rFonts w:ascii="Times New Roman" w:eastAsia="Times New Roman" w:hAnsi="Times New Roman" w:cs="Times New Roman"/>
          <w:sz w:val="24"/>
          <w:szCs w:val="20"/>
          <w:lang w:eastAsia="pl-PL"/>
        </w:rPr>
        <w:lastRenderedPageBreak/>
        <w:t>w </w:t>
      </w:r>
      <w:r w:rsidRPr="000224D4">
        <w:rPr>
          <w:rFonts w:ascii="Times New Roman" w:eastAsia="Times New Roman" w:hAnsi="Times New Roman" w:cs="Times New Roman"/>
          <w:sz w:val="24"/>
          <w:szCs w:val="20"/>
          <w:lang w:eastAsia="pl-PL"/>
        </w:rPr>
        <w:t>zakresie terminów przedawnienia karalności funk</w:t>
      </w:r>
      <w:r w:rsidR="00914B22">
        <w:rPr>
          <w:rFonts w:ascii="Times New Roman" w:eastAsia="Times New Roman" w:hAnsi="Times New Roman" w:cs="Times New Roman"/>
          <w:sz w:val="24"/>
          <w:szCs w:val="20"/>
          <w:lang w:eastAsia="pl-PL"/>
        </w:rPr>
        <w:t>cjonujących w Kodeksie karnym i </w:t>
      </w:r>
      <w:r w:rsidRPr="000224D4">
        <w:rPr>
          <w:rFonts w:ascii="Times New Roman" w:eastAsia="Times New Roman" w:hAnsi="Times New Roman" w:cs="Times New Roman"/>
          <w:sz w:val="24"/>
          <w:szCs w:val="20"/>
          <w:lang w:eastAsia="pl-PL"/>
        </w:rPr>
        <w:t>Kodeksie karnym skarbowym.</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W zakresie prawa karnego materialnego na szczególną uwagę zasługuje kwestia prawidłowego ustalenia w ustawie zagrożeń karnych za niektóre rodzaje przestępstw związanych z naruszeniem bezpieczeństwa w ruchu lądowym.</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Szczególnie wyrazistym przykładem zbyt łagodnej sankcji karnej, nieadekwatnej do społecznej szkodliwości typu czynu jest zagrożenie za spowodowanie w stanie nietrzeźwości lub pod wpływem środka odurzającego wypadku, którego następstwem jest śmierć innej osoby albo ciężki uszczerbek na jej zdro</w:t>
      </w:r>
      <w:r w:rsidR="00914B22">
        <w:rPr>
          <w:rFonts w:ascii="Times New Roman" w:eastAsia="Times New Roman" w:hAnsi="Times New Roman" w:cs="Times New Roman"/>
          <w:sz w:val="24"/>
          <w:szCs w:val="20"/>
          <w:lang w:eastAsia="pl-PL"/>
        </w:rPr>
        <w:t>wiu. Przepis art. 177 § 2 w zw. </w:t>
      </w:r>
      <w:r w:rsidRPr="000224D4">
        <w:rPr>
          <w:rFonts w:ascii="Times New Roman" w:eastAsia="Times New Roman" w:hAnsi="Times New Roman" w:cs="Times New Roman"/>
          <w:sz w:val="24"/>
          <w:szCs w:val="20"/>
          <w:lang w:eastAsia="pl-PL"/>
        </w:rPr>
        <w:t xml:space="preserve">z art. 178 § 1 k.k. przewiduje aktualnie za taki czyn karę pozbawienia wolności, której dolna granica wynosi 9 miesięcy. Zdaniem projektodawcy jest to kara w rażącym stopniu niewspółmierna do rzeczywistej zawartości kryminalnego bezprawia tego typu czynów. Spostrzeżenie to jest w pełni uprawnione, jeżeli się weźmie pod uwagę orzekane przez sądy kary za przestępstwo spowodowania wypadku ze skutkiem śmiertelnym lub ciężkiego uszczerbku na zdrowiu przez sprawców znajdujących </w:t>
      </w:r>
      <w:r w:rsidR="00914B22">
        <w:rPr>
          <w:rFonts w:ascii="Times New Roman" w:eastAsia="Times New Roman" w:hAnsi="Times New Roman" w:cs="Times New Roman"/>
          <w:sz w:val="24"/>
          <w:szCs w:val="20"/>
          <w:lang w:eastAsia="pl-PL"/>
        </w:rPr>
        <w:t>się w </w:t>
      </w:r>
      <w:r w:rsidRPr="000224D4">
        <w:rPr>
          <w:rFonts w:ascii="Times New Roman" w:eastAsia="Times New Roman" w:hAnsi="Times New Roman" w:cs="Times New Roman"/>
          <w:sz w:val="24"/>
          <w:szCs w:val="20"/>
          <w:lang w:eastAsia="pl-PL"/>
        </w:rPr>
        <w:t>stanie nietrzeźwości lub pod wpływem środka odurzającego lub którzy zbiegli</w:t>
      </w:r>
      <w:r w:rsidR="00914B22">
        <w:rPr>
          <w:rFonts w:ascii="Times New Roman" w:eastAsia="Times New Roman" w:hAnsi="Times New Roman" w:cs="Times New Roman"/>
          <w:sz w:val="24"/>
          <w:szCs w:val="20"/>
          <w:lang w:eastAsia="pl-PL"/>
        </w:rPr>
        <w:t xml:space="preserve"> z </w:t>
      </w:r>
      <w:r w:rsidRPr="000224D4">
        <w:rPr>
          <w:rFonts w:ascii="Times New Roman" w:eastAsia="Times New Roman" w:hAnsi="Times New Roman" w:cs="Times New Roman"/>
          <w:sz w:val="24"/>
          <w:szCs w:val="20"/>
          <w:lang w:eastAsia="pl-PL"/>
        </w:rPr>
        <w:t>miejsca zdarzenia. W 2015 r. na 112 wyroków skazujących w odniesieniu do tej kategorii sprawców 26 wymierzono w zawieszeniu,</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 xml:space="preserve">w 2014 r. – 38 warunkowych </w:t>
      </w:r>
      <w:proofErr w:type="spellStart"/>
      <w:r w:rsidRPr="000224D4">
        <w:rPr>
          <w:rFonts w:ascii="Times New Roman" w:eastAsia="Times New Roman" w:hAnsi="Times New Roman" w:cs="Times New Roman"/>
          <w:sz w:val="24"/>
          <w:szCs w:val="20"/>
          <w:lang w:eastAsia="pl-PL"/>
        </w:rPr>
        <w:t>zawieszeń</w:t>
      </w:r>
      <w:proofErr w:type="spellEnd"/>
      <w:r w:rsidRPr="000224D4">
        <w:rPr>
          <w:rFonts w:ascii="Times New Roman" w:eastAsia="Times New Roman" w:hAnsi="Times New Roman" w:cs="Times New Roman"/>
          <w:sz w:val="24"/>
          <w:szCs w:val="20"/>
          <w:lang w:eastAsia="pl-PL"/>
        </w:rPr>
        <w:t xml:space="preserve"> na 151 wyroków</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a w 2013 r. – 93 (!) na 252 wyroki (dane Ministerstwa Sprawiedliwości).</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Stąd proponuje się wprowadzenie przepisu art. 178 § 1a k.k., który w takich </w:t>
      </w:r>
      <w:r w:rsidR="00CA6D00">
        <w:rPr>
          <w:rFonts w:ascii="Times New Roman" w:eastAsia="Times New Roman" w:hAnsi="Times New Roman" w:cs="Times New Roman"/>
          <w:sz w:val="24"/>
          <w:szCs w:val="20"/>
          <w:lang w:eastAsia="pl-PL"/>
        </w:rPr>
        <w:t>przy</w:t>
      </w:r>
      <w:r w:rsidRPr="000224D4">
        <w:rPr>
          <w:rFonts w:ascii="Times New Roman" w:eastAsia="Times New Roman" w:hAnsi="Times New Roman" w:cs="Times New Roman"/>
          <w:sz w:val="24"/>
          <w:szCs w:val="20"/>
          <w:lang w:eastAsia="pl-PL"/>
        </w:rPr>
        <w:t>padkach ustalałby dolną granicę ustawowego zagrożenia w wysokości 2 lat pozbawienia wolności, co odpowiadałoby stopniowi szkodliwości społecznej tych czynów, zwłaszcza godzeniu w szczególnie cenne dobra praw</w:t>
      </w:r>
      <w:r w:rsidR="00F95D14">
        <w:rPr>
          <w:rFonts w:ascii="Times New Roman" w:eastAsia="Times New Roman" w:hAnsi="Times New Roman" w:cs="Times New Roman"/>
          <w:sz w:val="24"/>
          <w:szCs w:val="20"/>
          <w:lang w:eastAsia="pl-PL"/>
        </w:rPr>
        <w:t>em chronione, jakimi są życie i </w:t>
      </w:r>
      <w:r w:rsidRPr="000224D4">
        <w:rPr>
          <w:rFonts w:ascii="Times New Roman" w:eastAsia="Times New Roman" w:hAnsi="Times New Roman" w:cs="Times New Roman"/>
          <w:sz w:val="24"/>
          <w:szCs w:val="20"/>
          <w:lang w:eastAsia="pl-PL"/>
        </w:rPr>
        <w:t>zdrowie ludzkie w poważnych rozmiarach. Czyny te spowodowane są zaś przez sprawców, którzy prowadzili pojazd</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mając świadomość tego, że znajdują się w stanie nietrzeźwości lub odurzenia.</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Kolejnym zagadnieniem jest kwestia odpowiedzialności karnej za przestępstwo określone w art. 180a k.k., polegające na prowadzeniu pojazdu mechanicznego na drodze publicznej, w strefie zamieszkania lub w strefie ruchu, nie stosując się do decyzji właściwego organu o cofnięciu uprawnienia do kierowania pojazdami. Przestępstwo to zagrożone jest m.in. karą pozbawienia wolności do 2 lat oraz można </w:t>
      </w:r>
      <w:r w:rsidRPr="000224D4">
        <w:rPr>
          <w:rFonts w:ascii="Times New Roman" w:eastAsia="Times New Roman" w:hAnsi="Times New Roman" w:cs="Times New Roman"/>
          <w:sz w:val="24"/>
          <w:szCs w:val="20"/>
          <w:lang w:eastAsia="pl-PL"/>
        </w:rPr>
        <w:lastRenderedPageBreak/>
        <w:t>fakultatywnie orzec środek karny w postaci zakazu prowadzenia pojazdów mechanicznych (art. 42 § 1 k.k.). Decyzja o cofnięciu uprawnienia zapada często w</w:t>
      </w:r>
      <w:r w:rsidR="00F95D14">
        <w:rPr>
          <w:rFonts w:ascii="Times New Roman" w:eastAsia="Times New Roman" w:hAnsi="Times New Roman" w:cs="Times New Roman"/>
          <w:sz w:val="24"/>
          <w:szCs w:val="20"/>
          <w:lang w:eastAsia="pl-PL"/>
        </w:rPr>
        <w:t> </w:t>
      </w:r>
      <w:r w:rsidRPr="000224D4">
        <w:rPr>
          <w:rFonts w:ascii="Times New Roman" w:eastAsia="Times New Roman" w:hAnsi="Times New Roman" w:cs="Times New Roman"/>
          <w:sz w:val="24"/>
          <w:szCs w:val="20"/>
          <w:lang w:eastAsia="pl-PL"/>
        </w:rPr>
        <w:t xml:space="preserve">razie ujawnienia przekroczenia przez kierującego w terenie zabudowanym dopuszczalnej prędkości o ponad 50 km/h. Sprawcy takich czynów w razie prowadzenia pojazdu bez uprawnień są karani jedynie z tego artykułu przewidującego łagodne zagrożenia karne (w praktyce są to kary grzywny), mogą oni również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pomimo wielokrotnego naruszania zakazu przewidzianego w art. 180a k.k.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po upływie okresu zatrzymania odzyskać prawo jazdy, a w razie jego utraty </w:t>
      </w:r>
      <w:r w:rsidR="00BF1AA8">
        <w:rPr>
          <w:rFonts w:ascii="Times New Roman" w:eastAsia="Times New Roman" w:hAnsi="Times New Roman" w:cs="Times New Roman"/>
          <w:sz w:val="24"/>
          <w:szCs w:val="20"/>
          <w:lang w:eastAsia="pl-PL"/>
        </w:rPr>
        <w:t>–</w:t>
      </w:r>
      <w:r w:rsidR="00F95D14">
        <w:rPr>
          <w:rFonts w:ascii="Times New Roman" w:eastAsia="Times New Roman" w:hAnsi="Times New Roman" w:cs="Times New Roman"/>
          <w:sz w:val="24"/>
          <w:szCs w:val="20"/>
          <w:lang w:eastAsia="pl-PL"/>
        </w:rPr>
        <w:t xml:space="preserve"> zdać ponownie egzamin i </w:t>
      </w:r>
      <w:r w:rsidRPr="000224D4">
        <w:rPr>
          <w:rFonts w:ascii="Times New Roman" w:eastAsia="Times New Roman" w:hAnsi="Times New Roman" w:cs="Times New Roman"/>
          <w:sz w:val="24"/>
          <w:szCs w:val="20"/>
          <w:lang w:eastAsia="pl-PL"/>
        </w:rPr>
        <w:t>otrzymać ten dokument. Wynika to z faktu, że w praktyce środek karny w postaci zakazu prowadzenia pojazdów orzekany jest bardzo rzadko. W 2015 r. spośród prawie 1400 osób skazanych za jazdę bez uprawnień, odebranych decyzją administracyjną, zaledwie wobec 4 orzeczono sądowy zakaz prowadzenia pojazdów (dane Ministerstwa Sprawiedliwości).</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Biorąc pod uwagę fakt, że zachowanie sprawcy stanowi niepodporządkowanie się zakazowi wynikającemu z cofnięcia uprawnienia do prowadzenia pojazdu, proponuje się wprowadzenie obowiązku orzekania tego środka kar</w:t>
      </w:r>
      <w:r w:rsidR="00F95D14">
        <w:rPr>
          <w:rFonts w:ascii="Times New Roman" w:eastAsia="Times New Roman" w:hAnsi="Times New Roman" w:cs="Times New Roman"/>
          <w:sz w:val="24"/>
          <w:szCs w:val="20"/>
          <w:lang w:eastAsia="pl-PL"/>
        </w:rPr>
        <w:t>nego w razie skazania za czyn z </w:t>
      </w:r>
      <w:r w:rsidRPr="000224D4">
        <w:rPr>
          <w:rFonts w:ascii="Times New Roman" w:eastAsia="Times New Roman" w:hAnsi="Times New Roman" w:cs="Times New Roman"/>
          <w:sz w:val="24"/>
          <w:szCs w:val="20"/>
          <w:lang w:eastAsia="pl-PL"/>
        </w:rPr>
        <w:t xml:space="preserve">art. 180a k.k. Wówczas sprawca prowadzący pojazd bez uprawnienia odpowiadałby za popełnienie przestępstwa z art. 244 k.k.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niezastosowanie się do sądowego zakazu. Takie rozwiązanie miałoby na celu ukrócenie swoistej bezkarności kierowców niestosujących się do decyzji o cofnięciu uprawnień. </w:t>
      </w:r>
      <w:r w:rsidR="008E3B0F">
        <w:rPr>
          <w:rFonts w:ascii="Times New Roman" w:eastAsia="Times New Roman" w:hAnsi="Times New Roman" w:cs="Times New Roman"/>
          <w:sz w:val="24"/>
          <w:szCs w:val="20"/>
          <w:lang w:eastAsia="pl-PL"/>
        </w:rPr>
        <w:t xml:space="preserve">W celu </w:t>
      </w:r>
      <w:r w:rsidRPr="000224D4">
        <w:rPr>
          <w:rFonts w:ascii="Times New Roman" w:eastAsia="Times New Roman" w:hAnsi="Times New Roman" w:cs="Times New Roman"/>
          <w:sz w:val="24"/>
          <w:szCs w:val="20"/>
          <w:lang w:eastAsia="pl-PL"/>
        </w:rPr>
        <w:t>zachowania proporcji grożącej sankcji karnej należy też postulować podwyższenie sankcji karnej przewidzianej za przestępstwo z art. 244 k.k., której górna</w:t>
      </w:r>
      <w:r w:rsidR="00F95D14">
        <w:rPr>
          <w:rFonts w:ascii="Times New Roman" w:eastAsia="Times New Roman" w:hAnsi="Times New Roman" w:cs="Times New Roman"/>
          <w:sz w:val="24"/>
          <w:szCs w:val="20"/>
          <w:lang w:eastAsia="pl-PL"/>
        </w:rPr>
        <w:t xml:space="preserve"> granica aktualnie jest tylko o </w:t>
      </w:r>
      <w:r w:rsidRPr="000224D4">
        <w:rPr>
          <w:rFonts w:ascii="Times New Roman" w:eastAsia="Times New Roman" w:hAnsi="Times New Roman" w:cs="Times New Roman"/>
          <w:sz w:val="24"/>
          <w:szCs w:val="20"/>
          <w:lang w:eastAsia="pl-PL"/>
        </w:rPr>
        <w:t xml:space="preserve">rok wyższa niż za popełnienie przestępstwa niestosowania się do decyzji właściwego organu o cofnięciu uprawnienia do kierowania pojazdami. W tym stanie rzeczy </w:t>
      </w:r>
      <w:r w:rsidR="00CA6D00">
        <w:rPr>
          <w:rFonts w:ascii="Times New Roman" w:eastAsia="Times New Roman" w:hAnsi="Times New Roman" w:cs="Times New Roman"/>
          <w:sz w:val="24"/>
          <w:szCs w:val="20"/>
          <w:lang w:eastAsia="pl-PL"/>
        </w:rPr>
        <w:t>jest</w:t>
      </w:r>
      <w:r w:rsidR="00CA6D00" w:rsidRPr="000224D4">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 xml:space="preserve">zasadne podwyższenie w art. 244 k.k. zagrożenia karnego </w:t>
      </w:r>
      <w:r w:rsidR="00CA6D00">
        <w:rPr>
          <w:rFonts w:ascii="Times New Roman" w:eastAsia="Times New Roman" w:hAnsi="Times New Roman" w:cs="Times New Roman"/>
          <w:sz w:val="24"/>
          <w:szCs w:val="20"/>
          <w:lang w:eastAsia="pl-PL"/>
        </w:rPr>
        <w:t>na karę</w:t>
      </w:r>
      <w:r w:rsidRPr="000224D4">
        <w:rPr>
          <w:rFonts w:ascii="Times New Roman" w:eastAsia="Times New Roman" w:hAnsi="Times New Roman" w:cs="Times New Roman"/>
          <w:sz w:val="24"/>
          <w:szCs w:val="20"/>
          <w:lang w:eastAsia="pl-PL"/>
        </w:rPr>
        <w:t xml:space="preserve"> od 3 miesięcy do 5 lat pozbawienia wolności.</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Projekt wprowadza również nowy typ czynu zabronionego jako przestępstwo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ucieczkę przed pościgiem prowadzonym przez osobę uprawnioną do kontroli ruchu drogowego, poruszającą się pojazdem lub znajdującą się na statku wodnym albo powietrznym i dającą przy użyciu sygnałów dźwiękowych i świetlnych polecenie zatrzymania pojazdu. Istotne jest dla bytu tego przestępstwa, aby zarówno osoba zatrzymywana, jak i zatrzymująca znajdowała się w ruchu. Takie bowiem zachowanie stanowi potencjalnie bardzo istotne zagrożenie bezpieczeństwa w ruchu lądowym dla </w:t>
      </w:r>
      <w:r w:rsidRPr="000224D4">
        <w:rPr>
          <w:rFonts w:ascii="Times New Roman" w:eastAsia="Times New Roman" w:hAnsi="Times New Roman" w:cs="Times New Roman"/>
          <w:sz w:val="24"/>
          <w:szCs w:val="20"/>
          <w:lang w:eastAsia="pl-PL"/>
        </w:rPr>
        <w:lastRenderedPageBreak/>
        <w:t xml:space="preserve">wszystkich uczestników tego ruchu. Trasa ucieczki prowadzi przez drogi publiczne, wśród uczestników ruchu, pieszych, rowerzystów, nierzadko powodując daleko idące skutki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uszkodzenie mienia, uszczerbek na zdrowiu czy utratę życia, w szczególności postronnych uczestników ruchu. Aktualnie tego typu zachowanie stanowi wykroczenie z art. 92 § 2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jeżeli sama ucieczka nie naraża konkretnej osoby na bezpośrednie niebezpieczeństwo utraty życia albo ciężkiego uszczerbku na zdrowiu (art. 160 § 1 k.k.) lub nie spowoduje się jednocześnie wypadku drogowego (art. 177 k.k.).</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 xml:space="preserve">Jeżeli wskazany skutek nie wystąpił, sprawcy takich, nierzadko prowadzonych na bardzo długim dystansie, ucieczek </w:t>
      </w:r>
      <w:r w:rsidR="008E3B0F" w:rsidRPr="000224D4">
        <w:rPr>
          <w:rFonts w:ascii="Times New Roman" w:eastAsia="Times New Roman" w:hAnsi="Times New Roman" w:cs="Times New Roman"/>
          <w:sz w:val="24"/>
          <w:szCs w:val="20"/>
          <w:lang w:eastAsia="pl-PL"/>
        </w:rPr>
        <w:t xml:space="preserve">są </w:t>
      </w:r>
      <w:r w:rsidRPr="000224D4">
        <w:rPr>
          <w:rFonts w:ascii="Times New Roman" w:eastAsia="Times New Roman" w:hAnsi="Times New Roman" w:cs="Times New Roman"/>
          <w:sz w:val="24"/>
          <w:szCs w:val="20"/>
          <w:lang w:eastAsia="pl-PL"/>
        </w:rPr>
        <w:t>zatem w gruncie rzeczy bezkarni. Projektodawca świadomie odstąpił od zamieszczania wśród znamion typu czynu zabronionego narażenia człowieka na bezpośrednie niebezpieczeństwo utraty życia albo ciężkiego uszczerbku na zdrowiu, gdyż w praktyce udowodnien</w:t>
      </w:r>
      <w:r w:rsidR="00F95D14">
        <w:rPr>
          <w:rFonts w:ascii="Times New Roman" w:eastAsia="Times New Roman" w:hAnsi="Times New Roman" w:cs="Times New Roman"/>
          <w:sz w:val="24"/>
          <w:szCs w:val="20"/>
          <w:lang w:eastAsia="pl-PL"/>
        </w:rPr>
        <w:t>ie zaistnienia tego znamienia w </w:t>
      </w:r>
      <w:r w:rsidRPr="000224D4">
        <w:rPr>
          <w:rFonts w:ascii="Times New Roman" w:eastAsia="Times New Roman" w:hAnsi="Times New Roman" w:cs="Times New Roman"/>
          <w:sz w:val="24"/>
          <w:szCs w:val="20"/>
          <w:lang w:eastAsia="pl-PL"/>
        </w:rPr>
        <w:t>warunkach dynamicznego zdarzenia, jakim jest ucieczka przed pościgiem, stanowi dużą trudność. Wymaga to wykazania, jak przebiegała d</w:t>
      </w:r>
      <w:r w:rsidR="00F95D14">
        <w:rPr>
          <w:rFonts w:ascii="Times New Roman" w:eastAsia="Times New Roman" w:hAnsi="Times New Roman" w:cs="Times New Roman"/>
          <w:sz w:val="24"/>
          <w:szCs w:val="20"/>
          <w:lang w:eastAsia="pl-PL"/>
        </w:rPr>
        <w:t>roga ucieczki, jakie osoby i w </w:t>
      </w:r>
      <w:r w:rsidRPr="000224D4">
        <w:rPr>
          <w:rFonts w:ascii="Times New Roman" w:eastAsia="Times New Roman" w:hAnsi="Times New Roman" w:cs="Times New Roman"/>
          <w:sz w:val="24"/>
          <w:szCs w:val="20"/>
          <w:lang w:eastAsia="pl-PL"/>
        </w:rPr>
        <w:t>którym momencie mogły być narażone na to niebezpieczeństwo, z reguły należy przy tym powołać biegłych. W sytuacji gdy nie dysponuje się zapisem obrazu z takiego zdarzenia, wykazanie w stosunku do oskarżonego narażenia innego człowieka na bezpośrednie niebezpieczeństwo utraty życia albo cię</w:t>
      </w:r>
      <w:r w:rsidR="00F95D14">
        <w:rPr>
          <w:rFonts w:ascii="Times New Roman" w:eastAsia="Times New Roman" w:hAnsi="Times New Roman" w:cs="Times New Roman"/>
          <w:sz w:val="24"/>
          <w:szCs w:val="20"/>
          <w:lang w:eastAsia="pl-PL"/>
        </w:rPr>
        <w:t>żkiego uszczerbku na zdrowiu w </w:t>
      </w:r>
      <w:r w:rsidRPr="000224D4">
        <w:rPr>
          <w:rFonts w:ascii="Times New Roman" w:eastAsia="Times New Roman" w:hAnsi="Times New Roman" w:cs="Times New Roman"/>
          <w:sz w:val="24"/>
          <w:szCs w:val="20"/>
          <w:lang w:eastAsia="pl-PL"/>
        </w:rPr>
        <w:t>praktyce okazuje się nierealne, a tym samym postawienie zarzutu z art. 160 § 1 k.k. będzie niemożliwe. W ocenie projektodawcy przepis art. 160 § 1 k.k., który w realiach życiowych sprawdza się w wielu sytuacjach, w odniesieniu do ucieczki przed pościgiem w ruchu drogowym nie jest funkcjonalnym instrumentem prawnokarnym. Projektodawca w odniesieniu do typu czynu zaproponowanego w art. 178b k.k. przyjął założenie, że kontynuowanie jazdy i ucieczka przed organem kontr</w:t>
      </w:r>
      <w:r w:rsidR="005B1800">
        <w:rPr>
          <w:rFonts w:ascii="Times New Roman" w:eastAsia="Times New Roman" w:hAnsi="Times New Roman" w:cs="Times New Roman"/>
          <w:sz w:val="24"/>
          <w:szCs w:val="20"/>
          <w:lang w:eastAsia="pl-PL"/>
        </w:rPr>
        <w:t xml:space="preserve">olującym ruch drogowy w każdym </w:t>
      </w:r>
      <w:r w:rsidR="00F552B2">
        <w:rPr>
          <w:rFonts w:ascii="Times New Roman" w:eastAsia="Times New Roman" w:hAnsi="Times New Roman" w:cs="Times New Roman"/>
          <w:sz w:val="24"/>
          <w:szCs w:val="20"/>
          <w:lang w:eastAsia="pl-PL"/>
        </w:rPr>
        <w:t>prz</w:t>
      </w:r>
      <w:r w:rsidRPr="000224D4">
        <w:rPr>
          <w:rFonts w:ascii="Times New Roman" w:eastAsia="Times New Roman" w:hAnsi="Times New Roman" w:cs="Times New Roman"/>
          <w:sz w:val="24"/>
          <w:szCs w:val="20"/>
          <w:lang w:eastAsia="pl-PL"/>
        </w:rPr>
        <w:t xml:space="preserve">ypadku potencjalnie może powodować zagrożenie w ruchu drogowym, chociażby pośrednie. Jest tak chociażby z tego powodu, że ucieczka odbywa się na drodze publicznej, często na chodniku, </w:t>
      </w:r>
      <w:r w:rsidR="00F95D14">
        <w:rPr>
          <w:rFonts w:ascii="Times New Roman" w:eastAsia="Times New Roman" w:hAnsi="Times New Roman" w:cs="Times New Roman"/>
          <w:sz w:val="24"/>
          <w:szCs w:val="20"/>
          <w:lang w:eastAsia="pl-PL"/>
        </w:rPr>
        <w:t>drodze dla rowerów, ale nawet i </w:t>
      </w:r>
      <w:r w:rsidRPr="000224D4">
        <w:rPr>
          <w:rFonts w:ascii="Times New Roman" w:eastAsia="Times New Roman" w:hAnsi="Times New Roman" w:cs="Times New Roman"/>
          <w:sz w:val="24"/>
          <w:szCs w:val="20"/>
          <w:lang w:eastAsia="pl-PL"/>
        </w:rPr>
        <w:t xml:space="preserve">w innym miejscu publicznym (np. w strefie zamieszkania czy w strefie ruchu)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czyli w miejscu, w którym nawet jeżeli akurat nie ma ludzi, to w każdej chwili może ktoś się pojawić, gdzie znajdują się przedmioty narażone na uszkodzenie lub zniszczenie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samochody, wiaty przystankowe, ogrodzenia, domy itd. Innymi słowy każde takie zachowanie niesie, choćby potencjalne</w:t>
      </w:r>
      <w:r w:rsidR="00F552B2">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zagrożenie dla bezpieczeństwa powszechnego, k</w:t>
      </w:r>
      <w:r w:rsidR="00F552B2">
        <w:rPr>
          <w:rFonts w:ascii="Times New Roman" w:eastAsia="Times New Roman" w:hAnsi="Times New Roman" w:cs="Times New Roman"/>
          <w:sz w:val="24"/>
          <w:szCs w:val="20"/>
          <w:lang w:eastAsia="pl-PL"/>
        </w:rPr>
        <w:t>tóre wyraża się w samej ucieczce</w:t>
      </w:r>
      <w:r w:rsidRPr="000224D4">
        <w:rPr>
          <w:rFonts w:ascii="Times New Roman" w:eastAsia="Times New Roman" w:hAnsi="Times New Roman" w:cs="Times New Roman"/>
          <w:sz w:val="24"/>
          <w:szCs w:val="20"/>
          <w:lang w:eastAsia="pl-PL"/>
        </w:rPr>
        <w:t xml:space="preserve"> przed organami kontroli ruchu drogowego, </w:t>
      </w:r>
      <w:r w:rsidRPr="000224D4">
        <w:rPr>
          <w:rFonts w:ascii="Times New Roman" w:eastAsia="Times New Roman" w:hAnsi="Times New Roman" w:cs="Times New Roman"/>
          <w:sz w:val="24"/>
          <w:szCs w:val="20"/>
          <w:lang w:eastAsia="pl-PL"/>
        </w:rPr>
        <w:lastRenderedPageBreak/>
        <w:t>a</w:t>
      </w:r>
      <w:r w:rsidR="00F552B2">
        <w:rPr>
          <w:rFonts w:ascii="Times New Roman" w:eastAsia="Times New Roman" w:hAnsi="Times New Roman" w:cs="Times New Roman"/>
          <w:sz w:val="24"/>
          <w:szCs w:val="20"/>
          <w:lang w:eastAsia="pl-PL"/>
        </w:rPr>
        <w:t> </w:t>
      </w:r>
      <w:r w:rsidRPr="000224D4">
        <w:rPr>
          <w:rFonts w:ascii="Times New Roman" w:eastAsia="Times New Roman" w:hAnsi="Times New Roman" w:cs="Times New Roman"/>
          <w:sz w:val="24"/>
          <w:szCs w:val="20"/>
          <w:lang w:eastAsia="pl-PL"/>
        </w:rPr>
        <w:t>w</w:t>
      </w:r>
      <w:r w:rsidR="00F552B2">
        <w:rPr>
          <w:rFonts w:ascii="Times New Roman" w:eastAsia="Times New Roman" w:hAnsi="Times New Roman" w:cs="Times New Roman"/>
          <w:sz w:val="24"/>
          <w:szCs w:val="20"/>
          <w:lang w:eastAsia="pl-PL"/>
        </w:rPr>
        <w:t> </w:t>
      </w:r>
      <w:r w:rsidRPr="000224D4">
        <w:rPr>
          <w:rFonts w:ascii="Times New Roman" w:eastAsia="Times New Roman" w:hAnsi="Times New Roman" w:cs="Times New Roman"/>
          <w:sz w:val="24"/>
          <w:szCs w:val="20"/>
          <w:lang w:eastAsia="pl-PL"/>
        </w:rPr>
        <w:t xml:space="preserve">związku z tym </w:t>
      </w:r>
      <w:r w:rsidR="00124300" w:rsidRPr="000224D4">
        <w:rPr>
          <w:rFonts w:ascii="Times New Roman" w:eastAsia="Times New Roman" w:hAnsi="Times New Roman" w:cs="Times New Roman"/>
          <w:sz w:val="24"/>
          <w:szCs w:val="20"/>
          <w:lang w:eastAsia="pl-PL"/>
        </w:rPr>
        <w:t xml:space="preserve">jest </w:t>
      </w:r>
      <w:r w:rsidRPr="000224D4">
        <w:rPr>
          <w:rFonts w:ascii="Times New Roman" w:eastAsia="Times New Roman" w:hAnsi="Times New Roman" w:cs="Times New Roman"/>
          <w:sz w:val="24"/>
          <w:szCs w:val="20"/>
          <w:lang w:eastAsia="pl-PL"/>
        </w:rPr>
        <w:t xml:space="preserve">zbędne wskazywanie spowodowania zagrożenia wśród znamion typu czynu zabronionego z art. 178b k.k. Jest to czyn skierowany przeciwko bezpieczeństwu w komunikacji (rozdział XXI k.k.) i każde zachowanie objęte znamionami czynu projektowanego </w:t>
      </w:r>
      <w:r w:rsidR="008E3B0F">
        <w:rPr>
          <w:rFonts w:ascii="Times New Roman" w:eastAsia="Times New Roman" w:hAnsi="Times New Roman" w:cs="Times New Roman"/>
          <w:sz w:val="24"/>
          <w:szCs w:val="20"/>
          <w:lang w:eastAsia="pl-PL"/>
        </w:rPr>
        <w:t xml:space="preserve">w </w:t>
      </w:r>
      <w:r w:rsidRPr="000224D4">
        <w:rPr>
          <w:rFonts w:ascii="Times New Roman" w:eastAsia="Times New Roman" w:hAnsi="Times New Roman" w:cs="Times New Roman"/>
          <w:sz w:val="24"/>
          <w:szCs w:val="20"/>
          <w:lang w:eastAsia="pl-PL"/>
        </w:rPr>
        <w:t>art. 178b k.k. godzi w tak określone dobro prawne.</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W ocenie ustawodawcy adekwatną sankcją karną, odpowiadającą abstrakcyjnemu stopniu społecznej szkodliwości przestępstwa z a</w:t>
      </w:r>
      <w:r w:rsidR="00124300">
        <w:rPr>
          <w:rFonts w:ascii="Times New Roman" w:eastAsia="Times New Roman" w:hAnsi="Times New Roman" w:cs="Times New Roman"/>
          <w:sz w:val="24"/>
          <w:szCs w:val="20"/>
          <w:lang w:eastAsia="pl-PL"/>
        </w:rPr>
        <w:t>rt. 178b k.k., będzie kara od 3 </w:t>
      </w:r>
      <w:r w:rsidRPr="000224D4">
        <w:rPr>
          <w:rFonts w:ascii="Times New Roman" w:eastAsia="Times New Roman" w:hAnsi="Times New Roman" w:cs="Times New Roman"/>
          <w:sz w:val="24"/>
          <w:szCs w:val="20"/>
          <w:lang w:eastAsia="pl-PL"/>
        </w:rPr>
        <w:t xml:space="preserve">miesięcy do 5 lat pozbawienia wolności. Porównując zagrożenia za poszczególne typy czynów, należy wskazać, że odpowiada ono ustawowemu zagrożeniu z art. 160 § 2 k.k., odnoszącego się do narażenia człowieka, nad którym sprawca miał sprawować opiekę, na bezpośrednie niebezpieczeństwo utraty życia albo ciężkiego uszczerbku na zdrowiu. Analogicznie bowiem uczestnicy ruchu drogowego są obowiązani zachować szczególną ostrożność i dbać o bezpieczeństwo swoje i innych uczestników ruchu. W ocenie projektodawcy zagrożenie karne proponowanego przestępstwa z art. 178b k.k. powinno być natomiast surowsze niż za wypadek drogowy w </w:t>
      </w:r>
      <w:r w:rsidR="00F95D14">
        <w:rPr>
          <w:rFonts w:ascii="Times New Roman" w:eastAsia="Times New Roman" w:hAnsi="Times New Roman" w:cs="Times New Roman"/>
          <w:sz w:val="24"/>
          <w:szCs w:val="20"/>
          <w:lang w:eastAsia="pl-PL"/>
        </w:rPr>
        <w:t>typie podstawowym (art. 177 § 1 </w:t>
      </w:r>
      <w:r w:rsidRPr="000224D4">
        <w:rPr>
          <w:rFonts w:ascii="Times New Roman" w:eastAsia="Times New Roman" w:hAnsi="Times New Roman" w:cs="Times New Roman"/>
          <w:sz w:val="24"/>
          <w:szCs w:val="20"/>
          <w:lang w:eastAsia="pl-PL"/>
        </w:rPr>
        <w:t xml:space="preserve">k.k.), gdyż ucieczka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w przeciwieństwie do wypadku, jest przestępstwem umyślnym.</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Znamiona projektowanego typu przestępstwa z art. 178b k.k. należy odróżnić od wykroczenia niezastosowania się do sygnału osoby uprawnionej do kontroli ruchu drogowego, nakazującego zatrzymanie pojazdu, określonego w art. 92 § 2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Wykroczenie to bowiem znajdzie zastosowanie jako samodzielna podstawa odpowiedzialności w odniesieniu do sytuacji, w których kierujący pojazdem nie zatrzyma pojazdu na sygnał dany przez osobę uprawnioną do kontroli ruchu drogowego. Przede wszystkim obejmować będzie stany faktyczne, w których osoba uprawniona będzie dawać sygnały</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nie znajdując się w ruchu, np. stojąc na poboczu drogi, siedząc w zaparkowanym czy unieruchomionym pojeździe. W takiej sytuacji niezastosowanie się do sygnału zatrzymania pojazdu stanowi niewykonanie obowiązku kierującego pojazdem wynikającego z przepisu prawa administracyjnego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w:t>
      </w:r>
      <w:r w:rsidR="00F95D14">
        <w:rPr>
          <w:rFonts w:ascii="Times New Roman" w:eastAsia="Times New Roman" w:hAnsi="Times New Roman" w:cs="Times New Roman"/>
          <w:sz w:val="24"/>
          <w:szCs w:val="20"/>
          <w:lang w:eastAsia="pl-PL"/>
        </w:rPr>
        <w:t>ustawy z </w:t>
      </w:r>
      <w:r w:rsidRPr="000224D4">
        <w:rPr>
          <w:rFonts w:ascii="Times New Roman" w:eastAsia="Times New Roman" w:hAnsi="Times New Roman" w:cs="Times New Roman"/>
          <w:sz w:val="24"/>
          <w:szCs w:val="20"/>
          <w:lang w:eastAsia="pl-PL"/>
        </w:rPr>
        <w:t xml:space="preserve">dnia 20 czerwca 1997 r.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Prawo o ruchu drogowym</w:t>
      </w:r>
      <w:r w:rsidR="00F95D14">
        <w:rPr>
          <w:rFonts w:ascii="Times New Roman" w:eastAsia="Times New Roman" w:hAnsi="Times New Roman" w:cs="Times New Roman"/>
          <w:sz w:val="24"/>
          <w:szCs w:val="20"/>
          <w:lang w:eastAsia="pl-PL"/>
        </w:rPr>
        <w:t xml:space="preserve"> (Dz. U. z 2012 r. poz. 1137, z </w:t>
      </w:r>
      <w:proofErr w:type="spellStart"/>
      <w:r w:rsidRPr="000224D4">
        <w:rPr>
          <w:rFonts w:ascii="Times New Roman" w:eastAsia="Times New Roman" w:hAnsi="Times New Roman" w:cs="Times New Roman"/>
          <w:sz w:val="24"/>
          <w:szCs w:val="20"/>
          <w:lang w:eastAsia="pl-PL"/>
        </w:rPr>
        <w:t>późn</w:t>
      </w:r>
      <w:proofErr w:type="spellEnd"/>
      <w:r w:rsidRPr="000224D4">
        <w:rPr>
          <w:rFonts w:ascii="Times New Roman" w:eastAsia="Times New Roman" w:hAnsi="Times New Roman" w:cs="Times New Roman"/>
          <w:sz w:val="24"/>
          <w:szCs w:val="20"/>
          <w:lang w:eastAsia="pl-PL"/>
        </w:rPr>
        <w:t xml:space="preserve">. zm.), nie jest jednak jednocześnie skierowane bezpośrednio przeciwko bezpieczeństwu w komunikacji, gdyż kierujący nie musi naruszać żadnych reguł bezpieczeństwa. W razie podjęcia pościgu, tzn. przemieszczania się pojazdu wyposażonego w sygnały dźwiękowe i świetlne za kierującym, oraz dawania przy </w:t>
      </w:r>
      <w:r w:rsidRPr="000224D4">
        <w:rPr>
          <w:rFonts w:ascii="Times New Roman" w:eastAsia="Times New Roman" w:hAnsi="Times New Roman" w:cs="Times New Roman"/>
          <w:sz w:val="24"/>
          <w:szCs w:val="20"/>
          <w:lang w:eastAsia="pl-PL"/>
        </w:rPr>
        <w:lastRenderedPageBreak/>
        <w:t xml:space="preserve">użyciu sygnałów dźwiękowych i świetlnych (a więc w sposób jasny i wyraźny, skierowanych do kierującego) polecenia zatrzymania pojazdu, kierujący może zatrzymać niezwłocznie pojazd, a wówczas nie wyczerpie znamion przestępstwa. Będzie on wówczas ponosił odpowiedzialność tylko za wykroczenie, jeżeli zostaną wyczerpane znamiona czynu z art. 92 § 2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Gdy jednak tego nie uczyni i będzie kontynuował jazdę</w:t>
      </w:r>
      <w:r w:rsidR="00324E26">
        <w:rPr>
          <w:rFonts w:ascii="Times New Roman" w:eastAsia="Times New Roman" w:hAnsi="Times New Roman" w:cs="Times New Roman"/>
          <w:sz w:val="24"/>
          <w:szCs w:val="20"/>
          <w:lang w:eastAsia="pl-PL"/>
        </w:rPr>
        <w:t xml:space="preserve"> pomimo dawania tych sygnałów, </w:t>
      </w:r>
      <w:r w:rsidRPr="000224D4">
        <w:rPr>
          <w:rFonts w:ascii="Times New Roman" w:eastAsia="Times New Roman" w:hAnsi="Times New Roman" w:cs="Times New Roman"/>
          <w:sz w:val="24"/>
          <w:szCs w:val="20"/>
          <w:lang w:eastAsia="pl-PL"/>
        </w:rPr>
        <w:t>przez ucieczkę w warunkach ruchu drogowego będzie godził w bezpieczeństwo tego ruchu, w stopniu porównywalnym przynajmniej do kierującego określonego w art. 178a k.k. Wówczas dopiero zachowanie sprawcy uzyska przestępny charakter. Poz</w:t>
      </w:r>
      <w:r w:rsidR="00324E26">
        <w:rPr>
          <w:rFonts w:ascii="Times New Roman" w:eastAsia="Times New Roman" w:hAnsi="Times New Roman" w:cs="Times New Roman"/>
          <w:sz w:val="24"/>
          <w:szCs w:val="20"/>
          <w:lang w:eastAsia="pl-PL"/>
        </w:rPr>
        <w:t>a tym projektowany przepis art. </w:t>
      </w:r>
      <w:r w:rsidRPr="000224D4">
        <w:rPr>
          <w:rFonts w:ascii="Times New Roman" w:eastAsia="Times New Roman" w:hAnsi="Times New Roman" w:cs="Times New Roman"/>
          <w:sz w:val="24"/>
          <w:szCs w:val="20"/>
          <w:lang w:eastAsia="pl-PL"/>
        </w:rPr>
        <w:t>178b k.k., w przeciwieństwie do art. 92 § 2 k.k.</w:t>
      </w:r>
      <w:r w:rsidR="00F712CD">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ma dotyczyć jedynie kierującego pojazdem mechanicznym, gdyż </w:t>
      </w:r>
      <w:r w:rsidR="00324E26">
        <w:rPr>
          <w:rFonts w:ascii="Times New Roman" w:eastAsia="Times New Roman" w:hAnsi="Times New Roman" w:cs="Times New Roman"/>
          <w:sz w:val="24"/>
          <w:szCs w:val="20"/>
          <w:lang w:eastAsia="pl-PL"/>
        </w:rPr>
        <w:t>zagrożenie dla bezpieczeństwa w komunikacji, np. </w:t>
      </w:r>
      <w:r w:rsidRPr="000224D4">
        <w:rPr>
          <w:rFonts w:ascii="Times New Roman" w:eastAsia="Times New Roman" w:hAnsi="Times New Roman" w:cs="Times New Roman"/>
          <w:sz w:val="24"/>
          <w:szCs w:val="20"/>
          <w:lang w:eastAsia="pl-PL"/>
        </w:rPr>
        <w:t>przez uciekającego rowerzystę, będzie znacząco mnie</w:t>
      </w:r>
      <w:r w:rsidR="00EE18B3">
        <w:rPr>
          <w:rFonts w:ascii="Times New Roman" w:eastAsia="Times New Roman" w:hAnsi="Times New Roman" w:cs="Times New Roman"/>
          <w:sz w:val="24"/>
          <w:szCs w:val="20"/>
          <w:lang w:eastAsia="pl-PL"/>
        </w:rPr>
        <w:t>jsze. A zatem przepis art. 178b </w:t>
      </w:r>
      <w:r w:rsidRPr="000224D4">
        <w:rPr>
          <w:rFonts w:ascii="Times New Roman" w:eastAsia="Times New Roman" w:hAnsi="Times New Roman" w:cs="Times New Roman"/>
          <w:sz w:val="24"/>
          <w:szCs w:val="20"/>
          <w:lang w:eastAsia="pl-PL"/>
        </w:rPr>
        <w:t>k.k. będzie w zamierzeniu pr</w:t>
      </w:r>
      <w:r w:rsidR="00F95D14">
        <w:rPr>
          <w:rFonts w:ascii="Times New Roman" w:eastAsia="Times New Roman" w:hAnsi="Times New Roman" w:cs="Times New Roman"/>
          <w:sz w:val="24"/>
          <w:szCs w:val="20"/>
          <w:lang w:eastAsia="pl-PL"/>
        </w:rPr>
        <w:t>ojektod</w:t>
      </w:r>
      <w:r w:rsidR="00565750">
        <w:rPr>
          <w:rFonts w:ascii="Times New Roman" w:eastAsia="Times New Roman" w:hAnsi="Times New Roman" w:cs="Times New Roman"/>
          <w:sz w:val="24"/>
          <w:szCs w:val="20"/>
          <w:lang w:eastAsia="pl-PL"/>
        </w:rPr>
        <w:t xml:space="preserve">awcy miał zastosowanie w </w:t>
      </w:r>
      <w:r w:rsidRPr="000224D4">
        <w:rPr>
          <w:rFonts w:ascii="Times New Roman" w:eastAsia="Times New Roman" w:hAnsi="Times New Roman" w:cs="Times New Roman"/>
          <w:sz w:val="24"/>
          <w:szCs w:val="20"/>
          <w:lang w:eastAsia="pl-PL"/>
        </w:rPr>
        <w:t>późniejszej fazie zachowania sprawcy, po wyczerpa</w:t>
      </w:r>
      <w:r w:rsidR="00F95D14">
        <w:rPr>
          <w:rFonts w:ascii="Times New Roman" w:eastAsia="Times New Roman" w:hAnsi="Times New Roman" w:cs="Times New Roman"/>
          <w:sz w:val="24"/>
          <w:szCs w:val="20"/>
          <w:lang w:eastAsia="pl-PL"/>
        </w:rPr>
        <w:t>niu przez niego znamion czynu z </w:t>
      </w:r>
      <w:r w:rsidR="006B6656">
        <w:rPr>
          <w:rFonts w:ascii="Times New Roman" w:eastAsia="Times New Roman" w:hAnsi="Times New Roman" w:cs="Times New Roman"/>
          <w:sz w:val="24"/>
          <w:szCs w:val="20"/>
          <w:lang w:eastAsia="pl-PL"/>
        </w:rPr>
        <w:t>art. 92 § 2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gdy pomimo podjęcia za nim pościgu będzie on kontynuował ucieczkę, godząc w podstawowe zasady bezpieczeństwa powszechnego. Są to zatem zachowania skierowane przeciwko zbliżonym, lecz nie tożsamy</w:t>
      </w:r>
      <w:r w:rsidR="00B2362B">
        <w:rPr>
          <w:rFonts w:ascii="Times New Roman" w:eastAsia="Times New Roman" w:hAnsi="Times New Roman" w:cs="Times New Roman"/>
          <w:sz w:val="24"/>
          <w:szCs w:val="20"/>
          <w:lang w:eastAsia="pl-PL"/>
        </w:rPr>
        <w:t>m dobrom prawnym: wykroczenie z </w:t>
      </w:r>
      <w:r w:rsidRPr="000224D4">
        <w:rPr>
          <w:rFonts w:ascii="Times New Roman" w:eastAsia="Times New Roman" w:hAnsi="Times New Roman" w:cs="Times New Roman"/>
          <w:sz w:val="24"/>
          <w:szCs w:val="20"/>
          <w:lang w:eastAsia="pl-PL"/>
        </w:rPr>
        <w:t xml:space="preserve">art. 92 § 2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przeciwko porządkowi w komunikac</w:t>
      </w:r>
      <w:r w:rsidR="00B2362B">
        <w:rPr>
          <w:rFonts w:ascii="Times New Roman" w:eastAsia="Times New Roman" w:hAnsi="Times New Roman" w:cs="Times New Roman"/>
          <w:sz w:val="24"/>
          <w:szCs w:val="20"/>
          <w:lang w:eastAsia="pl-PL"/>
        </w:rPr>
        <w:t>ji, projektowane przestępstwo z </w:t>
      </w:r>
      <w:r w:rsidRPr="000224D4">
        <w:rPr>
          <w:rFonts w:ascii="Times New Roman" w:eastAsia="Times New Roman" w:hAnsi="Times New Roman" w:cs="Times New Roman"/>
          <w:sz w:val="24"/>
          <w:szCs w:val="20"/>
          <w:lang w:eastAsia="pl-PL"/>
        </w:rPr>
        <w:t>art. 178b k.k. przeciwko bezpieczeństwu w komunikacji.</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Konkretne stany faktyczne mogą oczywiście prowadzić do wyczerpania przez sprawcę znamion czynów zabronionych zarówno jako projek</w:t>
      </w:r>
      <w:r w:rsidR="00AE4B61">
        <w:rPr>
          <w:rFonts w:ascii="Times New Roman" w:eastAsia="Times New Roman" w:hAnsi="Times New Roman" w:cs="Times New Roman"/>
          <w:sz w:val="24"/>
          <w:szCs w:val="20"/>
          <w:lang w:eastAsia="pl-PL"/>
        </w:rPr>
        <w:t>towane przestępstwo z art. 178b </w:t>
      </w:r>
      <w:r w:rsidRPr="000224D4">
        <w:rPr>
          <w:rFonts w:ascii="Times New Roman" w:eastAsia="Times New Roman" w:hAnsi="Times New Roman" w:cs="Times New Roman"/>
          <w:sz w:val="24"/>
          <w:szCs w:val="20"/>
          <w:lang w:eastAsia="pl-PL"/>
        </w:rPr>
        <w:t xml:space="preserve">k.k., jak i wykroczenie z art. 92 § 2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J</w:t>
      </w:r>
      <w:r w:rsidR="00AE4B61">
        <w:rPr>
          <w:rFonts w:ascii="Times New Roman" w:eastAsia="Times New Roman" w:hAnsi="Times New Roman" w:cs="Times New Roman"/>
          <w:sz w:val="24"/>
          <w:szCs w:val="20"/>
          <w:lang w:eastAsia="pl-PL"/>
        </w:rPr>
        <w:t>est to jednak typowe zjawisko w </w:t>
      </w:r>
      <w:r w:rsidRPr="000224D4">
        <w:rPr>
          <w:rFonts w:ascii="Times New Roman" w:eastAsia="Times New Roman" w:hAnsi="Times New Roman" w:cs="Times New Roman"/>
          <w:sz w:val="24"/>
          <w:szCs w:val="20"/>
          <w:lang w:eastAsia="pl-PL"/>
        </w:rPr>
        <w:t>praktyce prawnej oceny czynów zabronionych w ruchu drog</w:t>
      </w:r>
      <w:r w:rsidR="00F95D14">
        <w:rPr>
          <w:rFonts w:ascii="Times New Roman" w:eastAsia="Times New Roman" w:hAnsi="Times New Roman" w:cs="Times New Roman"/>
          <w:sz w:val="24"/>
          <w:szCs w:val="20"/>
          <w:lang w:eastAsia="pl-PL"/>
        </w:rPr>
        <w:t>owym, np. prowadzenie pojazdu w </w:t>
      </w:r>
      <w:r w:rsidRPr="000224D4">
        <w:rPr>
          <w:rFonts w:ascii="Times New Roman" w:eastAsia="Times New Roman" w:hAnsi="Times New Roman" w:cs="Times New Roman"/>
          <w:sz w:val="24"/>
          <w:szCs w:val="20"/>
          <w:lang w:eastAsia="pl-PL"/>
        </w:rPr>
        <w:t>stanie nietrzeźwym, bez obowią</w:t>
      </w:r>
      <w:r w:rsidR="00AE4B61">
        <w:rPr>
          <w:rFonts w:ascii="Times New Roman" w:eastAsia="Times New Roman" w:hAnsi="Times New Roman" w:cs="Times New Roman"/>
          <w:sz w:val="24"/>
          <w:szCs w:val="20"/>
          <w:lang w:eastAsia="pl-PL"/>
        </w:rPr>
        <w:t>zkowego oświetlenia pojazdu i z </w:t>
      </w:r>
      <w:r w:rsidRPr="000224D4">
        <w:rPr>
          <w:rFonts w:ascii="Times New Roman" w:eastAsia="Times New Roman" w:hAnsi="Times New Roman" w:cs="Times New Roman"/>
          <w:sz w:val="24"/>
          <w:szCs w:val="20"/>
          <w:lang w:eastAsia="pl-PL"/>
        </w:rPr>
        <w:t xml:space="preserve">przekroczeniem dopuszczalnej prędkości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art. 178a § 1 k.k., art.</w:t>
      </w:r>
      <w:r w:rsidR="008E3B0F">
        <w:rPr>
          <w:rFonts w:ascii="Times New Roman" w:eastAsia="Times New Roman" w:hAnsi="Times New Roman" w:cs="Times New Roman"/>
          <w:sz w:val="24"/>
          <w:szCs w:val="20"/>
          <w:lang w:eastAsia="pl-PL"/>
        </w:rPr>
        <w:t xml:space="preserve"> </w:t>
      </w:r>
      <w:r w:rsidR="009E7DF6">
        <w:rPr>
          <w:rFonts w:ascii="Times New Roman" w:eastAsia="Times New Roman" w:hAnsi="Times New Roman" w:cs="Times New Roman"/>
          <w:sz w:val="24"/>
          <w:szCs w:val="20"/>
          <w:lang w:eastAsia="pl-PL"/>
        </w:rPr>
        <w:t xml:space="preserve">88 </w:t>
      </w:r>
      <w:proofErr w:type="spellStart"/>
      <w:r w:rsidR="009E7DF6">
        <w:rPr>
          <w:rFonts w:ascii="Times New Roman" w:eastAsia="Times New Roman" w:hAnsi="Times New Roman" w:cs="Times New Roman"/>
          <w:sz w:val="24"/>
          <w:szCs w:val="20"/>
          <w:lang w:eastAsia="pl-PL"/>
        </w:rPr>
        <w:t>k.w</w:t>
      </w:r>
      <w:proofErr w:type="spellEnd"/>
      <w:r w:rsidR="009E7DF6">
        <w:rPr>
          <w:rFonts w:ascii="Times New Roman" w:eastAsia="Times New Roman" w:hAnsi="Times New Roman" w:cs="Times New Roman"/>
          <w:sz w:val="24"/>
          <w:szCs w:val="20"/>
          <w:lang w:eastAsia="pl-PL"/>
        </w:rPr>
        <w:t>. i </w:t>
      </w:r>
      <w:r w:rsidR="0027231B">
        <w:rPr>
          <w:rFonts w:ascii="Times New Roman" w:eastAsia="Times New Roman" w:hAnsi="Times New Roman" w:cs="Times New Roman"/>
          <w:sz w:val="24"/>
          <w:szCs w:val="20"/>
          <w:lang w:eastAsia="pl-PL"/>
        </w:rPr>
        <w:t>art. 92a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xml:space="preserve">. Opisana sytuacja znajduje swe normatywne rozwiązanie w konstrukcji idealnego zbiegu czynów określonej w art. 10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Zakłada ona wykonanie jedynie surowszej kary lub środka karnego wymierzonego za dany cz</w:t>
      </w:r>
      <w:r w:rsidR="00AE4B61">
        <w:rPr>
          <w:rFonts w:ascii="Times New Roman" w:eastAsia="Times New Roman" w:hAnsi="Times New Roman" w:cs="Times New Roman"/>
          <w:sz w:val="24"/>
          <w:szCs w:val="20"/>
          <w:lang w:eastAsia="pl-PL"/>
        </w:rPr>
        <w:t>yn, nie powoduje zatem skutku w </w:t>
      </w:r>
      <w:r w:rsidRPr="000224D4">
        <w:rPr>
          <w:rFonts w:ascii="Times New Roman" w:eastAsia="Times New Roman" w:hAnsi="Times New Roman" w:cs="Times New Roman"/>
          <w:sz w:val="24"/>
          <w:szCs w:val="20"/>
          <w:lang w:eastAsia="pl-PL"/>
        </w:rPr>
        <w:t xml:space="preserve">postaci zwielokrotnionej dolegliwości dla sprawcy. W odniesieniu do uregulowań procesowych obowiązuje zasada celowości, a nie legalizmu ścigania wykroczeń, tak więc z reguły będzie celowe kierowanie do sądu wyłącznie aktu oskarżenia. Nawet jednak w razie jednoczesnego złożenia wniosku o ukaranie i aktu </w:t>
      </w:r>
      <w:r w:rsidRPr="000224D4">
        <w:rPr>
          <w:rFonts w:ascii="Times New Roman" w:eastAsia="Times New Roman" w:hAnsi="Times New Roman" w:cs="Times New Roman"/>
          <w:sz w:val="24"/>
          <w:szCs w:val="20"/>
          <w:lang w:eastAsia="pl-PL"/>
        </w:rPr>
        <w:lastRenderedPageBreak/>
        <w:t xml:space="preserve">oskarżenia sąd ma podstawę do odmowy wszczęcia postępowania wykroczeniowego (art. 61 § 1 pkt 1 </w:t>
      </w:r>
      <w:proofErr w:type="spellStart"/>
      <w:r w:rsidRPr="000224D4">
        <w:rPr>
          <w:rFonts w:ascii="Times New Roman" w:eastAsia="Times New Roman" w:hAnsi="Times New Roman" w:cs="Times New Roman"/>
          <w:sz w:val="24"/>
          <w:szCs w:val="20"/>
          <w:lang w:eastAsia="pl-PL"/>
        </w:rPr>
        <w:t>k.p.s.w</w:t>
      </w:r>
      <w:proofErr w:type="spellEnd"/>
      <w:r w:rsidRPr="000224D4">
        <w:rPr>
          <w:rFonts w:ascii="Times New Roman" w:eastAsia="Times New Roman" w:hAnsi="Times New Roman" w:cs="Times New Roman"/>
          <w:sz w:val="24"/>
          <w:szCs w:val="20"/>
          <w:lang w:eastAsia="pl-PL"/>
        </w:rPr>
        <w:t>.).</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W zakresie unormowań karnoprocesowych należy zwrócić uwagę na to, że przestępstwa przeciwko bezpieczeństwu w ruchu drogowym są specyficznymi czynami zabronionymi, które z reguły nie są popełniane przez przestępców sprawców typowych czynów kryminalnych – np. kradzieży, rozbojów, pobić itd. Bardzo często się zatem zdarza, że czyny te popełniają osoby niefigurujące w KRK i mające pozytywną opinię w miejscu zamieszkania, ale które spowodowały</w:t>
      </w:r>
      <w:r w:rsidR="00F95D14">
        <w:rPr>
          <w:rFonts w:ascii="Times New Roman" w:eastAsia="Times New Roman" w:hAnsi="Times New Roman" w:cs="Times New Roman"/>
          <w:sz w:val="24"/>
          <w:szCs w:val="20"/>
          <w:lang w:eastAsia="pl-PL"/>
        </w:rPr>
        <w:t xml:space="preserve"> już wiele groźnych wykroczeń w </w:t>
      </w:r>
      <w:r w:rsidRPr="000224D4">
        <w:rPr>
          <w:rFonts w:ascii="Times New Roman" w:eastAsia="Times New Roman" w:hAnsi="Times New Roman" w:cs="Times New Roman"/>
          <w:sz w:val="24"/>
          <w:szCs w:val="20"/>
          <w:lang w:eastAsia="pl-PL"/>
        </w:rPr>
        <w:t>ruchu drogowym, np. prowadzenie pojazdu w stanie po użyciu alkoholu, niezatrz</w:t>
      </w:r>
      <w:r w:rsidR="00F43500">
        <w:rPr>
          <w:rFonts w:ascii="Times New Roman" w:eastAsia="Times New Roman" w:hAnsi="Times New Roman" w:cs="Times New Roman"/>
          <w:sz w:val="24"/>
          <w:szCs w:val="20"/>
          <w:lang w:eastAsia="pl-PL"/>
        </w:rPr>
        <w:t>ymanie się do kontroli drogowej lub</w:t>
      </w:r>
      <w:r w:rsidRPr="000224D4">
        <w:rPr>
          <w:rFonts w:ascii="Times New Roman" w:eastAsia="Times New Roman" w:hAnsi="Times New Roman" w:cs="Times New Roman"/>
          <w:sz w:val="24"/>
          <w:szCs w:val="20"/>
          <w:lang w:eastAsia="pl-PL"/>
        </w:rPr>
        <w:t xml:space="preserve"> przekraczanie prędkości, którym były zatrzymywane prawa jazdy i cofane uprawnienia do prowadzenia pojazdów. Sąd</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orzekając w sprawie karnej</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z reguły nie ma wiedzy o tych okolicznościach, gdyż według danych uzyskanych z KRK sprawca nie był karany. Nie budzi zaś wątpliwości, że organy proceso</w:t>
      </w:r>
      <w:r w:rsidR="00F43500">
        <w:rPr>
          <w:rFonts w:ascii="Times New Roman" w:eastAsia="Times New Roman" w:hAnsi="Times New Roman" w:cs="Times New Roman"/>
          <w:sz w:val="24"/>
          <w:szCs w:val="20"/>
          <w:lang w:eastAsia="pl-PL"/>
        </w:rPr>
        <w:t>we mają do czynienia ze sprawcą</w:t>
      </w:r>
      <w:r w:rsidRPr="000224D4">
        <w:rPr>
          <w:rFonts w:ascii="Times New Roman" w:eastAsia="Times New Roman" w:hAnsi="Times New Roman" w:cs="Times New Roman"/>
          <w:sz w:val="24"/>
          <w:szCs w:val="20"/>
          <w:lang w:eastAsia="pl-PL"/>
        </w:rPr>
        <w:t>, stwarzającym niebezpieczeństwo w</w:t>
      </w:r>
      <w:r w:rsidR="00F43500">
        <w:rPr>
          <w:rFonts w:ascii="Times New Roman" w:eastAsia="Times New Roman" w:hAnsi="Times New Roman" w:cs="Times New Roman"/>
          <w:sz w:val="24"/>
          <w:szCs w:val="20"/>
          <w:lang w:eastAsia="pl-PL"/>
        </w:rPr>
        <w:t> </w:t>
      </w:r>
      <w:r w:rsidRPr="000224D4">
        <w:rPr>
          <w:rFonts w:ascii="Times New Roman" w:eastAsia="Times New Roman" w:hAnsi="Times New Roman" w:cs="Times New Roman"/>
          <w:sz w:val="24"/>
          <w:szCs w:val="20"/>
          <w:lang w:eastAsia="pl-PL"/>
        </w:rPr>
        <w:t xml:space="preserve">ruchu drogowym, któremu należałoby wymierzyć odpowiednio surową karę. Dlatego należałoby postulować zmianę w art. 213 k.p.k., </w:t>
      </w:r>
      <w:r w:rsidR="00F43500">
        <w:rPr>
          <w:rFonts w:ascii="Times New Roman" w:eastAsia="Times New Roman" w:hAnsi="Times New Roman" w:cs="Times New Roman"/>
          <w:sz w:val="24"/>
          <w:szCs w:val="20"/>
          <w:lang w:eastAsia="pl-PL"/>
        </w:rPr>
        <w:t>aby w sprawach o przestępstwa w </w:t>
      </w:r>
      <w:r w:rsidRPr="000224D4">
        <w:rPr>
          <w:rFonts w:ascii="Times New Roman" w:eastAsia="Times New Roman" w:hAnsi="Times New Roman" w:cs="Times New Roman"/>
          <w:sz w:val="24"/>
          <w:szCs w:val="20"/>
          <w:lang w:eastAsia="pl-PL"/>
        </w:rPr>
        <w:t>ruchu lądowym określone w rozdziale XXI Kodeksu karnego uzyskiwać także informacje z centralnej ewidencji kierowców oraz z ewidencji kierowców naruszających przepisy ruchu drogowego, prow</w:t>
      </w:r>
      <w:r w:rsidR="00EC6BED">
        <w:rPr>
          <w:rFonts w:ascii="Times New Roman" w:eastAsia="Times New Roman" w:hAnsi="Times New Roman" w:cs="Times New Roman"/>
          <w:sz w:val="24"/>
          <w:szCs w:val="20"/>
          <w:lang w:eastAsia="pl-PL"/>
        </w:rPr>
        <w:t>adzonej przez Policję, dotyczące</w:t>
      </w:r>
      <w:r w:rsidRPr="000224D4">
        <w:rPr>
          <w:rFonts w:ascii="Times New Roman" w:eastAsia="Times New Roman" w:hAnsi="Times New Roman" w:cs="Times New Roman"/>
          <w:sz w:val="24"/>
          <w:szCs w:val="20"/>
          <w:lang w:eastAsia="pl-PL"/>
        </w:rPr>
        <w:t xml:space="preserve"> oskarżonego. Umożliwi to sądom stosowanie właściwego oddziaływania </w:t>
      </w:r>
      <w:proofErr w:type="spellStart"/>
      <w:r w:rsidRPr="000224D4">
        <w:rPr>
          <w:rFonts w:ascii="Times New Roman" w:eastAsia="Times New Roman" w:hAnsi="Times New Roman" w:cs="Times New Roman"/>
          <w:sz w:val="24"/>
          <w:szCs w:val="20"/>
          <w:lang w:eastAsia="pl-PL"/>
        </w:rPr>
        <w:t>szczególnoprewencyjnego</w:t>
      </w:r>
      <w:proofErr w:type="spellEnd"/>
      <w:r w:rsidRPr="000224D4">
        <w:rPr>
          <w:rFonts w:ascii="Times New Roman" w:eastAsia="Times New Roman" w:hAnsi="Times New Roman" w:cs="Times New Roman"/>
          <w:sz w:val="24"/>
          <w:szCs w:val="20"/>
          <w:lang w:eastAsia="pl-PL"/>
        </w:rPr>
        <w:t xml:space="preserve"> w stosunku do tej szczególnej kategorii przestępców.</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Ponadto proponuje się wprowadzenie do ustawy z dnia 20 czerwca 1997 r. </w:t>
      </w:r>
      <w:r w:rsidR="00BF1AA8">
        <w:rPr>
          <w:rFonts w:ascii="Times New Roman" w:eastAsia="Times New Roman" w:hAnsi="Times New Roman" w:cs="Times New Roman"/>
          <w:sz w:val="24"/>
          <w:szCs w:val="20"/>
          <w:lang w:eastAsia="pl-PL"/>
        </w:rPr>
        <w:t>–</w:t>
      </w:r>
      <w:r w:rsidR="00F95D14">
        <w:rPr>
          <w:rFonts w:ascii="Times New Roman" w:eastAsia="Times New Roman" w:hAnsi="Times New Roman" w:cs="Times New Roman"/>
          <w:sz w:val="24"/>
          <w:szCs w:val="20"/>
          <w:lang w:eastAsia="pl-PL"/>
        </w:rPr>
        <w:t xml:space="preserve"> Prawo o </w:t>
      </w:r>
      <w:r w:rsidRPr="000224D4">
        <w:rPr>
          <w:rFonts w:ascii="Times New Roman" w:eastAsia="Times New Roman" w:hAnsi="Times New Roman" w:cs="Times New Roman"/>
          <w:sz w:val="24"/>
          <w:szCs w:val="20"/>
          <w:lang w:eastAsia="pl-PL"/>
        </w:rPr>
        <w:t xml:space="preserve">ruchu drogowym wyraźnego unormowania, stanowiącego podstawę do poddawania kierujących pojazdami lub innych osób, w stosunku do których zachodzi uzasadnione podejrzenie, że mogły kierować pojazdem, w toku kontroli drogowej przez uprawniony do kontroli organ badaniu w celu ustalenia zawartości w organizmie alkoholu lub obecności środka działającego podobnie do alkoholu. W aktualnym stanie prawnym wskazane uprawnienie organów kontroli jest </w:t>
      </w:r>
      <w:proofErr w:type="spellStart"/>
      <w:r w:rsidRPr="000224D4">
        <w:rPr>
          <w:rFonts w:ascii="Times New Roman" w:eastAsia="Times New Roman" w:hAnsi="Times New Roman" w:cs="Times New Roman"/>
          <w:sz w:val="24"/>
          <w:szCs w:val="20"/>
          <w:lang w:eastAsia="pl-PL"/>
        </w:rPr>
        <w:t>wyinterpretowywane</w:t>
      </w:r>
      <w:proofErr w:type="spellEnd"/>
      <w:r w:rsidRPr="000224D4">
        <w:rPr>
          <w:rFonts w:ascii="Times New Roman" w:eastAsia="Times New Roman" w:hAnsi="Times New Roman" w:cs="Times New Roman"/>
          <w:sz w:val="24"/>
          <w:szCs w:val="20"/>
          <w:lang w:eastAsia="pl-PL"/>
        </w:rPr>
        <w:t xml:space="preserve"> z unormowań Prawa o ruchu drogowym, w szczególności z art. 129 ust. 2 pkt 3, art. 129i i art. 129j. Możliwość dokonywania badań na zawartość alkoholu lub środków działających podobnie do alkoholu w toku kontroli drogowej w istotny sposób przyczynia się do poprawy bezpieczeństwa na drogach poprze</w:t>
      </w:r>
      <w:r w:rsidR="00F95D14">
        <w:rPr>
          <w:rFonts w:ascii="Times New Roman" w:eastAsia="Times New Roman" w:hAnsi="Times New Roman" w:cs="Times New Roman"/>
          <w:sz w:val="24"/>
          <w:szCs w:val="20"/>
          <w:lang w:eastAsia="pl-PL"/>
        </w:rPr>
        <w:t>z wyeliminowanie nietrzeźwych i </w:t>
      </w:r>
      <w:r w:rsidRPr="000224D4">
        <w:rPr>
          <w:rFonts w:ascii="Times New Roman" w:eastAsia="Times New Roman" w:hAnsi="Times New Roman" w:cs="Times New Roman"/>
          <w:sz w:val="24"/>
          <w:szCs w:val="20"/>
          <w:lang w:eastAsia="pl-PL"/>
        </w:rPr>
        <w:t xml:space="preserve">odurzonych kierowców, jest z tego powodu istotnym instrumentem do </w:t>
      </w:r>
      <w:r w:rsidRPr="000224D4">
        <w:rPr>
          <w:rFonts w:ascii="Times New Roman" w:eastAsia="Times New Roman" w:hAnsi="Times New Roman" w:cs="Times New Roman"/>
          <w:sz w:val="24"/>
          <w:szCs w:val="20"/>
          <w:lang w:eastAsia="pl-PL"/>
        </w:rPr>
        <w:lastRenderedPageBreak/>
        <w:t>przeciwdziałania negatywnym zjawiskom na drogach. Biorąc pod uwagę to, że żądanie poddania się takiej kontroli związane jest z ingerencją w prawo do wolności osobistej, niezbędne jest zamieszczenie w ustawie wyraźneg</w:t>
      </w:r>
      <w:r w:rsidR="00F95D14">
        <w:rPr>
          <w:rFonts w:ascii="Times New Roman" w:eastAsia="Times New Roman" w:hAnsi="Times New Roman" w:cs="Times New Roman"/>
          <w:sz w:val="24"/>
          <w:szCs w:val="20"/>
          <w:lang w:eastAsia="pl-PL"/>
        </w:rPr>
        <w:t>o unormowania kompetencyjnego w </w:t>
      </w:r>
      <w:r w:rsidRPr="000224D4">
        <w:rPr>
          <w:rFonts w:ascii="Times New Roman" w:eastAsia="Times New Roman" w:hAnsi="Times New Roman" w:cs="Times New Roman"/>
          <w:sz w:val="24"/>
          <w:szCs w:val="20"/>
          <w:lang w:eastAsia="pl-PL"/>
        </w:rPr>
        <w:t xml:space="preserve">tym zakresie. Projekt rezygnuje z możliwości </w:t>
      </w:r>
      <w:r w:rsidR="00F95D14">
        <w:rPr>
          <w:rFonts w:ascii="Times New Roman" w:eastAsia="Times New Roman" w:hAnsi="Times New Roman" w:cs="Times New Roman"/>
          <w:sz w:val="24"/>
          <w:szCs w:val="20"/>
          <w:lang w:eastAsia="pl-PL"/>
        </w:rPr>
        <w:t>ustalania zawartości alkoholu w </w:t>
      </w:r>
      <w:r w:rsidRPr="000224D4">
        <w:rPr>
          <w:rFonts w:ascii="Times New Roman" w:eastAsia="Times New Roman" w:hAnsi="Times New Roman" w:cs="Times New Roman"/>
          <w:sz w:val="24"/>
          <w:szCs w:val="20"/>
          <w:lang w:eastAsia="pl-PL"/>
        </w:rPr>
        <w:t>organizmie kierującego pojazdem lub innej osoby, w stosunku do której zachodzi uzasadnione podejrzenie, że mogła kierować pojazdem, na podstawie badań moczu. Ujęcie takie harmonizuje z rozwiązaniami przyjętymi w ustawie</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z dnia 26 października 1982 r. o wychowaniu w trzeźwości i przeciwdziałaniu alkoholizmowi (Dz. U. z 2016 r. poz. 487), która nie przewiduje możliwości dokonywania takich badań. W tym zakresie wystarczające i bardziej precyzyjne są badania pobranych od tych osób próbek krwi.</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Jeżeli chodzi o nowelizację Kodeksu postępowania w sprawach o wykroczenia, to propozycja nadania nowego brzmienia art. 100 § 4 pkt 1 tego Kodeksu, przekazującego zadanie związane z dystrybucją bloczków mandatów do kompetencji Ministra Finansów, uzasadniona jest zmianami, jakie od dnia 1 stycznia 2016 r.</w:t>
      </w:r>
      <w:r w:rsidR="00F95D14">
        <w:rPr>
          <w:rFonts w:ascii="Times New Roman" w:eastAsia="Times New Roman" w:hAnsi="Times New Roman" w:cs="Times New Roman"/>
          <w:sz w:val="24"/>
          <w:szCs w:val="20"/>
          <w:lang w:eastAsia="pl-PL"/>
        </w:rPr>
        <w:t xml:space="preserve"> nastąpiły w </w:t>
      </w:r>
      <w:r w:rsidRPr="000224D4">
        <w:rPr>
          <w:rFonts w:ascii="Times New Roman" w:eastAsia="Times New Roman" w:hAnsi="Times New Roman" w:cs="Times New Roman"/>
          <w:sz w:val="24"/>
          <w:szCs w:val="20"/>
          <w:lang w:eastAsia="pl-PL"/>
        </w:rPr>
        <w:t xml:space="preserve">zakresie postępowań mandatowych. Obecne przepisy przewidują, że pobór należności wynikających z grzywien nałożonych w drodze mandatu karnego należy do właściwych naczelników urzędów skarbowych oraz Głównego Inspektora Transportu Drogowego. Natomiast organami uprawnionymi do dystrybucji oraz rozliczania formularzy mandatów karnych są właściwi miejscowo dyrektorzy izb skarbowych, a dla Inspekcji Transportu Drogowego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Główny Inspektor Transportu Drogowego. Ponieważ obecne brzmienie przepisu art. 100 § 4 </w:t>
      </w:r>
      <w:proofErr w:type="spellStart"/>
      <w:r w:rsidRPr="000224D4">
        <w:rPr>
          <w:rFonts w:ascii="Times New Roman" w:eastAsia="Times New Roman" w:hAnsi="Times New Roman" w:cs="Times New Roman"/>
          <w:sz w:val="24"/>
          <w:szCs w:val="20"/>
          <w:lang w:eastAsia="pl-PL"/>
        </w:rPr>
        <w:t>k.p.s.w</w:t>
      </w:r>
      <w:proofErr w:type="spellEnd"/>
      <w:r w:rsidRPr="000224D4">
        <w:rPr>
          <w:rFonts w:ascii="Times New Roman" w:eastAsia="Times New Roman" w:hAnsi="Times New Roman" w:cs="Times New Roman"/>
          <w:sz w:val="24"/>
          <w:szCs w:val="20"/>
          <w:lang w:eastAsia="pl-PL"/>
        </w:rPr>
        <w:t>. pozostawiło ministrowi właściwemu do spraw wewnętrznych zaopatrywanie właściwych organów w bloczki mandatów karnych, zasadne jest przejęcie przez resort finansów zaopatrywania organów w formularze mandatu karnego, w efekcie czego całokształt zadań z tym związanych znajdowałby się w jednym resorcie. Skumulowanie w jednym resorcie zadań polegających na zaopatrzeniu w bloczki mandatowe organów upoważnionych do prowadzenia postępowań mandatowych w sprawach o wykroczenia i wykroczenia skarbowe, ewidencji wpływów i należności z tytułu grzywien oraz dochodzenia</w:t>
      </w:r>
      <w:r w:rsidR="00F95D14">
        <w:rPr>
          <w:rFonts w:ascii="Times New Roman" w:eastAsia="Times New Roman" w:hAnsi="Times New Roman" w:cs="Times New Roman"/>
          <w:sz w:val="24"/>
          <w:szCs w:val="20"/>
          <w:lang w:eastAsia="pl-PL"/>
        </w:rPr>
        <w:t xml:space="preserve"> i </w:t>
      </w:r>
      <w:r w:rsidRPr="000224D4">
        <w:rPr>
          <w:rFonts w:ascii="Times New Roman" w:eastAsia="Times New Roman" w:hAnsi="Times New Roman" w:cs="Times New Roman"/>
          <w:sz w:val="24"/>
          <w:szCs w:val="20"/>
          <w:lang w:eastAsia="pl-PL"/>
        </w:rPr>
        <w:t>egzekucji nieuiszczonych należności pozwoli na przyspieszenie i zracjonalizowanie realizacji tych zadań.</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Z kolei dodanie art. 102a </w:t>
      </w:r>
      <w:proofErr w:type="spellStart"/>
      <w:r w:rsidRPr="000224D4">
        <w:rPr>
          <w:rFonts w:ascii="Times New Roman" w:eastAsia="Times New Roman" w:hAnsi="Times New Roman" w:cs="Times New Roman"/>
          <w:sz w:val="24"/>
          <w:szCs w:val="20"/>
          <w:lang w:eastAsia="pl-PL"/>
        </w:rPr>
        <w:t>k.p.s.w</w:t>
      </w:r>
      <w:proofErr w:type="spellEnd"/>
      <w:r w:rsidRPr="000224D4">
        <w:rPr>
          <w:rFonts w:ascii="Times New Roman" w:eastAsia="Times New Roman" w:hAnsi="Times New Roman" w:cs="Times New Roman"/>
          <w:sz w:val="24"/>
          <w:szCs w:val="20"/>
          <w:lang w:eastAsia="pl-PL"/>
        </w:rPr>
        <w:t xml:space="preserve">. ma na celu usprawnienie poboru grzywien nakładanych w drodze mandatów karnych poprzez wprowadzenie tak zwanych przelewów zdefiniowanych. Projektowany przepis upoważnia ministra właściwego do </w:t>
      </w:r>
      <w:r w:rsidRPr="000224D4">
        <w:rPr>
          <w:rFonts w:ascii="Times New Roman" w:eastAsia="Times New Roman" w:hAnsi="Times New Roman" w:cs="Times New Roman"/>
          <w:sz w:val="24"/>
          <w:szCs w:val="20"/>
          <w:lang w:eastAsia="pl-PL"/>
        </w:rPr>
        <w:lastRenderedPageBreak/>
        <w:t xml:space="preserve">spraw finansów publicznych do określenia w drodze rozporządzenia wzoru formularza wpłaty gotówkowej oraz polecenia przelewu na rachunek organu właściwego do poboru należności wynikających z grzywien nałożonych w drodze mandatu karnego, uwzględniając dane identyfikujące wpłacającego oraz tytuł wpłaty. Celem tej propozycji jest usprawnienie poboru grzywien nakładanych w drodze mandatów karnych, a środkiem do jego osiągnięcia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wprowadzenie tak zwanego przelewu zdefiniowanego, na wzór rozwiązania zastosowanego w art. 60 § 3 Ordynacji podatkowej. Powinno to w istotny sposób przyczynić się do sprawowania skuteczniejszej kontroli i nadzoru nad wpłatami dokonywanymi z tytułu grzywien nałożonych w drodze mandatów karnych, co z kolei dodatnio wpłynie na ochronę interesów fiskalnych Skarbu Państwa.</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Przepis art. 6 projektu przewiduje, że do czynów popełnionych przed wejściem w życie niniejszej ustawy stosuje się przepisy</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ustawy, o której mowa w art. 2, o przedawnieniu, w brzmieniu nadanym niniejszą ustawą,</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 xml:space="preserve">chyba że termin przedawnienia już upłynął. Regulacja ta ma charakter materialnoprawny, jednakże w zakresie nim normowanym nie ma zastosowania reguła </w:t>
      </w:r>
      <w:r w:rsidRPr="008E3B0F">
        <w:rPr>
          <w:rFonts w:ascii="Times New Roman" w:eastAsia="Times New Roman" w:hAnsi="Times New Roman" w:cs="Times New Roman"/>
          <w:i/>
          <w:sz w:val="24"/>
          <w:szCs w:val="20"/>
          <w:lang w:eastAsia="pl-PL"/>
        </w:rPr>
        <w:t xml:space="preserve">lex </w:t>
      </w:r>
      <w:proofErr w:type="spellStart"/>
      <w:r w:rsidRPr="008E3B0F">
        <w:rPr>
          <w:rFonts w:ascii="Times New Roman" w:eastAsia="Times New Roman" w:hAnsi="Times New Roman" w:cs="Times New Roman"/>
          <w:i/>
          <w:sz w:val="24"/>
          <w:szCs w:val="20"/>
          <w:lang w:eastAsia="pl-PL"/>
        </w:rPr>
        <w:t>mitior</w:t>
      </w:r>
      <w:proofErr w:type="spellEnd"/>
      <w:r w:rsidRPr="000224D4">
        <w:rPr>
          <w:rFonts w:ascii="Times New Roman" w:eastAsia="Times New Roman" w:hAnsi="Times New Roman" w:cs="Times New Roman"/>
          <w:sz w:val="24"/>
          <w:szCs w:val="20"/>
          <w:lang w:eastAsia="pl-PL"/>
        </w:rPr>
        <w:t xml:space="preserve"> określona w art. 2 </w:t>
      </w:r>
      <w:proofErr w:type="spellStart"/>
      <w:r w:rsidRPr="000224D4">
        <w:rPr>
          <w:rFonts w:ascii="Times New Roman" w:eastAsia="Times New Roman" w:hAnsi="Times New Roman" w:cs="Times New Roman"/>
          <w:sz w:val="24"/>
          <w:szCs w:val="20"/>
          <w:lang w:eastAsia="pl-PL"/>
        </w:rPr>
        <w:t>k.w</w:t>
      </w:r>
      <w:proofErr w:type="spellEnd"/>
      <w:r w:rsidRPr="000224D4">
        <w:rPr>
          <w:rFonts w:ascii="Times New Roman" w:eastAsia="Times New Roman" w:hAnsi="Times New Roman" w:cs="Times New Roman"/>
          <w:sz w:val="24"/>
          <w:szCs w:val="20"/>
          <w:lang w:eastAsia="pl-PL"/>
        </w:rPr>
        <w:t xml:space="preserve">. Zarówno w orzecznictwie Sądu Najwyższego, jak i Trybunału Konstytucyjnego jednolicie przyjmuje się, że przepisu statuującego regułę </w:t>
      </w:r>
      <w:r w:rsidRPr="008E3B0F">
        <w:rPr>
          <w:rFonts w:ascii="Times New Roman" w:eastAsia="Times New Roman" w:hAnsi="Times New Roman" w:cs="Times New Roman"/>
          <w:i/>
          <w:sz w:val="24"/>
          <w:szCs w:val="20"/>
          <w:lang w:eastAsia="pl-PL"/>
        </w:rPr>
        <w:t xml:space="preserve">lex </w:t>
      </w:r>
      <w:proofErr w:type="spellStart"/>
      <w:r w:rsidRPr="008E3B0F">
        <w:rPr>
          <w:rFonts w:ascii="Times New Roman" w:eastAsia="Times New Roman" w:hAnsi="Times New Roman" w:cs="Times New Roman"/>
          <w:i/>
          <w:sz w:val="24"/>
          <w:szCs w:val="20"/>
          <w:lang w:eastAsia="pl-PL"/>
        </w:rPr>
        <w:t>mitior</w:t>
      </w:r>
      <w:proofErr w:type="spellEnd"/>
      <w:r w:rsidRPr="000224D4">
        <w:rPr>
          <w:rFonts w:ascii="Times New Roman" w:eastAsia="Times New Roman" w:hAnsi="Times New Roman" w:cs="Times New Roman"/>
          <w:sz w:val="24"/>
          <w:szCs w:val="20"/>
          <w:lang w:eastAsia="pl-PL"/>
        </w:rPr>
        <w:t xml:space="preserve"> nie stosuje się w przypadku zmodyfikowania okresów przedawnienia w odniesieniu do czynów, których karalność jeszcze nie ustała w chwili wejścia w życie ustawy nowelizującej (por.</w:t>
      </w:r>
      <w:r w:rsidR="00BF1AA8">
        <w:rPr>
          <w:rFonts w:ascii="Times New Roman" w:eastAsia="Times New Roman" w:hAnsi="Times New Roman" w:cs="Times New Roman"/>
          <w:sz w:val="24"/>
          <w:szCs w:val="20"/>
          <w:lang w:eastAsia="pl-PL"/>
        </w:rPr>
        <w:t xml:space="preserve"> </w:t>
      </w:r>
      <w:r w:rsidR="00F95D14">
        <w:rPr>
          <w:rFonts w:ascii="Times New Roman" w:eastAsia="Times New Roman" w:hAnsi="Times New Roman" w:cs="Times New Roman"/>
          <w:sz w:val="24"/>
          <w:szCs w:val="20"/>
          <w:lang w:eastAsia="pl-PL"/>
        </w:rPr>
        <w:t>postanowienie SN z dnia 19 </w:t>
      </w:r>
      <w:r w:rsidRPr="000224D4">
        <w:rPr>
          <w:rFonts w:ascii="Times New Roman" w:eastAsia="Times New Roman" w:hAnsi="Times New Roman" w:cs="Times New Roman"/>
          <w:sz w:val="24"/>
          <w:szCs w:val="20"/>
          <w:lang w:eastAsia="pl-PL"/>
        </w:rPr>
        <w:t>sierpnia 1999 r.,</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I KZP 25/99, OSNKW 1999, nr 9</w:t>
      </w:r>
      <w:r w:rsidR="00BF1AA8">
        <w:rPr>
          <w:rFonts w:ascii="Times New Roman" w:eastAsia="Times New Roman" w:hAnsi="Times New Roman" w:cs="Times New Roman"/>
          <w:sz w:val="24"/>
          <w:szCs w:val="20"/>
          <w:lang w:eastAsia="pl-PL"/>
        </w:rPr>
        <w:t>–</w:t>
      </w:r>
      <w:r w:rsidR="00F95D14">
        <w:rPr>
          <w:rFonts w:ascii="Times New Roman" w:eastAsia="Times New Roman" w:hAnsi="Times New Roman" w:cs="Times New Roman"/>
          <w:sz w:val="24"/>
          <w:szCs w:val="20"/>
          <w:lang w:eastAsia="pl-PL"/>
        </w:rPr>
        <w:t>10, poz. 53; postanowienie SN z </w:t>
      </w:r>
      <w:r w:rsidRPr="000224D4">
        <w:rPr>
          <w:rFonts w:ascii="Times New Roman" w:eastAsia="Times New Roman" w:hAnsi="Times New Roman" w:cs="Times New Roman"/>
          <w:sz w:val="24"/>
          <w:szCs w:val="20"/>
          <w:lang w:eastAsia="pl-PL"/>
        </w:rPr>
        <w:t>dnia 5 maja 2005 r.,</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V KK 63/05, LEX nr 149655; wyrok SN z dnia 9 listopada 2005 r.,</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V KK 300/05, LEX nr 164314). Również Trybunał Konstytucyjny</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badając przedmiotowe zagadnienie</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stwierdził, że przepisy przedłużające przedawnienie karalności wobec czynów, których termin przedawnienia jeszcze nie upłynął, nie naruszają zasady, zgodnie z którą nie można wymierzyć kary surowszej od tej</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którą można było wymierzyć w czasie, gdy czyn zabroniony został popełniony. Natomiast przepisy, które wprowadzałyby ponowną karalność czynów zabronionych, mimo upływu terminu przedawnienia, naruszałyby zasadę ochrony zaufania obywateli do państwa i wynikający z niej zakaz retroaktywności prawa. Zdaniem Trybunału instytucja przedawnienia tworzy ramy czasowe dla orzecznictwa sądowego, a nie przesłankę materialnoprawną orzekania o winie i karze. Dopóki czyn zarzucany nie przedawnił się, sąd orzeka w ramach swych kompetencji. Ustawodawca może wydłużyć </w:t>
      </w:r>
      <w:r w:rsidRPr="000224D4">
        <w:rPr>
          <w:rFonts w:ascii="Times New Roman" w:eastAsia="Times New Roman" w:hAnsi="Times New Roman" w:cs="Times New Roman"/>
          <w:sz w:val="24"/>
          <w:szCs w:val="20"/>
          <w:lang w:eastAsia="pl-PL"/>
        </w:rPr>
        <w:lastRenderedPageBreak/>
        <w:t>okres przedawnienia zarzucanego czynu, ale jego osądzenie będzie możliwe pod warunkiem, że karalność takiego czynu nie przedawniła się na gruncie dotychczasowych przepisów (por. wyrok TK z dnia 13 października 2009 r., P 4/08, OTK-A 2009, z. 9, poz. 133).</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Planuje się, że projektowana ustawa wejdzie w życie po upływie 14 dni od dnia ogłoszenia, z tym że przepis art. 100 § 4 pkt 1 </w:t>
      </w:r>
      <w:proofErr w:type="spellStart"/>
      <w:r w:rsidRPr="000224D4">
        <w:rPr>
          <w:rFonts w:ascii="Times New Roman" w:eastAsia="Times New Roman" w:hAnsi="Times New Roman" w:cs="Times New Roman"/>
          <w:sz w:val="24"/>
          <w:szCs w:val="20"/>
          <w:lang w:eastAsia="pl-PL"/>
        </w:rPr>
        <w:t>k.p.s.w</w:t>
      </w:r>
      <w:proofErr w:type="spellEnd"/>
      <w:r w:rsidRPr="000224D4">
        <w:rPr>
          <w:rFonts w:ascii="Times New Roman" w:eastAsia="Times New Roman" w:hAnsi="Times New Roman" w:cs="Times New Roman"/>
          <w:sz w:val="24"/>
          <w:szCs w:val="20"/>
          <w:lang w:eastAsia="pl-PL"/>
        </w:rPr>
        <w:t>. ma wejść w życie z dniem</w:t>
      </w:r>
      <w:r w:rsidR="009120D8">
        <w:rPr>
          <w:rFonts w:ascii="Times New Roman" w:eastAsia="Times New Roman" w:hAnsi="Times New Roman" w:cs="Times New Roman"/>
          <w:sz w:val="24"/>
          <w:szCs w:val="20"/>
          <w:lang w:eastAsia="pl-PL"/>
        </w:rPr>
        <w:t xml:space="preserve"> 1 </w:t>
      </w:r>
      <w:r w:rsidRPr="000224D4">
        <w:rPr>
          <w:rFonts w:ascii="Times New Roman" w:eastAsia="Times New Roman" w:hAnsi="Times New Roman" w:cs="Times New Roman"/>
          <w:sz w:val="24"/>
          <w:szCs w:val="20"/>
          <w:lang w:eastAsia="pl-PL"/>
        </w:rPr>
        <w:t>stycznia 2018 r</w:t>
      </w:r>
      <w:r w:rsidR="008E3B0F">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co uzasadnione jest koniecznością dostosowania nowych regulacji prawnych do cyklu postępowań przetargowych związanych z pozyskaniem formularzy mandatów karnych.</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 xml:space="preserve">Zakres projektu </w:t>
      </w:r>
      <w:r w:rsidR="008E3B0F">
        <w:rPr>
          <w:rFonts w:ascii="Times New Roman" w:eastAsia="Times New Roman" w:hAnsi="Times New Roman" w:cs="Times New Roman"/>
          <w:sz w:val="24"/>
          <w:szCs w:val="20"/>
          <w:lang w:eastAsia="pl-PL"/>
        </w:rPr>
        <w:t>ustawy</w:t>
      </w:r>
      <w:r w:rsidRPr="000224D4">
        <w:rPr>
          <w:rFonts w:ascii="Times New Roman" w:eastAsia="Times New Roman" w:hAnsi="Times New Roman" w:cs="Times New Roman"/>
          <w:sz w:val="24"/>
          <w:szCs w:val="20"/>
          <w:lang w:eastAsia="pl-PL"/>
        </w:rPr>
        <w:t xml:space="preserve"> nie jest objęty prawem Unii Europejskiej.</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Ocena Skutków Regulacji została uzgodniona z koordynatorem OSR, o którym mowa w</w:t>
      </w:r>
      <w:r w:rsidR="00BF1AA8">
        <w:rPr>
          <w:rFonts w:ascii="Times New Roman" w:eastAsia="Times New Roman" w:hAnsi="Times New Roman" w:cs="Times New Roman"/>
          <w:sz w:val="24"/>
          <w:szCs w:val="20"/>
          <w:lang w:eastAsia="pl-PL"/>
        </w:rPr>
        <w:t xml:space="preserve"> </w:t>
      </w:r>
      <w:r w:rsidRPr="000224D4">
        <w:rPr>
          <w:rFonts w:ascii="Times New Roman" w:eastAsia="Times New Roman" w:hAnsi="Times New Roman" w:cs="Times New Roman"/>
          <w:sz w:val="24"/>
          <w:szCs w:val="20"/>
          <w:lang w:eastAsia="pl-PL"/>
        </w:rPr>
        <w:t xml:space="preserve">§ 32 uchwały </w:t>
      </w:r>
      <w:r w:rsidR="00EC6BED">
        <w:rPr>
          <w:rFonts w:ascii="Times New Roman" w:eastAsia="Times New Roman" w:hAnsi="Times New Roman" w:cs="Times New Roman"/>
          <w:sz w:val="24"/>
          <w:szCs w:val="20"/>
          <w:lang w:eastAsia="pl-PL"/>
        </w:rPr>
        <w:t>n</w:t>
      </w:r>
      <w:r w:rsidRPr="000224D4">
        <w:rPr>
          <w:rFonts w:ascii="Times New Roman" w:eastAsia="Times New Roman" w:hAnsi="Times New Roman" w:cs="Times New Roman"/>
          <w:sz w:val="24"/>
          <w:szCs w:val="20"/>
          <w:lang w:eastAsia="pl-PL"/>
        </w:rPr>
        <w:t xml:space="preserve">r 190 Rady Ministrów z dnia 29 października 2013 r. </w:t>
      </w:r>
      <w:r w:rsidR="00BF1AA8">
        <w:rPr>
          <w:rFonts w:ascii="Times New Roman" w:eastAsia="Times New Roman" w:hAnsi="Times New Roman" w:cs="Times New Roman"/>
          <w:sz w:val="24"/>
          <w:szCs w:val="20"/>
          <w:lang w:eastAsia="pl-PL"/>
        </w:rPr>
        <w:t>–</w:t>
      </w:r>
      <w:r w:rsidRPr="000224D4">
        <w:rPr>
          <w:rFonts w:ascii="Times New Roman" w:eastAsia="Times New Roman" w:hAnsi="Times New Roman" w:cs="Times New Roman"/>
          <w:sz w:val="24"/>
          <w:szCs w:val="20"/>
          <w:lang w:eastAsia="pl-PL"/>
        </w:rPr>
        <w:t xml:space="preserve"> Regulamin pracy Rady Ministrów (M.P. </w:t>
      </w:r>
      <w:r w:rsidR="000C4EFC">
        <w:rPr>
          <w:rFonts w:ascii="Times New Roman" w:eastAsia="Times New Roman" w:hAnsi="Times New Roman" w:cs="Times New Roman"/>
          <w:sz w:val="24"/>
          <w:szCs w:val="20"/>
          <w:lang w:eastAsia="pl-PL"/>
        </w:rPr>
        <w:t>z 2016 r. poz. 1006 i 1204</w:t>
      </w:r>
      <w:r w:rsidRPr="000224D4">
        <w:rPr>
          <w:rFonts w:ascii="Times New Roman" w:eastAsia="Times New Roman" w:hAnsi="Times New Roman" w:cs="Times New Roman"/>
          <w:sz w:val="24"/>
          <w:szCs w:val="20"/>
          <w:lang w:eastAsia="pl-PL"/>
        </w:rPr>
        <w:t>)</w:t>
      </w:r>
      <w:r w:rsidR="000C4EFC">
        <w:rPr>
          <w:rFonts w:ascii="Times New Roman" w:eastAsia="Times New Roman" w:hAnsi="Times New Roman" w:cs="Times New Roman"/>
          <w:sz w:val="24"/>
          <w:szCs w:val="20"/>
          <w:lang w:eastAsia="pl-PL"/>
        </w:rPr>
        <w:t>.</w:t>
      </w:r>
    </w:p>
    <w:p w:rsidR="000224D4" w:rsidRPr="000224D4" w:rsidRDefault="000224D4" w:rsidP="0046127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0224D4">
        <w:rPr>
          <w:rFonts w:ascii="Times New Roman" w:eastAsia="Times New Roman" w:hAnsi="Times New Roman" w:cs="Times New Roman"/>
          <w:sz w:val="24"/>
          <w:szCs w:val="20"/>
          <w:lang w:eastAsia="pl-PL"/>
        </w:rPr>
        <w:t>Projektowana ustawa nie podlega notyfikacji zgodnie z przepisami dotyczącymi funkcjonowania krajowego systemu notyfikacji norm i aktów prawnych.</w:t>
      </w:r>
    </w:p>
    <w:p w:rsidR="000224D4" w:rsidRPr="000C4EFC" w:rsidRDefault="000224D4" w:rsidP="008F2C3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0224D4">
        <w:rPr>
          <w:rFonts w:ascii="Times New Roman" w:eastAsia="Times New Roman" w:hAnsi="Times New Roman" w:cs="Times New Roman"/>
          <w:sz w:val="24"/>
          <w:szCs w:val="20"/>
          <w:lang w:eastAsia="pl-PL"/>
        </w:rPr>
        <w:t xml:space="preserve">Zgodnie z art. 5 ustawy z dnia 7 lipca 2005 r. o działalności lobbingowej w procesie stanowienia prawa (Dz. U. poz. 1414, z </w:t>
      </w:r>
      <w:proofErr w:type="spellStart"/>
      <w:r w:rsidRPr="000224D4">
        <w:rPr>
          <w:rFonts w:ascii="Times New Roman" w:eastAsia="Times New Roman" w:hAnsi="Times New Roman" w:cs="Times New Roman"/>
          <w:sz w:val="24"/>
          <w:szCs w:val="20"/>
          <w:lang w:eastAsia="pl-PL"/>
        </w:rPr>
        <w:t>późn</w:t>
      </w:r>
      <w:proofErr w:type="spellEnd"/>
      <w:r w:rsidRPr="000224D4">
        <w:rPr>
          <w:rFonts w:ascii="Times New Roman" w:eastAsia="Times New Roman" w:hAnsi="Times New Roman" w:cs="Times New Roman"/>
          <w:sz w:val="24"/>
          <w:szCs w:val="20"/>
          <w:lang w:eastAsia="pl-PL"/>
        </w:rPr>
        <w:t>. zm.) projekt został udostępniony w</w:t>
      </w:r>
      <w:r w:rsidR="000C4EFC">
        <w:rPr>
          <w:rFonts w:ascii="Times New Roman" w:eastAsia="Times New Roman" w:hAnsi="Times New Roman" w:cs="Times New Roman"/>
          <w:sz w:val="24"/>
          <w:szCs w:val="20"/>
          <w:lang w:eastAsia="pl-PL"/>
        </w:rPr>
        <w:t> </w:t>
      </w:r>
      <w:r w:rsidRPr="000224D4">
        <w:rPr>
          <w:rFonts w:ascii="Times New Roman" w:eastAsia="Times New Roman" w:hAnsi="Times New Roman" w:cs="Times New Roman"/>
          <w:sz w:val="24"/>
          <w:szCs w:val="20"/>
          <w:lang w:eastAsia="pl-PL"/>
        </w:rPr>
        <w:t xml:space="preserve">Biuletynie Informacji Publicznej na stronie podmiotowej Rządowego Centrum </w:t>
      </w:r>
      <w:r w:rsidRPr="000C4EFC">
        <w:rPr>
          <w:rFonts w:ascii="Times New Roman" w:eastAsia="Times New Roman" w:hAnsi="Times New Roman" w:cs="Times New Roman"/>
          <w:sz w:val="24"/>
          <w:szCs w:val="24"/>
          <w:lang w:eastAsia="pl-PL"/>
        </w:rPr>
        <w:t>Legislacji oraz na stronach internetowych Ministerstwa Sprawiedliwości w zakładce „Projekty aktów prawnych – prawo karne”.</w:t>
      </w:r>
    </w:p>
    <w:p w:rsidR="00B10A8C" w:rsidRPr="000C4EFC" w:rsidRDefault="000C4EFC" w:rsidP="008F2C33">
      <w:pPr>
        <w:spacing w:before="120" w:after="0" w:line="360" w:lineRule="auto"/>
        <w:jc w:val="both"/>
        <w:rPr>
          <w:rFonts w:ascii="Times New Roman" w:hAnsi="Times New Roman" w:cs="Times New Roman"/>
          <w:sz w:val="24"/>
          <w:szCs w:val="24"/>
        </w:rPr>
      </w:pPr>
      <w:r w:rsidRPr="000C4EFC">
        <w:rPr>
          <w:rFonts w:ascii="Times New Roman" w:hAnsi="Times New Roman" w:cs="Times New Roman"/>
          <w:sz w:val="24"/>
          <w:szCs w:val="24"/>
        </w:rPr>
        <w:t>Po udostępnieniu projektu na stronach BIP RCL i BIP MS nie zgłosiły się podmioty zainteresowane pracami nad nim.</w:t>
      </w:r>
    </w:p>
    <w:sectPr w:rsidR="00B10A8C" w:rsidRPr="000C4EFC" w:rsidSect="009777ED">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7ED" w:rsidRDefault="009777ED" w:rsidP="009777ED">
      <w:pPr>
        <w:spacing w:after="0" w:line="240" w:lineRule="auto"/>
      </w:pPr>
      <w:r>
        <w:separator/>
      </w:r>
    </w:p>
  </w:endnote>
  <w:endnote w:type="continuationSeparator" w:id="0">
    <w:p w:rsidR="009777ED" w:rsidRDefault="009777ED" w:rsidP="00977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B22" w:rsidRDefault="00914B2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234777"/>
      <w:docPartObj>
        <w:docPartGallery w:val="Page Numbers (Bottom of Page)"/>
        <w:docPartUnique/>
      </w:docPartObj>
    </w:sdtPr>
    <w:sdtEndPr>
      <w:rPr>
        <w:rFonts w:ascii="Times New Roman" w:hAnsi="Times New Roman" w:cs="Times New Roman"/>
        <w:sz w:val="24"/>
        <w:szCs w:val="24"/>
      </w:rPr>
    </w:sdtEndPr>
    <w:sdtContent>
      <w:p w:rsidR="009777ED" w:rsidRPr="009777ED" w:rsidRDefault="009777ED">
        <w:pPr>
          <w:pStyle w:val="Stopka"/>
          <w:jc w:val="center"/>
          <w:rPr>
            <w:rFonts w:ascii="Times New Roman" w:hAnsi="Times New Roman" w:cs="Times New Roman"/>
            <w:sz w:val="24"/>
            <w:szCs w:val="24"/>
          </w:rPr>
        </w:pPr>
        <w:r w:rsidRPr="009777ED">
          <w:rPr>
            <w:rFonts w:ascii="Times New Roman" w:hAnsi="Times New Roman" w:cs="Times New Roman"/>
            <w:sz w:val="24"/>
            <w:szCs w:val="24"/>
          </w:rPr>
          <w:fldChar w:fldCharType="begin"/>
        </w:r>
        <w:r w:rsidRPr="009777ED">
          <w:rPr>
            <w:rFonts w:ascii="Times New Roman" w:hAnsi="Times New Roman" w:cs="Times New Roman"/>
            <w:sz w:val="24"/>
            <w:szCs w:val="24"/>
          </w:rPr>
          <w:instrText>PAGE   \* MERGEFORMAT</w:instrText>
        </w:r>
        <w:r w:rsidRPr="009777ED">
          <w:rPr>
            <w:rFonts w:ascii="Times New Roman" w:hAnsi="Times New Roman" w:cs="Times New Roman"/>
            <w:sz w:val="24"/>
            <w:szCs w:val="24"/>
          </w:rPr>
          <w:fldChar w:fldCharType="separate"/>
        </w:r>
        <w:r w:rsidR="003F6EBE">
          <w:rPr>
            <w:rFonts w:ascii="Times New Roman" w:hAnsi="Times New Roman" w:cs="Times New Roman"/>
            <w:noProof/>
            <w:sz w:val="24"/>
            <w:szCs w:val="24"/>
          </w:rPr>
          <w:t>11</w:t>
        </w:r>
        <w:r w:rsidRPr="009777ED">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B22" w:rsidRDefault="00914B2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7ED" w:rsidRDefault="009777ED" w:rsidP="009777ED">
      <w:pPr>
        <w:spacing w:after="0" w:line="240" w:lineRule="auto"/>
      </w:pPr>
      <w:r>
        <w:separator/>
      </w:r>
    </w:p>
  </w:footnote>
  <w:footnote w:type="continuationSeparator" w:id="0">
    <w:p w:rsidR="009777ED" w:rsidRDefault="009777ED" w:rsidP="009777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B22" w:rsidRDefault="00914B2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B22" w:rsidRDefault="00914B22">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B22" w:rsidRDefault="00914B22">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4D4"/>
    <w:rsid w:val="000224D4"/>
    <w:rsid w:val="000C4EFC"/>
    <w:rsid w:val="000F5E14"/>
    <w:rsid w:val="00124300"/>
    <w:rsid w:val="002049EF"/>
    <w:rsid w:val="00252E59"/>
    <w:rsid w:val="0027231B"/>
    <w:rsid w:val="00294916"/>
    <w:rsid w:val="00324E26"/>
    <w:rsid w:val="003252FA"/>
    <w:rsid w:val="00397FB0"/>
    <w:rsid w:val="003F6EBE"/>
    <w:rsid w:val="00461275"/>
    <w:rsid w:val="00565750"/>
    <w:rsid w:val="005B1800"/>
    <w:rsid w:val="006B6656"/>
    <w:rsid w:val="007767D6"/>
    <w:rsid w:val="00866DE4"/>
    <w:rsid w:val="008723CD"/>
    <w:rsid w:val="008E3B0F"/>
    <w:rsid w:val="008F2C33"/>
    <w:rsid w:val="009120D8"/>
    <w:rsid w:val="00914B22"/>
    <w:rsid w:val="009777ED"/>
    <w:rsid w:val="009E7DF6"/>
    <w:rsid w:val="00AC16E3"/>
    <w:rsid w:val="00AE4B61"/>
    <w:rsid w:val="00B10A8C"/>
    <w:rsid w:val="00B2362B"/>
    <w:rsid w:val="00BF1AA8"/>
    <w:rsid w:val="00CA6D00"/>
    <w:rsid w:val="00CB5ACF"/>
    <w:rsid w:val="00E20232"/>
    <w:rsid w:val="00EC05FB"/>
    <w:rsid w:val="00EC6BED"/>
    <w:rsid w:val="00EE18B3"/>
    <w:rsid w:val="00F43500"/>
    <w:rsid w:val="00F552B2"/>
    <w:rsid w:val="00F712CD"/>
    <w:rsid w:val="00F95D14"/>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0224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24D4"/>
  </w:style>
  <w:style w:type="paragraph" w:styleId="Stopka">
    <w:name w:val="footer"/>
    <w:basedOn w:val="Normalny"/>
    <w:link w:val="StopkaZnak"/>
    <w:uiPriority w:val="99"/>
    <w:unhideWhenUsed/>
    <w:rsid w:val="009777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77ED"/>
  </w:style>
  <w:style w:type="paragraph" w:styleId="Tekstdymka">
    <w:name w:val="Balloon Text"/>
    <w:basedOn w:val="Normalny"/>
    <w:link w:val="TekstdymkaZnak"/>
    <w:uiPriority w:val="99"/>
    <w:semiHidden/>
    <w:unhideWhenUsed/>
    <w:rsid w:val="008E3B0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E3B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0224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24D4"/>
  </w:style>
  <w:style w:type="paragraph" w:styleId="Stopka">
    <w:name w:val="footer"/>
    <w:basedOn w:val="Normalny"/>
    <w:link w:val="StopkaZnak"/>
    <w:uiPriority w:val="99"/>
    <w:unhideWhenUsed/>
    <w:rsid w:val="009777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77ED"/>
  </w:style>
  <w:style w:type="paragraph" w:styleId="Tekstdymka">
    <w:name w:val="Balloon Text"/>
    <w:basedOn w:val="Normalny"/>
    <w:link w:val="TekstdymkaZnak"/>
    <w:uiPriority w:val="99"/>
    <w:semiHidden/>
    <w:unhideWhenUsed/>
    <w:rsid w:val="008E3B0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E3B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4038</Words>
  <Characters>22290</Characters>
  <Application>Microsoft Office Word</Application>
  <DocSecurity>0</DocSecurity>
  <Lines>412</Lines>
  <Paragraphs>197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cp:lastPrinted>2017-01-12T15:48:00Z</cp:lastPrinted>
  <dcterms:created xsi:type="dcterms:W3CDTF">2017-01-25T11:05:00Z</dcterms:created>
  <dcterms:modified xsi:type="dcterms:W3CDTF">2017-01-25T11:05:00Z</dcterms:modified>
</cp:coreProperties>
</file>