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438" w:rsidRPr="004F2386" w:rsidRDefault="00571438" w:rsidP="006D461E">
      <w:pPr>
        <w:spacing w:line="360" w:lineRule="auto"/>
        <w:jc w:val="both"/>
        <w:rPr>
          <w:rFonts w:ascii="Arial" w:hAnsi="Arial" w:cs="Arial"/>
          <w:bCs/>
          <w:i/>
        </w:rPr>
      </w:pPr>
      <w:bookmarkStart w:id="0" w:name="_GoBack"/>
      <w:bookmarkEnd w:id="0"/>
    </w:p>
    <w:p w:rsidR="00C51A2C" w:rsidRPr="004F2386" w:rsidRDefault="00C51A2C" w:rsidP="006D461E">
      <w:pPr>
        <w:spacing w:line="360" w:lineRule="auto"/>
        <w:jc w:val="center"/>
        <w:rPr>
          <w:rFonts w:ascii="Arial" w:hAnsi="Arial" w:cs="Arial"/>
          <w:b/>
          <w:bCs/>
        </w:rPr>
      </w:pPr>
      <w:r w:rsidRPr="004F2386">
        <w:rPr>
          <w:rFonts w:ascii="Arial" w:hAnsi="Arial" w:cs="Arial"/>
          <w:b/>
          <w:bCs/>
        </w:rPr>
        <w:t>Stanowisko Rządu</w:t>
      </w:r>
    </w:p>
    <w:p w:rsidR="00C51A2C" w:rsidRPr="004F2386" w:rsidRDefault="00C51A2C" w:rsidP="006D461E">
      <w:pPr>
        <w:spacing w:line="360" w:lineRule="auto"/>
        <w:jc w:val="center"/>
        <w:rPr>
          <w:rFonts w:ascii="Arial" w:hAnsi="Arial" w:cs="Arial"/>
          <w:b/>
        </w:rPr>
      </w:pPr>
      <w:r w:rsidRPr="004F2386">
        <w:rPr>
          <w:rFonts w:ascii="Arial" w:hAnsi="Arial" w:cs="Arial"/>
          <w:b/>
          <w:bCs/>
        </w:rPr>
        <w:t xml:space="preserve">wobec senackiego projektu ustawy </w:t>
      </w:r>
      <w:r w:rsidRPr="004F2386">
        <w:rPr>
          <w:rFonts w:ascii="Arial" w:hAnsi="Arial" w:cs="Arial"/>
          <w:b/>
          <w:bCs/>
          <w:iCs/>
        </w:rPr>
        <w:t>o zmianie ustawy – Kodeks postępowania cywilnego oraz ustawy – Prawo o postępowaniu przed sądami administracyjnymi</w:t>
      </w:r>
      <w:r w:rsidRPr="004F2386">
        <w:rPr>
          <w:rFonts w:ascii="Arial" w:hAnsi="Arial" w:cs="Arial"/>
          <w:b/>
          <w:bCs/>
          <w:iCs/>
        </w:rPr>
        <w:br/>
      </w:r>
      <w:r w:rsidRPr="004F2386">
        <w:rPr>
          <w:rFonts w:ascii="Arial" w:hAnsi="Arial" w:cs="Arial"/>
          <w:b/>
        </w:rPr>
        <w:t>(druk sejmowy nr 1248)</w:t>
      </w:r>
    </w:p>
    <w:p w:rsidR="00C51A2C" w:rsidRPr="004F2386" w:rsidRDefault="00C51A2C" w:rsidP="006D461E">
      <w:pPr>
        <w:spacing w:before="240" w:line="360" w:lineRule="auto"/>
        <w:ind w:firstLine="709"/>
        <w:jc w:val="both"/>
        <w:rPr>
          <w:rStyle w:val="FontStyle21"/>
          <w:rFonts w:ascii="Arial" w:hAnsi="Arial" w:cs="Arial"/>
          <w:sz w:val="24"/>
          <w:szCs w:val="24"/>
        </w:rPr>
      </w:pPr>
      <w:r w:rsidRPr="004F2386">
        <w:rPr>
          <w:rStyle w:val="FontStyle21"/>
          <w:rFonts w:ascii="Arial" w:hAnsi="Arial" w:cs="Arial"/>
          <w:sz w:val="24"/>
          <w:szCs w:val="24"/>
        </w:rPr>
        <w:t>I. Przedmiot projektu ustawy i istota projektowanych zmian</w:t>
      </w:r>
    </w:p>
    <w:p w:rsidR="00C51A2C" w:rsidRPr="004F2386" w:rsidRDefault="00C51A2C" w:rsidP="006D461E">
      <w:pPr>
        <w:spacing w:line="360" w:lineRule="auto"/>
        <w:ind w:firstLine="709"/>
        <w:jc w:val="both"/>
        <w:rPr>
          <w:rStyle w:val="FontStyle21"/>
          <w:rFonts w:ascii="Arial" w:hAnsi="Arial" w:cs="Arial"/>
          <w:b w:val="0"/>
          <w:sz w:val="24"/>
          <w:szCs w:val="24"/>
        </w:rPr>
      </w:pPr>
      <w:r w:rsidRPr="004F2386">
        <w:rPr>
          <w:rStyle w:val="FontStyle21"/>
          <w:rFonts w:ascii="Arial" w:hAnsi="Arial" w:cs="Arial"/>
          <w:b w:val="0"/>
          <w:sz w:val="24"/>
          <w:szCs w:val="24"/>
        </w:rPr>
        <w:t xml:space="preserve">Senacki projekt ustawy </w:t>
      </w:r>
      <w:r w:rsidRPr="004F2386">
        <w:rPr>
          <w:rFonts w:ascii="Arial" w:hAnsi="Arial" w:cs="Arial"/>
          <w:bCs/>
          <w:iCs/>
        </w:rPr>
        <w:t xml:space="preserve">o zmianie ustawy – Kodeks postępowania cywilnego oraz ustawy – Prawo o postępowaniu przed sądami administracyjnymi </w:t>
      </w:r>
      <w:r w:rsidRPr="004F2386">
        <w:rPr>
          <w:rFonts w:ascii="Arial" w:hAnsi="Arial" w:cs="Arial"/>
        </w:rPr>
        <w:t xml:space="preserve">(druk </w:t>
      </w:r>
      <w:r w:rsidR="00520F0E" w:rsidRPr="004F2386">
        <w:rPr>
          <w:rFonts w:ascii="Arial" w:hAnsi="Arial" w:cs="Arial"/>
        </w:rPr>
        <w:t xml:space="preserve"> </w:t>
      </w:r>
      <w:r w:rsidRPr="004F2386">
        <w:rPr>
          <w:rFonts w:ascii="Arial" w:hAnsi="Arial" w:cs="Arial"/>
        </w:rPr>
        <w:t>sejmowy nr 1248)</w:t>
      </w:r>
      <w:r w:rsidRPr="004F2386">
        <w:rPr>
          <w:rStyle w:val="FontStyle21"/>
          <w:rFonts w:ascii="Arial" w:hAnsi="Arial" w:cs="Arial"/>
          <w:b w:val="0"/>
          <w:sz w:val="24"/>
          <w:szCs w:val="24"/>
        </w:rPr>
        <w:t xml:space="preserve"> zawiera prop</w:t>
      </w:r>
      <w:r w:rsidR="000E22DD">
        <w:rPr>
          <w:rStyle w:val="FontStyle21"/>
          <w:rFonts w:ascii="Arial" w:hAnsi="Arial" w:cs="Arial"/>
          <w:b w:val="0"/>
          <w:sz w:val="24"/>
          <w:szCs w:val="24"/>
        </w:rPr>
        <w:t>ozycję zmian przepisów mający</w:t>
      </w:r>
      <w:r w:rsidR="00ED4C15">
        <w:rPr>
          <w:rStyle w:val="FontStyle21"/>
          <w:rFonts w:ascii="Arial" w:hAnsi="Arial" w:cs="Arial"/>
          <w:b w:val="0"/>
          <w:sz w:val="24"/>
          <w:szCs w:val="24"/>
        </w:rPr>
        <w:t>ch</w:t>
      </w:r>
      <w:r w:rsidR="00571438">
        <w:rPr>
          <w:rStyle w:val="FontStyle21"/>
          <w:rFonts w:ascii="Arial" w:hAnsi="Arial" w:cs="Arial"/>
          <w:b w:val="0"/>
          <w:sz w:val="24"/>
          <w:szCs w:val="24"/>
        </w:rPr>
        <w:t xml:space="preserve"> </w:t>
      </w:r>
      <w:r w:rsidR="00520F0E" w:rsidRPr="004F2386">
        <w:rPr>
          <w:rStyle w:val="FontStyle21"/>
          <w:rFonts w:ascii="Arial" w:hAnsi="Arial" w:cs="Arial"/>
          <w:b w:val="0"/>
          <w:sz w:val="24"/>
          <w:szCs w:val="24"/>
        </w:rPr>
        <w:t xml:space="preserve">na celu </w:t>
      </w:r>
      <w:r w:rsidRPr="004F2386">
        <w:rPr>
          <w:rStyle w:val="FontStyle21"/>
          <w:rFonts w:ascii="Arial" w:hAnsi="Arial" w:cs="Arial"/>
          <w:b w:val="0"/>
          <w:sz w:val="24"/>
          <w:szCs w:val="24"/>
        </w:rPr>
        <w:t xml:space="preserve">umożliwienie osobom małoletnim udziału w charakterze </w:t>
      </w:r>
      <w:r w:rsidR="000E22DD">
        <w:rPr>
          <w:rStyle w:val="FontStyle21"/>
          <w:rFonts w:ascii="Arial" w:hAnsi="Arial" w:cs="Arial"/>
          <w:b w:val="0"/>
          <w:sz w:val="24"/>
          <w:szCs w:val="24"/>
        </w:rPr>
        <w:t>publiczności</w:t>
      </w:r>
      <w:r w:rsidR="00571438">
        <w:rPr>
          <w:rStyle w:val="FontStyle21"/>
          <w:rFonts w:ascii="Arial" w:hAnsi="Arial" w:cs="Arial"/>
          <w:b w:val="0"/>
          <w:sz w:val="24"/>
          <w:szCs w:val="24"/>
        </w:rPr>
        <w:t xml:space="preserve"> </w:t>
      </w:r>
      <w:r w:rsidRPr="004F2386">
        <w:rPr>
          <w:rStyle w:val="FontStyle21"/>
          <w:rFonts w:ascii="Arial" w:hAnsi="Arial" w:cs="Arial"/>
          <w:b w:val="0"/>
          <w:sz w:val="24"/>
          <w:szCs w:val="24"/>
        </w:rPr>
        <w:t>w jawnych posiedzeniach s</w:t>
      </w:r>
      <w:r w:rsidR="00520F0E" w:rsidRPr="004F2386">
        <w:rPr>
          <w:rStyle w:val="FontStyle21"/>
          <w:rFonts w:ascii="Arial" w:hAnsi="Arial" w:cs="Arial"/>
          <w:b w:val="0"/>
          <w:sz w:val="24"/>
          <w:szCs w:val="24"/>
        </w:rPr>
        <w:t xml:space="preserve">ądowych w postępowaniu cywilnym </w:t>
      </w:r>
      <w:r w:rsidRPr="004F2386">
        <w:rPr>
          <w:rStyle w:val="FontStyle21"/>
          <w:rFonts w:ascii="Arial" w:hAnsi="Arial" w:cs="Arial"/>
          <w:b w:val="0"/>
          <w:sz w:val="24"/>
          <w:szCs w:val="24"/>
        </w:rPr>
        <w:t>i</w:t>
      </w:r>
      <w:r w:rsidR="00ED3312" w:rsidRPr="004F2386">
        <w:rPr>
          <w:rStyle w:val="FontStyle21"/>
          <w:rFonts w:ascii="Arial" w:hAnsi="Arial" w:cs="Arial"/>
          <w:b w:val="0"/>
          <w:sz w:val="24"/>
          <w:szCs w:val="24"/>
        </w:rPr>
        <w:t> </w:t>
      </w:r>
      <w:r w:rsidRPr="004F2386">
        <w:rPr>
          <w:rStyle w:val="FontStyle21"/>
          <w:rFonts w:ascii="Arial" w:hAnsi="Arial" w:cs="Arial"/>
          <w:b w:val="0"/>
          <w:sz w:val="24"/>
          <w:szCs w:val="24"/>
        </w:rPr>
        <w:t>sądowoadministracyjnym.</w:t>
      </w:r>
    </w:p>
    <w:p w:rsidR="00C51A2C" w:rsidRPr="004F2386" w:rsidRDefault="00C51A2C" w:rsidP="006D461E">
      <w:pPr>
        <w:spacing w:line="360" w:lineRule="auto"/>
        <w:ind w:firstLine="709"/>
        <w:jc w:val="both"/>
        <w:rPr>
          <w:rFonts w:ascii="Arial" w:hAnsi="Arial" w:cs="Arial"/>
        </w:rPr>
      </w:pPr>
      <w:r w:rsidRPr="004F2386">
        <w:rPr>
          <w:rFonts w:ascii="Arial" w:hAnsi="Arial" w:cs="Arial"/>
        </w:rPr>
        <w:t>Z uzasadnienia projektu wynika, że stanowi on realizację zawartego w petycji P9-23/16 postulatu zmiany art. 95 § 2 ustawy z dnia</w:t>
      </w:r>
      <w:r w:rsidR="0087734F" w:rsidRPr="004F2386">
        <w:rPr>
          <w:rFonts w:ascii="Arial" w:hAnsi="Arial" w:cs="Arial"/>
        </w:rPr>
        <w:t xml:space="preserve"> </w:t>
      </w:r>
      <w:r w:rsidRPr="004F2386">
        <w:rPr>
          <w:rFonts w:ascii="Arial" w:hAnsi="Arial" w:cs="Arial"/>
        </w:rPr>
        <w:t>30 sierpnia 2002 r. – Prawo o</w:t>
      </w:r>
      <w:r w:rsidR="00ED3312" w:rsidRPr="004F2386">
        <w:rPr>
          <w:rFonts w:ascii="Arial" w:hAnsi="Arial" w:cs="Arial"/>
        </w:rPr>
        <w:t> </w:t>
      </w:r>
      <w:r w:rsidRPr="004F2386">
        <w:rPr>
          <w:rFonts w:ascii="Arial" w:hAnsi="Arial" w:cs="Arial"/>
        </w:rPr>
        <w:t>postępowaniu przed sądami administracyjnymi (Dz. U. z 2016 r. poz. 718, z późn. zm.) i umożliwienia obecności na posiedzeniach jawnych osób małoletnich.</w:t>
      </w:r>
    </w:p>
    <w:p w:rsidR="0087734F" w:rsidRPr="004F2386" w:rsidRDefault="00520F0E" w:rsidP="006D461E">
      <w:pPr>
        <w:spacing w:line="360" w:lineRule="auto"/>
        <w:ind w:firstLine="709"/>
        <w:jc w:val="both"/>
        <w:rPr>
          <w:rFonts w:ascii="Arial" w:hAnsi="Arial" w:cs="Arial"/>
        </w:rPr>
      </w:pPr>
      <w:r w:rsidRPr="004F2386">
        <w:rPr>
          <w:rFonts w:ascii="Arial" w:hAnsi="Arial" w:cs="Arial"/>
        </w:rPr>
        <w:t>Aktualnie</w:t>
      </w:r>
      <w:r w:rsidR="00C51A2C" w:rsidRPr="004F2386">
        <w:rPr>
          <w:rFonts w:ascii="Arial" w:hAnsi="Arial" w:cs="Arial"/>
        </w:rPr>
        <w:t xml:space="preserve"> obecność osób małoletnich na </w:t>
      </w:r>
      <w:r w:rsidR="00857977">
        <w:rPr>
          <w:rFonts w:ascii="Arial" w:hAnsi="Arial" w:cs="Arial"/>
        </w:rPr>
        <w:t xml:space="preserve">rozprawach i </w:t>
      </w:r>
      <w:r w:rsidR="00C51A2C" w:rsidRPr="004F2386">
        <w:rPr>
          <w:rFonts w:ascii="Arial" w:hAnsi="Arial" w:cs="Arial"/>
        </w:rPr>
        <w:t xml:space="preserve">posiedzeniach jawnych </w:t>
      </w:r>
      <w:r w:rsidR="00A90117" w:rsidRPr="004F2386">
        <w:rPr>
          <w:rFonts w:ascii="Arial" w:hAnsi="Arial" w:cs="Arial"/>
        </w:rPr>
        <w:t xml:space="preserve">jest </w:t>
      </w:r>
      <w:r w:rsidR="00C51A2C" w:rsidRPr="004F2386">
        <w:rPr>
          <w:rFonts w:ascii="Arial" w:hAnsi="Arial" w:cs="Arial"/>
        </w:rPr>
        <w:t xml:space="preserve">możliwa wyłącznie w postępowaniu karnym. Stosowną regulację </w:t>
      </w:r>
      <w:r w:rsidRPr="004F2386">
        <w:rPr>
          <w:rFonts w:ascii="Arial" w:hAnsi="Arial" w:cs="Arial"/>
        </w:rPr>
        <w:t xml:space="preserve">w tym zakresie </w:t>
      </w:r>
      <w:r w:rsidR="00C51A2C" w:rsidRPr="004F2386">
        <w:rPr>
          <w:rFonts w:ascii="Arial" w:hAnsi="Arial" w:cs="Arial"/>
        </w:rPr>
        <w:t>zawiera</w:t>
      </w:r>
      <w:r w:rsidR="00F76EF6">
        <w:rPr>
          <w:rFonts w:ascii="Arial" w:hAnsi="Arial" w:cs="Arial"/>
        </w:rPr>
        <w:t xml:space="preserve"> </w:t>
      </w:r>
      <w:r w:rsidR="00C51A2C" w:rsidRPr="004F2386">
        <w:rPr>
          <w:rFonts w:ascii="Arial" w:hAnsi="Arial" w:cs="Arial"/>
        </w:rPr>
        <w:t>art. 356 § 2 ustawy z dnia 6 czerwca 1997 r. – Kodeks postępowania karnego (Dz. U. z 2016 r. poz. 1749, z późn. zm.)</w:t>
      </w:r>
      <w:r w:rsidR="00E639AE">
        <w:rPr>
          <w:rFonts w:ascii="Arial" w:hAnsi="Arial" w:cs="Arial"/>
        </w:rPr>
        <w:t xml:space="preserve">. Zgodnie z </w:t>
      </w:r>
      <w:r w:rsidR="0087734F" w:rsidRPr="004F2386">
        <w:rPr>
          <w:rFonts w:ascii="Arial" w:hAnsi="Arial" w:cs="Arial"/>
        </w:rPr>
        <w:t xml:space="preserve">tym przepisem przewodniczący </w:t>
      </w:r>
      <w:r w:rsidR="00857977">
        <w:rPr>
          <w:rFonts w:ascii="Arial" w:hAnsi="Arial" w:cs="Arial"/>
        </w:rPr>
        <w:t xml:space="preserve">składu orzekającego (sędzia orzekający w składzie  jednoosobowym) </w:t>
      </w:r>
      <w:r w:rsidR="0087734F" w:rsidRPr="004F2386">
        <w:rPr>
          <w:rFonts w:ascii="Arial" w:hAnsi="Arial" w:cs="Arial"/>
        </w:rPr>
        <w:t>może zezwolić na obecność na rozprawie małoletnim oraz osobom obowiązanym do noszenia broni.</w:t>
      </w:r>
    </w:p>
    <w:p w:rsidR="00C51A2C" w:rsidRPr="004F2386" w:rsidRDefault="0087734F" w:rsidP="006D461E">
      <w:pPr>
        <w:spacing w:line="360" w:lineRule="auto"/>
        <w:ind w:firstLine="709"/>
        <w:jc w:val="both"/>
        <w:rPr>
          <w:rFonts w:ascii="Arial" w:hAnsi="Arial" w:cs="Arial"/>
        </w:rPr>
      </w:pPr>
      <w:r w:rsidRPr="004F2386">
        <w:rPr>
          <w:rFonts w:ascii="Arial" w:hAnsi="Arial" w:cs="Arial"/>
        </w:rPr>
        <w:t>W postępowaniu cywilnym i sądowoadministracyjnym na posiedzenia jawne (poza stronami i osobami wezwanymi) wstęp mają jedynie osoby pełnoletnie, o czym stanowią art. 152 § 1 ustawy z dnia 17 listopada 1964 r. – Kodeks postępowania cywilnego (Dz. U. z 2016</w:t>
      </w:r>
      <w:r w:rsidR="00A90117">
        <w:rPr>
          <w:rFonts w:ascii="Arial" w:hAnsi="Arial" w:cs="Arial"/>
        </w:rPr>
        <w:t xml:space="preserve"> r.</w:t>
      </w:r>
      <w:r w:rsidRPr="004F2386">
        <w:rPr>
          <w:rFonts w:ascii="Arial" w:hAnsi="Arial" w:cs="Arial"/>
        </w:rPr>
        <w:t>, poz. 1822, z późn. zm.) i art. 95 § 1 ustawy z dnia 30 sierpnia 2002 r. – Prawo o postępowaniu przed sądami administracyjnymi</w:t>
      </w:r>
      <w:r w:rsidR="00520F0E" w:rsidRPr="004F2386">
        <w:rPr>
          <w:rFonts w:ascii="Arial" w:hAnsi="Arial" w:cs="Arial"/>
        </w:rPr>
        <w:t>.</w:t>
      </w:r>
    </w:p>
    <w:p w:rsidR="00C51A2C" w:rsidRPr="004F2386" w:rsidRDefault="0087734F" w:rsidP="006D461E">
      <w:pPr>
        <w:pStyle w:val="podstawowy"/>
        <w:spacing w:line="360" w:lineRule="auto"/>
        <w:ind w:firstLine="708"/>
        <w:rPr>
          <w:rFonts w:ascii="Arial" w:hAnsi="Arial" w:cs="Arial"/>
          <w:bCs/>
        </w:rPr>
      </w:pPr>
      <w:bookmarkStart w:id="1" w:name="highlightHit_254"/>
      <w:bookmarkStart w:id="2" w:name="highlightHit_255"/>
      <w:bookmarkEnd w:id="1"/>
      <w:bookmarkEnd w:id="2"/>
      <w:r w:rsidRPr="004F2386">
        <w:rPr>
          <w:rFonts w:ascii="Arial" w:hAnsi="Arial" w:cs="Arial"/>
          <w:bCs/>
        </w:rPr>
        <w:t xml:space="preserve">Autorzy projektu zwracają uwagę, że osoby małoletnie, mając prawo do wyrażania opinii, </w:t>
      </w:r>
      <w:r w:rsidR="004F2386">
        <w:rPr>
          <w:rFonts w:ascii="Arial" w:hAnsi="Arial" w:cs="Arial"/>
          <w:bCs/>
        </w:rPr>
        <w:t>„</w:t>
      </w:r>
      <w:r w:rsidRPr="004F2386">
        <w:rPr>
          <w:rFonts w:ascii="Arial" w:hAnsi="Arial" w:cs="Arial"/>
          <w:bCs/>
        </w:rPr>
        <w:t>powinny również mieć świadomość jak działa władza i posiadać własne poglądy na wszelkie tematy</w:t>
      </w:r>
      <w:r w:rsidR="004F2386">
        <w:rPr>
          <w:rFonts w:ascii="Arial" w:hAnsi="Arial" w:cs="Arial"/>
          <w:bCs/>
        </w:rPr>
        <w:t>”</w:t>
      </w:r>
      <w:r w:rsidRPr="004F2386">
        <w:rPr>
          <w:rFonts w:ascii="Arial" w:hAnsi="Arial" w:cs="Arial"/>
          <w:bCs/>
        </w:rPr>
        <w:t>. Umożliwienie udziału w posiedzeniach jawnych w charakterze publiczności będzie miało również walor edukacyjny i przygotuje małoletnich do czynnego  udziału w życiu publicznym.</w:t>
      </w:r>
    </w:p>
    <w:p w:rsidR="00C51A2C" w:rsidRPr="004F2386" w:rsidRDefault="00C51A2C" w:rsidP="006D461E">
      <w:pPr>
        <w:pStyle w:val="msolistparagraph0"/>
        <w:spacing w:before="240" w:line="360" w:lineRule="auto"/>
        <w:ind w:left="0" w:firstLine="708"/>
        <w:jc w:val="both"/>
        <w:rPr>
          <w:rFonts w:ascii="Arial" w:hAnsi="Arial" w:cs="Arial"/>
          <w:b/>
          <w:sz w:val="24"/>
          <w:szCs w:val="24"/>
        </w:rPr>
      </w:pPr>
      <w:r w:rsidRPr="004F2386">
        <w:rPr>
          <w:rFonts w:ascii="Arial" w:hAnsi="Arial" w:cs="Arial"/>
          <w:b/>
          <w:sz w:val="24"/>
          <w:szCs w:val="24"/>
        </w:rPr>
        <w:lastRenderedPageBreak/>
        <w:t>II. Rozwiązania szczegółowe w projekcie</w:t>
      </w:r>
    </w:p>
    <w:p w:rsidR="00C51A2C" w:rsidRPr="004F2386" w:rsidRDefault="0087734F" w:rsidP="006D461E">
      <w:pPr>
        <w:pStyle w:val="msolistparagraph0"/>
        <w:spacing w:line="36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4F2386">
        <w:rPr>
          <w:rFonts w:ascii="Arial" w:hAnsi="Arial" w:cs="Arial"/>
          <w:sz w:val="24"/>
          <w:szCs w:val="24"/>
        </w:rPr>
        <w:t>Proponowane w projekcie ustawy rozwiązania przewidują</w:t>
      </w:r>
      <w:r w:rsidR="008E3C3C" w:rsidRPr="004F2386">
        <w:rPr>
          <w:rFonts w:ascii="Arial" w:hAnsi="Arial" w:cs="Arial"/>
          <w:sz w:val="24"/>
          <w:szCs w:val="24"/>
        </w:rPr>
        <w:t xml:space="preserve"> umożliwienie udziału małoletnim w posiedzeniach jawnych w postępowaniu cywilnym i</w:t>
      </w:r>
      <w:r w:rsidR="00522695">
        <w:rPr>
          <w:rFonts w:ascii="Arial" w:hAnsi="Arial" w:cs="Arial"/>
          <w:sz w:val="24"/>
          <w:szCs w:val="24"/>
        </w:rPr>
        <w:t> </w:t>
      </w:r>
      <w:proofErr w:type="spellStart"/>
      <w:r w:rsidR="008E3C3C" w:rsidRPr="004F2386">
        <w:rPr>
          <w:rFonts w:ascii="Arial" w:hAnsi="Arial" w:cs="Arial"/>
          <w:sz w:val="24"/>
          <w:szCs w:val="24"/>
        </w:rPr>
        <w:t>sądowoadministracyjnym</w:t>
      </w:r>
      <w:proofErr w:type="spellEnd"/>
      <w:r w:rsidR="008E3C3C" w:rsidRPr="004F2386">
        <w:rPr>
          <w:rFonts w:ascii="Arial" w:hAnsi="Arial" w:cs="Arial"/>
          <w:sz w:val="24"/>
          <w:szCs w:val="24"/>
        </w:rPr>
        <w:t xml:space="preserve">. Odpowiednie zezwolenie miałby wydawać przewodniczący posiedzenia w formie zarządzenia, od którego przysługiwałoby odwołanie do sądu orzekającego. Nie wprowadza się jednocześnie dolnej granicy wieku, która uprawniałaby </w:t>
      </w:r>
      <w:r w:rsidR="000D529B" w:rsidRPr="004F2386">
        <w:rPr>
          <w:rFonts w:ascii="Arial" w:hAnsi="Arial" w:cs="Arial"/>
          <w:sz w:val="24"/>
          <w:szCs w:val="24"/>
        </w:rPr>
        <w:t xml:space="preserve">małoletniego </w:t>
      </w:r>
      <w:r w:rsidR="008E3C3C" w:rsidRPr="004F2386">
        <w:rPr>
          <w:rFonts w:ascii="Arial" w:hAnsi="Arial" w:cs="Arial"/>
          <w:sz w:val="24"/>
          <w:szCs w:val="24"/>
        </w:rPr>
        <w:t xml:space="preserve">do wstępu na posiedzenie, pozostawiając tę kwestię do decyzji przewodniczącego, który każdorazowo rozważałby, czy ewentualny udział </w:t>
      </w:r>
      <w:r w:rsidR="000D529B" w:rsidRPr="004F2386">
        <w:rPr>
          <w:rFonts w:ascii="Arial" w:hAnsi="Arial" w:cs="Arial"/>
          <w:sz w:val="24"/>
          <w:szCs w:val="24"/>
        </w:rPr>
        <w:t xml:space="preserve">takiej osoby </w:t>
      </w:r>
      <w:r w:rsidR="008E3C3C" w:rsidRPr="004F2386">
        <w:rPr>
          <w:rFonts w:ascii="Arial" w:hAnsi="Arial" w:cs="Arial"/>
          <w:sz w:val="24"/>
          <w:szCs w:val="24"/>
        </w:rPr>
        <w:t>n</w:t>
      </w:r>
      <w:r w:rsidR="000E22DD">
        <w:rPr>
          <w:rFonts w:ascii="Arial" w:hAnsi="Arial" w:cs="Arial"/>
          <w:sz w:val="24"/>
          <w:szCs w:val="24"/>
        </w:rPr>
        <w:t>ie zakłóci przebiegu posiedzenia</w:t>
      </w:r>
      <w:r w:rsidR="008E3C3C" w:rsidRPr="004F2386">
        <w:rPr>
          <w:rFonts w:ascii="Arial" w:hAnsi="Arial" w:cs="Arial"/>
          <w:sz w:val="24"/>
          <w:szCs w:val="24"/>
        </w:rPr>
        <w:t xml:space="preserve"> albo nie narazi </w:t>
      </w:r>
      <w:r w:rsidR="000D529B" w:rsidRPr="004F2386">
        <w:rPr>
          <w:rFonts w:ascii="Arial" w:hAnsi="Arial" w:cs="Arial"/>
          <w:sz w:val="24"/>
          <w:szCs w:val="24"/>
        </w:rPr>
        <w:t>jej</w:t>
      </w:r>
      <w:r w:rsidR="008E3C3C" w:rsidRPr="004F2386">
        <w:rPr>
          <w:rFonts w:ascii="Arial" w:hAnsi="Arial" w:cs="Arial"/>
          <w:sz w:val="24"/>
          <w:szCs w:val="24"/>
        </w:rPr>
        <w:t xml:space="preserve"> </w:t>
      </w:r>
      <w:r w:rsidR="00520F0E" w:rsidRPr="004F2386">
        <w:rPr>
          <w:rFonts w:ascii="Arial" w:hAnsi="Arial" w:cs="Arial"/>
          <w:sz w:val="24"/>
          <w:szCs w:val="24"/>
        </w:rPr>
        <w:t xml:space="preserve">na </w:t>
      </w:r>
      <w:r w:rsidR="008E3C3C" w:rsidRPr="004F2386">
        <w:rPr>
          <w:rFonts w:ascii="Arial" w:hAnsi="Arial" w:cs="Arial"/>
          <w:sz w:val="24"/>
          <w:szCs w:val="24"/>
        </w:rPr>
        <w:t>demoralizację (z uwagi na treści prezentowane podczas posiedzenia). Dodatkowo autorzy projektu wskazują, że projektowane zmiany pozwolą na obecność podczas posiedzenia dzieci, którym rodzice nie byli w stanie zapewnić należytej opieki na czas swego stawiennictwa w sądzie.</w:t>
      </w:r>
    </w:p>
    <w:p w:rsidR="00C51A2C" w:rsidRPr="004F2386" w:rsidRDefault="00C51A2C" w:rsidP="006D461E">
      <w:pPr>
        <w:pStyle w:val="Style2"/>
        <w:widowControl/>
        <w:spacing w:before="240" w:line="360" w:lineRule="auto"/>
        <w:ind w:left="993" w:hanging="426"/>
        <w:jc w:val="both"/>
        <w:rPr>
          <w:rStyle w:val="FontStyle12"/>
          <w:rFonts w:ascii="Arial" w:hAnsi="Arial" w:cs="Arial"/>
          <w:b/>
          <w:sz w:val="24"/>
          <w:szCs w:val="24"/>
        </w:rPr>
      </w:pPr>
      <w:r w:rsidRPr="004F2386">
        <w:rPr>
          <w:rStyle w:val="FontStyle12"/>
          <w:rFonts w:ascii="Arial" w:hAnsi="Arial" w:cs="Arial"/>
          <w:b/>
          <w:sz w:val="24"/>
          <w:szCs w:val="24"/>
        </w:rPr>
        <w:t xml:space="preserve">III. </w:t>
      </w:r>
      <w:r w:rsidR="00857977">
        <w:rPr>
          <w:rStyle w:val="FontStyle12"/>
          <w:rFonts w:ascii="Arial" w:hAnsi="Arial" w:cs="Arial"/>
          <w:b/>
          <w:sz w:val="24"/>
          <w:szCs w:val="24"/>
        </w:rPr>
        <w:t>Ocena proponowanych zmian</w:t>
      </w:r>
      <w:r w:rsidR="000D529B" w:rsidRPr="004F2386">
        <w:rPr>
          <w:rStyle w:val="FontStyle12"/>
          <w:rFonts w:ascii="Arial" w:hAnsi="Arial" w:cs="Arial"/>
          <w:b/>
          <w:sz w:val="24"/>
          <w:szCs w:val="24"/>
        </w:rPr>
        <w:t>.</w:t>
      </w:r>
    </w:p>
    <w:p w:rsidR="000D529B" w:rsidRPr="004F2386" w:rsidRDefault="000D529B" w:rsidP="006D461E">
      <w:pPr>
        <w:spacing w:line="360" w:lineRule="auto"/>
        <w:ind w:firstLine="708"/>
        <w:jc w:val="both"/>
        <w:rPr>
          <w:rFonts w:ascii="Arial" w:hAnsi="Arial" w:cs="Arial"/>
          <w:lang w:eastAsia="en-US"/>
        </w:rPr>
      </w:pPr>
      <w:r w:rsidRPr="004F2386">
        <w:rPr>
          <w:rFonts w:ascii="Arial" w:hAnsi="Arial" w:cs="Arial"/>
          <w:lang w:eastAsia="en-US"/>
        </w:rPr>
        <w:t xml:space="preserve">Zasada jawności postępowania jest jedną z naczelnych zasad wymiaru sprawiedliwości. Przepis art. 9 ustawy z dnia 17 listopada 1964 r. – Kodeks postępowania cywilnego (Dz. U. z 2016 r. poz. 1822, z późn. zm.) stanowi konkretyzację ogólnej zasady jawności (jawnego rozpoznawania spraw) proklamowanej w przepisach prawa międzynarodowego, m.in. w </w:t>
      </w:r>
      <w:hyperlink r:id="rId8" w:history="1">
        <w:r w:rsidR="00E639AE">
          <w:rPr>
            <w:rFonts w:ascii="Arial" w:hAnsi="Arial" w:cs="Arial"/>
            <w:lang w:eastAsia="en-US"/>
          </w:rPr>
          <w:t xml:space="preserve">art. 6 </w:t>
        </w:r>
        <w:r w:rsidRPr="004F2386">
          <w:rPr>
            <w:rFonts w:ascii="Arial" w:hAnsi="Arial" w:cs="Arial"/>
            <w:lang w:eastAsia="en-US"/>
          </w:rPr>
          <w:t>ust. 1</w:t>
        </w:r>
      </w:hyperlink>
      <w:r w:rsidR="00A90117">
        <w:rPr>
          <w:rFonts w:ascii="Arial" w:hAnsi="Arial" w:cs="Arial"/>
          <w:lang w:eastAsia="en-US"/>
        </w:rPr>
        <w:t xml:space="preserve"> </w:t>
      </w:r>
      <w:r w:rsidRPr="004F2386">
        <w:rPr>
          <w:rFonts w:ascii="Arial" w:hAnsi="Arial" w:cs="Arial"/>
          <w:lang w:eastAsia="en-US"/>
        </w:rPr>
        <w:t xml:space="preserve"> Konwencji o Ochronie Praw Człowieka i Podstawowych Wolności sporządzonej w Rzymie dnia 4 listopada 1950 r.</w:t>
      </w:r>
      <w:r w:rsidR="00A90117">
        <w:rPr>
          <w:rFonts w:ascii="Arial" w:hAnsi="Arial" w:cs="Arial"/>
          <w:lang w:eastAsia="en-US"/>
        </w:rPr>
        <w:t xml:space="preserve">, zmienionej następnie Protokołami nr 3,5 i 8 oraz uzupełnionej Protokołem nr 2 (Dz. U. z 1993 r. </w:t>
      </w:r>
      <w:hyperlink r:id="rId9" w:history="1">
        <w:r w:rsidRPr="004F2386">
          <w:rPr>
            <w:rFonts w:ascii="Arial" w:hAnsi="Arial" w:cs="Arial"/>
            <w:lang w:eastAsia="en-US"/>
          </w:rPr>
          <w:t>poz. 284</w:t>
        </w:r>
      </w:hyperlink>
      <w:r w:rsidR="00A90117">
        <w:rPr>
          <w:rFonts w:ascii="Arial" w:hAnsi="Arial" w:cs="Arial"/>
          <w:lang w:eastAsia="en-US"/>
        </w:rPr>
        <w:t xml:space="preserve"> z </w:t>
      </w:r>
      <w:proofErr w:type="spellStart"/>
      <w:r w:rsidR="00A90117">
        <w:rPr>
          <w:rFonts w:ascii="Arial" w:hAnsi="Arial" w:cs="Arial"/>
          <w:lang w:eastAsia="en-US"/>
        </w:rPr>
        <w:t>późn</w:t>
      </w:r>
      <w:proofErr w:type="spellEnd"/>
      <w:r w:rsidR="00A90117">
        <w:rPr>
          <w:rFonts w:ascii="Arial" w:hAnsi="Arial" w:cs="Arial"/>
          <w:lang w:eastAsia="en-US"/>
        </w:rPr>
        <w:t>.</w:t>
      </w:r>
      <w:r w:rsidRPr="004F2386">
        <w:rPr>
          <w:rFonts w:ascii="Arial" w:hAnsi="Arial" w:cs="Arial"/>
          <w:lang w:eastAsia="en-US"/>
        </w:rPr>
        <w:t xml:space="preserve"> zm.), w </w:t>
      </w:r>
      <w:hyperlink r:id="rId10" w:history="1">
        <w:r w:rsidR="00A90117">
          <w:rPr>
            <w:rFonts w:ascii="Arial" w:hAnsi="Arial" w:cs="Arial"/>
            <w:lang w:eastAsia="en-US"/>
          </w:rPr>
          <w:t xml:space="preserve">art. 14 </w:t>
        </w:r>
        <w:r w:rsidRPr="004F2386">
          <w:rPr>
            <w:rFonts w:ascii="Arial" w:hAnsi="Arial" w:cs="Arial"/>
            <w:lang w:eastAsia="en-US"/>
          </w:rPr>
          <w:t>ust. 1</w:t>
        </w:r>
      </w:hyperlink>
      <w:r w:rsidRPr="004F2386">
        <w:rPr>
          <w:rFonts w:ascii="Arial" w:hAnsi="Arial" w:cs="Arial"/>
          <w:lang w:eastAsia="en-US"/>
        </w:rPr>
        <w:t xml:space="preserve"> Międzynarodowego Paktu Praw Obywatelskich i Politycz</w:t>
      </w:r>
      <w:r w:rsidR="00A90117">
        <w:rPr>
          <w:rFonts w:ascii="Arial" w:hAnsi="Arial" w:cs="Arial"/>
          <w:lang w:eastAsia="en-US"/>
        </w:rPr>
        <w:t>nych otwartego do podpisu w Nowym Jorku</w:t>
      </w:r>
      <w:r w:rsidRPr="004F2386">
        <w:rPr>
          <w:rFonts w:ascii="Arial" w:hAnsi="Arial" w:cs="Arial"/>
          <w:lang w:eastAsia="en-US"/>
        </w:rPr>
        <w:t xml:space="preserve"> dnia 19 grudnia 1966 r. (Dz. U. 1977</w:t>
      </w:r>
      <w:r w:rsidR="00A90117">
        <w:rPr>
          <w:rFonts w:ascii="Arial" w:hAnsi="Arial" w:cs="Arial"/>
          <w:lang w:eastAsia="en-US"/>
        </w:rPr>
        <w:t xml:space="preserve"> r. </w:t>
      </w:r>
      <w:hyperlink r:id="rId11" w:history="1">
        <w:r w:rsidRPr="004F2386">
          <w:rPr>
            <w:rFonts w:ascii="Arial" w:hAnsi="Arial" w:cs="Arial"/>
            <w:lang w:eastAsia="en-US"/>
          </w:rPr>
          <w:t>poz. 167</w:t>
        </w:r>
      </w:hyperlink>
      <w:r w:rsidRPr="004F2386">
        <w:rPr>
          <w:rFonts w:ascii="Arial" w:hAnsi="Arial" w:cs="Arial"/>
          <w:lang w:eastAsia="en-US"/>
        </w:rPr>
        <w:t xml:space="preserve">), w </w:t>
      </w:r>
      <w:hyperlink r:id="rId12" w:history="1">
        <w:r w:rsidRPr="004F2386">
          <w:rPr>
            <w:rFonts w:ascii="Arial" w:hAnsi="Arial" w:cs="Arial"/>
            <w:lang w:eastAsia="en-US"/>
          </w:rPr>
          <w:t>art. 47</w:t>
        </w:r>
      </w:hyperlink>
      <w:r w:rsidRPr="004F2386">
        <w:rPr>
          <w:rFonts w:ascii="Arial" w:hAnsi="Arial" w:cs="Arial"/>
          <w:lang w:eastAsia="en-US"/>
        </w:rPr>
        <w:t xml:space="preserve"> Karty Praw Podstawowych Unii Europejskie</w:t>
      </w:r>
      <w:r w:rsidR="00D15941">
        <w:rPr>
          <w:rFonts w:ascii="Arial" w:hAnsi="Arial" w:cs="Arial"/>
          <w:lang w:eastAsia="en-US"/>
        </w:rPr>
        <w:t xml:space="preserve">j </w:t>
      </w:r>
      <w:r w:rsidRPr="004F2386">
        <w:rPr>
          <w:rFonts w:ascii="Arial" w:hAnsi="Arial" w:cs="Arial"/>
          <w:lang w:eastAsia="en-US"/>
        </w:rPr>
        <w:t xml:space="preserve">(Dz. Urz. UE C </w:t>
      </w:r>
      <w:r w:rsidR="00D15941">
        <w:rPr>
          <w:rFonts w:ascii="Arial" w:hAnsi="Arial" w:cs="Arial"/>
          <w:lang w:eastAsia="en-US"/>
        </w:rPr>
        <w:t xml:space="preserve">z </w:t>
      </w:r>
      <w:r w:rsidR="00E41569">
        <w:rPr>
          <w:rFonts w:ascii="Arial" w:hAnsi="Arial" w:cs="Arial"/>
          <w:lang w:eastAsia="en-US"/>
        </w:rPr>
        <w:t xml:space="preserve">26.10.2012 </w:t>
      </w:r>
      <w:r w:rsidRPr="004F2386">
        <w:rPr>
          <w:rFonts w:ascii="Arial" w:hAnsi="Arial" w:cs="Arial"/>
          <w:lang w:eastAsia="en-US"/>
        </w:rPr>
        <w:t xml:space="preserve">326, </w:t>
      </w:r>
      <w:hyperlink r:id="rId13" w:history="1">
        <w:r w:rsidRPr="004F2386">
          <w:rPr>
            <w:rFonts w:ascii="Arial" w:hAnsi="Arial" w:cs="Arial"/>
            <w:lang w:eastAsia="en-US"/>
          </w:rPr>
          <w:t>s</w:t>
        </w:r>
        <w:r w:rsidR="00E41569">
          <w:rPr>
            <w:rFonts w:ascii="Arial" w:hAnsi="Arial" w:cs="Arial"/>
            <w:lang w:eastAsia="en-US"/>
          </w:rPr>
          <w:t>tr</w:t>
        </w:r>
        <w:r w:rsidRPr="004F2386">
          <w:rPr>
            <w:rFonts w:ascii="Arial" w:hAnsi="Arial" w:cs="Arial"/>
            <w:lang w:eastAsia="en-US"/>
          </w:rPr>
          <w:t>. 391</w:t>
        </w:r>
      </w:hyperlink>
      <w:r w:rsidRPr="004F2386">
        <w:rPr>
          <w:rFonts w:ascii="Arial" w:hAnsi="Arial" w:cs="Arial"/>
          <w:lang w:eastAsia="en-US"/>
        </w:rPr>
        <w:t xml:space="preserve">) oraz w </w:t>
      </w:r>
      <w:hyperlink r:id="rId14" w:history="1">
        <w:r w:rsidRPr="004F2386">
          <w:rPr>
            <w:rFonts w:ascii="Arial" w:hAnsi="Arial" w:cs="Arial"/>
            <w:lang w:eastAsia="en-US"/>
          </w:rPr>
          <w:t>art.</w:t>
        </w:r>
        <w:r w:rsidR="00522695">
          <w:rPr>
            <w:rFonts w:ascii="Arial" w:hAnsi="Arial" w:cs="Arial"/>
            <w:lang w:eastAsia="en-US"/>
          </w:rPr>
          <w:t> </w:t>
        </w:r>
        <w:r w:rsidRPr="004F2386">
          <w:rPr>
            <w:rFonts w:ascii="Arial" w:hAnsi="Arial" w:cs="Arial"/>
            <w:lang w:eastAsia="en-US"/>
          </w:rPr>
          <w:t>45</w:t>
        </w:r>
      </w:hyperlink>
      <w:r w:rsidRPr="004F2386">
        <w:rPr>
          <w:rFonts w:ascii="Arial" w:hAnsi="Arial" w:cs="Arial"/>
          <w:lang w:eastAsia="en-US"/>
        </w:rPr>
        <w:t xml:space="preserve"> Konstytucji RP. </w:t>
      </w:r>
    </w:p>
    <w:p w:rsidR="000D529B" w:rsidRPr="004F2386" w:rsidRDefault="000D529B" w:rsidP="006D461E">
      <w:pPr>
        <w:spacing w:line="360" w:lineRule="auto"/>
        <w:ind w:firstLine="709"/>
        <w:jc w:val="both"/>
        <w:rPr>
          <w:rFonts w:ascii="Arial" w:hAnsi="Arial" w:cs="Arial"/>
          <w:lang w:eastAsia="en-US"/>
        </w:rPr>
      </w:pPr>
      <w:r w:rsidRPr="004F2386">
        <w:rPr>
          <w:rFonts w:ascii="Arial" w:hAnsi="Arial" w:cs="Arial"/>
          <w:lang w:eastAsia="en-US"/>
        </w:rPr>
        <w:t xml:space="preserve">Zasada jawności wyrażona w </w:t>
      </w:r>
      <w:hyperlink r:id="rId15" w:history="1">
        <w:r w:rsidRPr="004F2386">
          <w:rPr>
            <w:rFonts w:ascii="Arial" w:hAnsi="Arial" w:cs="Arial"/>
            <w:lang w:eastAsia="en-US"/>
          </w:rPr>
          <w:t>art. 45</w:t>
        </w:r>
      </w:hyperlink>
      <w:r w:rsidRPr="004F2386">
        <w:rPr>
          <w:rFonts w:ascii="Arial" w:hAnsi="Arial" w:cs="Arial"/>
          <w:lang w:eastAsia="en-US"/>
        </w:rPr>
        <w:t xml:space="preserve"> Konstytucji RP pozostaje w związku z</w:t>
      </w:r>
      <w:r w:rsidR="00522695">
        <w:rPr>
          <w:rFonts w:ascii="Arial" w:hAnsi="Arial" w:cs="Arial"/>
          <w:lang w:eastAsia="en-US"/>
        </w:rPr>
        <w:t> </w:t>
      </w:r>
      <w:r w:rsidRPr="004F2386">
        <w:rPr>
          <w:rFonts w:ascii="Arial" w:hAnsi="Arial" w:cs="Arial"/>
          <w:lang w:eastAsia="en-US"/>
        </w:rPr>
        <w:t xml:space="preserve">wolnością słowa, wyrażoną w </w:t>
      </w:r>
      <w:hyperlink r:id="rId16" w:history="1">
        <w:r w:rsidRPr="004F2386">
          <w:rPr>
            <w:rFonts w:ascii="Arial" w:hAnsi="Arial" w:cs="Arial"/>
            <w:lang w:eastAsia="en-US"/>
          </w:rPr>
          <w:t>art. 54</w:t>
        </w:r>
      </w:hyperlink>
      <w:r w:rsidRPr="004F2386">
        <w:rPr>
          <w:rFonts w:ascii="Arial" w:hAnsi="Arial" w:cs="Arial"/>
          <w:lang w:eastAsia="en-US"/>
        </w:rPr>
        <w:t xml:space="preserve"> Konstytucji RP, gwarantującą wolność wyrażania swoich poglądów, pozyskiwania i rozpowszechniania informacji oraz prawem do informacji</w:t>
      </w:r>
      <w:r w:rsidR="00E41569">
        <w:rPr>
          <w:rFonts w:ascii="Arial" w:hAnsi="Arial" w:cs="Arial"/>
          <w:lang w:eastAsia="en-US"/>
        </w:rPr>
        <w:t xml:space="preserve"> publicznej, o którym</w:t>
      </w:r>
      <w:r w:rsidRPr="004F2386">
        <w:rPr>
          <w:rFonts w:ascii="Arial" w:hAnsi="Arial" w:cs="Arial"/>
          <w:lang w:eastAsia="en-US"/>
        </w:rPr>
        <w:t xml:space="preserve"> stanowi </w:t>
      </w:r>
      <w:hyperlink r:id="rId17" w:history="1">
        <w:r w:rsidRPr="004F2386">
          <w:rPr>
            <w:rFonts w:ascii="Arial" w:hAnsi="Arial" w:cs="Arial"/>
            <w:lang w:eastAsia="en-US"/>
          </w:rPr>
          <w:t>art. 61</w:t>
        </w:r>
      </w:hyperlink>
      <w:r w:rsidRPr="004F2386">
        <w:rPr>
          <w:rFonts w:ascii="Arial" w:hAnsi="Arial" w:cs="Arial"/>
          <w:lang w:eastAsia="en-US"/>
        </w:rPr>
        <w:t xml:space="preserve"> Konstytucji RP, przy czym tryb udzielania informacji publicznej określają ustawy.</w:t>
      </w:r>
    </w:p>
    <w:p w:rsidR="000D529B" w:rsidRPr="004F2386" w:rsidRDefault="000D529B" w:rsidP="006D461E">
      <w:pPr>
        <w:spacing w:line="360" w:lineRule="auto"/>
        <w:ind w:firstLine="709"/>
        <w:jc w:val="both"/>
        <w:rPr>
          <w:rFonts w:ascii="Arial" w:hAnsi="Arial" w:cs="Arial"/>
          <w:lang w:eastAsia="en-US"/>
        </w:rPr>
      </w:pPr>
      <w:r w:rsidRPr="004F2386">
        <w:rPr>
          <w:rFonts w:ascii="Arial" w:hAnsi="Arial" w:cs="Arial"/>
          <w:lang w:eastAsia="en-US"/>
        </w:rPr>
        <w:t>Jednym z przejawów zasady jawności na gruncie postępowania cywilnego (a</w:t>
      </w:r>
      <w:r w:rsidR="00522695">
        <w:rPr>
          <w:rFonts w:ascii="Arial" w:hAnsi="Arial" w:cs="Arial"/>
          <w:lang w:eastAsia="en-US"/>
        </w:rPr>
        <w:t> </w:t>
      </w:r>
      <w:r w:rsidRPr="004F2386">
        <w:rPr>
          <w:rFonts w:ascii="Arial" w:hAnsi="Arial" w:cs="Arial"/>
          <w:lang w:eastAsia="en-US"/>
        </w:rPr>
        <w:t xml:space="preserve">także postępowania </w:t>
      </w:r>
      <w:proofErr w:type="spellStart"/>
      <w:r w:rsidRPr="004F2386">
        <w:rPr>
          <w:rFonts w:ascii="Arial" w:hAnsi="Arial" w:cs="Arial"/>
          <w:lang w:eastAsia="en-US"/>
        </w:rPr>
        <w:t>sądowoadministracyjnego</w:t>
      </w:r>
      <w:proofErr w:type="spellEnd"/>
      <w:r w:rsidRPr="004F2386">
        <w:rPr>
          <w:rFonts w:ascii="Arial" w:hAnsi="Arial" w:cs="Arial"/>
          <w:lang w:eastAsia="en-US"/>
        </w:rPr>
        <w:t xml:space="preserve">) jest możliwość wstępu na salę </w:t>
      </w:r>
      <w:r w:rsidRPr="004F2386">
        <w:rPr>
          <w:rFonts w:ascii="Arial" w:hAnsi="Arial" w:cs="Arial"/>
          <w:lang w:eastAsia="en-US"/>
        </w:rPr>
        <w:lastRenderedPageBreak/>
        <w:t>rozpraw osób postronnych, niezaangażowanych osobiście w sprawę – publiczności, czy przedstawicieli środków masowego przekazu.</w:t>
      </w:r>
    </w:p>
    <w:p w:rsidR="00460F09" w:rsidRPr="004F2386" w:rsidRDefault="000D529B" w:rsidP="006D461E">
      <w:pPr>
        <w:spacing w:line="360" w:lineRule="auto"/>
        <w:ind w:firstLine="709"/>
        <w:jc w:val="both"/>
        <w:rPr>
          <w:rFonts w:ascii="Arial" w:hAnsi="Arial" w:cs="Arial"/>
          <w:lang w:eastAsia="en-US"/>
        </w:rPr>
      </w:pPr>
      <w:r w:rsidRPr="004F2386">
        <w:rPr>
          <w:rFonts w:ascii="Arial" w:hAnsi="Arial" w:cs="Arial"/>
          <w:lang w:eastAsia="en-US"/>
        </w:rPr>
        <w:t>Niewątpliwie z punktu widzenia dobra wymiaru sprawiedliwości propozycj</w:t>
      </w:r>
      <w:r w:rsidR="00460F09" w:rsidRPr="004F2386">
        <w:rPr>
          <w:rFonts w:ascii="Arial" w:hAnsi="Arial" w:cs="Arial"/>
          <w:lang w:eastAsia="en-US"/>
        </w:rPr>
        <w:t>e</w:t>
      </w:r>
      <w:r w:rsidRPr="004F2386">
        <w:rPr>
          <w:rFonts w:ascii="Arial" w:hAnsi="Arial" w:cs="Arial"/>
          <w:lang w:eastAsia="en-US"/>
        </w:rPr>
        <w:t xml:space="preserve"> zawart</w:t>
      </w:r>
      <w:r w:rsidR="00460F09" w:rsidRPr="004F2386">
        <w:rPr>
          <w:rFonts w:ascii="Arial" w:hAnsi="Arial" w:cs="Arial"/>
          <w:lang w:eastAsia="en-US"/>
        </w:rPr>
        <w:t>e</w:t>
      </w:r>
      <w:r w:rsidRPr="004F2386">
        <w:rPr>
          <w:rFonts w:ascii="Arial" w:hAnsi="Arial" w:cs="Arial"/>
          <w:lang w:eastAsia="en-US"/>
        </w:rPr>
        <w:t xml:space="preserve">  w projekcie należy ocenić pozytywnie, zwłaszcza, że w postępowaniu karnym funkcjonuje przepis umożliwiający wstęp na salę rozpraw osobom małoletnim nie tylko na rozprawę jawną, ale również prowadzoną z wyłączeniem jawności (art.</w:t>
      </w:r>
      <w:r w:rsidR="00522695">
        <w:rPr>
          <w:rFonts w:ascii="Arial" w:hAnsi="Arial" w:cs="Arial"/>
          <w:lang w:eastAsia="en-US"/>
        </w:rPr>
        <w:t> </w:t>
      </w:r>
      <w:r w:rsidRPr="004F2386">
        <w:rPr>
          <w:rFonts w:ascii="Arial" w:hAnsi="Arial" w:cs="Arial"/>
          <w:lang w:eastAsia="en-US"/>
        </w:rPr>
        <w:t>356 § 2</w:t>
      </w:r>
      <w:r w:rsidR="00460F09" w:rsidRPr="004F2386">
        <w:rPr>
          <w:rFonts w:ascii="Arial" w:hAnsi="Arial" w:cs="Arial"/>
          <w:lang w:eastAsia="en-US"/>
        </w:rPr>
        <w:t xml:space="preserve"> Kodeksu postępowania karnego). Przez lata funkcjonowania tego przepisu nie stwierdzono przypadków, aby obserwowanie posiedzeń negatywnie oddziaływało na osoby małoletnie.</w:t>
      </w:r>
    </w:p>
    <w:p w:rsidR="000D529B" w:rsidRPr="004F2386" w:rsidRDefault="00460F09" w:rsidP="006D461E">
      <w:pPr>
        <w:spacing w:line="360" w:lineRule="auto"/>
        <w:ind w:firstLine="709"/>
        <w:jc w:val="both"/>
        <w:rPr>
          <w:rFonts w:ascii="Arial" w:hAnsi="Arial" w:cs="Arial"/>
          <w:lang w:eastAsia="en-US"/>
        </w:rPr>
      </w:pPr>
      <w:r w:rsidRPr="004F2386">
        <w:rPr>
          <w:rFonts w:ascii="Arial" w:hAnsi="Arial" w:cs="Arial"/>
          <w:lang w:eastAsia="en-US"/>
        </w:rPr>
        <w:t>Wydaje się zatem, że b</w:t>
      </w:r>
      <w:r w:rsidR="000D529B" w:rsidRPr="004F2386">
        <w:rPr>
          <w:rFonts w:ascii="Arial" w:hAnsi="Arial" w:cs="Arial"/>
          <w:lang w:eastAsia="en-US"/>
        </w:rPr>
        <w:t>rak racjonalnych przesłanek, aby ograniczać osobom małoletnim obserwowanie postępowań cywilnych, a przynajmniej pewnych ich kategorii, zwłaszcza, że już w chwili obecnej wiele sądów i sędziów współpracuje z</w:t>
      </w:r>
      <w:r w:rsidR="00522695">
        <w:rPr>
          <w:rFonts w:ascii="Arial" w:hAnsi="Arial" w:cs="Arial"/>
          <w:lang w:eastAsia="en-US"/>
        </w:rPr>
        <w:t> </w:t>
      </w:r>
      <w:r w:rsidR="000D529B" w:rsidRPr="004F2386">
        <w:rPr>
          <w:rFonts w:ascii="Arial" w:hAnsi="Arial" w:cs="Arial"/>
          <w:lang w:eastAsia="en-US"/>
        </w:rPr>
        <w:t xml:space="preserve">placówkami oświatowymi, poszerzając świadomość prawną młodzieży, także poprzez wizyty w sądach i na salach rozpraw. Niewątpliwie obserwowanie przez małoletnich przebiegu postępowania cywilnego czy sądowoadministracyjnego, mogłoby przyczynić </w:t>
      </w:r>
      <w:r w:rsidR="004F2386" w:rsidRPr="004F2386">
        <w:rPr>
          <w:rFonts w:ascii="Arial" w:hAnsi="Arial" w:cs="Arial"/>
          <w:lang w:eastAsia="en-US"/>
        </w:rPr>
        <w:t xml:space="preserve">się </w:t>
      </w:r>
      <w:r w:rsidRPr="004F2386">
        <w:rPr>
          <w:rFonts w:ascii="Arial" w:hAnsi="Arial" w:cs="Arial"/>
          <w:lang w:eastAsia="en-US"/>
        </w:rPr>
        <w:t xml:space="preserve">również </w:t>
      </w:r>
      <w:r w:rsidR="000D529B" w:rsidRPr="004F2386">
        <w:rPr>
          <w:rFonts w:ascii="Arial" w:hAnsi="Arial" w:cs="Arial"/>
          <w:lang w:eastAsia="en-US"/>
        </w:rPr>
        <w:t>do urealnienia obrazu sądów, często przez media ukazywanego w sposób daleki od rzeczywistości.</w:t>
      </w:r>
    </w:p>
    <w:p w:rsidR="000D529B" w:rsidRDefault="00460F09" w:rsidP="006D461E">
      <w:pPr>
        <w:spacing w:line="360" w:lineRule="auto"/>
        <w:ind w:firstLine="709"/>
        <w:jc w:val="both"/>
        <w:rPr>
          <w:rFonts w:ascii="Arial" w:hAnsi="Arial" w:cs="Arial"/>
          <w:lang w:eastAsia="en-US"/>
        </w:rPr>
      </w:pPr>
      <w:r w:rsidRPr="004F2386">
        <w:rPr>
          <w:rFonts w:ascii="Arial" w:hAnsi="Arial" w:cs="Arial"/>
          <w:lang w:eastAsia="en-US"/>
        </w:rPr>
        <w:t xml:space="preserve">Pozytywnie należy </w:t>
      </w:r>
      <w:r w:rsidR="00ED3312" w:rsidRPr="004F2386">
        <w:rPr>
          <w:rFonts w:ascii="Arial" w:hAnsi="Arial" w:cs="Arial"/>
          <w:lang w:eastAsia="en-US"/>
        </w:rPr>
        <w:t xml:space="preserve">ocenić także </w:t>
      </w:r>
      <w:r w:rsidRPr="004F2386">
        <w:rPr>
          <w:rFonts w:ascii="Arial" w:hAnsi="Arial" w:cs="Arial"/>
          <w:lang w:eastAsia="en-US"/>
        </w:rPr>
        <w:t>proponowane w projekcie p</w:t>
      </w:r>
      <w:r w:rsidR="000D529B" w:rsidRPr="004F2386">
        <w:rPr>
          <w:rFonts w:ascii="Arial" w:hAnsi="Arial" w:cs="Arial"/>
          <w:lang w:eastAsia="en-US"/>
        </w:rPr>
        <w:t xml:space="preserve">ozostawienie decyzji o możliwości obecności osób małoletnich na posiedzeniu jawnym </w:t>
      </w:r>
      <w:r w:rsidRPr="004F2386">
        <w:rPr>
          <w:rFonts w:ascii="Arial" w:hAnsi="Arial" w:cs="Arial"/>
          <w:lang w:eastAsia="en-US"/>
        </w:rPr>
        <w:t>przewodniczącemu posiedzenia</w:t>
      </w:r>
      <w:r w:rsidR="000D529B" w:rsidRPr="004F2386">
        <w:rPr>
          <w:rFonts w:ascii="Arial" w:hAnsi="Arial" w:cs="Arial"/>
          <w:lang w:eastAsia="en-US"/>
        </w:rPr>
        <w:t xml:space="preserve">. Należy mieć bowiem świadomość, że sprawy cywilne mają szeroki zakres przedmiotowy i </w:t>
      </w:r>
      <w:r w:rsidR="004F2386">
        <w:rPr>
          <w:rFonts w:ascii="Arial" w:hAnsi="Arial" w:cs="Arial"/>
          <w:lang w:eastAsia="en-US"/>
        </w:rPr>
        <w:t xml:space="preserve">niekiedy </w:t>
      </w:r>
      <w:r w:rsidR="000D529B" w:rsidRPr="004F2386">
        <w:rPr>
          <w:rFonts w:ascii="Arial" w:hAnsi="Arial" w:cs="Arial"/>
          <w:lang w:eastAsia="en-US"/>
        </w:rPr>
        <w:t>ujawniane są w ich toku informacje, które nie powinny docierać do wiadomości osób trzecich, w tym zwłaszcza małoletnich.</w:t>
      </w:r>
    </w:p>
    <w:p w:rsidR="00ED4C15" w:rsidRPr="004F2386" w:rsidRDefault="00ED4C15" w:rsidP="006D461E">
      <w:pPr>
        <w:pStyle w:val="Style2"/>
        <w:widowControl/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Proponowane w projekcie rozwiązania przyczynią się </w:t>
      </w:r>
      <w:r w:rsidRPr="004F2386">
        <w:rPr>
          <w:rFonts w:ascii="Arial" w:hAnsi="Arial" w:cs="Arial"/>
        </w:rPr>
        <w:t>do zwiększenia transparentności postępowań cywilnych i sądowoadm</w:t>
      </w:r>
      <w:r>
        <w:rPr>
          <w:rFonts w:ascii="Arial" w:hAnsi="Arial" w:cs="Arial"/>
        </w:rPr>
        <w:t>inistracyjnych</w:t>
      </w:r>
      <w:r w:rsidRPr="004F2386">
        <w:rPr>
          <w:rFonts w:ascii="Arial" w:hAnsi="Arial" w:cs="Arial"/>
        </w:rPr>
        <w:t>.</w:t>
      </w:r>
    </w:p>
    <w:p w:rsidR="00DF798C" w:rsidRPr="004F2386" w:rsidRDefault="00C51A2C" w:rsidP="006D461E">
      <w:pPr>
        <w:pStyle w:val="Style2"/>
        <w:widowControl/>
        <w:spacing w:before="240" w:line="360" w:lineRule="auto"/>
        <w:ind w:firstLine="709"/>
        <w:jc w:val="both"/>
      </w:pPr>
      <w:r w:rsidRPr="004F2386">
        <w:rPr>
          <w:rFonts w:ascii="Arial" w:hAnsi="Arial" w:cs="Arial"/>
          <w:b/>
        </w:rPr>
        <w:t>Z przedstawionych wyżej względów</w:t>
      </w:r>
      <w:r w:rsidRPr="004F2386">
        <w:rPr>
          <w:rStyle w:val="FontStyle21"/>
          <w:rFonts w:ascii="Arial" w:hAnsi="Arial" w:cs="Arial"/>
          <w:b w:val="0"/>
          <w:sz w:val="24"/>
          <w:szCs w:val="24"/>
        </w:rPr>
        <w:t xml:space="preserve"> </w:t>
      </w:r>
      <w:r w:rsidRPr="004F2386">
        <w:rPr>
          <w:rFonts w:ascii="Arial" w:hAnsi="Arial" w:cs="Arial"/>
          <w:b/>
        </w:rPr>
        <w:t xml:space="preserve">Rada Ministrów opiniuje </w:t>
      </w:r>
      <w:r w:rsidR="00460F09" w:rsidRPr="004F2386">
        <w:rPr>
          <w:rFonts w:ascii="Arial" w:hAnsi="Arial" w:cs="Arial"/>
          <w:b/>
        </w:rPr>
        <w:t xml:space="preserve">pozytywnie </w:t>
      </w:r>
      <w:r w:rsidR="00460F09" w:rsidRPr="004025B7">
        <w:rPr>
          <w:rStyle w:val="FontStyle21"/>
          <w:rFonts w:ascii="Arial" w:hAnsi="Arial" w:cs="Arial"/>
          <w:sz w:val="24"/>
          <w:szCs w:val="24"/>
        </w:rPr>
        <w:t xml:space="preserve">senacki </w:t>
      </w:r>
      <w:r w:rsidRPr="004025B7">
        <w:rPr>
          <w:rStyle w:val="FontStyle21"/>
          <w:rFonts w:ascii="Arial" w:hAnsi="Arial" w:cs="Arial"/>
          <w:sz w:val="24"/>
          <w:szCs w:val="24"/>
        </w:rPr>
        <w:t>projekt ustawy</w:t>
      </w:r>
      <w:r w:rsidRPr="004F2386">
        <w:rPr>
          <w:rStyle w:val="FontStyle21"/>
          <w:rFonts w:ascii="Arial" w:hAnsi="Arial" w:cs="Arial"/>
          <w:b w:val="0"/>
          <w:sz w:val="24"/>
          <w:szCs w:val="24"/>
        </w:rPr>
        <w:t xml:space="preserve"> </w:t>
      </w:r>
      <w:r w:rsidRPr="004F2386">
        <w:rPr>
          <w:rFonts w:ascii="Arial" w:hAnsi="Arial" w:cs="Arial"/>
          <w:b/>
          <w:bCs/>
          <w:iCs/>
        </w:rPr>
        <w:t xml:space="preserve">o zmianie ustawy – </w:t>
      </w:r>
      <w:r w:rsidR="00460F09" w:rsidRPr="004F2386">
        <w:rPr>
          <w:rFonts w:ascii="Arial" w:hAnsi="Arial" w:cs="Arial"/>
          <w:b/>
          <w:bCs/>
          <w:iCs/>
        </w:rPr>
        <w:t xml:space="preserve">Kodeks postępowania cywilnego oraz ustawy – Prawo o postępowaniu przed sądami administracyjnymi </w:t>
      </w:r>
      <w:r w:rsidRPr="004F2386">
        <w:rPr>
          <w:rFonts w:ascii="Arial" w:hAnsi="Arial" w:cs="Arial"/>
          <w:b/>
        </w:rPr>
        <w:t xml:space="preserve">(druk sejmowy nr </w:t>
      </w:r>
      <w:r w:rsidR="00460F09" w:rsidRPr="004F2386">
        <w:rPr>
          <w:rFonts w:ascii="Arial" w:hAnsi="Arial" w:cs="Arial"/>
          <w:b/>
        </w:rPr>
        <w:t>1248</w:t>
      </w:r>
      <w:r w:rsidRPr="004F2386">
        <w:rPr>
          <w:rFonts w:ascii="Arial" w:hAnsi="Arial" w:cs="Arial"/>
          <w:b/>
        </w:rPr>
        <w:t>).</w:t>
      </w:r>
    </w:p>
    <w:sectPr w:rsidR="00DF798C" w:rsidRPr="004F2386" w:rsidSect="000F2F9A">
      <w:footerReference w:type="even" r:id="rId18"/>
      <w:footerReference w:type="default" r:id="rId19"/>
      <w:footerReference w:type="first" r:id="rId20"/>
      <w:pgSz w:w="11906" w:h="16838"/>
      <w:pgMar w:top="1276" w:right="1417" w:bottom="1418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320D" w:rsidRDefault="0007320D">
      <w:r>
        <w:separator/>
      </w:r>
    </w:p>
  </w:endnote>
  <w:endnote w:type="continuationSeparator" w:id="0">
    <w:p w:rsidR="0007320D" w:rsidRDefault="00073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Casl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11A" w:rsidRDefault="000F770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A1511A" w:rsidRDefault="008D0275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060F" w:rsidRPr="0077060F" w:rsidRDefault="000F770E">
    <w:pPr>
      <w:pStyle w:val="Stopka"/>
      <w:jc w:val="center"/>
      <w:rPr>
        <w:rFonts w:ascii="Arial" w:hAnsi="Arial" w:cs="Arial"/>
      </w:rPr>
    </w:pPr>
    <w:r w:rsidRPr="0077060F">
      <w:rPr>
        <w:rFonts w:ascii="Arial" w:hAnsi="Arial" w:cs="Arial"/>
      </w:rPr>
      <w:fldChar w:fldCharType="begin"/>
    </w:r>
    <w:r w:rsidRPr="0077060F">
      <w:rPr>
        <w:rFonts w:ascii="Arial" w:hAnsi="Arial" w:cs="Arial"/>
      </w:rPr>
      <w:instrText>PAGE   \* MERGEFORMAT</w:instrText>
    </w:r>
    <w:r w:rsidRPr="0077060F">
      <w:rPr>
        <w:rFonts w:ascii="Arial" w:hAnsi="Arial" w:cs="Arial"/>
      </w:rPr>
      <w:fldChar w:fldCharType="separate"/>
    </w:r>
    <w:r w:rsidR="008D0275">
      <w:rPr>
        <w:rFonts w:ascii="Arial" w:hAnsi="Arial" w:cs="Arial"/>
        <w:noProof/>
      </w:rPr>
      <w:t>3</w:t>
    </w:r>
    <w:r w:rsidRPr="0077060F">
      <w:rPr>
        <w:rFonts w:ascii="Arial" w:hAnsi="Arial" w:cs="Arial"/>
      </w:rPr>
      <w:fldChar w:fldCharType="end"/>
    </w:r>
  </w:p>
  <w:p w:rsidR="00A1511A" w:rsidRDefault="008D0275">
    <w:pPr>
      <w:pStyle w:val="Stopk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30E0" w:rsidRDefault="000F770E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8D0275">
      <w:rPr>
        <w:noProof/>
      </w:rPr>
      <w:t>1</w:t>
    </w:r>
    <w:r>
      <w:fldChar w:fldCharType="end"/>
    </w:r>
  </w:p>
  <w:p w:rsidR="00DC30E0" w:rsidRDefault="008D027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320D" w:rsidRDefault="0007320D">
      <w:r>
        <w:separator/>
      </w:r>
    </w:p>
  </w:footnote>
  <w:footnote w:type="continuationSeparator" w:id="0">
    <w:p w:rsidR="0007320D" w:rsidRDefault="000732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C68D7"/>
    <w:multiLevelType w:val="hybridMultilevel"/>
    <w:tmpl w:val="B928E610"/>
    <w:lvl w:ilvl="0" w:tplc="3A1CD08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08E0133"/>
    <w:multiLevelType w:val="hybridMultilevel"/>
    <w:tmpl w:val="4C7A45B0"/>
    <w:lvl w:ilvl="0" w:tplc="94749A5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A2C"/>
    <w:rsid w:val="0000092D"/>
    <w:rsid w:val="0007320D"/>
    <w:rsid w:val="000D529B"/>
    <w:rsid w:val="000E22DD"/>
    <w:rsid w:val="000F770E"/>
    <w:rsid w:val="004025B7"/>
    <w:rsid w:val="004459CC"/>
    <w:rsid w:val="00460F09"/>
    <w:rsid w:val="004F2386"/>
    <w:rsid w:val="00520F0E"/>
    <w:rsid w:val="00522695"/>
    <w:rsid w:val="00571438"/>
    <w:rsid w:val="005858C2"/>
    <w:rsid w:val="006445B1"/>
    <w:rsid w:val="00655FAE"/>
    <w:rsid w:val="006B79E4"/>
    <w:rsid w:val="006D461E"/>
    <w:rsid w:val="00857977"/>
    <w:rsid w:val="0087734F"/>
    <w:rsid w:val="008D0275"/>
    <w:rsid w:val="008E3C3C"/>
    <w:rsid w:val="009765DC"/>
    <w:rsid w:val="009C0F49"/>
    <w:rsid w:val="00A90117"/>
    <w:rsid w:val="00B47355"/>
    <w:rsid w:val="00C51A2C"/>
    <w:rsid w:val="00C7665F"/>
    <w:rsid w:val="00CA6498"/>
    <w:rsid w:val="00D15941"/>
    <w:rsid w:val="00DF798C"/>
    <w:rsid w:val="00E262A3"/>
    <w:rsid w:val="00E41569"/>
    <w:rsid w:val="00E61D8B"/>
    <w:rsid w:val="00E639AE"/>
    <w:rsid w:val="00E83EEF"/>
    <w:rsid w:val="00ED3312"/>
    <w:rsid w:val="00ED4C15"/>
    <w:rsid w:val="00F24BAE"/>
    <w:rsid w:val="00F76324"/>
    <w:rsid w:val="00F76EF6"/>
    <w:rsid w:val="00FE3825"/>
    <w:rsid w:val="00FF6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8B561B-935D-4449-93CB-71D0AD144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51A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C51A2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51A2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semiHidden/>
    <w:rsid w:val="00C51A2C"/>
  </w:style>
  <w:style w:type="paragraph" w:customStyle="1" w:styleId="Style2">
    <w:name w:val="Style2"/>
    <w:basedOn w:val="Normalny"/>
    <w:uiPriority w:val="99"/>
    <w:rsid w:val="00C51A2C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FontStyle21">
    <w:name w:val="Font Style21"/>
    <w:rsid w:val="00C51A2C"/>
    <w:rPr>
      <w:rFonts w:ascii="Garamond" w:hAnsi="Garamond" w:cs="Garamond"/>
      <w:b/>
      <w:bCs/>
      <w:sz w:val="26"/>
      <w:szCs w:val="26"/>
    </w:rPr>
  </w:style>
  <w:style w:type="character" w:customStyle="1" w:styleId="FontStyle12">
    <w:name w:val="Font Style12"/>
    <w:uiPriority w:val="99"/>
    <w:rsid w:val="00C51A2C"/>
    <w:rPr>
      <w:rFonts w:ascii="Times New Roman" w:hAnsi="Times New Roman" w:cs="Times New Roman"/>
      <w:sz w:val="22"/>
      <w:szCs w:val="22"/>
    </w:rPr>
  </w:style>
  <w:style w:type="paragraph" w:customStyle="1" w:styleId="msolistparagraph0">
    <w:name w:val="msolistparagraph"/>
    <w:basedOn w:val="Normalny"/>
    <w:rsid w:val="00C51A2C"/>
    <w:pPr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podstawowy">
    <w:name w:val="podstawowy"/>
    <w:basedOn w:val="Normalny"/>
    <w:uiPriority w:val="99"/>
    <w:rsid w:val="00C51A2C"/>
    <w:pPr>
      <w:widowControl w:val="0"/>
      <w:autoSpaceDE w:val="0"/>
      <w:autoSpaceDN w:val="0"/>
      <w:adjustRightInd w:val="0"/>
      <w:spacing w:line="400" w:lineRule="atLeast"/>
      <w:ind w:firstLine="567"/>
      <w:jc w:val="both"/>
      <w:textAlignment w:val="center"/>
    </w:pPr>
    <w:rPr>
      <w:rFonts w:ascii="ACaslonPro-Regular" w:hAnsi="ACaslonPro-Regular" w:cs="ACaslonPro-Regular"/>
      <w:color w:val="000000"/>
    </w:rPr>
  </w:style>
  <w:style w:type="character" w:customStyle="1" w:styleId="luchili">
    <w:name w:val="luc_hili"/>
    <w:basedOn w:val="Domylnaczcionkaakapitu"/>
    <w:rsid w:val="00C51A2C"/>
  </w:style>
  <w:style w:type="paragraph" w:styleId="Tekstdymka">
    <w:name w:val="Balloon Text"/>
    <w:basedOn w:val="Normalny"/>
    <w:link w:val="TekstdymkaZnak"/>
    <w:uiPriority w:val="99"/>
    <w:semiHidden/>
    <w:unhideWhenUsed/>
    <w:rsid w:val="00C51A2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1A2C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5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30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74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54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48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9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11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34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61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63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43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2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04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68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86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ip.legalis.pl/document-view.seam?documentId=mfrxilrsgi3domroobqxalrrge3timrtgm4q" TargetMode="External"/><Relationship Id="rId13" Type="http://schemas.openxmlformats.org/officeDocument/2006/relationships/hyperlink" Target="http://sip.legalis.pl/document-view.seam?documentId=mfrxilrsgu2tmmjrgqytm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sip.legalis.pl/document-view.seam?documentId=mfrxilrsgu2tmmjrgqytmltqmfyc4mrtgm4dgnbwgq" TargetMode="External"/><Relationship Id="rId17" Type="http://schemas.openxmlformats.org/officeDocument/2006/relationships/hyperlink" Target="http://sip.legalis.pl/document-view.seam?documentId=mfrxilrsgq4tgmjoobqxalrsgu4tcoi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ip.legalis.pl/document-view.seam?documentId=mfrxilrsgq4tgmjoobqxalrsgu4tcmq" TargetMode="Externa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ip.legalis.pl/document-view.seam?documentId=mfrxilrsgm3tan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ip.legalis.pl/document-view.seam?documentId=mfrxilrsgq4tgmjoobqxalrsgu4tamy" TargetMode="External"/><Relationship Id="rId10" Type="http://schemas.openxmlformats.org/officeDocument/2006/relationships/hyperlink" Target="http://sip.legalis.pl/document-view.seam?documentId=mfrxilrsgm3tanboobqxalrrge3tonbygi2a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sip.legalis.pl/document-view.seam?documentId=mfrxilrsgi3domq" TargetMode="External"/><Relationship Id="rId14" Type="http://schemas.openxmlformats.org/officeDocument/2006/relationships/hyperlink" Target="http://sip.legalis.pl/document-view.seam?documentId=mfrxilrsgq4tgmjoobqxalrsgu4tamy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EB990D-1F0F-41E0-8FA9-E7752C85E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1054</Words>
  <Characters>6326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</Company>
  <LinksUpToDate>false</LinksUpToDate>
  <CharactersWithSpaces>7366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Saramaga Jacek  (DL)</dc:creator>
  <cp:lastModifiedBy>Grażyna D. Grabowska</cp:lastModifiedBy>
  <cp:revision>2</cp:revision>
  <cp:lastPrinted>2017-04-06T11:40:00Z</cp:lastPrinted>
  <dcterms:created xsi:type="dcterms:W3CDTF">2017-04-20T12:01:00Z</dcterms:created>
  <dcterms:modified xsi:type="dcterms:W3CDTF">2017-04-20T12:01:00Z</dcterms:modified>
</cp:coreProperties>
</file>