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19B" w:rsidRPr="00AA38D1" w:rsidRDefault="00AA38D1" w:rsidP="00AA38D1">
      <w:pPr>
        <w:spacing w:before="120" w:after="0" w:line="360" w:lineRule="auto"/>
        <w:jc w:val="center"/>
        <w:rPr>
          <w:rFonts w:ascii="Times New Roman" w:eastAsia="Times New Roman" w:hAnsi="Times New Roman" w:cs="Times New Roman"/>
          <w:sz w:val="24"/>
          <w:szCs w:val="24"/>
        </w:rPr>
      </w:pPr>
      <w:bookmarkStart w:id="0" w:name="_GoBack"/>
      <w:bookmarkEnd w:id="0"/>
      <w:r w:rsidRPr="00AA38D1">
        <w:rPr>
          <w:rFonts w:ascii="Times New Roman" w:eastAsia="Times New Roman" w:hAnsi="Times New Roman" w:cs="Times New Roman"/>
          <w:sz w:val="24"/>
          <w:szCs w:val="24"/>
        </w:rPr>
        <w:t xml:space="preserve">UZASADNIENIE </w:t>
      </w:r>
    </w:p>
    <w:p w:rsidR="00B92B72" w:rsidRPr="00AA38D1" w:rsidRDefault="00B92B72" w:rsidP="00AA38D1">
      <w:pPr>
        <w:pStyle w:val="Akapitzlist"/>
        <w:widowControl w:val="0"/>
        <w:numPr>
          <w:ilvl w:val="0"/>
          <w:numId w:val="5"/>
        </w:numPr>
        <w:tabs>
          <w:tab w:val="right" w:pos="284"/>
          <w:tab w:val="left" w:pos="408"/>
        </w:tabs>
        <w:spacing w:before="120" w:after="0" w:line="360" w:lineRule="auto"/>
        <w:ind w:left="284"/>
        <w:contextualSpacing w:val="0"/>
        <w:jc w:val="both"/>
        <w:rPr>
          <w:rFonts w:ascii="Times New Roman" w:eastAsia="Times New Roman" w:hAnsi="Times New Roman" w:cs="Times New Roman"/>
          <w:b/>
          <w:bCs/>
          <w:sz w:val="24"/>
          <w:szCs w:val="24"/>
        </w:rPr>
      </w:pPr>
      <w:r w:rsidRPr="00AA38D1">
        <w:rPr>
          <w:rFonts w:ascii="Times New Roman" w:eastAsia="Times New Roman" w:hAnsi="Times New Roman" w:cs="Times New Roman"/>
          <w:b/>
          <w:bCs/>
          <w:sz w:val="24"/>
          <w:szCs w:val="24"/>
        </w:rPr>
        <w:t>Wprowadzenie</w:t>
      </w:r>
    </w:p>
    <w:p w:rsidR="003C68B4" w:rsidRPr="00AA38D1" w:rsidRDefault="005C723D" w:rsidP="00AA38D1">
      <w:pPr>
        <w:spacing w:before="120" w:after="0" w:line="360" w:lineRule="auto"/>
        <w:ind w:left="284"/>
        <w:jc w:val="both"/>
        <w:rPr>
          <w:rFonts w:ascii="Times New Roman" w:hAnsi="Times New Roman" w:cs="Times New Roman"/>
          <w:bCs/>
          <w:sz w:val="24"/>
          <w:szCs w:val="24"/>
        </w:rPr>
      </w:pPr>
      <w:r w:rsidRPr="00AA38D1">
        <w:rPr>
          <w:rFonts w:asciiTheme="majorBidi" w:hAnsiTheme="majorBidi" w:cstheme="majorBidi"/>
          <w:bCs/>
          <w:sz w:val="24"/>
          <w:szCs w:val="24"/>
        </w:rPr>
        <w:t>Po wejściu w życie rozporządzenia</w:t>
      </w:r>
      <w:r w:rsidRPr="00AA38D1">
        <w:rPr>
          <w:rFonts w:ascii="Times New Roman" w:hAnsi="Times New Roman" w:cs="Times New Roman"/>
          <w:bCs/>
          <w:sz w:val="24"/>
          <w:szCs w:val="24"/>
        </w:rPr>
        <w:t xml:space="preserve"> Komisji nr 162/2013 </w:t>
      </w:r>
      <w:r w:rsidR="00EA7310" w:rsidRPr="00AA38D1">
        <w:rPr>
          <w:rFonts w:ascii="Times New Roman" w:eastAsia="Times New Roman" w:hAnsi="Times New Roman" w:cs="Times New Roman"/>
          <w:spacing w:val="-3"/>
          <w:sz w:val="24"/>
          <w:szCs w:val="24"/>
        </w:rPr>
        <w:t xml:space="preserve">z dnia 21 lutego 2013 r. zmieniającego załącznik do rozporządzenia (WE) nr 3199/93 </w:t>
      </w:r>
      <w:r w:rsidR="00EA7310" w:rsidRPr="00AA38D1">
        <w:rPr>
          <w:rFonts w:ascii="Times New Roman" w:eastAsia="Times New Roman" w:hAnsi="Times New Roman" w:cs="Times New Roman"/>
          <w:iCs/>
          <w:spacing w:val="-3"/>
          <w:sz w:val="24"/>
          <w:szCs w:val="24"/>
        </w:rPr>
        <w:t>w sprawie wzajemnego uznawania procedur całkowitego skaż</w:t>
      </w:r>
      <w:r w:rsidR="002C222C">
        <w:rPr>
          <w:rFonts w:ascii="Times New Roman" w:eastAsia="Times New Roman" w:hAnsi="Times New Roman" w:cs="Times New Roman"/>
          <w:iCs/>
          <w:spacing w:val="-3"/>
          <w:sz w:val="24"/>
          <w:szCs w:val="24"/>
        </w:rPr>
        <w:t>a</w:t>
      </w:r>
      <w:r w:rsidR="00EA7310" w:rsidRPr="00AA38D1">
        <w:rPr>
          <w:rFonts w:ascii="Times New Roman" w:eastAsia="Times New Roman" w:hAnsi="Times New Roman" w:cs="Times New Roman"/>
          <w:iCs/>
          <w:spacing w:val="-3"/>
          <w:sz w:val="24"/>
          <w:szCs w:val="24"/>
        </w:rPr>
        <w:t>nia alkoholu etylowego do celów zwolnienia z</w:t>
      </w:r>
      <w:r w:rsidR="00AA38D1">
        <w:rPr>
          <w:rFonts w:ascii="Times New Roman" w:eastAsia="Times New Roman" w:hAnsi="Times New Roman" w:cs="Times New Roman"/>
          <w:iCs/>
          <w:spacing w:val="-3"/>
          <w:sz w:val="24"/>
          <w:szCs w:val="24"/>
        </w:rPr>
        <w:t> </w:t>
      </w:r>
      <w:r w:rsidR="00EA7310" w:rsidRPr="00AA38D1">
        <w:rPr>
          <w:rFonts w:ascii="Times New Roman" w:eastAsia="Times New Roman" w:hAnsi="Times New Roman" w:cs="Times New Roman"/>
          <w:iCs/>
          <w:spacing w:val="-3"/>
          <w:sz w:val="24"/>
          <w:szCs w:val="24"/>
        </w:rPr>
        <w:t>podatku akcyzowego</w:t>
      </w:r>
      <w:r w:rsidR="00EA7310" w:rsidRPr="00AA38D1">
        <w:rPr>
          <w:rFonts w:ascii="Times New Roman" w:eastAsia="Times New Roman" w:hAnsi="Times New Roman" w:cs="Times New Roman"/>
          <w:spacing w:val="-3"/>
          <w:sz w:val="24"/>
          <w:szCs w:val="24"/>
        </w:rPr>
        <w:t xml:space="preserve">, </w:t>
      </w:r>
      <w:r w:rsidR="00EA7310" w:rsidRPr="00AA38D1">
        <w:rPr>
          <w:rFonts w:ascii="Times New Roman" w:hAnsi="Times New Roman" w:cs="Times New Roman"/>
          <w:bCs/>
          <w:sz w:val="24"/>
          <w:szCs w:val="24"/>
        </w:rPr>
        <w:t xml:space="preserve">polscy przedsiębiorcy zaczęli wykorzystywać alkohol etylowy </w:t>
      </w:r>
      <w:r w:rsidR="003C68B4" w:rsidRPr="00AA38D1">
        <w:rPr>
          <w:rFonts w:ascii="Times New Roman" w:hAnsi="Times New Roman" w:cs="Times New Roman"/>
          <w:bCs/>
          <w:sz w:val="24"/>
          <w:szCs w:val="24"/>
        </w:rPr>
        <w:t xml:space="preserve">skażany krajowymi środkami skażającymi </w:t>
      </w:r>
      <w:r w:rsidR="00EA7310" w:rsidRPr="00AA38D1">
        <w:rPr>
          <w:rFonts w:ascii="Times New Roman" w:hAnsi="Times New Roman" w:cs="Times New Roman"/>
          <w:bCs/>
          <w:sz w:val="24"/>
          <w:szCs w:val="24"/>
        </w:rPr>
        <w:t xml:space="preserve">do produkcji produktów zawierających w swym składzie alkohol etylowy, np. rozpuszczalników. </w:t>
      </w:r>
    </w:p>
    <w:p w:rsidR="005C723D" w:rsidRPr="00AA38D1" w:rsidRDefault="003C68B4" w:rsidP="00AA38D1">
      <w:pPr>
        <w:spacing w:before="120" w:after="0" w:line="360" w:lineRule="auto"/>
        <w:ind w:left="284"/>
        <w:jc w:val="both"/>
        <w:rPr>
          <w:rFonts w:ascii="Times New Roman" w:hAnsi="Times New Roman" w:cs="Times New Roman"/>
          <w:sz w:val="24"/>
          <w:szCs w:val="24"/>
        </w:rPr>
      </w:pPr>
      <w:r w:rsidRPr="00AA38D1">
        <w:rPr>
          <w:rFonts w:ascii="Times New Roman" w:hAnsi="Times New Roman" w:cs="Times New Roman"/>
          <w:sz w:val="24"/>
          <w:szCs w:val="24"/>
        </w:rPr>
        <w:t xml:space="preserve">Jednocześnie </w:t>
      </w:r>
      <w:r w:rsidR="00AD3884" w:rsidRPr="00AA38D1">
        <w:rPr>
          <w:rFonts w:ascii="Times New Roman" w:hAnsi="Times New Roman" w:cs="Times New Roman"/>
          <w:sz w:val="24"/>
          <w:szCs w:val="24"/>
        </w:rPr>
        <w:t xml:space="preserve">w </w:t>
      </w:r>
      <w:r w:rsidR="005C723D" w:rsidRPr="00AA38D1">
        <w:rPr>
          <w:rFonts w:ascii="Times New Roman" w:hAnsi="Times New Roman" w:cs="Times New Roman"/>
          <w:sz w:val="24"/>
          <w:szCs w:val="24"/>
        </w:rPr>
        <w:t xml:space="preserve">wyniku przeprowadzonych działań kontrolnych w przedmiotowym obszarze zidentyfikowano nieprawidłowości związane z odkażaniem całkowicie skażonego alkoholu etylowego skażanego </w:t>
      </w:r>
      <w:r w:rsidR="004242A6" w:rsidRPr="00AA38D1">
        <w:rPr>
          <w:rFonts w:ascii="Times New Roman" w:hAnsi="Times New Roman" w:cs="Times New Roman"/>
          <w:sz w:val="24"/>
          <w:szCs w:val="24"/>
        </w:rPr>
        <w:t xml:space="preserve">środkami dopuszczonymi przez Węgry, zgodnie z procedurą skażania wskazaną w pkt II </w:t>
      </w:r>
      <w:r w:rsidR="00B24CCD" w:rsidRPr="00AA38D1">
        <w:rPr>
          <w:rFonts w:ascii="Times New Roman" w:hAnsi="Times New Roman" w:cs="Times New Roman"/>
          <w:sz w:val="24"/>
          <w:szCs w:val="24"/>
        </w:rPr>
        <w:t xml:space="preserve">załącznika </w:t>
      </w:r>
      <w:r w:rsidR="004242A6" w:rsidRPr="00AA38D1">
        <w:rPr>
          <w:rFonts w:ascii="Times New Roman" w:hAnsi="Times New Roman" w:cs="Times New Roman"/>
          <w:sz w:val="24"/>
          <w:szCs w:val="24"/>
        </w:rPr>
        <w:t>do ww. rozporządzenia Komisji nr 162/2013 (Węgry – lit. c), zwaną dalej „</w:t>
      </w:r>
      <w:r w:rsidR="003A1BEA" w:rsidRPr="00AA38D1">
        <w:rPr>
          <w:rFonts w:ascii="Times New Roman" w:hAnsi="Times New Roman" w:cs="Times New Roman"/>
          <w:sz w:val="24"/>
          <w:szCs w:val="24"/>
        </w:rPr>
        <w:t>procedurą</w:t>
      </w:r>
      <w:r w:rsidR="005C723D" w:rsidRPr="00AA38D1">
        <w:rPr>
          <w:rFonts w:ascii="Times New Roman" w:hAnsi="Times New Roman" w:cs="Times New Roman"/>
          <w:sz w:val="24"/>
          <w:szCs w:val="24"/>
        </w:rPr>
        <w:t xml:space="preserve"> węgierską lit. c</w:t>
      </w:r>
      <w:r w:rsidR="003A1BEA" w:rsidRPr="00AA38D1">
        <w:rPr>
          <w:rFonts w:ascii="Times New Roman" w:hAnsi="Times New Roman" w:cs="Times New Roman"/>
          <w:sz w:val="24"/>
          <w:szCs w:val="24"/>
        </w:rPr>
        <w:t>”,</w:t>
      </w:r>
      <w:r w:rsidR="005C723D" w:rsidRPr="00AA38D1">
        <w:rPr>
          <w:rFonts w:ascii="Times New Roman" w:hAnsi="Times New Roman" w:cs="Times New Roman"/>
          <w:sz w:val="24"/>
          <w:szCs w:val="24"/>
        </w:rPr>
        <w:t xml:space="preserve"> oraz zaobserwowano, iż zwiększyła się </w:t>
      </w:r>
      <w:r w:rsidR="006E4972">
        <w:rPr>
          <w:rFonts w:ascii="Times New Roman" w:hAnsi="Times New Roman" w:cs="Times New Roman"/>
          <w:sz w:val="24"/>
          <w:szCs w:val="24"/>
        </w:rPr>
        <w:t>liczba</w:t>
      </w:r>
      <w:r w:rsidR="006E4972" w:rsidRPr="00AA38D1">
        <w:rPr>
          <w:rFonts w:ascii="Times New Roman" w:hAnsi="Times New Roman" w:cs="Times New Roman"/>
          <w:sz w:val="24"/>
          <w:szCs w:val="24"/>
        </w:rPr>
        <w:t xml:space="preserve"> </w:t>
      </w:r>
      <w:r w:rsidR="005C723D" w:rsidRPr="00AA38D1">
        <w:rPr>
          <w:rFonts w:ascii="Times New Roman" w:hAnsi="Times New Roman" w:cs="Times New Roman"/>
          <w:sz w:val="24"/>
          <w:szCs w:val="24"/>
        </w:rPr>
        <w:t xml:space="preserve">dokonywanych nabyć alkoholu etylowego całkowicie skażonego </w:t>
      </w:r>
      <w:r w:rsidR="004242A6" w:rsidRPr="00AA38D1">
        <w:rPr>
          <w:rFonts w:ascii="Times New Roman" w:hAnsi="Times New Roman" w:cs="Times New Roman"/>
          <w:sz w:val="24"/>
          <w:szCs w:val="24"/>
        </w:rPr>
        <w:t>zgodnie z procedurą</w:t>
      </w:r>
      <w:r w:rsidR="005C723D" w:rsidRPr="00AA38D1">
        <w:rPr>
          <w:rFonts w:ascii="Times New Roman" w:hAnsi="Times New Roman" w:cs="Times New Roman"/>
          <w:sz w:val="24"/>
          <w:szCs w:val="24"/>
        </w:rPr>
        <w:t xml:space="preserve"> węgierską lit. c.</w:t>
      </w:r>
    </w:p>
    <w:p w:rsidR="00B92B72" w:rsidRPr="00AA38D1" w:rsidRDefault="00A11327" w:rsidP="00AA38D1">
      <w:pPr>
        <w:pStyle w:val="Akapitzlist"/>
        <w:widowControl w:val="0"/>
        <w:numPr>
          <w:ilvl w:val="0"/>
          <w:numId w:val="5"/>
        </w:numPr>
        <w:tabs>
          <w:tab w:val="right" w:pos="284"/>
          <w:tab w:val="left" w:pos="408"/>
        </w:tabs>
        <w:spacing w:before="120" w:after="0" w:line="360" w:lineRule="auto"/>
        <w:ind w:left="284"/>
        <w:contextualSpacing w:val="0"/>
        <w:jc w:val="both"/>
        <w:rPr>
          <w:rFonts w:ascii="Times New Roman" w:eastAsia="Times New Roman" w:hAnsi="Times New Roman" w:cs="Times New Roman"/>
          <w:b/>
          <w:bCs/>
          <w:sz w:val="24"/>
          <w:szCs w:val="24"/>
        </w:rPr>
      </w:pPr>
      <w:r w:rsidRPr="00AA38D1">
        <w:rPr>
          <w:rFonts w:ascii="Times New Roman" w:eastAsia="Times New Roman" w:hAnsi="Times New Roman" w:cs="Times New Roman"/>
          <w:b/>
          <w:bCs/>
          <w:sz w:val="24"/>
          <w:szCs w:val="24"/>
        </w:rPr>
        <w:t xml:space="preserve">Zmiana ustawy w zakresie zwolnienia od akcyzy dla alkoholu etylowego </w:t>
      </w:r>
      <w:r w:rsidR="00E36D6F" w:rsidRPr="00AA38D1">
        <w:rPr>
          <w:rFonts w:ascii="Times New Roman" w:eastAsia="Times New Roman" w:hAnsi="Times New Roman" w:cs="Times New Roman"/>
          <w:b/>
          <w:bCs/>
          <w:sz w:val="24"/>
          <w:szCs w:val="24"/>
        </w:rPr>
        <w:t xml:space="preserve">całkowicie </w:t>
      </w:r>
      <w:r w:rsidRPr="00AA38D1">
        <w:rPr>
          <w:rFonts w:ascii="Times New Roman" w:eastAsia="Times New Roman" w:hAnsi="Times New Roman" w:cs="Times New Roman"/>
          <w:b/>
          <w:bCs/>
          <w:sz w:val="24"/>
          <w:szCs w:val="24"/>
        </w:rPr>
        <w:t>skażonego importowanego, nabywanego wewnątrzwspólnotowo albo produkowanego na terytorium kraju</w:t>
      </w:r>
    </w:p>
    <w:p w:rsidR="00602D67" w:rsidRPr="007F3D4F" w:rsidRDefault="00602D67" w:rsidP="00AA38D1">
      <w:pPr>
        <w:widowControl w:val="0"/>
        <w:tabs>
          <w:tab w:val="right" w:pos="284"/>
          <w:tab w:val="left" w:pos="408"/>
        </w:tabs>
        <w:spacing w:before="120" w:after="0" w:line="360" w:lineRule="auto"/>
        <w:ind w:left="284"/>
        <w:jc w:val="both"/>
        <w:rPr>
          <w:rFonts w:ascii="Times New Roman" w:eastAsia="Times New Roman" w:hAnsi="Times New Roman" w:cs="Times New Roman"/>
          <w:sz w:val="24"/>
          <w:szCs w:val="24"/>
        </w:rPr>
      </w:pPr>
      <w:r w:rsidRPr="00AA38D1">
        <w:rPr>
          <w:rFonts w:ascii="Times New Roman" w:eastAsia="Times New Roman" w:hAnsi="Times New Roman" w:cs="Times New Roman"/>
          <w:sz w:val="24"/>
          <w:szCs w:val="24"/>
        </w:rPr>
        <w:t xml:space="preserve">Kwestię zwolnienia od akcyzy alkoholu etylowego reguluje dyrektywa Rady 92/83/EWG z dnia 19 października 1992 r. </w:t>
      </w:r>
      <w:r w:rsidRPr="007F3D4F">
        <w:rPr>
          <w:rFonts w:ascii="Times New Roman" w:eastAsia="Times New Roman" w:hAnsi="Times New Roman" w:cs="Times New Roman"/>
          <w:iCs/>
          <w:sz w:val="24"/>
          <w:szCs w:val="24"/>
        </w:rPr>
        <w:t>w sprawie harmonizacji struktury podatków akcyzowych od alkoholu i napojów alkoholowych</w:t>
      </w:r>
      <w:r w:rsidR="003912BD">
        <w:rPr>
          <w:rFonts w:ascii="Times New Roman" w:eastAsia="Times New Roman" w:hAnsi="Times New Roman" w:cs="Times New Roman"/>
          <w:iCs/>
          <w:sz w:val="24"/>
          <w:szCs w:val="24"/>
        </w:rPr>
        <w:t xml:space="preserve"> (Dz. Urz. UE L 316 </w:t>
      </w:r>
      <w:r w:rsidR="003912BD">
        <w:rPr>
          <w:rFonts w:ascii="Times New Roman" w:eastAsia="Times New Roman" w:hAnsi="Times New Roman" w:cs="Times New Roman"/>
          <w:iCs/>
          <w:sz w:val="24"/>
          <w:szCs w:val="24"/>
        </w:rPr>
        <w:br/>
        <w:t xml:space="preserve">z </w:t>
      </w:r>
      <w:r w:rsidR="009A4D4D">
        <w:rPr>
          <w:rFonts w:ascii="Times New Roman" w:eastAsia="Times New Roman" w:hAnsi="Times New Roman" w:cs="Times New Roman"/>
          <w:iCs/>
          <w:sz w:val="24"/>
          <w:szCs w:val="24"/>
        </w:rPr>
        <w:t>3</w:t>
      </w:r>
      <w:r w:rsidR="003912BD">
        <w:rPr>
          <w:rFonts w:ascii="Times New Roman" w:eastAsia="Times New Roman" w:hAnsi="Times New Roman" w:cs="Times New Roman"/>
          <w:iCs/>
          <w:sz w:val="24"/>
          <w:szCs w:val="24"/>
        </w:rPr>
        <w:t>1.10.1992, str. 21; Dz. Urz. UE Po</w:t>
      </w:r>
      <w:r w:rsidR="002C222C">
        <w:rPr>
          <w:rFonts w:ascii="Times New Roman" w:eastAsia="Times New Roman" w:hAnsi="Times New Roman" w:cs="Times New Roman"/>
          <w:iCs/>
          <w:sz w:val="24"/>
          <w:szCs w:val="24"/>
        </w:rPr>
        <w:t>l</w:t>
      </w:r>
      <w:r w:rsidR="003912BD">
        <w:rPr>
          <w:rFonts w:ascii="Times New Roman" w:eastAsia="Times New Roman" w:hAnsi="Times New Roman" w:cs="Times New Roman"/>
          <w:iCs/>
          <w:sz w:val="24"/>
          <w:szCs w:val="24"/>
        </w:rPr>
        <w:t>skie wydanie specjalne, rozdz. 9, t. 1, str. 206)</w:t>
      </w:r>
      <w:r w:rsidRPr="007F3D4F">
        <w:rPr>
          <w:rFonts w:ascii="Times New Roman" w:eastAsia="Times New Roman" w:hAnsi="Times New Roman" w:cs="Times New Roman"/>
          <w:iCs/>
          <w:sz w:val="24"/>
          <w:szCs w:val="24"/>
        </w:rPr>
        <w:t>,</w:t>
      </w:r>
      <w:r w:rsidRPr="007F3D4F">
        <w:rPr>
          <w:rFonts w:ascii="Times New Roman" w:eastAsia="Times New Roman" w:hAnsi="Times New Roman" w:cs="Times New Roman"/>
          <w:sz w:val="24"/>
          <w:szCs w:val="24"/>
        </w:rPr>
        <w:t xml:space="preserve"> zwan</w:t>
      </w:r>
      <w:r w:rsidR="006E4972">
        <w:rPr>
          <w:rFonts w:ascii="Times New Roman" w:eastAsia="Times New Roman" w:hAnsi="Times New Roman" w:cs="Times New Roman"/>
          <w:sz w:val="24"/>
          <w:szCs w:val="24"/>
        </w:rPr>
        <w:t>a</w:t>
      </w:r>
      <w:r w:rsidRPr="007F3D4F">
        <w:rPr>
          <w:rFonts w:ascii="Times New Roman" w:eastAsia="Times New Roman" w:hAnsi="Times New Roman" w:cs="Times New Roman"/>
          <w:sz w:val="24"/>
          <w:szCs w:val="24"/>
        </w:rPr>
        <w:t xml:space="preserve"> dalej „dyrektywą alkoholową”.</w:t>
      </w:r>
      <w:r w:rsidR="00AA38D1" w:rsidRPr="007F3D4F">
        <w:rPr>
          <w:rFonts w:ascii="Times New Roman" w:eastAsia="Times New Roman" w:hAnsi="Times New Roman" w:cs="Times New Roman"/>
          <w:sz w:val="24"/>
          <w:szCs w:val="24"/>
        </w:rPr>
        <w:t xml:space="preserve"> </w:t>
      </w:r>
    </w:p>
    <w:p w:rsidR="00602D67" w:rsidRPr="00AA38D1" w:rsidRDefault="00602D67" w:rsidP="00AA38D1">
      <w:pPr>
        <w:widowControl w:val="0"/>
        <w:tabs>
          <w:tab w:val="right" w:pos="284"/>
          <w:tab w:val="left" w:pos="408"/>
        </w:tabs>
        <w:spacing w:before="120" w:after="0" w:line="360" w:lineRule="auto"/>
        <w:ind w:left="284"/>
        <w:jc w:val="both"/>
        <w:rPr>
          <w:rFonts w:ascii="Times New Roman" w:eastAsia="Times New Roman" w:hAnsi="Times New Roman" w:cs="Times New Roman"/>
          <w:sz w:val="24"/>
          <w:szCs w:val="24"/>
        </w:rPr>
      </w:pPr>
      <w:r w:rsidRPr="00AA38D1">
        <w:rPr>
          <w:rFonts w:ascii="Times New Roman" w:eastAsia="Times New Roman" w:hAnsi="Times New Roman" w:cs="Times New Roman"/>
          <w:sz w:val="24"/>
          <w:szCs w:val="24"/>
        </w:rPr>
        <w:t>Art. 27 ust. 1 lit. a dyrektywy alkoholowej stanowi, iż państwa członkowskie zwalniają produkty objęte niniejszą dyrektywą z ujednoliconego podatku akcyzowego na warunkach, które zostaną przez nie określone w celu zagwarantowania prawidłowego i uczciwego stosowania takich zwolnień oraz zapobiegania wszelkim ewentualnym wypadkom uchylania się, omijania lub naruszania tych przepisów, w przypadku</w:t>
      </w:r>
      <w:r w:rsidR="00AA38D1">
        <w:rPr>
          <w:rFonts w:ascii="Times New Roman" w:eastAsia="Times New Roman" w:hAnsi="Times New Roman" w:cs="Times New Roman"/>
          <w:sz w:val="24"/>
          <w:szCs w:val="24"/>
        </w:rPr>
        <w:t xml:space="preserve"> całkowitego skażenia alkoholu –</w:t>
      </w:r>
      <w:r w:rsidRPr="00AA38D1">
        <w:rPr>
          <w:rFonts w:ascii="Times New Roman" w:eastAsia="Times New Roman" w:hAnsi="Times New Roman" w:cs="Times New Roman"/>
          <w:sz w:val="24"/>
          <w:szCs w:val="24"/>
        </w:rPr>
        <w:t xml:space="preserve"> produkty te są rozprowadzane w postaci alkoholu całkowicie denaturowanego zgodnie z</w:t>
      </w:r>
      <w:r w:rsidR="00AA38D1">
        <w:rPr>
          <w:rFonts w:ascii="Times New Roman" w:eastAsia="Times New Roman" w:hAnsi="Times New Roman" w:cs="Times New Roman"/>
          <w:sz w:val="24"/>
          <w:szCs w:val="24"/>
        </w:rPr>
        <w:t> </w:t>
      </w:r>
      <w:r w:rsidRPr="00AA38D1">
        <w:rPr>
          <w:rFonts w:ascii="Times New Roman" w:eastAsia="Times New Roman" w:hAnsi="Times New Roman" w:cs="Times New Roman"/>
          <w:sz w:val="24"/>
          <w:szCs w:val="24"/>
        </w:rPr>
        <w:t xml:space="preserve">wymogami każdego państwa członkowskiego, przy czym wymogi takie muszą być </w:t>
      </w:r>
      <w:r w:rsidRPr="00AA38D1">
        <w:rPr>
          <w:rFonts w:ascii="Times New Roman" w:eastAsia="Times New Roman" w:hAnsi="Times New Roman" w:cs="Times New Roman"/>
          <w:sz w:val="24"/>
          <w:szCs w:val="24"/>
        </w:rPr>
        <w:lastRenderedPageBreak/>
        <w:t xml:space="preserve">należycie podane do wiadomości i zaakceptowane zgodnie z ust. 3 i 4 </w:t>
      </w:r>
      <w:r w:rsidR="00B24CCD" w:rsidRPr="00AA38D1">
        <w:rPr>
          <w:rFonts w:ascii="Times New Roman" w:eastAsia="Times New Roman" w:hAnsi="Times New Roman" w:cs="Times New Roman"/>
          <w:sz w:val="24"/>
          <w:szCs w:val="24"/>
        </w:rPr>
        <w:t xml:space="preserve">tego </w:t>
      </w:r>
      <w:r w:rsidRPr="00AA38D1">
        <w:rPr>
          <w:rFonts w:ascii="Times New Roman" w:eastAsia="Times New Roman" w:hAnsi="Times New Roman" w:cs="Times New Roman"/>
          <w:sz w:val="24"/>
          <w:szCs w:val="24"/>
        </w:rPr>
        <w:t>artykułu. Zwolnienie to uzależnione jest od stosowania przepisów dyrektywy 92/12/EWG, dotyczących handlowego przemieszczania alkoholu całkowicie denaturowanego.</w:t>
      </w:r>
    </w:p>
    <w:p w:rsidR="00602D67" w:rsidRPr="00AA38D1" w:rsidRDefault="00602D67" w:rsidP="00AA38D1">
      <w:pPr>
        <w:widowControl w:val="0"/>
        <w:tabs>
          <w:tab w:val="right" w:pos="284"/>
          <w:tab w:val="left" w:pos="408"/>
        </w:tabs>
        <w:spacing w:before="120" w:after="0" w:line="360" w:lineRule="auto"/>
        <w:ind w:left="284"/>
        <w:jc w:val="both"/>
        <w:rPr>
          <w:rFonts w:ascii="Times New Roman" w:eastAsia="Times New Roman" w:hAnsi="Times New Roman" w:cs="Times New Roman"/>
          <w:sz w:val="24"/>
          <w:szCs w:val="24"/>
        </w:rPr>
      </w:pPr>
      <w:r w:rsidRPr="00AA38D1">
        <w:rPr>
          <w:rFonts w:ascii="Times New Roman" w:eastAsia="Times New Roman" w:hAnsi="Times New Roman" w:cs="Times New Roman"/>
          <w:sz w:val="24"/>
          <w:szCs w:val="24"/>
        </w:rPr>
        <w:t>W krajowym porządku</w:t>
      </w:r>
      <w:r w:rsidR="009F498B" w:rsidRPr="00AA38D1">
        <w:rPr>
          <w:rFonts w:ascii="Times New Roman" w:eastAsia="Times New Roman" w:hAnsi="Times New Roman" w:cs="Times New Roman"/>
          <w:sz w:val="24"/>
          <w:szCs w:val="24"/>
        </w:rPr>
        <w:t xml:space="preserve"> prawnym zwolnienie dla alkoholu</w:t>
      </w:r>
      <w:r w:rsidRPr="00AA38D1">
        <w:rPr>
          <w:rFonts w:ascii="Times New Roman" w:eastAsia="Times New Roman" w:hAnsi="Times New Roman" w:cs="Times New Roman"/>
          <w:sz w:val="24"/>
          <w:szCs w:val="24"/>
        </w:rPr>
        <w:t xml:space="preserve"> etylowego całkowicie skażonego określone zostało w art. 30 ust. 9 pkt 1 ustawy z dnia 6 grudnia 2008 r. o</w:t>
      </w:r>
      <w:r w:rsidR="00AA38D1">
        <w:rPr>
          <w:rFonts w:ascii="Times New Roman" w:eastAsia="Times New Roman" w:hAnsi="Times New Roman" w:cs="Times New Roman"/>
          <w:sz w:val="24"/>
          <w:szCs w:val="24"/>
        </w:rPr>
        <w:t> </w:t>
      </w:r>
      <w:r w:rsidRPr="00AA38D1">
        <w:rPr>
          <w:rFonts w:ascii="Times New Roman" w:eastAsia="Times New Roman" w:hAnsi="Times New Roman" w:cs="Times New Roman"/>
          <w:sz w:val="24"/>
          <w:szCs w:val="24"/>
        </w:rPr>
        <w:t>podatku akcyzowym</w:t>
      </w:r>
      <w:r w:rsidR="00E56DB7" w:rsidRPr="00AA38D1">
        <w:rPr>
          <w:rFonts w:ascii="Times New Roman" w:eastAsia="Times New Roman" w:hAnsi="Times New Roman" w:cs="Times New Roman"/>
          <w:sz w:val="24"/>
          <w:szCs w:val="24"/>
        </w:rPr>
        <w:t xml:space="preserve"> (Dz. U. </w:t>
      </w:r>
      <w:r w:rsidR="006E4972">
        <w:rPr>
          <w:rFonts w:ascii="Times New Roman" w:eastAsia="Times New Roman" w:hAnsi="Times New Roman" w:cs="Times New Roman"/>
          <w:sz w:val="24"/>
          <w:szCs w:val="24"/>
        </w:rPr>
        <w:t xml:space="preserve">z </w:t>
      </w:r>
      <w:r w:rsidR="00E56DB7" w:rsidRPr="00AA38D1">
        <w:rPr>
          <w:rFonts w:ascii="Times New Roman" w:eastAsia="Times New Roman" w:hAnsi="Times New Roman" w:cs="Times New Roman"/>
          <w:sz w:val="24"/>
          <w:szCs w:val="24"/>
        </w:rPr>
        <w:t>201</w:t>
      </w:r>
      <w:r w:rsidR="00F9421E" w:rsidRPr="00AA38D1">
        <w:rPr>
          <w:rFonts w:ascii="Times New Roman" w:eastAsia="Times New Roman" w:hAnsi="Times New Roman" w:cs="Times New Roman"/>
          <w:sz w:val="24"/>
          <w:szCs w:val="24"/>
        </w:rPr>
        <w:t>7</w:t>
      </w:r>
      <w:r w:rsidR="006E4972">
        <w:rPr>
          <w:rFonts w:ascii="Times New Roman" w:eastAsia="Times New Roman" w:hAnsi="Times New Roman" w:cs="Times New Roman"/>
          <w:sz w:val="24"/>
          <w:szCs w:val="24"/>
        </w:rPr>
        <w:t xml:space="preserve"> r.</w:t>
      </w:r>
      <w:r w:rsidR="00E56DB7" w:rsidRPr="00AA38D1">
        <w:rPr>
          <w:rFonts w:ascii="Times New Roman" w:eastAsia="Times New Roman" w:hAnsi="Times New Roman" w:cs="Times New Roman"/>
          <w:sz w:val="24"/>
          <w:szCs w:val="24"/>
        </w:rPr>
        <w:t xml:space="preserve"> poz. </w:t>
      </w:r>
      <w:r w:rsidR="00F9421E" w:rsidRPr="00AA38D1">
        <w:rPr>
          <w:rFonts w:ascii="Times New Roman" w:eastAsia="Times New Roman" w:hAnsi="Times New Roman" w:cs="Times New Roman"/>
          <w:sz w:val="24"/>
          <w:szCs w:val="24"/>
        </w:rPr>
        <w:t>43</w:t>
      </w:r>
      <w:r w:rsidR="004E16CB">
        <w:rPr>
          <w:rFonts w:ascii="Times New Roman" w:eastAsia="Times New Roman" w:hAnsi="Times New Roman" w:cs="Times New Roman"/>
          <w:sz w:val="24"/>
          <w:szCs w:val="24"/>
        </w:rPr>
        <w:t>, z późn.</w:t>
      </w:r>
      <w:r w:rsidR="00CF2135">
        <w:rPr>
          <w:rFonts w:ascii="Times New Roman" w:eastAsia="Times New Roman" w:hAnsi="Times New Roman" w:cs="Times New Roman"/>
          <w:sz w:val="24"/>
          <w:szCs w:val="24"/>
        </w:rPr>
        <w:t xml:space="preserve"> </w:t>
      </w:r>
      <w:r w:rsidR="004E16CB">
        <w:rPr>
          <w:rFonts w:ascii="Times New Roman" w:eastAsia="Times New Roman" w:hAnsi="Times New Roman" w:cs="Times New Roman"/>
          <w:sz w:val="24"/>
          <w:szCs w:val="24"/>
        </w:rPr>
        <w:t>zm.</w:t>
      </w:r>
      <w:r w:rsidR="00E56DB7" w:rsidRPr="00AA38D1">
        <w:rPr>
          <w:rFonts w:ascii="Times New Roman" w:eastAsia="Times New Roman" w:hAnsi="Times New Roman" w:cs="Times New Roman"/>
          <w:sz w:val="24"/>
          <w:szCs w:val="24"/>
        </w:rPr>
        <w:t>)</w:t>
      </w:r>
      <w:r w:rsidRPr="00AA38D1">
        <w:rPr>
          <w:rFonts w:ascii="Times New Roman" w:eastAsia="Times New Roman" w:hAnsi="Times New Roman" w:cs="Times New Roman"/>
          <w:sz w:val="24"/>
          <w:szCs w:val="24"/>
        </w:rPr>
        <w:t>.</w:t>
      </w:r>
    </w:p>
    <w:p w:rsidR="00602D67" w:rsidRPr="00AA38D1" w:rsidRDefault="00602D67" w:rsidP="00AA38D1">
      <w:pPr>
        <w:widowControl w:val="0"/>
        <w:tabs>
          <w:tab w:val="right" w:pos="284"/>
          <w:tab w:val="left" w:pos="408"/>
        </w:tabs>
        <w:spacing w:before="120" w:after="0" w:line="360" w:lineRule="auto"/>
        <w:ind w:left="284"/>
        <w:jc w:val="both"/>
        <w:rPr>
          <w:rFonts w:ascii="Times New Roman" w:eastAsia="Times New Roman" w:hAnsi="Times New Roman" w:cs="Times New Roman"/>
          <w:sz w:val="24"/>
          <w:szCs w:val="24"/>
        </w:rPr>
      </w:pPr>
      <w:r w:rsidRPr="00AA38D1">
        <w:rPr>
          <w:rFonts w:ascii="Times New Roman" w:eastAsia="Times New Roman" w:hAnsi="Times New Roman" w:cs="Times New Roman"/>
          <w:sz w:val="24"/>
          <w:szCs w:val="24"/>
        </w:rPr>
        <w:t xml:space="preserve">Dla stosowania zwolnienia określonego w art. 30 ust. 9 pkt 1 ustawy o podatku akcyzowym istotne jest, aby alkohol został skażony w danym państwie członkowskim </w:t>
      </w:r>
      <w:r w:rsidR="001872D9" w:rsidRPr="00AA38D1">
        <w:rPr>
          <w:rFonts w:ascii="Times New Roman" w:eastAsia="Times New Roman" w:hAnsi="Times New Roman" w:cs="Times New Roman"/>
          <w:sz w:val="24"/>
          <w:szCs w:val="24"/>
        </w:rPr>
        <w:t>środkiem skażającym</w:t>
      </w:r>
      <w:r w:rsidRPr="00AA38D1">
        <w:rPr>
          <w:rFonts w:ascii="Times New Roman" w:eastAsia="Times New Roman" w:hAnsi="Times New Roman" w:cs="Times New Roman"/>
          <w:sz w:val="24"/>
          <w:szCs w:val="24"/>
        </w:rPr>
        <w:t xml:space="preserve"> skażania </w:t>
      </w:r>
      <w:r w:rsidR="00A375DC" w:rsidRPr="00AA38D1">
        <w:rPr>
          <w:rFonts w:ascii="Times New Roman" w:eastAsia="Times New Roman" w:hAnsi="Times New Roman" w:cs="Times New Roman"/>
          <w:sz w:val="24"/>
          <w:szCs w:val="24"/>
        </w:rPr>
        <w:t>dopuszczon</w:t>
      </w:r>
      <w:r w:rsidR="001872D9" w:rsidRPr="00AA38D1">
        <w:rPr>
          <w:rFonts w:ascii="Times New Roman" w:eastAsia="Times New Roman" w:hAnsi="Times New Roman" w:cs="Times New Roman"/>
          <w:sz w:val="24"/>
          <w:szCs w:val="24"/>
        </w:rPr>
        <w:t>ym</w:t>
      </w:r>
      <w:r w:rsidRPr="00AA38D1">
        <w:rPr>
          <w:rFonts w:ascii="Times New Roman" w:eastAsia="Times New Roman" w:hAnsi="Times New Roman" w:cs="Times New Roman"/>
          <w:sz w:val="24"/>
          <w:szCs w:val="24"/>
        </w:rPr>
        <w:t xml:space="preserve"> we wszystkich państwach członkowskich Unii Europejskiej </w:t>
      </w:r>
      <w:r w:rsidR="001872D9" w:rsidRPr="00AA38D1">
        <w:rPr>
          <w:rFonts w:ascii="Times New Roman" w:eastAsia="Times New Roman" w:hAnsi="Times New Roman" w:cs="Times New Roman"/>
          <w:sz w:val="24"/>
          <w:szCs w:val="24"/>
        </w:rPr>
        <w:t>(według rozporządzenia (WE) nr</w:t>
      </w:r>
      <w:r w:rsidR="00AA38D1">
        <w:rPr>
          <w:rFonts w:ascii="Times New Roman" w:eastAsia="Times New Roman" w:hAnsi="Times New Roman" w:cs="Times New Roman"/>
          <w:sz w:val="24"/>
          <w:szCs w:val="24"/>
        </w:rPr>
        <w:t> </w:t>
      </w:r>
      <w:r w:rsidR="001872D9" w:rsidRPr="00AA38D1">
        <w:rPr>
          <w:rFonts w:ascii="Times New Roman" w:eastAsia="Times New Roman" w:hAnsi="Times New Roman" w:cs="Times New Roman"/>
          <w:spacing w:val="-3"/>
          <w:sz w:val="24"/>
          <w:szCs w:val="24"/>
        </w:rPr>
        <w:t>3199/93 procedura całkowitego skażenia alkoholu etylowego)</w:t>
      </w:r>
      <w:r w:rsidR="001872D9" w:rsidRPr="00AA38D1">
        <w:rPr>
          <w:rFonts w:ascii="Times New Roman" w:eastAsia="Times New Roman" w:hAnsi="Times New Roman" w:cs="Times New Roman"/>
          <w:sz w:val="24"/>
          <w:szCs w:val="24"/>
        </w:rPr>
        <w:t xml:space="preserve"> </w:t>
      </w:r>
      <w:r w:rsidRPr="00AA38D1">
        <w:rPr>
          <w:rFonts w:ascii="Times New Roman" w:eastAsia="Times New Roman" w:hAnsi="Times New Roman" w:cs="Times New Roman"/>
          <w:sz w:val="24"/>
          <w:szCs w:val="24"/>
        </w:rPr>
        <w:t xml:space="preserve">lub dodatkowymi </w:t>
      </w:r>
      <w:r w:rsidR="001872D9" w:rsidRPr="00AA38D1">
        <w:rPr>
          <w:rFonts w:ascii="Times New Roman" w:eastAsia="Times New Roman" w:hAnsi="Times New Roman" w:cs="Times New Roman"/>
          <w:sz w:val="24"/>
          <w:szCs w:val="24"/>
        </w:rPr>
        <w:t>środkami skażającymi dopuszczonymi przez państwo członkowskie</w:t>
      </w:r>
      <w:r w:rsidR="001872D9" w:rsidRPr="00AA38D1">
        <w:rPr>
          <w:sz w:val="24"/>
          <w:szCs w:val="24"/>
        </w:rPr>
        <w:t xml:space="preserve"> </w:t>
      </w:r>
      <w:r w:rsidR="001872D9" w:rsidRPr="00AA38D1">
        <w:rPr>
          <w:rFonts w:ascii="Times New Roman" w:eastAsia="Times New Roman" w:hAnsi="Times New Roman" w:cs="Times New Roman"/>
          <w:sz w:val="24"/>
          <w:szCs w:val="24"/>
        </w:rPr>
        <w:t xml:space="preserve">Unii Europejskiej (według rozporządzenia (WE) nr </w:t>
      </w:r>
      <w:r w:rsidR="001872D9" w:rsidRPr="00AA38D1">
        <w:rPr>
          <w:rFonts w:ascii="Times New Roman" w:eastAsia="Times New Roman" w:hAnsi="Times New Roman" w:cs="Times New Roman"/>
          <w:spacing w:val="-3"/>
          <w:sz w:val="24"/>
          <w:szCs w:val="24"/>
        </w:rPr>
        <w:t xml:space="preserve">3199/93 </w:t>
      </w:r>
      <w:r w:rsidRPr="00AA38D1">
        <w:rPr>
          <w:rFonts w:ascii="Times New Roman" w:eastAsia="Times New Roman" w:hAnsi="Times New Roman" w:cs="Times New Roman"/>
          <w:sz w:val="24"/>
          <w:szCs w:val="24"/>
        </w:rPr>
        <w:t>procedurami skażania dopuszczonymi przez państwo członkow</w:t>
      </w:r>
      <w:r w:rsidR="009D1F5D" w:rsidRPr="00AA38D1">
        <w:rPr>
          <w:rFonts w:ascii="Times New Roman" w:eastAsia="Times New Roman" w:hAnsi="Times New Roman" w:cs="Times New Roman"/>
          <w:sz w:val="24"/>
          <w:szCs w:val="24"/>
        </w:rPr>
        <w:t>sk</w:t>
      </w:r>
      <w:r w:rsidRPr="00AA38D1">
        <w:rPr>
          <w:rFonts w:ascii="Times New Roman" w:eastAsia="Times New Roman" w:hAnsi="Times New Roman" w:cs="Times New Roman"/>
          <w:sz w:val="24"/>
          <w:szCs w:val="24"/>
        </w:rPr>
        <w:t>ie</w:t>
      </w:r>
      <w:r w:rsidR="00A375DC" w:rsidRPr="00AA38D1">
        <w:rPr>
          <w:sz w:val="24"/>
          <w:szCs w:val="24"/>
        </w:rPr>
        <w:t xml:space="preserve"> </w:t>
      </w:r>
      <w:r w:rsidR="00A375DC" w:rsidRPr="00AA38D1">
        <w:rPr>
          <w:rFonts w:ascii="Times New Roman" w:eastAsia="Times New Roman" w:hAnsi="Times New Roman" w:cs="Times New Roman"/>
          <w:sz w:val="24"/>
          <w:szCs w:val="24"/>
        </w:rPr>
        <w:t>Unii Europejskiej</w:t>
      </w:r>
      <w:r w:rsidR="001872D9" w:rsidRPr="00AA38D1">
        <w:rPr>
          <w:rFonts w:ascii="Times New Roman" w:eastAsia="Times New Roman" w:hAnsi="Times New Roman" w:cs="Times New Roman"/>
          <w:sz w:val="24"/>
          <w:szCs w:val="24"/>
        </w:rPr>
        <w:t>)</w:t>
      </w:r>
      <w:r w:rsidRPr="00AA38D1">
        <w:rPr>
          <w:rFonts w:ascii="Times New Roman" w:eastAsia="Times New Roman" w:hAnsi="Times New Roman" w:cs="Times New Roman"/>
          <w:sz w:val="24"/>
          <w:szCs w:val="24"/>
        </w:rPr>
        <w:t>, w którym skażenie następuje.</w:t>
      </w:r>
    </w:p>
    <w:p w:rsidR="00F442A1" w:rsidRPr="00AA38D1" w:rsidRDefault="00BE3638" w:rsidP="00AA38D1">
      <w:pPr>
        <w:widowControl w:val="0"/>
        <w:tabs>
          <w:tab w:val="right" w:pos="284"/>
          <w:tab w:val="left" w:pos="408"/>
        </w:tabs>
        <w:spacing w:before="120" w:after="0" w:line="360" w:lineRule="auto"/>
        <w:ind w:left="284"/>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z w:val="24"/>
          <w:szCs w:val="24"/>
        </w:rPr>
        <w:t xml:space="preserve">Od dnia 1 marca 2009 r. </w:t>
      </w:r>
      <w:r w:rsidR="00E56DB7" w:rsidRPr="00AA38D1">
        <w:rPr>
          <w:rFonts w:ascii="Times New Roman" w:eastAsia="Times New Roman" w:hAnsi="Times New Roman" w:cs="Times New Roman"/>
          <w:sz w:val="24"/>
          <w:szCs w:val="24"/>
        </w:rPr>
        <w:t xml:space="preserve">obowiązujący </w:t>
      </w:r>
      <w:r w:rsidRPr="00AA38D1">
        <w:rPr>
          <w:rFonts w:ascii="Times New Roman" w:eastAsia="Times New Roman" w:hAnsi="Times New Roman" w:cs="Times New Roman"/>
          <w:sz w:val="24"/>
          <w:szCs w:val="24"/>
        </w:rPr>
        <w:t>art. 30 ust. 9 pkt 1</w:t>
      </w:r>
      <w:r w:rsidR="00E56DB7" w:rsidRPr="00AA38D1">
        <w:rPr>
          <w:rFonts w:ascii="Times New Roman" w:eastAsia="Times New Roman" w:hAnsi="Times New Roman" w:cs="Times New Roman"/>
          <w:i/>
          <w:sz w:val="24"/>
          <w:szCs w:val="24"/>
        </w:rPr>
        <w:t xml:space="preserve"> </w:t>
      </w:r>
      <w:r w:rsidR="00E56DB7" w:rsidRPr="00AA38D1">
        <w:rPr>
          <w:rFonts w:ascii="Times New Roman" w:eastAsia="Times New Roman" w:hAnsi="Times New Roman" w:cs="Times New Roman"/>
          <w:iCs/>
          <w:sz w:val="24"/>
          <w:szCs w:val="24"/>
        </w:rPr>
        <w:t>ustawy o podatku akcyzowym</w:t>
      </w:r>
      <w:r w:rsidRPr="00AA38D1">
        <w:rPr>
          <w:rFonts w:ascii="Times New Roman" w:eastAsia="Times New Roman" w:hAnsi="Times New Roman" w:cs="Times New Roman"/>
          <w:iCs/>
          <w:sz w:val="24"/>
          <w:szCs w:val="24"/>
        </w:rPr>
        <w:t xml:space="preserve"> </w:t>
      </w:r>
      <w:r w:rsidRPr="00AA38D1">
        <w:rPr>
          <w:rFonts w:ascii="Times New Roman" w:eastAsia="Times New Roman" w:hAnsi="Times New Roman" w:cs="Times New Roman"/>
          <w:sz w:val="24"/>
          <w:szCs w:val="24"/>
        </w:rPr>
        <w:t xml:space="preserve">stanowi, iż zwalnia się od akcyzy alkohol etylowy całkowicie skażony, importowany, nabywany wewnątrzwspólnotowo albo produkowany na terytorium kraju, wskazanymi przez dowolne państwo członkowskie Unii Europejskiej środkami dopuszczonymi do skażania alkoholu etylowego na podstawie </w:t>
      </w:r>
      <w:r w:rsidRPr="00AA38D1">
        <w:rPr>
          <w:rFonts w:ascii="Times New Roman" w:eastAsia="Times New Roman" w:hAnsi="Times New Roman" w:cs="Times New Roman"/>
          <w:spacing w:val="-1"/>
          <w:sz w:val="24"/>
          <w:szCs w:val="24"/>
        </w:rPr>
        <w:t xml:space="preserve">rozporządzenia Komisji (WE) nr 3199/93 z dnia 22 listopada 1993 r. w sprawie wzajemnego </w:t>
      </w:r>
      <w:r w:rsidRPr="00AA38D1">
        <w:rPr>
          <w:rFonts w:ascii="Times New Roman" w:eastAsia="Times New Roman" w:hAnsi="Times New Roman" w:cs="Times New Roman"/>
          <w:sz w:val="24"/>
          <w:szCs w:val="24"/>
        </w:rPr>
        <w:t xml:space="preserve">uznawania procedur całkowitego skażenia alkoholu etylowego do celów zwolnienia z podatku </w:t>
      </w:r>
      <w:r w:rsidRPr="00AA38D1">
        <w:rPr>
          <w:rFonts w:ascii="Times New Roman" w:eastAsia="Times New Roman" w:hAnsi="Times New Roman" w:cs="Times New Roman"/>
          <w:spacing w:val="-3"/>
          <w:sz w:val="24"/>
          <w:szCs w:val="24"/>
        </w:rPr>
        <w:t xml:space="preserve">akcyzowego, w tym zawarty w wyrobach nieprzeznaczonych do spożycia przez ludzi. </w:t>
      </w:r>
    </w:p>
    <w:p w:rsidR="00F442A1" w:rsidRPr="00AA38D1" w:rsidRDefault="00BE3638" w:rsidP="00AA38D1">
      <w:pPr>
        <w:widowControl w:val="0"/>
        <w:spacing w:before="120" w:after="0" w:line="360" w:lineRule="auto"/>
        <w:ind w:left="284"/>
        <w:jc w:val="both"/>
        <w:rPr>
          <w:rFonts w:ascii="Times New Roman" w:eastAsia="Times New Roman" w:hAnsi="Times New Roman" w:cs="Times New Roman"/>
          <w:sz w:val="24"/>
          <w:szCs w:val="24"/>
        </w:rPr>
      </w:pPr>
      <w:r w:rsidRPr="00AA38D1">
        <w:rPr>
          <w:rFonts w:ascii="Times New Roman" w:eastAsia="Times New Roman" w:hAnsi="Times New Roman" w:cs="Times New Roman"/>
          <w:spacing w:val="-3"/>
          <w:sz w:val="24"/>
          <w:szCs w:val="24"/>
        </w:rPr>
        <w:t>Brzmienie tego przepisu</w:t>
      </w:r>
      <w:r w:rsidRPr="00AA38D1">
        <w:rPr>
          <w:rFonts w:ascii="Times New Roman" w:eastAsia="Times New Roman" w:hAnsi="Times New Roman" w:cs="Times New Roman"/>
          <w:sz w:val="24"/>
          <w:szCs w:val="24"/>
        </w:rPr>
        <w:t xml:space="preserve">, z uwagi na określenie </w:t>
      </w:r>
      <w:r w:rsidR="006E4972">
        <w:rPr>
          <w:rFonts w:ascii="Times New Roman" w:eastAsia="Times New Roman" w:hAnsi="Times New Roman" w:cs="Times New Roman"/>
          <w:sz w:val="24"/>
          <w:szCs w:val="24"/>
        </w:rPr>
        <w:t>„</w:t>
      </w:r>
      <w:r w:rsidRPr="00AA38D1">
        <w:rPr>
          <w:rFonts w:ascii="Times New Roman" w:eastAsia="Times New Roman" w:hAnsi="Times New Roman" w:cs="Times New Roman"/>
          <w:sz w:val="24"/>
          <w:szCs w:val="24"/>
        </w:rPr>
        <w:t>dowolne</w:t>
      </w:r>
      <w:r w:rsidR="006E4972">
        <w:rPr>
          <w:rFonts w:ascii="Times New Roman" w:eastAsia="Times New Roman" w:hAnsi="Times New Roman" w:cs="Times New Roman"/>
          <w:sz w:val="24"/>
          <w:szCs w:val="24"/>
        </w:rPr>
        <w:t>”,</w:t>
      </w:r>
      <w:r w:rsidRPr="00AA38D1">
        <w:rPr>
          <w:rFonts w:ascii="Times New Roman" w:eastAsia="Times New Roman" w:hAnsi="Times New Roman" w:cs="Times New Roman"/>
          <w:sz w:val="24"/>
          <w:szCs w:val="24"/>
        </w:rPr>
        <w:t xml:space="preserve"> interpretowane jest</w:t>
      </w:r>
      <w:r w:rsidR="001509B8" w:rsidRPr="00AA38D1">
        <w:rPr>
          <w:rFonts w:ascii="Times New Roman" w:eastAsia="Times New Roman" w:hAnsi="Times New Roman" w:cs="Times New Roman"/>
          <w:sz w:val="24"/>
          <w:szCs w:val="24"/>
        </w:rPr>
        <w:t xml:space="preserve"> przez sądy administracyjne</w:t>
      </w:r>
      <w:r w:rsidRPr="00AA38D1">
        <w:rPr>
          <w:rFonts w:ascii="Times New Roman" w:eastAsia="Times New Roman" w:hAnsi="Times New Roman" w:cs="Times New Roman"/>
          <w:sz w:val="24"/>
          <w:szCs w:val="24"/>
        </w:rPr>
        <w:t xml:space="preserve">, wbrew stanowisku Komisji Europejskiej w tym zakresie, w ten sposób, że na terytorium kraju istnieje możliwość skażania alkoholu etylowego </w:t>
      </w:r>
      <w:r w:rsidR="001872D9" w:rsidRPr="00AA38D1">
        <w:rPr>
          <w:rFonts w:ascii="Times New Roman" w:eastAsia="Times New Roman" w:hAnsi="Times New Roman" w:cs="Times New Roman"/>
          <w:sz w:val="24"/>
          <w:szCs w:val="24"/>
        </w:rPr>
        <w:t xml:space="preserve">środkami </w:t>
      </w:r>
      <w:r w:rsidR="001509B8" w:rsidRPr="00AA38D1">
        <w:rPr>
          <w:rFonts w:ascii="Times New Roman" w:eastAsia="Times New Roman" w:hAnsi="Times New Roman" w:cs="Times New Roman"/>
          <w:sz w:val="24"/>
          <w:szCs w:val="24"/>
        </w:rPr>
        <w:t xml:space="preserve">dopuszczonymi </w:t>
      </w:r>
      <w:r w:rsidRPr="00AA38D1">
        <w:rPr>
          <w:rFonts w:ascii="Times New Roman" w:eastAsia="Times New Roman" w:hAnsi="Times New Roman" w:cs="Times New Roman"/>
          <w:sz w:val="24"/>
          <w:szCs w:val="24"/>
        </w:rPr>
        <w:t xml:space="preserve">dla całkowitego skażania alkoholu etylowego przez inne państwa członkowskie UE </w:t>
      </w:r>
      <w:r w:rsidR="005C723D" w:rsidRPr="00AA38D1">
        <w:rPr>
          <w:rFonts w:ascii="Times New Roman" w:eastAsia="Times New Roman" w:hAnsi="Times New Roman" w:cs="Times New Roman"/>
          <w:sz w:val="24"/>
          <w:szCs w:val="24"/>
        </w:rPr>
        <w:t xml:space="preserve">i </w:t>
      </w:r>
      <w:r w:rsidRPr="00AA38D1">
        <w:rPr>
          <w:rFonts w:ascii="Times New Roman" w:eastAsia="Times New Roman" w:hAnsi="Times New Roman" w:cs="Times New Roman"/>
          <w:sz w:val="24"/>
          <w:szCs w:val="24"/>
        </w:rPr>
        <w:t xml:space="preserve">korzystania ze zwolnienia określonego </w:t>
      </w:r>
      <w:r w:rsidR="006E4972">
        <w:rPr>
          <w:rFonts w:ascii="Times New Roman" w:eastAsia="Times New Roman" w:hAnsi="Times New Roman" w:cs="Times New Roman"/>
          <w:sz w:val="24"/>
          <w:szCs w:val="24"/>
        </w:rPr>
        <w:t xml:space="preserve">w </w:t>
      </w:r>
      <w:r w:rsidRPr="00AA38D1">
        <w:rPr>
          <w:rFonts w:ascii="Times New Roman" w:eastAsia="Times New Roman" w:hAnsi="Times New Roman" w:cs="Times New Roman"/>
          <w:sz w:val="24"/>
          <w:szCs w:val="24"/>
        </w:rPr>
        <w:t>art. 30 ust. 9 pkt</w:t>
      </w:r>
      <w:r w:rsidR="00AA38D1">
        <w:rPr>
          <w:rFonts w:ascii="Times New Roman" w:eastAsia="Times New Roman" w:hAnsi="Times New Roman" w:cs="Times New Roman"/>
          <w:sz w:val="24"/>
          <w:szCs w:val="24"/>
        </w:rPr>
        <w:t> </w:t>
      </w:r>
      <w:r w:rsidRPr="00AA38D1">
        <w:rPr>
          <w:rFonts w:ascii="Times New Roman" w:eastAsia="Times New Roman" w:hAnsi="Times New Roman" w:cs="Times New Roman"/>
          <w:sz w:val="24"/>
          <w:szCs w:val="24"/>
        </w:rPr>
        <w:t>1 ustawy o podatku akcyzowym.</w:t>
      </w:r>
    </w:p>
    <w:p w:rsidR="00F442A1" w:rsidRPr="00AA38D1" w:rsidRDefault="00BE3638" w:rsidP="00AA38D1">
      <w:pPr>
        <w:widowControl w:val="0"/>
        <w:spacing w:before="120" w:after="0" w:line="360" w:lineRule="auto"/>
        <w:ind w:left="284"/>
        <w:jc w:val="both"/>
        <w:rPr>
          <w:rFonts w:ascii="Times New Roman" w:eastAsia="Times New Roman" w:hAnsi="Times New Roman" w:cs="Times New Roman"/>
          <w:sz w:val="24"/>
          <w:szCs w:val="24"/>
        </w:rPr>
      </w:pPr>
      <w:r w:rsidRPr="00AA38D1">
        <w:rPr>
          <w:rFonts w:ascii="Times New Roman" w:eastAsia="Times New Roman" w:hAnsi="Times New Roman" w:cs="Times New Roman"/>
          <w:spacing w:val="-3"/>
          <w:sz w:val="24"/>
          <w:szCs w:val="24"/>
        </w:rPr>
        <w:t xml:space="preserve">Interpretację taką prezentuje </w:t>
      </w:r>
      <w:r w:rsidR="003C71ED" w:rsidRPr="00AA38D1">
        <w:rPr>
          <w:rFonts w:ascii="Times New Roman" w:eastAsia="Times New Roman" w:hAnsi="Times New Roman" w:cs="Times New Roman"/>
          <w:spacing w:val="-3"/>
          <w:sz w:val="24"/>
          <w:szCs w:val="24"/>
        </w:rPr>
        <w:t xml:space="preserve">obecnie </w:t>
      </w:r>
      <w:r w:rsidRPr="00AA38D1">
        <w:rPr>
          <w:rFonts w:ascii="Times New Roman" w:eastAsia="Times New Roman" w:hAnsi="Times New Roman" w:cs="Times New Roman"/>
          <w:sz w:val="24"/>
          <w:szCs w:val="24"/>
        </w:rPr>
        <w:t>Naczelny Sąd Administracyjny w wyrokach o</w:t>
      </w:r>
      <w:r w:rsidR="00AA38D1">
        <w:rPr>
          <w:rFonts w:ascii="Times New Roman" w:eastAsia="Times New Roman" w:hAnsi="Times New Roman" w:cs="Times New Roman"/>
          <w:sz w:val="24"/>
          <w:szCs w:val="24"/>
        </w:rPr>
        <w:t> </w:t>
      </w:r>
      <w:r w:rsidRPr="00AA38D1">
        <w:rPr>
          <w:rFonts w:ascii="Times New Roman" w:eastAsia="Times New Roman" w:hAnsi="Times New Roman" w:cs="Times New Roman"/>
          <w:sz w:val="24"/>
          <w:szCs w:val="24"/>
        </w:rPr>
        <w:t>sygn. akt I GSK 1708/14 i I GSK 1711/14.</w:t>
      </w:r>
    </w:p>
    <w:p w:rsidR="00BE01B6" w:rsidRPr="00AA38D1" w:rsidRDefault="00BE3638" w:rsidP="00AA38D1">
      <w:pPr>
        <w:spacing w:before="120" w:after="0" w:line="360" w:lineRule="auto"/>
        <w:ind w:left="284"/>
        <w:jc w:val="both"/>
        <w:rPr>
          <w:rFonts w:ascii="Times New Roman" w:eastAsia="Cambria" w:hAnsi="Times New Roman" w:cs="Times New Roman"/>
          <w:i/>
          <w:iCs/>
          <w:sz w:val="24"/>
          <w:szCs w:val="24"/>
          <w:lang w:eastAsia="en-US"/>
        </w:rPr>
      </w:pPr>
      <w:r w:rsidRPr="00AA38D1">
        <w:rPr>
          <w:rFonts w:ascii="Times New Roman" w:eastAsia="Times New Roman" w:hAnsi="Times New Roman" w:cs="Times New Roman"/>
          <w:sz w:val="24"/>
          <w:szCs w:val="24"/>
        </w:rPr>
        <w:lastRenderedPageBreak/>
        <w:t xml:space="preserve">Takie stanowisko Sądu </w:t>
      </w:r>
      <w:r w:rsidR="005E1544" w:rsidRPr="00AA38D1">
        <w:rPr>
          <w:rFonts w:ascii="Times New Roman" w:eastAsia="Times New Roman" w:hAnsi="Times New Roman" w:cs="Times New Roman"/>
          <w:sz w:val="24"/>
          <w:szCs w:val="24"/>
        </w:rPr>
        <w:t xml:space="preserve">nie </w:t>
      </w:r>
      <w:r w:rsidR="003D5918" w:rsidRPr="00AA38D1">
        <w:rPr>
          <w:rFonts w:ascii="Times New Roman" w:eastAsia="Times New Roman" w:hAnsi="Times New Roman" w:cs="Times New Roman"/>
          <w:sz w:val="24"/>
          <w:szCs w:val="24"/>
        </w:rPr>
        <w:t>znajduje oparcia w</w:t>
      </w:r>
      <w:r w:rsidR="005E1544" w:rsidRPr="00AA38D1">
        <w:rPr>
          <w:rFonts w:ascii="Times New Roman" w:eastAsia="Times New Roman" w:hAnsi="Times New Roman" w:cs="Times New Roman"/>
          <w:sz w:val="24"/>
          <w:szCs w:val="24"/>
        </w:rPr>
        <w:t xml:space="preserve"> rozporządzeni</w:t>
      </w:r>
      <w:r w:rsidR="003D5918" w:rsidRPr="00AA38D1">
        <w:rPr>
          <w:rFonts w:ascii="Times New Roman" w:eastAsia="Times New Roman" w:hAnsi="Times New Roman" w:cs="Times New Roman"/>
          <w:sz w:val="24"/>
          <w:szCs w:val="24"/>
        </w:rPr>
        <w:t>u</w:t>
      </w:r>
      <w:r w:rsidR="005E1544" w:rsidRPr="00AA38D1">
        <w:rPr>
          <w:rFonts w:ascii="Times New Roman" w:eastAsia="Times New Roman" w:hAnsi="Times New Roman" w:cs="Times New Roman"/>
          <w:sz w:val="24"/>
          <w:szCs w:val="24"/>
        </w:rPr>
        <w:t xml:space="preserve"> wykonawczym </w:t>
      </w:r>
      <w:r w:rsidR="005E1544" w:rsidRPr="00AA38D1">
        <w:rPr>
          <w:rFonts w:ascii="Times New Roman" w:eastAsiaTheme="minorHAnsi" w:hAnsi="Times New Roman" w:cs="Times New Roman"/>
          <w:sz w:val="24"/>
          <w:szCs w:val="24"/>
          <w:lang w:eastAsia="en-US"/>
        </w:rPr>
        <w:t xml:space="preserve">Komisji nr 162/2013 </w:t>
      </w:r>
      <w:r w:rsidR="00E56DB7" w:rsidRPr="00AA38D1">
        <w:rPr>
          <w:rFonts w:ascii="Times New Roman" w:eastAsia="Cambria" w:hAnsi="Times New Roman" w:cs="Times New Roman"/>
          <w:sz w:val="24"/>
          <w:szCs w:val="24"/>
          <w:lang w:eastAsia="en-US"/>
        </w:rPr>
        <w:t xml:space="preserve">zmieniającym załącznik do rozporządzenia (WE) nr 3199/93 </w:t>
      </w:r>
      <w:r w:rsidR="00E56DB7" w:rsidRPr="00AA38D1">
        <w:rPr>
          <w:rFonts w:ascii="Times New Roman" w:eastAsia="Cambria" w:hAnsi="Times New Roman" w:cs="Times New Roman"/>
          <w:iCs/>
          <w:sz w:val="24"/>
          <w:szCs w:val="24"/>
          <w:lang w:eastAsia="en-US"/>
        </w:rPr>
        <w:t>w</w:t>
      </w:r>
      <w:r w:rsidR="00AA38D1">
        <w:rPr>
          <w:rFonts w:ascii="Times New Roman" w:eastAsia="Cambria" w:hAnsi="Times New Roman" w:cs="Times New Roman"/>
          <w:iCs/>
          <w:sz w:val="24"/>
          <w:szCs w:val="24"/>
          <w:lang w:eastAsia="en-US"/>
        </w:rPr>
        <w:t> </w:t>
      </w:r>
      <w:r w:rsidR="00E56DB7" w:rsidRPr="00AA38D1">
        <w:rPr>
          <w:rFonts w:ascii="Times New Roman" w:eastAsia="Cambria" w:hAnsi="Times New Roman" w:cs="Times New Roman"/>
          <w:iCs/>
          <w:sz w:val="24"/>
          <w:szCs w:val="24"/>
          <w:lang w:eastAsia="en-US"/>
        </w:rPr>
        <w:t xml:space="preserve">sprawie wzajemnego uznawania procedur całkowitego skażenia alkoholu etylowego do celów zwolnienia z podatku akcyzowego </w:t>
      </w:r>
      <w:r w:rsidR="005E1544" w:rsidRPr="00AA38D1">
        <w:rPr>
          <w:rFonts w:ascii="Times New Roman" w:eastAsiaTheme="minorHAnsi" w:hAnsi="Times New Roman" w:cs="Times New Roman"/>
          <w:sz w:val="24"/>
          <w:szCs w:val="24"/>
          <w:lang w:eastAsia="en-US"/>
        </w:rPr>
        <w:t xml:space="preserve">oraz </w:t>
      </w:r>
      <w:r w:rsidR="005E1544" w:rsidRPr="00AA38D1">
        <w:rPr>
          <w:rFonts w:ascii="Times New Roman" w:eastAsia="Times New Roman" w:hAnsi="Times New Roman" w:cs="Times New Roman"/>
          <w:sz w:val="24"/>
          <w:szCs w:val="24"/>
        </w:rPr>
        <w:t>stanowiskiem Komisji Europejskiej</w:t>
      </w:r>
      <w:r w:rsidR="00EA7310" w:rsidRPr="00AA38D1">
        <w:rPr>
          <w:rFonts w:ascii="Times New Roman" w:eastAsia="Times New Roman" w:hAnsi="Times New Roman" w:cs="Times New Roman"/>
          <w:sz w:val="24"/>
          <w:szCs w:val="24"/>
        </w:rPr>
        <w:t>, niemniej m</w:t>
      </w:r>
      <w:r w:rsidRPr="00AA38D1">
        <w:rPr>
          <w:rFonts w:ascii="Times New Roman" w:eastAsia="Times New Roman" w:hAnsi="Times New Roman" w:cs="Times New Roman"/>
          <w:sz w:val="24"/>
          <w:szCs w:val="24"/>
        </w:rPr>
        <w:t>oże</w:t>
      </w:r>
      <w:r w:rsidR="00BE01B6" w:rsidRPr="00AA38D1">
        <w:rPr>
          <w:rFonts w:ascii="Times New Roman" w:eastAsia="Times New Roman" w:hAnsi="Times New Roman" w:cs="Times New Roman"/>
          <w:sz w:val="24"/>
          <w:szCs w:val="24"/>
        </w:rPr>
        <w:t xml:space="preserve"> </w:t>
      </w:r>
      <w:r w:rsidR="00EA7310" w:rsidRPr="00AA38D1">
        <w:rPr>
          <w:rFonts w:ascii="Times New Roman" w:eastAsia="Times New Roman" w:hAnsi="Times New Roman" w:cs="Times New Roman"/>
          <w:sz w:val="24"/>
          <w:szCs w:val="24"/>
        </w:rPr>
        <w:t>mieć wpływ na to</w:t>
      </w:r>
      <w:r w:rsidRPr="00AA38D1">
        <w:rPr>
          <w:rFonts w:ascii="Times New Roman" w:eastAsia="Times New Roman" w:hAnsi="Times New Roman" w:cs="Times New Roman"/>
          <w:sz w:val="24"/>
          <w:szCs w:val="24"/>
        </w:rPr>
        <w:t xml:space="preserve">, że na terytorium kraju alkohol etylowy skażany będzie </w:t>
      </w:r>
      <w:r w:rsidR="009A5AE0" w:rsidRPr="00AA38D1">
        <w:rPr>
          <w:rFonts w:ascii="Times New Roman" w:eastAsia="Times New Roman" w:hAnsi="Times New Roman" w:cs="Times New Roman"/>
          <w:sz w:val="24"/>
          <w:szCs w:val="24"/>
        </w:rPr>
        <w:t>środkami dopuszczonymi przez Węgry</w:t>
      </w:r>
      <w:r w:rsidR="00DF61DF" w:rsidRPr="00AA38D1">
        <w:rPr>
          <w:rFonts w:ascii="Times New Roman" w:eastAsia="Times New Roman" w:hAnsi="Times New Roman" w:cs="Times New Roman"/>
          <w:sz w:val="24"/>
          <w:szCs w:val="24"/>
        </w:rPr>
        <w:t>, zgodnie z procedurą węgierską lit</w:t>
      </w:r>
      <w:r w:rsidR="006E4972">
        <w:rPr>
          <w:rFonts w:ascii="Times New Roman" w:eastAsia="Times New Roman" w:hAnsi="Times New Roman" w:cs="Times New Roman"/>
          <w:sz w:val="24"/>
          <w:szCs w:val="24"/>
        </w:rPr>
        <w:t>.</w:t>
      </w:r>
      <w:r w:rsidR="00DF61DF" w:rsidRPr="00AA38D1">
        <w:rPr>
          <w:rFonts w:ascii="Times New Roman" w:eastAsia="Times New Roman" w:hAnsi="Times New Roman" w:cs="Times New Roman"/>
          <w:sz w:val="24"/>
          <w:szCs w:val="24"/>
        </w:rPr>
        <w:t xml:space="preserve"> c. </w:t>
      </w:r>
      <w:r w:rsidR="005E1544" w:rsidRPr="00AA38D1">
        <w:rPr>
          <w:rFonts w:ascii="Times New Roman" w:eastAsia="Times New Roman" w:hAnsi="Times New Roman" w:cs="Times New Roman"/>
          <w:sz w:val="24"/>
          <w:szCs w:val="24"/>
        </w:rPr>
        <w:t xml:space="preserve">Tymczasem </w:t>
      </w:r>
      <w:r w:rsidR="009A5AE0" w:rsidRPr="00AA38D1">
        <w:rPr>
          <w:rFonts w:ascii="Times New Roman" w:eastAsia="Times New Roman" w:hAnsi="Times New Roman" w:cs="Times New Roman"/>
          <w:sz w:val="24"/>
          <w:szCs w:val="24"/>
        </w:rPr>
        <w:t xml:space="preserve">środki te </w:t>
      </w:r>
      <w:r w:rsidR="00BE01B6" w:rsidRPr="00AA38D1">
        <w:rPr>
          <w:rFonts w:ascii="Times New Roman" w:eastAsia="Times New Roman" w:hAnsi="Times New Roman" w:cs="Times New Roman"/>
          <w:sz w:val="24"/>
          <w:szCs w:val="24"/>
        </w:rPr>
        <w:t>są stosunkowo łatwe do wytrącenia i nie zapewniają dostatecznego zabezpieczenia skażonego alkoholu etylowego lub wyrobów nieprzeznaczonych do spożycia przez ludzi wyprodukowanych na jego bazie przed odkażaniem.</w:t>
      </w:r>
      <w:r w:rsidR="00AA38D1">
        <w:rPr>
          <w:rFonts w:ascii="Times New Roman" w:eastAsia="Times New Roman" w:hAnsi="Times New Roman" w:cs="Times New Roman"/>
          <w:sz w:val="24"/>
          <w:szCs w:val="24"/>
        </w:rPr>
        <w:t xml:space="preserve"> </w:t>
      </w:r>
    </w:p>
    <w:p w:rsidR="00F442A1" w:rsidRPr="00AA38D1" w:rsidRDefault="003D5918" w:rsidP="00AA38D1">
      <w:pPr>
        <w:widowControl w:val="0"/>
        <w:spacing w:before="120" w:after="0" w:line="360" w:lineRule="auto"/>
        <w:ind w:left="284"/>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pacing w:val="-3"/>
          <w:sz w:val="24"/>
          <w:szCs w:val="24"/>
        </w:rPr>
        <w:t>Projektowana zmiana ma na celu likwidację wątpliwości interpretacyjnych przy korzystaniu ze zwolnienia od akcyzy wbrew celom dyrektywy alkoholowej i</w:t>
      </w:r>
      <w:r w:rsidR="00AA38D1">
        <w:rPr>
          <w:rFonts w:ascii="Times New Roman" w:eastAsia="Times New Roman" w:hAnsi="Times New Roman" w:cs="Times New Roman"/>
          <w:spacing w:val="-3"/>
          <w:sz w:val="24"/>
          <w:szCs w:val="24"/>
        </w:rPr>
        <w:t> </w:t>
      </w:r>
      <w:r w:rsidRPr="00AA38D1">
        <w:rPr>
          <w:rFonts w:ascii="Times New Roman" w:eastAsia="Times New Roman" w:hAnsi="Times New Roman" w:cs="Times New Roman"/>
          <w:spacing w:val="-3"/>
          <w:sz w:val="24"/>
          <w:szCs w:val="24"/>
        </w:rPr>
        <w:t xml:space="preserve">postanowieniu rozporządzenia Komisji (UE) nr 162/2013. </w:t>
      </w:r>
      <w:r w:rsidR="00BE3638" w:rsidRPr="00AA38D1">
        <w:rPr>
          <w:rFonts w:ascii="Times New Roman" w:eastAsia="Times New Roman" w:hAnsi="Times New Roman" w:cs="Times New Roman"/>
          <w:spacing w:val="-3"/>
          <w:sz w:val="24"/>
          <w:szCs w:val="24"/>
        </w:rPr>
        <w:t>W projekcie zakłada się</w:t>
      </w:r>
      <w:r w:rsidR="009F498B" w:rsidRPr="00AA38D1">
        <w:rPr>
          <w:rFonts w:ascii="Times New Roman" w:eastAsia="Times New Roman" w:hAnsi="Times New Roman" w:cs="Times New Roman"/>
          <w:spacing w:val="-3"/>
          <w:sz w:val="24"/>
          <w:szCs w:val="24"/>
        </w:rPr>
        <w:t xml:space="preserve"> doprecyzowanie</w:t>
      </w:r>
      <w:r w:rsidR="00BE3638" w:rsidRPr="00AA38D1">
        <w:rPr>
          <w:rFonts w:ascii="Times New Roman" w:eastAsia="Times New Roman" w:hAnsi="Times New Roman" w:cs="Times New Roman"/>
          <w:spacing w:val="-3"/>
          <w:sz w:val="24"/>
          <w:szCs w:val="24"/>
        </w:rPr>
        <w:t>, iż przy:</w:t>
      </w:r>
    </w:p>
    <w:p w:rsidR="00672110" w:rsidRPr="00AA38D1" w:rsidRDefault="00AA38D1" w:rsidP="00AA38D1">
      <w:pPr>
        <w:widowControl w:val="0"/>
        <w:spacing w:after="0" w:line="360" w:lineRule="auto"/>
        <w:ind w:left="709" w:hanging="425"/>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1)</w:t>
      </w:r>
      <w:r>
        <w:rPr>
          <w:rFonts w:ascii="Times New Roman" w:eastAsia="Times New Roman" w:hAnsi="Times New Roman" w:cs="Times New Roman"/>
          <w:spacing w:val="-3"/>
          <w:sz w:val="24"/>
          <w:szCs w:val="24"/>
        </w:rPr>
        <w:tab/>
      </w:r>
      <w:r w:rsidR="00672110" w:rsidRPr="00AA38D1">
        <w:rPr>
          <w:rFonts w:ascii="Times New Roman" w:eastAsia="Times New Roman" w:hAnsi="Times New Roman" w:cs="Times New Roman"/>
          <w:spacing w:val="-3"/>
          <w:sz w:val="24"/>
          <w:szCs w:val="24"/>
        </w:rPr>
        <w:t>produk</w:t>
      </w:r>
      <w:r w:rsidR="004A2CEE" w:rsidRPr="00AA38D1">
        <w:rPr>
          <w:rFonts w:ascii="Times New Roman" w:eastAsia="Times New Roman" w:hAnsi="Times New Roman" w:cs="Times New Roman"/>
          <w:spacing w:val="-3"/>
          <w:sz w:val="24"/>
          <w:szCs w:val="24"/>
        </w:rPr>
        <w:t>cji</w:t>
      </w:r>
      <w:r w:rsidR="00672110" w:rsidRPr="00AA38D1">
        <w:rPr>
          <w:rFonts w:ascii="Times New Roman" w:eastAsia="Times New Roman" w:hAnsi="Times New Roman" w:cs="Times New Roman"/>
          <w:spacing w:val="-3"/>
          <w:sz w:val="24"/>
          <w:szCs w:val="24"/>
        </w:rPr>
        <w:t xml:space="preserve"> na terytorium kraju, naby</w:t>
      </w:r>
      <w:r w:rsidR="004A2CEE" w:rsidRPr="00AA38D1">
        <w:rPr>
          <w:rFonts w:ascii="Times New Roman" w:eastAsia="Times New Roman" w:hAnsi="Times New Roman" w:cs="Times New Roman"/>
          <w:spacing w:val="-3"/>
          <w:sz w:val="24"/>
          <w:szCs w:val="24"/>
        </w:rPr>
        <w:t>ciu</w:t>
      </w:r>
      <w:r w:rsidR="00672110" w:rsidRPr="00AA38D1">
        <w:rPr>
          <w:rFonts w:ascii="Times New Roman" w:eastAsia="Times New Roman" w:hAnsi="Times New Roman" w:cs="Times New Roman"/>
          <w:spacing w:val="-3"/>
          <w:sz w:val="24"/>
          <w:szCs w:val="24"/>
        </w:rPr>
        <w:t xml:space="preserve"> wewnątrzwspólnotow</w:t>
      </w:r>
      <w:r w:rsidR="004A2CEE" w:rsidRPr="00AA38D1">
        <w:rPr>
          <w:rFonts w:ascii="Times New Roman" w:eastAsia="Times New Roman" w:hAnsi="Times New Roman" w:cs="Times New Roman"/>
          <w:spacing w:val="-3"/>
          <w:sz w:val="24"/>
          <w:szCs w:val="24"/>
        </w:rPr>
        <w:t>ym</w:t>
      </w:r>
      <w:r w:rsidR="00672110" w:rsidRPr="00AA38D1">
        <w:rPr>
          <w:rFonts w:ascii="Times New Roman" w:eastAsia="Times New Roman" w:hAnsi="Times New Roman" w:cs="Times New Roman"/>
          <w:spacing w:val="-3"/>
          <w:sz w:val="24"/>
          <w:szCs w:val="24"/>
        </w:rPr>
        <w:t xml:space="preserve"> oraz impor</w:t>
      </w:r>
      <w:r w:rsidR="004A2CEE" w:rsidRPr="00AA38D1">
        <w:rPr>
          <w:rFonts w:ascii="Times New Roman" w:eastAsia="Times New Roman" w:hAnsi="Times New Roman" w:cs="Times New Roman"/>
          <w:spacing w:val="-3"/>
          <w:sz w:val="24"/>
          <w:szCs w:val="24"/>
        </w:rPr>
        <w:t>cie</w:t>
      </w:r>
      <w:r w:rsidR="00672110" w:rsidRPr="00AA38D1">
        <w:rPr>
          <w:rFonts w:ascii="Times New Roman" w:eastAsia="Times New Roman" w:hAnsi="Times New Roman" w:cs="Times New Roman"/>
          <w:spacing w:val="-3"/>
          <w:sz w:val="24"/>
          <w:szCs w:val="24"/>
        </w:rPr>
        <w:t xml:space="preserve"> </w:t>
      </w:r>
      <w:r w:rsidR="004A2CEE" w:rsidRPr="00AA38D1">
        <w:rPr>
          <w:rFonts w:ascii="Times New Roman" w:eastAsia="Times New Roman" w:hAnsi="Times New Roman" w:cs="Times New Roman"/>
          <w:spacing w:val="-3"/>
          <w:sz w:val="24"/>
          <w:szCs w:val="24"/>
        </w:rPr>
        <w:t xml:space="preserve">zwolnieniu od akcyzy podlegać będzie alkohol etylowy </w:t>
      </w:r>
      <w:r w:rsidR="00672110" w:rsidRPr="00AA38D1">
        <w:rPr>
          <w:rFonts w:ascii="Times New Roman" w:eastAsia="Times New Roman" w:hAnsi="Times New Roman" w:cs="Times New Roman"/>
          <w:spacing w:val="-3"/>
          <w:sz w:val="24"/>
          <w:szCs w:val="24"/>
        </w:rPr>
        <w:t>całkowicie skażony środk</w:t>
      </w:r>
      <w:r w:rsidR="00AA17F5" w:rsidRPr="00AA38D1">
        <w:rPr>
          <w:rFonts w:ascii="Times New Roman" w:eastAsia="Times New Roman" w:hAnsi="Times New Roman" w:cs="Times New Roman"/>
          <w:spacing w:val="-3"/>
          <w:sz w:val="24"/>
          <w:szCs w:val="24"/>
        </w:rPr>
        <w:t>iem</w:t>
      </w:r>
      <w:r w:rsidR="00672110" w:rsidRPr="00AA38D1">
        <w:rPr>
          <w:rFonts w:ascii="Times New Roman" w:eastAsia="Times New Roman" w:hAnsi="Times New Roman" w:cs="Times New Roman"/>
          <w:spacing w:val="-3"/>
          <w:sz w:val="24"/>
          <w:szCs w:val="24"/>
        </w:rPr>
        <w:t xml:space="preserve"> skażającym dopuszczonym we wszystkich państwach </w:t>
      </w:r>
      <w:r w:rsidR="004A2CEE" w:rsidRPr="00AA38D1">
        <w:rPr>
          <w:rFonts w:ascii="Times New Roman" w:eastAsia="Times New Roman" w:hAnsi="Times New Roman" w:cs="Times New Roman"/>
          <w:spacing w:val="-3"/>
          <w:sz w:val="24"/>
          <w:szCs w:val="24"/>
        </w:rPr>
        <w:t>członkowskich Unii Europejskiej;</w:t>
      </w:r>
    </w:p>
    <w:p w:rsidR="00672110" w:rsidRPr="00AA38D1" w:rsidRDefault="00672110" w:rsidP="00AA38D1">
      <w:pPr>
        <w:widowControl w:val="0"/>
        <w:spacing w:after="0" w:line="360" w:lineRule="auto"/>
        <w:ind w:left="709" w:hanging="425"/>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pacing w:val="-3"/>
          <w:sz w:val="24"/>
          <w:szCs w:val="24"/>
        </w:rPr>
        <w:t>2)</w:t>
      </w:r>
      <w:r w:rsidRPr="00AA38D1">
        <w:rPr>
          <w:rFonts w:ascii="Times New Roman" w:eastAsia="Times New Roman" w:hAnsi="Times New Roman" w:cs="Times New Roman"/>
          <w:spacing w:val="-3"/>
          <w:sz w:val="24"/>
          <w:szCs w:val="24"/>
        </w:rPr>
        <w:tab/>
        <w:t>naby</w:t>
      </w:r>
      <w:r w:rsidR="004A2CEE" w:rsidRPr="00AA38D1">
        <w:rPr>
          <w:rFonts w:ascii="Times New Roman" w:eastAsia="Times New Roman" w:hAnsi="Times New Roman" w:cs="Times New Roman"/>
          <w:spacing w:val="-3"/>
          <w:sz w:val="24"/>
          <w:szCs w:val="24"/>
        </w:rPr>
        <w:t>ciu</w:t>
      </w:r>
      <w:r w:rsidRPr="00AA38D1">
        <w:rPr>
          <w:rFonts w:ascii="Times New Roman" w:eastAsia="Times New Roman" w:hAnsi="Times New Roman" w:cs="Times New Roman"/>
          <w:spacing w:val="-3"/>
          <w:sz w:val="24"/>
          <w:szCs w:val="24"/>
        </w:rPr>
        <w:t xml:space="preserve"> wewnątrzwspólnotow</w:t>
      </w:r>
      <w:r w:rsidR="004A2CEE" w:rsidRPr="00AA38D1">
        <w:rPr>
          <w:rFonts w:ascii="Times New Roman" w:eastAsia="Times New Roman" w:hAnsi="Times New Roman" w:cs="Times New Roman"/>
          <w:spacing w:val="-3"/>
          <w:sz w:val="24"/>
          <w:szCs w:val="24"/>
        </w:rPr>
        <w:t>ym</w:t>
      </w:r>
      <w:r w:rsidRPr="00AA38D1">
        <w:rPr>
          <w:rFonts w:ascii="Times New Roman" w:eastAsia="Times New Roman" w:hAnsi="Times New Roman" w:cs="Times New Roman"/>
          <w:spacing w:val="-3"/>
          <w:sz w:val="24"/>
          <w:szCs w:val="24"/>
        </w:rPr>
        <w:t xml:space="preserve"> </w:t>
      </w:r>
      <w:r w:rsidR="004A2CEE" w:rsidRPr="00AA38D1">
        <w:rPr>
          <w:rFonts w:ascii="Times New Roman" w:eastAsia="Times New Roman" w:hAnsi="Times New Roman" w:cs="Times New Roman"/>
          <w:spacing w:val="-3"/>
          <w:sz w:val="24"/>
          <w:szCs w:val="24"/>
        </w:rPr>
        <w:t xml:space="preserve">zwolnieniu od akcyzy podlegać będzie alkohol etylowy </w:t>
      </w:r>
      <w:r w:rsidRPr="00AA38D1">
        <w:rPr>
          <w:rFonts w:ascii="Times New Roman" w:eastAsia="Times New Roman" w:hAnsi="Times New Roman" w:cs="Times New Roman"/>
          <w:spacing w:val="-3"/>
          <w:sz w:val="24"/>
          <w:szCs w:val="24"/>
        </w:rPr>
        <w:t>całkowicie skażony dodatkowymi środkami skażającymi dopuszczonymi przez państwo członkowskie Unii Europejski</w:t>
      </w:r>
      <w:r w:rsidR="004A2CEE" w:rsidRPr="00AA38D1">
        <w:rPr>
          <w:rFonts w:ascii="Times New Roman" w:eastAsia="Times New Roman" w:hAnsi="Times New Roman" w:cs="Times New Roman"/>
          <w:spacing w:val="-3"/>
          <w:sz w:val="24"/>
          <w:szCs w:val="24"/>
        </w:rPr>
        <w:t>ej, w którym skażenie następuje;</w:t>
      </w:r>
      <w:r w:rsidR="00AA38D1">
        <w:rPr>
          <w:rFonts w:ascii="Times New Roman" w:eastAsia="Times New Roman" w:hAnsi="Times New Roman" w:cs="Times New Roman"/>
          <w:spacing w:val="-3"/>
          <w:sz w:val="24"/>
          <w:szCs w:val="24"/>
        </w:rPr>
        <w:t xml:space="preserve"> </w:t>
      </w:r>
    </w:p>
    <w:p w:rsidR="00672110" w:rsidRPr="00AA38D1" w:rsidRDefault="00672110" w:rsidP="00AA38D1">
      <w:pPr>
        <w:widowControl w:val="0"/>
        <w:spacing w:after="0" w:line="360" w:lineRule="auto"/>
        <w:ind w:left="709" w:hanging="425"/>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pacing w:val="-3"/>
          <w:sz w:val="24"/>
          <w:szCs w:val="24"/>
        </w:rPr>
        <w:t>3)</w:t>
      </w:r>
      <w:r w:rsidRPr="00AA38D1">
        <w:rPr>
          <w:rFonts w:ascii="Times New Roman" w:eastAsia="Times New Roman" w:hAnsi="Times New Roman" w:cs="Times New Roman"/>
          <w:spacing w:val="-3"/>
          <w:sz w:val="24"/>
          <w:szCs w:val="24"/>
        </w:rPr>
        <w:tab/>
      </w:r>
      <w:r w:rsidR="004A2CEE" w:rsidRPr="00AA38D1">
        <w:rPr>
          <w:rFonts w:ascii="Times New Roman" w:eastAsia="Times New Roman" w:hAnsi="Times New Roman" w:cs="Times New Roman"/>
          <w:spacing w:val="-3"/>
          <w:sz w:val="24"/>
          <w:szCs w:val="24"/>
        </w:rPr>
        <w:t xml:space="preserve">produkcji na terytorium kraju </w:t>
      </w:r>
      <w:r w:rsidRPr="00AA38D1">
        <w:rPr>
          <w:rFonts w:ascii="Times New Roman" w:eastAsia="Times New Roman" w:hAnsi="Times New Roman" w:cs="Times New Roman"/>
          <w:spacing w:val="-3"/>
          <w:sz w:val="24"/>
          <w:szCs w:val="24"/>
        </w:rPr>
        <w:t xml:space="preserve">oraz </w:t>
      </w:r>
      <w:r w:rsidR="004A2CEE" w:rsidRPr="00AA38D1">
        <w:rPr>
          <w:rFonts w:ascii="Times New Roman" w:eastAsia="Times New Roman" w:hAnsi="Times New Roman" w:cs="Times New Roman"/>
          <w:spacing w:val="-3"/>
          <w:sz w:val="24"/>
          <w:szCs w:val="24"/>
        </w:rPr>
        <w:t>imporcie</w:t>
      </w:r>
      <w:r w:rsidRPr="00AA38D1">
        <w:rPr>
          <w:rFonts w:ascii="Times New Roman" w:eastAsia="Times New Roman" w:hAnsi="Times New Roman" w:cs="Times New Roman"/>
          <w:spacing w:val="-3"/>
          <w:sz w:val="24"/>
          <w:szCs w:val="24"/>
        </w:rPr>
        <w:t xml:space="preserve"> </w:t>
      </w:r>
      <w:r w:rsidR="004A2CEE" w:rsidRPr="00AA38D1">
        <w:rPr>
          <w:rFonts w:ascii="Times New Roman" w:eastAsia="Times New Roman" w:hAnsi="Times New Roman" w:cs="Times New Roman"/>
          <w:spacing w:val="-3"/>
          <w:sz w:val="24"/>
          <w:szCs w:val="24"/>
        </w:rPr>
        <w:t xml:space="preserve">zwolnieniu od akcyzy podlegać będzie alkohol etylowy </w:t>
      </w:r>
      <w:r w:rsidRPr="00AA38D1">
        <w:rPr>
          <w:rFonts w:ascii="Times New Roman" w:eastAsia="Times New Roman" w:hAnsi="Times New Roman" w:cs="Times New Roman"/>
          <w:spacing w:val="-3"/>
          <w:sz w:val="24"/>
          <w:szCs w:val="24"/>
        </w:rPr>
        <w:t>całkowicie skażony dodatkowymi środkami skażającymi dopuszczonymi przez Rzeczpospolitą Polską</w:t>
      </w:r>
      <w:r w:rsidR="004A2CEE" w:rsidRPr="00AA38D1">
        <w:rPr>
          <w:rFonts w:ascii="Times New Roman" w:eastAsia="Times New Roman" w:hAnsi="Times New Roman" w:cs="Times New Roman"/>
          <w:spacing w:val="-3"/>
          <w:sz w:val="24"/>
          <w:szCs w:val="24"/>
        </w:rPr>
        <w:t>.</w:t>
      </w:r>
    </w:p>
    <w:p w:rsidR="003D5918" w:rsidRPr="00AA38D1" w:rsidRDefault="003D5918" w:rsidP="00AA38D1">
      <w:pPr>
        <w:widowControl w:val="0"/>
        <w:spacing w:before="120" w:after="0" w:line="360" w:lineRule="auto"/>
        <w:ind w:left="284"/>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pacing w:val="-3"/>
          <w:sz w:val="24"/>
          <w:szCs w:val="24"/>
        </w:rPr>
        <w:t xml:space="preserve">Wskazać w tym miejscu należy, iż rozporządzenie wykonawcze Komisji nr 162/2013 wprowadziło: </w:t>
      </w:r>
    </w:p>
    <w:p w:rsidR="003D5918" w:rsidRPr="00AA38D1" w:rsidRDefault="003D5918" w:rsidP="00AA38D1">
      <w:pPr>
        <w:widowControl w:val="0"/>
        <w:spacing w:after="0" w:line="360" w:lineRule="auto"/>
        <w:ind w:left="704" w:hanging="420"/>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pacing w:val="-3"/>
          <w:sz w:val="24"/>
          <w:szCs w:val="24"/>
        </w:rPr>
        <w:t>–</w:t>
      </w:r>
      <w:r w:rsidRPr="00AA38D1">
        <w:rPr>
          <w:rFonts w:ascii="Times New Roman" w:eastAsia="Times New Roman" w:hAnsi="Times New Roman" w:cs="Times New Roman"/>
          <w:spacing w:val="-3"/>
          <w:sz w:val="24"/>
          <w:szCs w:val="24"/>
        </w:rPr>
        <w:tab/>
      </w:r>
      <w:r w:rsidR="00C24372" w:rsidRPr="00AA38D1">
        <w:rPr>
          <w:rFonts w:ascii="Times New Roman" w:eastAsia="Times New Roman" w:hAnsi="Times New Roman" w:cs="Times New Roman"/>
          <w:spacing w:val="-3"/>
          <w:sz w:val="24"/>
          <w:szCs w:val="24"/>
        </w:rPr>
        <w:t>środek skażający</w:t>
      </w:r>
      <w:r w:rsidRPr="00AA38D1">
        <w:rPr>
          <w:rFonts w:ascii="Times New Roman" w:eastAsia="Times New Roman" w:hAnsi="Times New Roman" w:cs="Times New Roman"/>
          <w:spacing w:val="-3"/>
          <w:sz w:val="24"/>
          <w:szCs w:val="24"/>
        </w:rPr>
        <w:t xml:space="preserve"> stosowan</w:t>
      </w:r>
      <w:r w:rsidR="00C24372" w:rsidRPr="00AA38D1">
        <w:rPr>
          <w:rFonts w:ascii="Times New Roman" w:eastAsia="Times New Roman" w:hAnsi="Times New Roman" w:cs="Times New Roman"/>
          <w:spacing w:val="-3"/>
          <w:sz w:val="24"/>
          <w:szCs w:val="24"/>
        </w:rPr>
        <w:t>y</w:t>
      </w:r>
      <w:r w:rsidRPr="00AA38D1">
        <w:rPr>
          <w:rFonts w:ascii="Times New Roman" w:eastAsia="Times New Roman" w:hAnsi="Times New Roman" w:cs="Times New Roman"/>
          <w:spacing w:val="-3"/>
          <w:sz w:val="24"/>
          <w:szCs w:val="24"/>
        </w:rPr>
        <w:t xml:space="preserve"> we wszystkich państwach członkowskich (</w:t>
      </w:r>
      <w:r w:rsidR="00C24372" w:rsidRPr="00AA38D1">
        <w:rPr>
          <w:rFonts w:ascii="Times New Roman" w:eastAsia="Times New Roman" w:hAnsi="Times New Roman" w:cs="Times New Roman"/>
          <w:spacing w:val="-3"/>
          <w:sz w:val="24"/>
          <w:szCs w:val="24"/>
        </w:rPr>
        <w:t>tzw.</w:t>
      </w:r>
      <w:r w:rsidR="00AA38D1">
        <w:rPr>
          <w:rFonts w:ascii="Times New Roman" w:eastAsia="Times New Roman" w:hAnsi="Times New Roman" w:cs="Times New Roman"/>
          <w:spacing w:val="-3"/>
          <w:sz w:val="24"/>
          <w:szCs w:val="24"/>
        </w:rPr>
        <w:t> </w:t>
      </w:r>
      <w:r w:rsidRPr="00AA38D1">
        <w:rPr>
          <w:rFonts w:ascii="Times New Roman" w:eastAsia="Times New Roman" w:hAnsi="Times New Roman" w:cs="Times New Roman"/>
          <w:spacing w:val="-3"/>
          <w:sz w:val="24"/>
          <w:szCs w:val="24"/>
        </w:rPr>
        <w:t>euroskażalnik),</w:t>
      </w:r>
    </w:p>
    <w:p w:rsidR="003D5918" w:rsidRPr="00AA38D1" w:rsidRDefault="003D5918" w:rsidP="00AA38D1">
      <w:pPr>
        <w:widowControl w:val="0"/>
        <w:spacing w:after="0" w:line="360" w:lineRule="auto"/>
        <w:ind w:left="284"/>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pacing w:val="-3"/>
          <w:sz w:val="24"/>
          <w:szCs w:val="24"/>
        </w:rPr>
        <w:t>–</w:t>
      </w:r>
      <w:r w:rsidRPr="00AA38D1">
        <w:rPr>
          <w:rFonts w:ascii="Times New Roman" w:eastAsia="Times New Roman" w:hAnsi="Times New Roman" w:cs="Times New Roman"/>
          <w:spacing w:val="-3"/>
          <w:sz w:val="24"/>
          <w:szCs w:val="24"/>
        </w:rPr>
        <w:tab/>
        <w:t xml:space="preserve">dodatkowe </w:t>
      </w:r>
      <w:r w:rsidR="00C24372" w:rsidRPr="00AA38D1">
        <w:rPr>
          <w:rFonts w:ascii="Times New Roman" w:eastAsia="Times New Roman" w:hAnsi="Times New Roman" w:cs="Times New Roman"/>
          <w:spacing w:val="-3"/>
          <w:sz w:val="24"/>
          <w:szCs w:val="24"/>
        </w:rPr>
        <w:t>środki skaż</w:t>
      </w:r>
      <w:r w:rsidRPr="00AA38D1">
        <w:rPr>
          <w:rFonts w:ascii="Times New Roman" w:eastAsia="Times New Roman" w:hAnsi="Times New Roman" w:cs="Times New Roman"/>
          <w:spacing w:val="-3"/>
          <w:sz w:val="24"/>
          <w:szCs w:val="24"/>
        </w:rPr>
        <w:t>a</w:t>
      </w:r>
      <w:r w:rsidR="00C24372" w:rsidRPr="00AA38D1">
        <w:rPr>
          <w:rFonts w:ascii="Times New Roman" w:eastAsia="Times New Roman" w:hAnsi="Times New Roman" w:cs="Times New Roman"/>
          <w:spacing w:val="-3"/>
          <w:sz w:val="24"/>
          <w:szCs w:val="24"/>
        </w:rPr>
        <w:t>jące</w:t>
      </w:r>
      <w:r w:rsidRPr="00AA38D1">
        <w:rPr>
          <w:rFonts w:ascii="Times New Roman" w:eastAsia="Times New Roman" w:hAnsi="Times New Roman" w:cs="Times New Roman"/>
          <w:spacing w:val="-3"/>
          <w:sz w:val="24"/>
          <w:szCs w:val="24"/>
        </w:rPr>
        <w:t xml:space="preserve"> stosowane w niektórych państwach członkowskich.</w:t>
      </w:r>
    </w:p>
    <w:p w:rsidR="00151141" w:rsidRPr="00AA38D1" w:rsidRDefault="00151141" w:rsidP="00AA38D1">
      <w:pPr>
        <w:spacing w:before="120" w:after="0" w:line="360" w:lineRule="auto"/>
        <w:ind w:left="284"/>
        <w:jc w:val="both"/>
        <w:rPr>
          <w:rFonts w:ascii="Times New Roman" w:eastAsia="Cambria" w:hAnsi="Times New Roman" w:cs="Times New Roman"/>
          <w:sz w:val="24"/>
          <w:szCs w:val="24"/>
          <w:lang w:eastAsia="en-US"/>
        </w:rPr>
      </w:pPr>
      <w:r w:rsidRPr="00AA38D1">
        <w:rPr>
          <w:rFonts w:ascii="Times New Roman" w:eastAsia="Cambria" w:hAnsi="Times New Roman" w:cs="Times New Roman"/>
          <w:sz w:val="24"/>
          <w:szCs w:val="24"/>
          <w:lang w:eastAsia="en-US"/>
        </w:rPr>
        <w:t xml:space="preserve">Po wejściu w życie rozporządzenia wykonawczego Komisji nr 162/2013 powstały wątpliwości odnośnie </w:t>
      </w:r>
      <w:r w:rsidR="00CC7089">
        <w:rPr>
          <w:rFonts w:ascii="Times New Roman" w:eastAsia="Cambria" w:hAnsi="Times New Roman" w:cs="Times New Roman"/>
          <w:sz w:val="24"/>
          <w:szCs w:val="24"/>
          <w:lang w:eastAsia="en-US"/>
        </w:rPr>
        <w:t xml:space="preserve">do </w:t>
      </w:r>
      <w:r w:rsidRPr="00AA38D1">
        <w:rPr>
          <w:rFonts w:ascii="Times New Roman" w:eastAsia="Cambria" w:hAnsi="Times New Roman" w:cs="Times New Roman"/>
          <w:sz w:val="24"/>
          <w:szCs w:val="24"/>
          <w:lang w:eastAsia="en-US"/>
        </w:rPr>
        <w:t>interpretacji art.</w:t>
      </w:r>
      <w:r w:rsidR="00AA38D1">
        <w:rPr>
          <w:rFonts w:ascii="Times New Roman" w:eastAsia="Cambria" w:hAnsi="Times New Roman" w:cs="Times New Roman"/>
          <w:sz w:val="24"/>
          <w:szCs w:val="24"/>
          <w:lang w:eastAsia="en-US"/>
        </w:rPr>
        <w:t xml:space="preserve"> </w:t>
      </w:r>
      <w:r w:rsidRPr="00AA38D1">
        <w:rPr>
          <w:rFonts w:ascii="Times New Roman" w:eastAsia="Cambria" w:hAnsi="Times New Roman" w:cs="Times New Roman"/>
          <w:sz w:val="24"/>
          <w:szCs w:val="24"/>
          <w:lang w:eastAsia="en-US"/>
        </w:rPr>
        <w:t xml:space="preserve">30 ust. 9 pkt 1 ustawy o podatku akcyzowym, który określa zwolnienie alkoholu etylowego całkowicie skażonego </w:t>
      </w:r>
      <w:r w:rsidRPr="00AA38D1">
        <w:rPr>
          <w:rFonts w:ascii="Times New Roman" w:eastAsia="Cambria" w:hAnsi="Times New Roman" w:cs="Times New Roman"/>
          <w:sz w:val="24"/>
          <w:szCs w:val="24"/>
          <w:lang w:eastAsia="en-US"/>
        </w:rPr>
        <w:lastRenderedPageBreak/>
        <w:t>wskazanymi przez dowolne państwo członkowskie Unii Europejskiej środkami dopuszczonymi do skażania alkoholu etylowego na podstawie rozporządzenia Komisji (WE) nr</w:t>
      </w:r>
      <w:r w:rsidR="00AA38D1">
        <w:rPr>
          <w:rFonts w:ascii="Times New Roman" w:eastAsia="Cambria" w:hAnsi="Times New Roman" w:cs="Times New Roman"/>
          <w:sz w:val="24"/>
          <w:szCs w:val="24"/>
          <w:lang w:eastAsia="en-US"/>
        </w:rPr>
        <w:t> </w:t>
      </w:r>
      <w:r w:rsidRPr="00AA38D1">
        <w:rPr>
          <w:rFonts w:ascii="Times New Roman" w:eastAsia="Cambria" w:hAnsi="Times New Roman" w:cs="Times New Roman"/>
          <w:sz w:val="24"/>
          <w:szCs w:val="24"/>
          <w:lang w:eastAsia="en-US"/>
        </w:rPr>
        <w:t xml:space="preserve">3199/93. </w:t>
      </w:r>
    </w:p>
    <w:p w:rsidR="00151141" w:rsidRPr="00AA38D1" w:rsidRDefault="003D5918" w:rsidP="00AA38D1">
      <w:pPr>
        <w:widowControl w:val="0"/>
        <w:spacing w:before="120" w:after="0" w:line="360" w:lineRule="auto"/>
        <w:ind w:left="284"/>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z w:val="24"/>
          <w:szCs w:val="24"/>
        </w:rPr>
        <w:t>W celu zapewnienia jednolitego stosowania zwolnienia od akcyzy dla alkoholu etylowego całkowicie skażonego</w:t>
      </w:r>
      <w:r w:rsidR="00A654FA" w:rsidRPr="00AA38D1">
        <w:rPr>
          <w:rFonts w:ascii="Times New Roman" w:eastAsia="Times New Roman" w:hAnsi="Times New Roman" w:cs="Times New Roman"/>
          <w:sz w:val="24"/>
          <w:szCs w:val="24"/>
        </w:rPr>
        <w:t xml:space="preserve"> </w:t>
      </w:r>
      <w:r w:rsidRPr="00AA38D1">
        <w:rPr>
          <w:rFonts w:ascii="Times New Roman" w:eastAsia="Times New Roman" w:hAnsi="Times New Roman" w:cs="Times New Roman"/>
          <w:sz w:val="24"/>
          <w:szCs w:val="24"/>
        </w:rPr>
        <w:t>przez organy podatkowe oraz organy kontroli skarbowej, Minister Finansów wydał</w:t>
      </w:r>
      <w:r w:rsidRPr="00AA38D1">
        <w:rPr>
          <w:rFonts w:ascii="Times New Roman" w:eastAsia="Times New Roman" w:hAnsi="Times New Roman" w:cs="Times New Roman"/>
          <w:spacing w:val="-3"/>
          <w:sz w:val="24"/>
          <w:szCs w:val="24"/>
        </w:rPr>
        <w:t xml:space="preserve"> interpretacj</w:t>
      </w:r>
      <w:r w:rsidR="00A654FA" w:rsidRPr="00AA38D1">
        <w:rPr>
          <w:rFonts w:ascii="Times New Roman" w:eastAsia="Times New Roman" w:hAnsi="Times New Roman" w:cs="Times New Roman"/>
          <w:spacing w:val="-3"/>
          <w:sz w:val="24"/>
          <w:szCs w:val="24"/>
        </w:rPr>
        <w:t>ę</w:t>
      </w:r>
      <w:r w:rsidRPr="00AA38D1">
        <w:rPr>
          <w:rFonts w:ascii="Times New Roman" w:eastAsia="Times New Roman" w:hAnsi="Times New Roman" w:cs="Times New Roman"/>
          <w:spacing w:val="-3"/>
          <w:sz w:val="24"/>
          <w:szCs w:val="24"/>
        </w:rPr>
        <w:t xml:space="preserve"> ogólną nr</w:t>
      </w:r>
      <w:r w:rsidR="00AA38D1">
        <w:rPr>
          <w:rFonts w:ascii="Times New Roman" w:eastAsia="Times New Roman" w:hAnsi="Times New Roman" w:cs="Times New Roman"/>
          <w:spacing w:val="-3"/>
          <w:sz w:val="24"/>
          <w:szCs w:val="24"/>
        </w:rPr>
        <w:t> </w:t>
      </w:r>
      <w:r w:rsidRPr="00AA38D1">
        <w:rPr>
          <w:rFonts w:ascii="Times New Roman" w:eastAsia="Times New Roman" w:hAnsi="Times New Roman" w:cs="Times New Roman"/>
          <w:spacing w:val="-3"/>
          <w:sz w:val="24"/>
          <w:szCs w:val="24"/>
        </w:rPr>
        <w:t xml:space="preserve">PA3/9000/37/2014/FLL/12. Interpretacja ta funkcjonuje w porządku prawnym </w:t>
      </w:r>
      <w:r w:rsidR="00A654FA" w:rsidRPr="00AA38D1">
        <w:rPr>
          <w:rFonts w:ascii="Times New Roman" w:eastAsia="Times New Roman" w:hAnsi="Times New Roman" w:cs="Times New Roman"/>
          <w:spacing w:val="-3"/>
          <w:sz w:val="24"/>
          <w:szCs w:val="24"/>
        </w:rPr>
        <w:t>o</w:t>
      </w:r>
      <w:r w:rsidRPr="00AA38D1">
        <w:rPr>
          <w:rFonts w:ascii="Times New Roman" w:eastAsia="Times New Roman" w:hAnsi="Times New Roman" w:cs="Times New Roman"/>
          <w:spacing w:val="-3"/>
          <w:sz w:val="24"/>
          <w:szCs w:val="24"/>
        </w:rPr>
        <w:t xml:space="preserve">d dnia 9 września 2014 r. </w:t>
      </w:r>
    </w:p>
    <w:p w:rsidR="00A654FA" w:rsidRPr="00AA38D1" w:rsidRDefault="00A654FA" w:rsidP="00AA38D1">
      <w:pPr>
        <w:widowControl w:val="0"/>
        <w:spacing w:before="120" w:after="0" w:line="360" w:lineRule="auto"/>
        <w:ind w:left="284"/>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pacing w:val="-3"/>
          <w:sz w:val="24"/>
          <w:szCs w:val="24"/>
        </w:rPr>
        <w:t xml:space="preserve">Zgodnie z tą interpretacją od dnia 1 lipca 2013 r. na terytorium kraju alkohol etylowy całkowicie skażony może być zwolniony od akcyzy wyłącznie wówczas, gdy skażony został </w:t>
      </w:r>
      <w:r w:rsidR="001872D9" w:rsidRPr="00AA38D1">
        <w:rPr>
          <w:rFonts w:ascii="Times New Roman" w:eastAsia="Times New Roman" w:hAnsi="Times New Roman" w:cs="Times New Roman"/>
          <w:spacing w:val="-3"/>
          <w:sz w:val="24"/>
          <w:szCs w:val="24"/>
        </w:rPr>
        <w:t>środkiem</w:t>
      </w:r>
      <w:r w:rsidRPr="00AA38D1">
        <w:rPr>
          <w:rFonts w:ascii="Times New Roman" w:eastAsia="Times New Roman" w:hAnsi="Times New Roman" w:cs="Times New Roman"/>
          <w:spacing w:val="-3"/>
          <w:sz w:val="24"/>
          <w:szCs w:val="24"/>
        </w:rPr>
        <w:t xml:space="preserve"> skaża</w:t>
      </w:r>
      <w:r w:rsidR="001872D9" w:rsidRPr="00AA38D1">
        <w:rPr>
          <w:rFonts w:ascii="Times New Roman" w:eastAsia="Times New Roman" w:hAnsi="Times New Roman" w:cs="Times New Roman"/>
          <w:spacing w:val="-3"/>
          <w:sz w:val="24"/>
          <w:szCs w:val="24"/>
        </w:rPr>
        <w:t>jącym</w:t>
      </w:r>
      <w:r w:rsidRPr="00AA38D1">
        <w:rPr>
          <w:rFonts w:ascii="Times New Roman" w:eastAsia="Times New Roman" w:hAnsi="Times New Roman" w:cs="Times New Roman"/>
          <w:spacing w:val="-3"/>
          <w:sz w:val="24"/>
          <w:szCs w:val="24"/>
        </w:rPr>
        <w:t xml:space="preserve"> stosowan</w:t>
      </w:r>
      <w:r w:rsidR="001872D9" w:rsidRPr="00AA38D1">
        <w:rPr>
          <w:rFonts w:ascii="Times New Roman" w:eastAsia="Times New Roman" w:hAnsi="Times New Roman" w:cs="Times New Roman"/>
          <w:spacing w:val="-3"/>
          <w:sz w:val="24"/>
          <w:szCs w:val="24"/>
        </w:rPr>
        <w:t>ym</w:t>
      </w:r>
      <w:r w:rsidRPr="00AA38D1">
        <w:rPr>
          <w:rFonts w:ascii="Times New Roman" w:eastAsia="Times New Roman" w:hAnsi="Times New Roman" w:cs="Times New Roman"/>
          <w:spacing w:val="-3"/>
          <w:sz w:val="24"/>
          <w:szCs w:val="24"/>
        </w:rPr>
        <w:t xml:space="preserve"> we wszystkich państwach członkowskich (tzw. euroskażalnik</w:t>
      </w:r>
      <w:r w:rsidR="005360B1" w:rsidRPr="00AA38D1">
        <w:rPr>
          <w:rFonts w:ascii="Times New Roman" w:eastAsia="Times New Roman" w:hAnsi="Times New Roman" w:cs="Times New Roman"/>
          <w:spacing w:val="-3"/>
          <w:sz w:val="24"/>
          <w:szCs w:val="24"/>
        </w:rPr>
        <w:t>iem</w:t>
      </w:r>
      <w:r w:rsidRPr="00AA38D1">
        <w:rPr>
          <w:rFonts w:ascii="Times New Roman" w:eastAsia="Times New Roman" w:hAnsi="Times New Roman" w:cs="Times New Roman"/>
          <w:spacing w:val="-3"/>
          <w:sz w:val="24"/>
          <w:szCs w:val="24"/>
        </w:rPr>
        <w:t xml:space="preserve">) lub </w:t>
      </w:r>
      <w:r w:rsidR="005360B1" w:rsidRPr="00AA38D1">
        <w:rPr>
          <w:rFonts w:ascii="Times New Roman" w:eastAsia="Times New Roman" w:hAnsi="Times New Roman" w:cs="Times New Roman"/>
          <w:spacing w:val="-3"/>
          <w:sz w:val="24"/>
          <w:szCs w:val="24"/>
        </w:rPr>
        <w:t>środkami</w:t>
      </w:r>
      <w:r w:rsidRPr="00AA38D1">
        <w:rPr>
          <w:rFonts w:ascii="Times New Roman" w:eastAsia="Times New Roman" w:hAnsi="Times New Roman" w:cs="Times New Roman"/>
          <w:spacing w:val="-3"/>
          <w:sz w:val="24"/>
          <w:szCs w:val="24"/>
        </w:rPr>
        <w:t xml:space="preserve"> </w:t>
      </w:r>
      <w:r w:rsidR="005360B1" w:rsidRPr="00AA38D1">
        <w:rPr>
          <w:rFonts w:ascii="Times New Roman" w:eastAsia="Times New Roman" w:hAnsi="Times New Roman" w:cs="Times New Roman"/>
          <w:spacing w:val="-3"/>
          <w:sz w:val="24"/>
          <w:szCs w:val="24"/>
        </w:rPr>
        <w:t>skażającymi zgłoszonymi</w:t>
      </w:r>
      <w:r w:rsidRPr="00AA38D1">
        <w:rPr>
          <w:rFonts w:ascii="Times New Roman" w:eastAsia="Times New Roman" w:hAnsi="Times New Roman" w:cs="Times New Roman"/>
          <w:spacing w:val="-3"/>
          <w:sz w:val="24"/>
          <w:szCs w:val="24"/>
        </w:rPr>
        <w:t xml:space="preserve"> </w:t>
      </w:r>
      <w:r w:rsidR="005360B1" w:rsidRPr="00AA38D1">
        <w:rPr>
          <w:rFonts w:ascii="Times New Roman" w:eastAsia="Times New Roman" w:hAnsi="Times New Roman" w:cs="Times New Roman"/>
          <w:spacing w:val="-3"/>
          <w:sz w:val="24"/>
          <w:szCs w:val="24"/>
        </w:rPr>
        <w:t>przez Polskę dla całkowitego ska</w:t>
      </w:r>
      <w:r w:rsidR="00CC7089">
        <w:rPr>
          <w:rFonts w:ascii="Times New Roman" w:eastAsia="Times New Roman" w:hAnsi="Times New Roman" w:cs="Times New Roman"/>
          <w:spacing w:val="-3"/>
          <w:sz w:val="24"/>
          <w:szCs w:val="24"/>
        </w:rPr>
        <w:t>ż</w:t>
      </w:r>
      <w:r w:rsidR="005360B1" w:rsidRPr="00AA38D1">
        <w:rPr>
          <w:rFonts w:ascii="Times New Roman" w:eastAsia="Times New Roman" w:hAnsi="Times New Roman" w:cs="Times New Roman"/>
          <w:spacing w:val="-3"/>
          <w:sz w:val="24"/>
          <w:szCs w:val="24"/>
        </w:rPr>
        <w:t>ania alkoholu etylowego</w:t>
      </w:r>
      <w:r w:rsidRPr="00AA38D1">
        <w:rPr>
          <w:rFonts w:ascii="Times New Roman" w:eastAsia="Times New Roman" w:hAnsi="Times New Roman" w:cs="Times New Roman"/>
          <w:spacing w:val="-3"/>
          <w:sz w:val="24"/>
          <w:szCs w:val="24"/>
        </w:rPr>
        <w:t xml:space="preserve">. </w:t>
      </w:r>
    </w:p>
    <w:p w:rsidR="00A654FA" w:rsidRPr="00AA38D1" w:rsidRDefault="00A654FA" w:rsidP="00AA38D1">
      <w:pPr>
        <w:widowControl w:val="0"/>
        <w:spacing w:before="120" w:after="0" w:line="360" w:lineRule="auto"/>
        <w:ind w:left="284"/>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pacing w:val="-3"/>
          <w:sz w:val="24"/>
          <w:szCs w:val="24"/>
        </w:rPr>
        <w:t>Stanowisko takie prezentuje również Komisja Europejska.</w:t>
      </w:r>
    </w:p>
    <w:p w:rsidR="003D5918" w:rsidRPr="00AA38D1" w:rsidRDefault="003D5918" w:rsidP="00AA38D1">
      <w:pPr>
        <w:widowControl w:val="0"/>
        <w:spacing w:before="120" w:after="0" w:line="360" w:lineRule="auto"/>
        <w:ind w:left="284"/>
        <w:jc w:val="both"/>
        <w:rPr>
          <w:rFonts w:ascii="Times New Roman" w:eastAsia="Times New Roman" w:hAnsi="Times New Roman" w:cs="Times New Roman"/>
          <w:spacing w:val="-3"/>
          <w:sz w:val="24"/>
          <w:szCs w:val="24"/>
        </w:rPr>
      </w:pPr>
      <w:r w:rsidRPr="00AA38D1">
        <w:rPr>
          <w:rFonts w:ascii="Times New Roman" w:eastAsia="Times New Roman" w:hAnsi="Times New Roman" w:cs="Times New Roman"/>
          <w:spacing w:val="-3"/>
          <w:sz w:val="24"/>
          <w:szCs w:val="24"/>
        </w:rPr>
        <w:t xml:space="preserve">Zgodnie z powyższym na terytorium kraju </w:t>
      </w:r>
      <w:r w:rsidR="00D35F2C" w:rsidRPr="00AA38D1">
        <w:rPr>
          <w:rFonts w:ascii="Times New Roman" w:eastAsia="Times New Roman" w:hAnsi="Times New Roman" w:cs="Times New Roman"/>
          <w:spacing w:val="-3"/>
          <w:sz w:val="24"/>
          <w:szCs w:val="24"/>
        </w:rPr>
        <w:t>nie</w:t>
      </w:r>
      <w:r w:rsidR="002C0785" w:rsidRPr="00AA38D1">
        <w:rPr>
          <w:rFonts w:ascii="Times New Roman" w:eastAsia="Times New Roman" w:hAnsi="Times New Roman" w:cs="Times New Roman"/>
          <w:spacing w:val="-3"/>
          <w:sz w:val="24"/>
          <w:szCs w:val="24"/>
        </w:rPr>
        <w:t xml:space="preserve"> może</w:t>
      </w:r>
      <w:r w:rsidR="00D35F2C" w:rsidRPr="00AA38D1">
        <w:rPr>
          <w:rFonts w:ascii="Times New Roman" w:eastAsia="Times New Roman" w:hAnsi="Times New Roman" w:cs="Times New Roman"/>
          <w:spacing w:val="-3"/>
          <w:sz w:val="24"/>
          <w:szCs w:val="24"/>
        </w:rPr>
        <w:t xml:space="preserve"> wystąpić </w:t>
      </w:r>
      <w:r w:rsidR="00151141" w:rsidRPr="00AA38D1">
        <w:rPr>
          <w:rFonts w:ascii="Times New Roman" w:eastAsia="Times New Roman" w:hAnsi="Times New Roman" w:cs="Times New Roman"/>
          <w:spacing w:val="-3"/>
          <w:sz w:val="24"/>
          <w:szCs w:val="24"/>
        </w:rPr>
        <w:t xml:space="preserve">przypadek </w:t>
      </w:r>
      <w:r w:rsidR="00872BE4" w:rsidRPr="00AA38D1">
        <w:rPr>
          <w:rFonts w:ascii="Times New Roman" w:eastAsia="Times New Roman" w:hAnsi="Times New Roman" w:cs="Times New Roman"/>
          <w:spacing w:val="-3"/>
          <w:sz w:val="24"/>
          <w:szCs w:val="24"/>
        </w:rPr>
        <w:t xml:space="preserve">zwolnionej od podatku akcyzowego </w:t>
      </w:r>
      <w:r w:rsidR="00151141" w:rsidRPr="00AA38D1">
        <w:rPr>
          <w:rFonts w:ascii="Times New Roman" w:eastAsia="Times New Roman" w:hAnsi="Times New Roman" w:cs="Times New Roman"/>
          <w:spacing w:val="-3"/>
          <w:sz w:val="24"/>
          <w:szCs w:val="24"/>
        </w:rPr>
        <w:t>p</w:t>
      </w:r>
      <w:r w:rsidR="00A654FA" w:rsidRPr="00AA38D1">
        <w:rPr>
          <w:rFonts w:ascii="Times New Roman" w:eastAsia="Times New Roman" w:hAnsi="Times New Roman" w:cs="Times New Roman"/>
          <w:spacing w:val="-3"/>
          <w:sz w:val="24"/>
          <w:szCs w:val="24"/>
        </w:rPr>
        <w:t>rodukcji alkoholu etylowego skaż</w:t>
      </w:r>
      <w:r w:rsidR="00151141" w:rsidRPr="00AA38D1">
        <w:rPr>
          <w:rFonts w:ascii="Times New Roman" w:eastAsia="Times New Roman" w:hAnsi="Times New Roman" w:cs="Times New Roman"/>
          <w:spacing w:val="-3"/>
          <w:sz w:val="24"/>
          <w:szCs w:val="24"/>
        </w:rPr>
        <w:t>anego całkowicie procedurą węgierską</w:t>
      </w:r>
      <w:r w:rsidR="00B24CCD" w:rsidRPr="00AA38D1">
        <w:rPr>
          <w:rFonts w:ascii="Times New Roman" w:eastAsia="Times New Roman" w:hAnsi="Times New Roman" w:cs="Times New Roman"/>
          <w:spacing w:val="-3"/>
          <w:sz w:val="24"/>
          <w:szCs w:val="24"/>
        </w:rPr>
        <w:t xml:space="preserve"> lit. c</w:t>
      </w:r>
      <w:r w:rsidR="00151141" w:rsidRPr="00AA38D1">
        <w:rPr>
          <w:rFonts w:ascii="Times New Roman" w:eastAsia="Times New Roman" w:hAnsi="Times New Roman" w:cs="Times New Roman"/>
          <w:spacing w:val="-3"/>
          <w:sz w:val="24"/>
          <w:szCs w:val="24"/>
        </w:rPr>
        <w:t xml:space="preserve">. </w:t>
      </w:r>
      <w:r w:rsidR="00B24CCD" w:rsidRPr="00AA38D1">
        <w:rPr>
          <w:rFonts w:ascii="Times New Roman" w:eastAsia="Times New Roman" w:hAnsi="Times New Roman" w:cs="Times New Roman"/>
          <w:spacing w:val="-3"/>
          <w:sz w:val="24"/>
          <w:szCs w:val="24"/>
        </w:rPr>
        <w:t>W</w:t>
      </w:r>
      <w:r w:rsidR="00151141" w:rsidRPr="00AA38D1">
        <w:rPr>
          <w:rFonts w:ascii="Times New Roman" w:eastAsia="Times New Roman" w:hAnsi="Times New Roman" w:cs="Times New Roman"/>
          <w:spacing w:val="-3"/>
          <w:sz w:val="24"/>
          <w:szCs w:val="24"/>
        </w:rPr>
        <w:t xml:space="preserve"> konsekwencji nie występuje konieczność wprowadzenia okresów przejściowych dla wejścia w życie zmian ustawy o podatku akcyzow</w:t>
      </w:r>
      <w:r w:rsidR="00CC7089">
        <w:rPr>
          <w:rFonts w:ascii="Times New Roman" w:eastAsia="Times New Roman" w:hAnsi="Times New Roman" w:cs="Times New Roman"/>
          <w:spacing w:val="-3"/>
          <w:sz w:val="24"/>
          <w:szCs w:val="24"/>
        </w:rPr>
        <w:t>ym</w:t>
      </w:r>
      <w:r w:rsidR="00151141" w:rsidRPr="00AA38D1">
        <w:rPr>
          <w:rFonts w:ascii="Times New Roman" w:eastAsia="Times New Roman" w:hAnsi="Times New Roman" w:cs="Times New Roman"/>
          <w:spacing w:val="-3"/>
          <w:sz w:val="24"/>
          <w:szCs w:val="24"/>
        </w:rPr>
        <w:t xml:space="preserve"> w zakresie art.</w:t>
      </w:r>
      <w:r w:rsidR="00AA38D1">
        <w:rPr>
          <w:rFonts w:ascii="Times New Roman" w:eastAsia="Times New Roman" w:hAnsi="Times New Roman" w:cs="Times New Roman"/>
          <w:spacing w:val="-3"/>
          <w:sz w:val="24"/>
          <w:szCs w:val="24"/>
        </w:rPr>
        <w:t> </w:t>
      </w:r>
      <w:r w:rsidR="00151141" w:rsidRPr="00AA38D1">
        <w:rPr>
          <w:rFonts w:ascii="Times New Roman" w:eastAsia="Times New Roman" w:hAnsi="Times New Roman" w:cs="Times New Roman"/>
          <w:spacing w:val="-3"/>
          <w:sz w:val="24"/>
          <w:szCs w:val="24"/>
        </w:rPr>
        <w:t>30 ust. 9</w:t>
      </w:r>
      <w:r w:rsidR="00A654FA" w:rsidRPr="00AA38D1">
        <w:rPr>
          <w:rFonts w:ascii="Times New Roman" w:eastAsia="Times New Roman" w:hAnsi="Times New Roman" w:cs="Times New Roman"/>
          <w:spacing w:val="-3"/>
          <w:sz w:val="24"/>
          <w:szCs w:val="24"/>
        </w:rPr>
        <w:t>.</w:t>
      </w:r>
    </w:p>
    <w:p w:rsidR="002A5630" w:rsidRPr="00AA38D1" w:rsidRDefault="00A11327" w:rsidP="00AA38D1">
      <w:pPr>
        <w:pStyle w:val="Akapitzlist"/>
        <w:numPr>
          <w:ilvl w:val="0"/>
          <w:numId w:val="5"/>
        </w:numPr>
        <w:spacing w:before="120" w:after="0" w:line="360" w:lineRule="auto"/>
        <w:ind w:left="357" w:hanging="357"/>
        <w:contextualSpacing w:val="0"/>
        <w:jc w:val="both"/>
        <w:rPr>
          <w:rFonts w:ascii="Times New Roman" w:eastAsia="Times New Roman" w:hAnsi="Times New Roman" w:cs="Times New Roman"/>
          <w:b/>
          <w:bCs/>
          <w:color w:val="000000" w:themeColor="text1"/>
          <w:sz w:val="24"/>
          <w:szCs w:val="24"/>
        </w:rPr>
      </w:pPr>
      <w:r w:rsidRPr="00AA38D1">
        <w:rPr>
          <w:rFonts w:ascii="Times New Roman" w:eastAsia="Times New Roman" w:hAnsi="Times New Roman" w:cs="Times New Roman"/>
          <w:b/>
          <w:bCs/>
          <w:color w:val="000000" w:themeColor="text1"/>
          <w:sz w:val="24"/>
          <w:szCs w:val="24"/>
        </w:rPr>
        <w:t>Zmiana ustawy w zakresie nabycia wewnątrzwspólnotowego alkoholu etylowego całkowicie</w:t>
      </w:r>
      <w:r w:rsidR="00B24CCD" w:rsidRPr="00AA38D1">
        <w:rPr>
          <w:rFonts w:ascii="Times New Roman" w:eastAsia="Times New Roman" w:hAnsi="Times New Roman" w:cs="Times New Roman"/>
          <w:b/>
          <w:bCs/>
          <w:color w:val="000000" w:themeColor="text1"/>
          <w:sz w:val="24"/>
          <w:szCs w:val="24"/>
        </w:rPr>
        <w:t xml:space="preserve"> skażonego </w:t>
      </w:r>
    </w:p>
    <w:p w:rsidR="005C723D" w:rsidRPr="00AA38D1" w:rsidRDefault="005C723D" w:rsidP="00AA38D1">
      <w:pPr>
        <w:pStyle w:val="Akapitzlist"/>
        <w:spacing w:before="120" w:after="0" w:line="360" w:lineRule="auto"/>
        <w:ind w:left="357"/>
        <w:contextualSpacing w:val="0"/>
        <w:jc w:val="both"/>
        <w:rPr>
          <w:rFonts w:asciiTheme="majorBidi" w:hAnsiTheme="majorBidi" w:cstheme="majorBidi"/>
          <w:bCs/>
          <w:sz w:val="24"/>
          <w:szCs w:val="24"/>
        </w:rPr>
      </w:pPr>
      <w:r w:rsidRPr="00AA38D1">
        <w:rPr>
          <w:rFonts w:asciiTheme="majorBidi" w:hAnsiTheme="majorBidi" w:cstheme="majorBidi"/>
          <w:bCs/>
          <w:sz w:val="24"/>
          <w:szCs w:val="24"/>
        </w:rPr>
        <w:t>Przemieszczanie alkoholu etylowego całkowicie skażonego w ramach nabycia wewnątrzwspólnotowego odbywa się na podstawie uproszczonego dokumentu towarzyszącego (UDT), o którym mowa w rozporządzeniu Komisji (EWG) nr</w:t>
      </w:r>
      <w:r w:rsidR="00AA38D1">
        <w:rPr>
          <w:rFonts w:asciiTheme="majorBidi" w:hAnsiTheme="majorBidi" w:cstheme="majorBidi"/>
          <w:bCs/>
          <w:sz w:val="24"/>
          <w:szCs w:val="24"/>
        </w:rPr>
        <w:t> </w:t>
      </w:r>
      <w:r w:rsidRPr="00AA38D1">
        <w:rPr>
          <w:rFonts w:asciiTheme="majorBidi" w:hAnsiTheme="majorBidi" w:cstheme="majorBidi"/>
          <w:bCs/>
          <w:sz w:val="24"/>
          <w:szCs w:val="24"/>
        </w:rPr>
        <w:t xml:space="preserve">3649/92 z dnia 17 grudnia 1992 r. w sprawie uproszczonego dokumentu towarzyszącego w wewnątrzwspólnotowym przemieszczaniu wyrobów akcyzowych, przeznaczonych do konsumpcji w państwie członkowskim wysyłki (Dz. Urz. </w:t>
      </w:r>
      <w:r w:rsidR="004E16CB">
        <w:rPr>
          <w:rFonts w:asciiTheme="majorBidi" w:hAnsiTheme="majorBidi" w:cstheme="majorBidi"/>
          <w:bCs/>
          <w:sz w:val="24"/>
          <w:szCs w:val="24"/>
        </w:rPr>
        <w:t>W</w:t>
      </w:r>
      <w:r w:rsidR="00B24CCD" w:rsidRPr="00AA38D1">
        <w:rPr>
          <w:rFonts w:asciiTheme="majorBidi" w:hAnsiTheme="majorBidi" w:cstheme="majorBidi"/>
          <w:bCs/>
          <w:sz w:val="24"/>
          <w:szCs w:val="24"/>
        </w:rPr>
        <w:t xml:space="preserve">E </w:t>
      </w:r>
      <w:r w:rsidRPr="00AA38D1">
        <w:rPr>
          <w:rFonts w:asciiTheme="majorBidi" w:hAnsiTheme="majorBidi" w:cstheme="majorBidi"/>
          <w:bCs/>
          <w:sz w:val="24"/>
          <w:szCs w:val="24"/>
        </w:rPr>
        <w:t>L 369 z 18.12.1992, str. 17</w:t>
      </w:r>
      <w:r w:rsidR="00B24CCD" w:rsidRPr="00AA38D1">
        <w:rPr>
          <w:rFonts w:asciiTheme="majorBidi" w:hAnsiTheme="majorBidi" w:cstheme="majorBidi"/>
          <w:bCs/>
          <w:sz w:val="24"/>
          <w:szCs w:val="24"/>
        </w:rPr>
        <w:t>, z późn. zm.</w:t>
      </w:r>
      <w:r w:rsidRPr="00AA38D1">
        <w:rPr>
          <w:rFonts w:asciiTheme="majorBidi" w:hAnsiTheme="majorBidi" w:cstheme="majorBidi"/>
          <w:bCs/>
          <w:sz w:val="24"/>
          <w:szCs w:val="24"/>
        </w:rPr>
        <w:t>; Dz. Urz. UE Polskie wydanie specjalne, rozdz. 9, t. 1, str. 216).</w:t>
      </w:r>
    </w:p>
    <w:p w:rsidR="00A6424A" w:rsidRPr="00AA38D1" w:rsidRDefault="002A5630" w:rsidP="00AA38D1">
      <w:pPr>
        <w:spacing w:before="120" w:after="0" w:line="360" w:lineRule="auto"/>
        <w:ind w:left="357"/>
        <w:jc w:val="both"/>
        <w:rPr>
          <w:rFonts w:ascii="Times New Roman" w:hAnsi="Times New Roman" w:cs="Times New Roman"/>
          <w:bCs/>
          <w:sz w:val="24"/>
          <w:szCs w:val="24"/>
        </w:rPr>
      </w:pPr>
      <w:r w:rsidRPr="00AA38D1">
        <w:rPr>
          <w:rFonts w:ascii="Times New Roman" w:hAnsi="Times New Roman" w:cs="Times New Roman"/>
          <w:bCs/>
          <w:sz w:val="24"/>
          <w:szCs w:val="24"/>
        </w:rPr>
        <w:t xml:space="preserve">Obecnie wiele podmiotów gospodarczych nabywających alkohol całkowicie skażony z innych państw członkowskich nie jest zarejestrowanych jako podatnicy </w:t>
      </w:r>
      <w:r w:rsidRPr="00AA38D1">
        <w:rPr>
          <w:rFonts w:ascii="Times New Roman" w:hAnsi="Times New Roman" w:cs="Times New Roman"/>
          <w:bCs/>
          <w:sz w:val="24"/>
          <w:szCs w:val="24"/>
        </w:rPr>
        <w:lastRenderedPageBreak/>
        <w:t xml:space="preserve">akcyzy. </w:t>
      </w:r>
      <w:r w:rsidR="007D768E" w:rsidRPr="00AA38D1">
        <w:rPr>
          <w:rFonts w:ascii="Times New Roman" w:hAnsi="Times New Roman" w:cs="Times New Roman"/>
          <w:bCs/>
          <w:sz w:val="24"/>
          <w:szCs w:val="24"/>
        </w:rPr>
        <w:t xml:space="preserve">Wynika to z niejednolitego stosowania obowiązujących przepisów w tym zakresie. </w:t>
      </w:r>
      <w:r w:rsidR="0039612A" w:rsidRPr="00AA38D1">
        <w:rPr>
          <w:rFonts w:ascii="Times New Roman" w:hAnsi="Times New Roman" w:cs="Times New Roman"/>
          <w:bCs/>
          <w:sz w:val="24"/>
          <w:szCs w:val="24"/>
        </w:rPr>
        <w:t xml:space="preserve">Przepis </w:t>
      </w:r>
      <w:r w:rsidR="0057678B" w:rsidRPr="00AA38D1">
        <w:rPr>
          <w:rFonts w:ascii="Times New Roman" w:hAnsi="Times New Roman" w:cs="Times New Roman"/>
          <w:bCs/>
          <w:sz w:val="24"/>
          <w:szCs w:val="24"/>
        </w:rPr>
        <w:t xml:space="preserve">art. 16 ust. 1 ustawy o podatku akcyzowym nakłada obowiązek zgłoszenia rejestracyjnego na podmiot prowadzący działalność gospodarczą, przed dniem wykonania pierwszej czynności podlegającej opodatkowaniu akcyzą lub pierwszej czynności z wykorzystaniem wyrobów akcyzowych objętych zwolnieniem od akcyzy ze względu na ich przeznaczenie. Alkohol etylowy całkowicie skażony w </w:t>
      </w:r>
      <w:r w:rsidR="00FA1101" w:rsidRPr="00AA38D1">
        <w:rPr>
          <w:rFonts w:ascii="Times New Roman" w:hAnsi="Times New Roman" w:cs="Times New Roman"/>
          <w:bCs/>
          <w:sz w:val="24"/>
          <w:szCs w:val="24"/>
        </w:rPr>
        <w:t>którym</w:t>
      </w:r>
      <w:r w:rsidR="0057678B" w:rsidRPr="00AA38D1">
        <w:rPr>
          <w:rFonts w:ascii="Times New Roman" w:hAnsi="Times New Roman" w:cs="Times New Roman"/>
          <w:bCs/>
          <w:sz w:val="24"/>
          <w:szCs w:val="24"/>
        </w:rPr>
        <w:t>kolwiek państwie członkowskim Unii Europejskiej podlega zwolnieniu obligatoryjnemu, co oznacza</w:t>
      </w:r>
      <w:r w:rsidR="0079530E">
        <w:rPr>
          <w:rFonts w:ascii="Times New Roman" w:hAnsi="Times New Roman" w:cs="Times New Roman"/>
          <w:bCs/>
          <w:sz w:val="24"/>
          <w:szCs w:val="24"/>
        </w:rPr>
        <w:t>,</w:t>
      </w:r>
      <w:r w:rsidR="0057678B" w:rsidRPr="00AA38D1">
        <w:rPr>
          <w:rFonts w:ascii="Times New Roman" w:hAnsi="Times New Roman" w:cs="Times New Roman"/>
          <w:bCs/>
          <w:sz w:val="24"/>
          <w:szCs w:val="24"/>
        </w:rPr>
        <w:t xml:space="preserve"> iż nabycie wewnątrzwspólnotowe takiego alkoholu faktycznie nie powoduje powstania </w:t>
      </w:r>
      <w:r w:rsidR="00FA1101" w:rsidRPr="00AA38D1">
        <w:rPr>
          <w:rFonts w:ascii="Times New Roman" w:hAnsi="Times New Roman" w:cs="Times New Roman"/>
          <w:bCs/>
          <w:sz w:val="24"/>
          <w:szCs w:val="24"/>
        </w:rPr>
        <w:t>podatku akcyzowego</w:t>
      </w:r>
      <w:r w:rsidR="0079530E">
        <w:rPr>
          <w:rFonts w:ascii="Times New Roman" w:hAnsi="Times New Roman" w:cs="Times New Roman"/>
          <w:bCs/>
          <w:sz w:val="24"/>
          <w:szCs w:val="24"/>
        </w:rPr>
        <w:t>,</w:t>
      </w:r>
      <w:r w:rsidR="00FA1101" w:rsidRPr="00AA38D1">
        <w:rPr>
          <w:rFonts w:ascii="Times New Roman" w:hAnsi="Times New Roman" w:cs="Times New Roman"/>
          <w:bCs/>
          <w:sz w:val="24"/>
          <w:szCs w:val="24"/>
        </w:rPr>
        <w:t xml:space="preserve"> mimo iż sama czynność nabycia wewnątrzwspólnotowego stanowi przedmiot opodatkowania (art. 8 ust. 1 pkt 4 ustawy). Jednocześnie nabycie wewnątrzwspólnotowe alkoholu etylowego całkowicie skażonego nie stanowi czynności z wykorzystaniem wyrobów akcyzowych objętych zwolnieniem od akcyzy ze względu na ich przeznaczenie.</w:t>
      </w:r>
    </w:p>
    <w:p w:rsidR="00535698" w:rsidRPr="008F70DF" w:rsidRDefault="00B60596" w:rsidP="00AA38D1">
      <w:pPr>
        <w:spacing w:before="120" w:after="0" w:line="360" w:lineRule="auto"/>
        <w:ind w:left="357"/>
        <w:jc w:val="both"/>
        <w:rPr>
          <w:rFonts w:ascii="Times New Roman" w:eastAsia="Times New Roman" w:hAnsi="Times New Roman" w:cs="Times New Roman"/>
          <w:sz w:val="24"/>
          <w:szCs w:val="24"/>
        </w:rPr>
      </w:pPr>
      <w:r w:rsidRPr="00AA38D1">
        <w:rPr>
          <w:rFonts w:ascii="Times New Roman" w:eastAsiaTheme="minorHAnsi" w:hAnsi="Times New Roman" w:cs="Times New Roman"/>
          <w:sz w:val="24"/>
          <w:szCs w:val="24"/>
          <w:lang w:eastAsia="en-US"/>
        </w:rPr>
        <w:t xml:space="preserve">Nowelizacja </w:t>
      </w:r>
      <w:r w:rsidR="005C723D" w:rsidRPr="00AA38D1">
        <w:rPr>
          <w:rFonts w:ascii="Times New Roman" w:eastAsiaTheme="minorHAnsi" w:hAnsi="Times New Roman" w:cs="Times New Roman"/>
          <w:sz w:val="24"/>
          <w:szCs w:val="24"/>
          <w:lang w:eastAsia="en-US"/>
        </w:rPr>
        <w:t xml:space="preserve">ustawy w tym zakresie </w:t>
      </w:r>
      <w:r w:rsidR="002A5630" w:rsidRPr="00AA38D1">
        <w:rPr>
          <w:rFonts w:ascii="Times New Roman" w:eastAsiaTheme="minorHAnsi" w:hAnsi="Times New Roman" w:cs="Times New Roman"/>
          <w:sz w:val="24"/>
          <w:szCs w:val="24"/>
          <w:lang w:eastAsia="en-US"/>
        </w:rPr>
        <w:t xml:space="preserve">polegać ma na </w:t>
      </w:r>
      <w:r w:rsidR="00FA1101" w:rsidRPr="00AA38D1">
        <w:rPr>
          <w:rFonts w:ascii="Times New Roman" w:eastAsiaTheme="minorHAnsi" w:hAnsi="Times New Roman" w:cs="Times New Roman"/>
          <w:sz w:val="24"/>
          <w:szCs w:val="24"/>
          <w:lang w:eastAsia="en-US"/>
        </w:rPr>
        <w:t xml:space="preserve">doprecyzowaniu art. </w:t>
      </w:r>
      <w:r w:rsidR="00493EB3" w:rsidRPr="00AA38D1">
        <w:rPr>
          <w:rFonts w:ascii="Times New Roman" w:eastAsiaTheme="minorHAnsi" w:hAnsi="Times New Roman" w:cs="Times New Roman"/>
          <w:sz w:val="24"/>
          <w:szCs w:val="24"/>
          <w:lang w:eastAsia="en-US"/>
        </w:rPr>
        <w:t xml:space="preserve">16 i </w:t>
      </w:r>
      <w:r w:rsidR="00AE4D85" w:rsidRPr="00AA38D1">
        <w:rPr>
          <w:rFonts w:ascii="Times New Roman" w:eastAsiaTheme="minorHAnsi" w:hAnsi="Times New Roman" w:cs="Times New Roman"/>
          <w:sz w:val="24"/>
          <w:szCs w:val="24"/>
          <w:lang w:eastAsia="en-US"/>
        </w:rPr>
        <w:t xml:space="preserve">art. </w:t>
      </w:r>
      <w:r w:rsidR="00FA1101" w:rsidRPr="00AA38D1">
        <w:rPr>
          <w:rFonts w:ascii="Times New Roman" w:eastAsiaTheme="minorHAnsi" w:hAnsi="Times New Roman" w:cs="Times New Roman"/>
          <w:sz w:val="24"/>
          <w:szCs w:val="24"/>
          <w:lang w:eastAsia="en-US"/>
        </w:rPr>
        <w:t>78 ustawy o podatku akcyzowym</w:t>
      </w:r>
      <w:r w:rsidR="000201FA" w:rsidRPr="00AA38D1">
        <w:rPr>
          <w:rFonts w:ascii="Times New Roman" w:eastAsiaTheme="minorHAnsi" w:hAnsi="Times New Roman" w:cs="Times New Roman"/>
          <w:sz w:val="24"/>
          <w:szCs w:val="24"/>
          <w:lang w:eastAsia="en-US"/>
        </w:rPr>
        <w:t>, wskazującym</w:t>
      </w:r>
      <w:r w:rsidR="00FA1101" w:rsidRPr="00AA38D1">
        <w:rPr>
          <w:rFonts w:ascii="Times New Roman" w:eastAsiaTheme="minorHAnsi" w:hAnsi="Times New Roman" w:cs="Times New Roman"/>
          <w:sz w:val="24"/>
          <w:szCs w:val="24"/>
          <w:lang w:eastAsia="en-US"/>
        </w:rPr>
        <w:t xml:space="preserve">, iż </w:t>
      </w:r>
      <w:r w:rsidR="002A5630" w:rsidRPr="00AA38D1">
        <w:rPr>
          <w:rFonts w:ascii="Times New Roman" w:eastAsiaTheme="minorHAnsi" w:hAnsi="Times New Roman" w:cs="Times New Roman"/>
          <w:sz w:val="24"/>
          <w:szCs w:val="24"/>
          <w:lang w:eastAsia="en-US"/>
        </w:rPr>
        <w:t xml:space="preserve">podmiot dokonujący nabycia wewnątrzwspólnotowego alkoholu </w:t>
      </w:r>
      <w:r w:rsidR="004A2CEE" w:rsidRPr="00AA38D1">
        <w:rPr>
          <w:rFonts w:ascii="Times New Roman" w:eastAsiaTheme="minorHAnsi" w:hAnsi="Times New Roman" w:cs="Times New Roman"/>
          <w:sz w:val="24"/>
          <w:szCs w:val="24"/>
          <w:lang w:eastAsia="en-US"/>
        </w:rPr>
        <w:t xml:space="preserve">etylowego </w:t>
      </w:r>
      <w:r w:rsidR="002A5630" w:rsidRPr="00AA38D1">
        <w:rPr>
          <w:rFonts w:ascii="Times New Roman" w:eastAsiaTheme="minorHAnsi" w:hAnsi="Times New Roman" w:cs="Times New Roman"/>
          <w:sz w:val="24"/>
          <w:szCs w:val="24"/>
          <w:lang w:eastAsia="en-US"/>
        </w:rPr>
        <w:t xml:space="preserve">całkowicie skażonego </w:t>
      </w:r>
      <w:r w:rsidR="00AD21A9" w:rsidRPr="00AA38D1">
        <w:rPr>
          <w:rFonts w:ascii="Times New Roman" w:eastAsia="Times New Roman" w:hAnsi="Times New Roman" w:cs="Times New Roman"/>
          <w:sz w:val="24"/>
          <w:szCs w:val="24"/>
        </w:rPr>
        <w:t>środ</w:t>
      </w:r>
      <w:r w:rsidR="00C24372" w:rsidRPr="00AA38D1">
        <w:rPr>
          <w:rFonts w:ascii="Times New Roman" w:eastAsia="Times New Roman" w:hAnsi="Times New Roman" w:cs="Times New Roman"/>
          <w:sz w:val="24"/>
          <w:szCs w:val="24"/>
        </w:rPr>
        <w:t>kiem skażającym</w:t>
      </w:r>
      <w:r w:rsidR="003D017D" w:rsidRPr="00AA38D1">
        <w:rPr>
          <w:rFonts w:ascii="Times New Roman" w:eastAsia="Times New Roman" w:hAnsi="Times New Roman" w:cs="Times New Roman"/>
          <w:sz w:val="24"/>
          <w:szCs w:val="24"/>
        </w:rPr>
        <w:t xml:space="preserve"> dopuszczon</w:t>
      </w:r>
      <w:r w:rsidR="00AD21A9" w:rsidRPr="00AA38D1">
        <w:rPr>
          <w:rFonts w:ascii="Times New Roman" w:eastAsia="Times New Roman" w:hAnsi="Times New Roman" w:cs="Times New Roman"/>
          <w:sz w:val="24"/>
          <w:szCs w:val="24"/>
        </w:rPr>
        <w:t>ym</w:t>
      </w:r>
      <w:r w:rsidR="003D017D" w:rsidRPr="00AA38D1">
        <w:rPr>
          <w:rFonts w:ascii="Times New Roman" w:eastAsia="Times New Roman" w:hAnsi="Times New Roman" w:cs="Times New Roman"/>
          <w:sz w:val="24"/>
          <w:szCs w:val="24"/>
        </w:rPr>
        <w:t xml:space="preserve"> we wszystkich państwach członkowskich Unii Europejskiej lub dodatkowymi </w:t>
      </w:r>
      <w:r w:rsidR="00AD21A9" w:rsidRPr="00AA38D1">
        <w:rPr>
          <w:rFonts w:ascii="Times New Roman" w:eastAsia="Times New Roman" w:hAnsi="Times New Roman" w:cs="Times New Roman"/>
          <w:sz w:val="24"/>
          <w:szCs w:val="24"/>
        </w:rPr>
        <w:t xml:space="preserve">środkami skażającymi </w:t>
      </w:r>
      <w:r w:rsidR="003D017D" w:rsidRPr="00AA38D1">
        <w:rPr>
          <w:rFonts w:ascii="Times New Roman" w:eastAsia="Times New Roman" w:hAnsi="Times New Roman" w:cs="Times New Roman"/>
          <w:sz w:val="24"/>
          <w:szCs w:val="24"/>
        </w:rPr>
        <w:t>dopuszczonymi przez państwo członkowskie Unii Europejskiej, w którym skażenie następuje, na podstawie rozporządzenia Komisji (WE) nr 3199/93 z dnia 22 listopada 1993 r.</w:t>
      </w:r>
      <w:r w:rsidR="003D017D" w:rsidRPr="00AA38D1">
        <w:rPr>
          <w:rFonts w:ascii="Times New Roman" w:eastAsiaTheme="minorHAnsi" w:hAnsi="Times New Roman" w:cs="Times New Roman"/>
          <w:sz w:val="24"/>
          <w:szCs w:val="24"/>
          <w:lang w:eastAsia="en-US"/>
        </w:rPr>
        <w:t xml:space="preserve"> </w:t>
      </w:r>
      <w:r w:rsidR="00FA1101" w:rsidRPr="00AA38D1">
        <w:rPr>
          <w:rFonts w:ascii="Times New Roman" w:eastAsiaTheme="minorHAnsi" w:hAnsi="Times New Roman" w:cs="Times New Roman"/>
          <w:sz w:val="24"/>
          <w:szCs w:val="24"/>
          <w:lang w:eastAsia="en-US"/>
        </w:rPr>
        <w:t xml:space="preserve">ma </w:t>
      </w:r>
      <w:r w:rsidR="002A5630" w:rsidRPr="00AA38D1">
        <w:rPr>
          <w:rFonts w:ascii="Times New Roman" w:eastAsiaTheme="minorHAnsi" w:hAnsi="Times New Roman" w:cs="Times New Roman"/>
          <w:sz w:val="24"/>
          <w:szCs w:val="24"/>
          <w:lang w:eastAsia="en-US"/>
        </w:rPr>
        <w:t>obowiąz</w:t>
      </w:r>
      <w:r w:rsidR="00FA1101" w:rsidRPr="00AA38D1">
        <w:rPr>
          <w:rFonts w:ascii="Times New Roman" w:eastAsiaTheme="minorHAnsi" w:hAnsi="Times New Roman" w:cs="Times New Roman"/>
          <w:sz w:val="24"/>
          <w:szCs w:val="24"/>
          <w:lang w:eastAsia="en-US"/>
        </w:rPr>
        <w:t>e</w:t>
      </w:r>
      <w:r w:rsidR="002A5630" w:rsidRPr="00AA38D1">
        <w:rPr>
          <w:rFonts w:ascii="Times New Roman" w:eastAsiaTheme="minorHAnsi" w:hAnsi="Times New Roman" w:cs="Times New Roman"/>
          <w:sz w:val="24"/>
          <w:szCs w:val="24"/>
          <w:lang w:eastAsia="en-US"/>
        </w:rPr>
        <w:t>k rejestracji jako podatnik podatku akcyzowego</w:t>
      </w:r>
      <w:r w:rsidR="00C25B52" w:rsidRPr="00AA38D1">
        <w:rPr>
          <w:rFonts w:ascii="Times New Roman" w:eastAsiaTheme="minorHAnsi" w:hAnsi="Times New Roman" w:cs="Times New Roman"/>
          <w:sz w:val="24"/>
          <w:szCs w:val="24"/>
          <w:lang w:eastAsia="en-US"/>
        </w:rPr>
        <w:t xml:space="preserve"> i</w:t>
      </w:r>
      <w:r w:rsidR="002A5630" w:rsidRPr="00AA38D1">
        <w:rPr>
          <w:rFonts w:ascii="Times New Roman" w:eastAsiaTheme="minorHAnsi" w:hAnsi="Times New Roman" w:cs="Times New Roman"/>
          <w:sz w:val="24"/>
          <w:szCs w:val="24"/>
          <w:lang w:eastAsia="en-US"/>
        </w:rPr>
        <w:t xml:space="preserve"> </w:t>
      </w:r>
      <w:r w:rsidR="002A5630" w:rsidRPr="00AA38D1">
        <w:rPr>
          <w:rFonts w:ascii="Times New Roman" w:eastAsia="Times New Roman" w:hAnsi="Times New Roman" w:cs="Times New Roman"/>
          <w:sz w:val="24"/>
          <w:szCs w:val="24"/>
        </w:rPr>
        <w:t>dokonania zgłoszenia o</w:t>
      </w:r>
      <w:r w:rsidR="00AA38D1">
        <w:rPr>
          <w:rFonts w:ascii="Times New Roman" w:eastAsia="Times New Roman" w:hAnsi="Times New Roman" w:cs="Times New Roman"/>
          <w:sz w:val="24"/>
          <w:szCs w:val="24"/>
        </w:rPr>
        <w:t> </w:t>
      </w:r>
      <w:r w:rsidR="002A5630" w:rsidRPr="00AA38D1">
        <w:rPr>
          <w:rFonts w:ascii="Times New Roman" w:eastAsia="Times New Roman" w:hAnsi="Times New Roman" w:cs="Times New Roman"/>
          <w:sz w:val="24"/>
          <w:szCs w:val="24"/>
        </w:rPr>
        <w:t xml:space="preserve">planowanym nabyciu wewnątrzwspólnotowym do właściwego </w:t>
      </w:r>
      <w:r w:rsidR="00183B63" w:rsidRPr="00AA38D1">
        <w:rPr>
          <w:rFonts w:ascii="Times New Roman" w:eastAsia="Times New Roman" w:hAnsi="Times New Roman" w:cs="Times New Roman"/>
          <w:sz w:val="24"/>
          <w:szCs w:val="24"/>
        </w:rPr>
        <w:t>organu podatkowego</w:t>
      </w:r>
      <w:r w:rsidR="002A5630" w:rsidRPr="00AA38D1">
        <w:rPr>
          <w:rFonts w:ascii="Times New Roman" w:eastAsia="Times New Roman" w:hAnsi="Times New Roman" w:cs="Times New Roman"/>
          <w:sz w:val="24"/>
          <w:szCs w:val="24"/>
        </w:rPr>
        <w:t>.</w:t>
      </w:r>
      <w:r w:rsidR="003D017D" w:rsidRPr="00AA38D1">
        <w:rPr>
          <w:rFonts w:ascii="Times New Roman" w:eastAsia="Times New Roman" w:hAnsi="Times New Roman" w:cs="Times New Roman"/>
          <w:sz w:val="24"/>
          <w:szCs w:val="24"/>
        </w:rPr>
        <w:t xml:space="preserve"> </w:t>
      </w:r>
      <w:r w:rsidR="002801AC" w:rsidRPr="008F70DF">
        <w:rPr>
          <w:rFonts w:ascii="Times New Roman" w:eastAsia="Times New Roman" w:hAnsi="Times New Roman" w:cs="Times New Roman"/>
          <w:sz w:val="24"/>
          <w:szCs w:val="24"/>
        </w:rPr>
        <w:t xml:space="preserve">Zgłoszenie rejestracyjne </w:t>
      </w:r>
      <w:r w:rsidR="009B037F" w:rsidRPr="008F70DF">
        <w:rPr>
          <w:rFonts w:ascii="Times New Roman" w:eastAsia="Times New Roman" w:hAnsi="Times New Roman" w:cs="Times New Roman"/>
          <w:sz w:val="24"/>
          <w:szCs w:val="24"/>
        </w:rPr>
        <w:t>powinno zawierać również, stosownie do art. 16 ust. 2 ustawy, adresy miejsc wykonywania działalności oraz określenie rodzaju i przewidywanej średniej miesięcznej ilości zużywanego alkoholu.</w:t>
      </w:r>
    </w:p>
    <w:p w:rsidR="00A6424A" w:rsidRPr="00AA38D1" w:rsidRDefault="005C723D" w:rsidP="00AA38D1">
      <w:pPr>
        <w:spacing w:before="120" w:after="0" w:line="360" w:lineRule="auto"/>
        <w:ind w:left="357"/>
        <w:jc w:val="both"/>
        <w:rPr>
          <w:rFonts w:ascii="Times New Roman" w:eastAsia="Times New Roman" w:hAnsi="Times New Roman" w:cs="Times New Roman"/>
          <w:sz w:val="24"/>
          <w:szCs w:val="24"/>
        </w:rPr>
      </w:pPr>
      <w:r w:rsidRPr="00AA38D1">
        <w:rPr>
          <w:rFonts w:ascii="Times New Roman" w:eastAsia="Times New Roman" w:hAnsi="Times New Roman" w:cs="Times New Roman"/>
          <w:sz w:val="24"/>
          <w:szCs w:val="24"/>
        </w:rPr>
        <w:t>Zmiana pozwoli na bieżące pozyskiwanie informacji o ilości alkoholu etylowego całkowicie skażonego, który będzie przedmiotem</w:t>
      </w:r>
      <w:r w:rsidR="00603243" w:rsidRPr="00AA38D1">
        <w:rPr>
          <w:rFonts w:ascii="Times New Roman" w:eastAsia="Times New Roman" w:hAnsi="Times New Roman" w:cs="Times New Roman"/>
          <w:sz w:val="24"/>
          <w:szCs w:val="24"/>
        </w:rPr>
        <w:t xml:space="preserve"> nabycia wewn</w:t>
      </w:r>
      <w:r w:rsidR="00B60596" w:rsidRPr="00AA38D1">
        <w:rPr>
          <w:rFonts w:ascii="Times New Roman" w:eastAsia="Times New Roman" w:hAnsi="Times New Roman" w:cs="Times New Roman"/>
          <w:sz w:val="24"/>
          <w:szCs w:val="24"/>
        </w:rPr>
        <w:t>ą</w:t>
      </w:r>
      <w:r w:rsidR="00603243" w:rsidRPr="00AA38D1">
        <w:rPr>
          <w:rFonts w:ascii="Times New Roman" w:eastAsia="Times New Roman" w:hAnsi="Times New Roman" w:cs="Times New Roman"/>
          <w:sz w:val="24"/>
          <w:szCs w:val="24"/>
        </w:rPr>
        <w:t>trzwspólnotowego</w:t>
      </w:r>
      <w:r w:rsidR="005C012F" w:rsidRPr="00AA38D1">
        <w:rPr>
          <w:rFonts w:ascii="Times New Roman" w:eastAsia="Times New Roman" w:hAnsi="Times New Roman" w:cs="Times New Roman"/>
          <w:sz w:val="24"/>
          <w:szCs w:val="24"/>
        </w:rPr>
        <w:t>.</w:t>
      </w:r>
      <w:r w:rsidR="00E6764A" w:rsidRPr="00AA38D1">
        <w:rPr>
          <w:rFonts w:ascii="Times New Roman" w:eastAsia="Times New Roman" w:hAnsi="Times New Roman" w:cs="Times New Roman"/>
          <w:sz w:val="24"/>
          <w:szCs w:val="24"/>
        </w:rPr>
        <w:t xml:space="preserve"> </w:t>
      </w:r>
    </w:p>
    <w:p w:rsidR="00290ECF" w:rsidRPr="00AA38D1" w:rsidRDefault="005C233A" w:rsidP="00AA38D1">
      <w:pPr>
        <w:spacing w:before="120" w:after="0" w:line="360" w:lineRule="auto"/>
        <w:ind w:left="357"/>
        <w:jc w:val="both"/>
        <w:rPr>
          <w:rFonts w:ascii="Times New Roman" w:eastAsia="Times New Roman" w:hAnsi="Times New Roman" w:cs="Times New Roman"/>
          <w:sz w:val="24"/>
          <w:szCs w:val="24"/>
        </w:rPr>
      </w:pPr>
      <w:r w:rsidRPr="00AA38D1">
        <w:rPr>
          <w:rFonts w:ascii="Times New Roman" w:eastAsia="Times New Roman" w:hAnsi="Times New Roman" w:cs="Times New Roman"/>
          <w:sz w:val="24"/>
          <w:szCs w:val="24"/>
        </w:rPr>
        <w:t xml:space="preserve">Jednocześnie zmiana polegająca na bezpośrednim wskazaniu, iż w przypadku nabycia wewnątrzwspólnotowego alkoholu etylowego całkowicie skażonego nie występuje obowiązek złożenia deklaracji uproszczonej, zabezpieczenia akcyzowego i potwierdzenia złożenia zabezpieczenia akcyzowego </w:t>
      </w:r>
      <w:r w:rsidR="00C96974" w:rsidRPr="00AA38D1">
        <w:rPr>
          <w:rFonts w:ascii="Times New Roman" w:eastAsia="Times New Roman" w:hAnsi="Times New Roman" w:cs="Times New Roman"/>
          <w:sz w:val="24"/>
          <w:szCs w:val="24"/>
        </w:rPr>
        <w:t xml:space="preserve">(dodany ust. </w:t>
      </w:r>
      <w:r w:rsidR="00BB055B">
        <w:rPr>
          <w:rFonts w:ascii="Times New Roman" w:eastAsia="Times New Roman" w:hAnsi="Times New Roman" w:cs="Times New Roman"/>
          <w:sz w:val="24"/>
          <w:szCs w:val="24"/>
        </w:rPr>
        <w:t>2</w:t>
      </w:r>
      <w:r w:rsidR="00C96974" w:rsidRPr="00AA38D1">
        <w:rPr>
          <w:rFonts w:ascii="Times New Roman" w:eastAsia="Times New Roman" w:hAnsi="Times New Roman" w:cs="Times New Roman"/>
          <w:sz w:val="24"/>
          <w:szCs w:val="24"/>
        </w:rPr>
        <w:t>a)</w:t>
      </w:r>
      <w:r w:rsidR="00F70F31">
        <w:rPr>
          <w:rFonts w:ascii="Times New Roman" w:eastAsia="Times New Roman" w:hAnsi="Times New Roman" w:cs="Times New Roman"/>
          <w:sz w:val="24"/>
          <w:szCs w:val="24"/>
        </w:rPr>
        <w:t>,</w:t>
      </w:r>
      <w:r w:rsidR="00C96974" w:rsidRPr="00AA38D1">
        <w:rPr>
          <w:rFonts w:ascii="Times New Roman" w:eastAsia="Times New Roman" w:hAnsi="Times New Roman" w:cs="Times New Roman"/>
          <w:sz w:val="24"/>
          <w:szCs w:val="24"/>
        </w:rPr>
        <w:t xml:space="preserve"> </w:t>
      </w:r>
      <w:r w:rsidRPr="00AA38D1">
        <w:rPr>
          <w:rFonts w:ascii="Times New Roman" w:eastAsia="Times New Roman" w:hAnsi="Times New Roman" w:cs="Times New Roman"/>
          <w:sz w:val="24"/>
          <w:szCs w:val="24"/>
        </w:rPr>
        <w:t xml:space="preserve">pozwoli na wyeliminowanie sporów interpretacyjnych </w:t>
      </w:r>
      <w:r w:rsidR="00AE4D85" w:rsidRPr="00AA38D1">
        <w:rPr>
          <w:rFonts w:ascii="Times New Roman" w:eastAsia="Times New Roman" w:hAnsi="Times New Roman" w:cs="Times New Roman"/>
          <w:sz w:val="24"/>
          <w:szCs w:val="24"/>
        </w:rPr>
        <w:t xml:space="preserve">dotyczących </w:t>
      </w:r>
      <w:r w:rsidRPr="00AA38D1">
        <w:rPr>
          <w:rFonts w:ascii="Times New Roman" w:eastAsia="Times New Roman" w:hAnsi="Times New Roman" w:cs="Times New Roman"/>
          <w:sz w:val="24"/>
          <w:szCs w:val="24"/>
        </w:rPr>
        <w:t xml:space="preserve">art. 78 ustawy o podatku </w:t>
      </w:r>
      <w:r w:rsidRPr="00AA38D1">
        <w:rPr>
          <w:rFonts w:ascii="Times New Roman" w:eastAsia="Times New Roman" w:hAnsi="Times New Roman" w:cs="Times New Roman"/>
          <w:sz w:val="24"/>
          <w:szCs w:val="24"/>
        </w:rPr>
        <w:lastRenderedPageBreak/>
        <w:t>akcyzowym</w:t>
      </w:r>
      <w:r w:rsidR="00290ECF" w:rsidRPr="00AA38D1">
        <w:rPr>
          <w:rFonts w:ascii="Times New Roman" w:eastAsia="Times New Roman" w:hAnsi="Times New Roman" w:cs="Times New Roman"/>
          <w:sz w:val="24"/>
          <w:szCs w:val="24"/>
        </w:rPr>
        <w:t>, w szczególności</w:t>
      </w:r>
      <w:r w:rsidRPr="00AA38D1">
        <w:rPr>
          <w:rFonts w:ascii="Times New Roman" w:eastAsia="Times New Roman" w:hAnsi="Times New Roman" w:cs="Times New Roman"/>
          <w:sz w:val="24"/>
          <w:szCs w:val="24"/>
        </w:rPr>
        <w:t xml:space="preserve"> na linii podmiot </w:t>
      </w:r>
      <w:r w:rsidR="00F70F31">
        <w:rPr>
          <w:rFonts w:ascii="Times New Roman" w:eastAsia="Times New Roman" w:hAnsi="Times New Roman" w:cs="Times New Roman"/>
          <w:sz w:val="24"/>
          <w:szCs w:val="24"/>
        </w:rPr>
        <w:t>–</w:t>
      </w:r>
      <w:r w:rsidR="00F70F31" w:rsidRPr="00AA38D1">
        <w:rPr>
          <w:rFonts w:ascii="Times New Roman" w:eastAsia="Times New Roman" w:hAnsi="Times New Roman" w:cs="Times New Roman"/>
          <w:sz w:val="24"/>
          <w:szCs w:val="24"/>
        </w:rPr>
        <w:t xml:space="preserve"> </w:t>
      </w:r>
      <w:r w:rsidRPr="00AA38D1">
        <w:rPr>
          <w:rFonts w:ascii="Times New Roman" w:eastAsia="Times New Roman" w:hAnsi="Times New Roman" w:cs="Times New Roman"/>
          <w:sz w:val="24"/>
          <w:szCs w:val="24"/>
        </w:rPr>
        <w:t>organ podatkowy</w:t>
      </w:r>
      <w:r w:rsidR="00290ECF" w:rsidRPr="00AA38D1">
        <w:rPr>
          <w:rFonts w:ascii="Times New Roman" w:eastAsia="Times New Roman" w:hAnsi="Times New Roman" w:cs="Times New Roman"/>
          <w:sz w:val="24"/>
          <w:szCs w:val="24"/>
        </w:rPr>
        <w:t>.</w:t>
      </w:r>
      <w:r w:rsidRPr="00AA38D1">
        <w:rPr>
          <w:rFonts w:ascii="Times New Roman" w:eastAsia="Times New Roman" w:hAnsi="Times New Roman" w:cs="Times New Roman"/>
          <w:sz w:val="24"/>
          <w:szCs w:val="24"/>
        </w:rPr>
        <w:t xml:space="preserve"> Zauważyć bowiem należy, iż nowelizacja dotyczy </w:t>
      </w:r>
      <w:r w:rsidR="00C5496D" w:rsidRPr="00AA38D1">
        <w:rPr>
          <w:rFonts w:ascii="Times New Roman" w:eastAsia="Times New Roman" w:hAnsi="Times New Roman" w:cs="Times New Roman"/>
          <w:sz w:val="24"/>
          <w:szCs w:val="24"/>
        </w:rPr>
        <w:t>alkoholu</w:t>
      </w:r>
      <w:r w:rsidRPr="00AA38D1">
        <w:rPr>
          <w:rFonts w:ascii="Times New Roman" w:eastAsia="Times New Roman" w:hAnsi="Times New Roman" w:cs="Times New Roman"/>
          <w:sz w:val="24"/>
          <w:szCs w:val="24"/>
        </w:rPr>
        <w:t xml:space="preserve"> etylowego całkowicie skażonego, co do którego co do zasady nie powinno powstać zobowiązanie podatkowe</w:t>
      </w:r>
      <w:r w:rsidR="00290ECF" w:rsidRPr="00AA38D1">
        <w:rPr>
          <w:rFonts w:ascii="Times New Roman" w:eastAsia="Times New Roman" w:hAnsi="Times New Roman" w:cs="Times New Roman"/>
          <w:sz w:val="24"/>
          <w:szCs w:val="24"/>
        </w:rPr>
        <w:t xml:space="preserve">, gdyż </w:t>
      </w:r>
      <w:r w:rsidR="00C5496D" w:rsidRPr="00AA38D1">
        <w:rPr>
          <w:rFonts w:ascii="Times New Roman" w:eastAsia="Times New Roman" w:hAnsi="Times New Roman" w:cs="Times New Roman"/>
          <w:sz w:val="24"/>
          <w:szCs w:val="24"/>
        </w:rPr>
        <w:t xml:space="preserve">prawidłowo skażony </w:t>
      </w:r>
      <w:r w:rsidR="00290ECF" w:rsidRPr="00AA38D1">
        <w:rPr>
          <w:rFonts w:ascii="Times New Roman" w:eastAsia="Times New Roman" w:hAnsi="Times New Roman" w:cs="Times New Roman"/>
          <w:sz w:val="24"/>
          <w:szCs w:val="24"/>
        </w:rPr>
        <w:t>jest dopuszczany do konsumpcji</w:t>
      </w:r>
      <w:r w:rsidR="00AE4D85" w:rsidRPr="00AA38D1">
        <w:rPr>
          <w:rFonts w:ascii="Times New Roman" w:eastAsia="Times New Roman" w:hAnsi="Times New Roman" w:cs="Times New Roman"/>
          <w:sz w:val="24"/>
          <w:szCs w:val="24"/>
        </w:rPr>
        <w:t xml:space="preserve"> </w:t>
      </w:r>
      <w:r w:rsidR="00290ECF" w:rsidRPr="00AA38D1">
        <w:rPr>
          <w:rFonts w:ascii="Times New Roman" w:eastAsia="Times New Roman" w:hAnsi="Times New Roman" w:cs="Times New Roman"/>
          <w:sz w:val="24"/>
          <w:szCs w:val="24"/>
        </w:rPr>
        <w:t>w państwie członkowskim, w</w:t>
      </w:r>
      <w:r w:rsidR="00AA38D1">
        <w:rPr>
          <w:rFonts w:ascii="Times New Roman" w:eastAsia="Times New Roman" w:hAnsi="Times New Roman" w:cs="Times New Roman"/>
          <w:sz w:val="24"/>
          <w:szCs w:val="24"/>
        </w:rPr>
        <w:t> </w:t>
      </w:r>
      <w:r w:rsidR="00290ECF" w:rsidRPr="00AA38D1">
        <w:rPr>
          <w:rFonts w:ascii="Times New Roman" w:eastAsia="Times New Roman" w:hAnsi="Times New Roman" w:cs="Times New Roman"/>
          <w:sz w:val="24"/>
          <w:szCs w:val="24"/>
        </w:rPr>
        <w:t>którym nastąpiło to skażenie</w:t>
      </w:r>
      <w:r w:rsidR="00F70F31">
        <w:rPr>
          <w:rFonts w:ascii="Times New Roman" w:eastAsia="Times New Roman" w:hAnsi="Times New Roman" w:cs="Times New Roman"/>
          <w:sz w:val="24"/>
          <w:szCs w:val="24"/>
        </w:rPr>
        <w:t>,</w:t>
      </w:r>
      <w:r w:rsidRPr="00AA38D1">
        <w:rPr>
          <w:rFonts w:ascii="Times New Roman" w:eastAsia="Times New Roman" w:hAnsi="Times New Roman" w:cs="Times New Roman"/>
          <w:sz w:val="24"/>
          <w:szCs w:val="24"/>
        </w:rPr>
        <w:t xml:space="preserve"> a jednocześnie sama czynność nabycia wewnątrzwspólnotowego </w:t>
      </w:r>
      <w:r w:rsidR="00C5496D" w:rsidRPr="00AA38D1">
        <w:rPr>
          <w:rFonts w:ascii="Times New Roman" w:eastAsia="Times New Roman" w:hAnsi="Times New Roman" w:cs="Times New Roman"/>
          <w:sz w:val="24"/>
          <w:szCs w:val="24"/>
        </w:rPr>
        <w:t xml:space="preserve">takiego alkoholu </w:t>
      </w:r>
      <w:r w:rsidRPr="00AA38D1">
        <w:rPr>
          <w:rFonts w:ascii="Times New Roman" w:eastAsia="Times New Roman" w:hAnsi="Times New Roman" w:cs="Times New Roman"/>
          <w:sz w:val="24"/>
          <w:szCs w:val="24"/>
        </w:rPr>
        <w:t>powoduje powstanie obowiązku podatkowego w podatku akcyzowym.</w:t>
      </w:r>
    </w:p>
    <w:p w:rsidR="005C012F" w:rsidRPr="00AA38D1" w:rsidRDefault="005C012F" w:rsidP="00AA38D1">
      <w:pPr>
        <w:spacing w:before="120" w:after="0" w:line="360" w:lineRule="auto"/>
        <w:ind w:left="357"/>
        <w:jc w:val="both"/>
        <w:rPr>
          <w:rFonts w:ascii="Times New Roman" w:eastAsia="Times New Roman" w:hAnsi="Times New Roman" w:cs="Times New Roman"/>
          <w:sz w:val="24"/>
          <w:szCs w:val="24"/>
        </w:rPr>
      </w:pPr>
      <w:r w:rsidRPr="00AA38D1">
        <w:rPr>
          <w:rFonts w:ascii="Times New Roman" w:eastAsia="Times New Roman" w:hAnsi="Times New Roman" w:cs="Times New Roman"/>
          <w:sz w:val="24"/>
          <w:szCs w:val="24"/>
        </w:rPr>
        <w:t xml:space="preserve">Taka konstrukcja była możliwa do zastosowania, gdyż </w:t>
      </w:r>
      <w:r w:rsidR="00922817" w:rsidRPr="00AA38D1">
        <w:rPr>
          <w:rFonts w:ascii="Times New Roman" w:eastAsia="Times New Roman" w:hAnsi="Times New Roman" w:cs="Times New Roman"/>
          <w:sz w:val="24"/>
          <w:szCs w:val="24"/>
        </w:rPr>
        <w:t>obowiązek złożenia zabezpieczenia akcyzowego nie wystąpi w przypadku stosowania zw</w:t>
      </w:r>
      <w:r w:rsidRPr="00AA38D1">
        <w:rPr>
          <w:rFonts w:ascii="Times New Roman" w:eastAsia="Times New Roman" w:hAnsi="Times New Roman" w:cs="Times New Roman"/>
          <w:sz w:val="24"/>
          <w:szCs w:val="24"/>
        </w:rPr>
        <w:t>olnieni</w:t>
      </w:r>
      <w:r w:rsidR="00922817" w:rsidRPr="00AA38D1">
        <w:rPr>
          <w:rFonts w:ascii="Times New Roman" w:eastAsia="Times New Roman" w:hAnsi="Times New Roman" w:cs="Times New Roman"/>
          <w:sz w:val="24"/>
          <w:szCs w:val="24"/>
        </w:rPr>
        <w:t>a</w:t>
      </w:r>
      <w:r w:rsidRPr="00AA38D1">
        <w:rPr>
          <w:rFonts w:ascii="Times New Roman" w:eastAsia="Times New Roman" w:hAnsi="Times New Roman" w:cs="Times New Roman"/>
          <w:sz w:val="24"/>
          <w:szCs w:val="24"/>
        </w:rPr>
        <w:t xml:space="preserve"> od akcyzy określone</w:t>
      </w:r>
      <w:r w:rsidR="00872BE4" w:rsidRPr="00AA38D1">
        <w:rPr>
          <w:rFonts w:ascii="Times New Roman" w:eastAsia="Times New Roman" w:hAnsi="Times New Roman" w:cs="Times New Roman"/>
          <w:sz w:val="24"/>
          <w:szCs w:val="24"/>
        </w:rPr>
        <w:t>go</w:t>
      </w:r>
      <w:r w:rsidRPr="00AA38D1">
        <w:rPr>
          <w:rFonts w:ascii="Times New Roman" w:eastAsia="Times New Roman" w:hAnsi="Times New Roman" w:cs="Times New Roman"/>
          <w:sz w:val="24"/>
          <w:szCs w:val="24"/>
        </w:rPr>
        <w:t xml:space="preserve"> art. 30 ust. 9 ustawy o podatku akcyzowym w punktach 2</w:t>
      </w:r>
      <w:r w:rsidR="007C3AA7" w:rsidRPr="00AA38D1">
        <w:rPr>
          <w:rFonts w:ascii="Times New Roman" w:eastAsia="Times New Roman" w:hAnsi="Times New Roman" w:cs="Times New Roman"/>
          <w:sz w:val="24"/>
          <w:szCs w:val="24"/>
        </w:rPr>
        <w:t xml:space="preserve"> i</w:t>
      </w:r>
      <w:r w:rsidR="009550C0" w:rsidRPr="00AA38D1">
        <w:rPr>
          <w:rFonts w:ascii="Times New Roman" w:eastAsia="Times New Roman" w:hAnsi="Times New Roman" w:cs="Times New Roman"/>
          <w:sz w:val="24"/>
          <w:szCs w:val="24"/>
        </w:rPr>
        <w:t xml:space="preserve"> 4</w:t>
      </w:r>
      <w:r w:rsidR="00F70F31">
        <w:rPr>
          <w:rFonts w:ascii="Times New Roman" w:eastAsia="Times New Roman" w:hAnsi="Times New Roman" w:cs="Times New Roman"/>
          <w:sz w:val="24"/>
          <w:szCs w:val="24"/>
        </w:rPr>
        <w:t>–</w:t>
      </w:r>
      <w:r w:rsidRPr="00AA38D1">
        <w:rPr>
          <w:rFonts w:ascii="Times New Roman" w:eastAsia="Times New Roman" w:hAnsi="Times New Roman" w:cs="Times New Roman"/>
          <w:sz w:val="24"/>
          <w:szCs w:val="24"/>
        </w:rPr>
        <w:t>6</w:t>
      </w:r>
      <w:r w:rsidR="00922817" w:rsidRPr="00AA38D1">
        <w:rPr>
          <w:rFonts w:ascii="Times New Roman" w:eastAsia="Times New Roman" w:hAnsi="Times New Roman" w:cs="Times New Roman"/>
          <w:sz w:val="24"/>
          <w:szCs w:val="24"/>
        </w:rPr>
        <w:t>. Zwolnienie to</w:t>
      </w:r>
      <w:r w:rsidRPr="00AA38D1">
        <w:rPr>
          <w:rFonts w:ascii="Times New Roman" w:eastAsia="Times New Roman" w:hAnsi="Times New Roman" w:cs="Times New Roman"/>
          <w:sz w:val="24"/>
          <w:szCs w:val="24"/>
        </w:rPr>
        <w:t xml:space="preserve"> dotyczy </w:t>
      </w:r>
      <w:r w:rsidR="00922817" w:rsidRPr="00AA38D1">
        <w:rPr>
          <w:rFonts w:ascii="Times New Roman" w:eastAsia="Times New Roman" w:hAnsi="Times New Roman" w:cs="Times New Roman"/>
          <w:sz w:val="24"/>
          <w:szCs w:val="24"/>
        </w:rPr>
        <w:t xml:space="preserve">bowiem </w:t>
      </w:r>
      <w:r w:rsidRPr="00AA38D1">
        <w:rPr>
          <w:rFonts w:ascii="Times New Roman" w:eastAsia="Times New Roman" w:hAnsi="Times New Roman" w:cs="Times New Roman"/>
          <w:sz w:val="24"/>
          <w:szCs w:val="24"/>
        </w:rPr>
        <w:t xml:space="preserve">alkoholu etylowego zawartego w wyrobach </w:t>
      </w:r>
      <w:r w:rsidR="005360B1" w:rsidRPr="00AA38D1">
        <w:rPr>
          <w:rFonts w:ascii="Times New Roman" w:eastAsia="Times New Roman" w:hAnsi="Times New Roman" w:cs="Times New Roman"/>
          <w:sz w:val="24"/>
          <w:szCs w:val="24"/>
        </w:rPr>
        <w:t>nieakcyzowych</w:t>
      </w:r>
      <w:r w:rsidR="00F70F31">
        <w:rPr>
          <w:rFonts w:ascii="Times New Roman" w:eastAsia="Times New Roman" w:hAnsi="Times New Roman" w:cs="Times New Roman"/>
          <w:sz w:val="24"/>
          <w:szCs w:val="24"/>
        </w:rPr>
        <w:t>,</w:t>
      </w:r>
      <w:r w:rsidRPr="00AA38D1">
        <w:rPr>
          <w:rFonts w:ascii="Times New Roman" w:eastAsia="Times New Roman" w:hAnsi="Times New Roman" w:cs="Times New Roman"/>
          <w:sz w:val="24"/>
          <w:szCs w:val="24"/>
        </w:rPr>
        <w:t xml:space="preserve"> </w:t>
      </w:r>
      <w:r w:rsidR="00872BE4" w:rsidRPr="00AA38D1">
        <w:rPr>
          <w:rFonts w:ascii="Times New Roman" w:eastAsia="Times New Roman" w:hAnsi="Times New Roman" w:cs="Times New Roman"/>
          <w:sz w:val="24"/>
          <w:szCs w:val="24"/>
        </w:rPr>
        <w:t>a nie samego alkoholu etylowego</w:t>
      </w:r>
      <w:r w:rsidRPr="00AA38D1">
        <w:rPr>
          <w:rFonts w:ascii="Times New Roman" w:eastAsia="Times New Roman" w:hAnsi="Times New Roman" w:cs="Times New Roman"/>
          <w:sz w:val="24"/>
          <w:szCs w:val="24"/>
        </w:rPr>
        <w:t>. Nabycie wewnątrzwspólnotowe takich wyrobów co do zasady nie powoduje powstani</w:t>
      </w:r>
      <w:r w:rsidR="002251EA" w:rsidRPr="00AA38D1">
        <w:rPr>
          <w:rFonts w:ascii="Times New Roman" w:eastAsia="Times New Roman" w:hAnsi="Times New Roman" w:cs="Times New Roman"/>
          <w:sz w:val="24"/>
          <w:szCs w:val="24"/>
        </w:rPr>
        <w:t>a</w:t>
      </w:r>
      <w:r w:rsidRPr="00AA38D1">
        <w:rPr>
          <w:rFonts w:ascii="Times New Roman" w:eastAsia="Times New Roman" w:hAnsi="Times New Roman" w:cs="Times New Roman"/>
          <w:sz w:val="24"/>
          <w:szCs w:val="24"/>
        </w:rPr>
        <w:t xml:space="preserve"> obowiązku podatkowego.</w:t>
      </w:r>
      <w:r w:rsidR="00922817" w:rsidRPr="00AA38D1">
        <w:rPr>
          <w:rFonts w:ascii="Times New Roman" w:eastAsia="Times New Roman" w:hAnsi="Times New Roman" w:cs="Times New Roman"/>
          <w:sz w:val="24"/>
          <w:szCs w:val="24"/>
        </w:rPr>
        <w:t xml:space="preserve"> Z</w:t>
      </w:r>
      <w:r w:rsidR="00AA38D1">
        <w:rPr>
          <w:rFonts w:ascii="Times New Roman" w:eastAsia="Times New Roman" w:hAnsi="Times New Roman" w:cs="Times New Roman"/>
          <w:sz w:val="24"/>
          <w:szCs w:val="24"/>
        </w:rPr>
        <w:t> </w:t>
      </w:r>
      <w:r w:rsidR="00922817" w:rsidRPr="00AA38D1">
        <w:rPr>
          <w:rFonts w:ascii="Times New Roman" w:eastAsia="Times New Roman" w:hAnsi="Times New Roman" w:cs="Times New Roman"/>
          <w:sz w:val="24"/>
          <w:szCs w:val="24"/>
        </w:rPr>
        <w:t>uwagi na powyższe nie ma potrzeby dopisywania</w:t>
      </w:r>
      <w:r w:rsidR="00872BE4" w:rsidRPr="00AA38D1">
        <w:rPr>
          <w:rFonts w:ascii="Times New Roman" w:eastAsia="Times New Roman" w:hAnsi="Times New Roman" w:cs="Times New Roman"/>
          <w:sz w:val="24"/>
          <w:szCs w:val="24"/>
        </w:rPr>
        <w:t xml:space="preserve"> w ustawie</w:t>
      </w:r>
      <w:r w:rsidR="00922817" w:rsidRPr="00AA38D1">
        <w:rPr>
          <w:rFonts w:ascii="Times New Roman" w:eastAsia="Times New Roman" w:hAnsi="Times New Roman" w:cs="Times New Roman"/>
          <w:sz w:val="24"/>
          <w:szCs w:val="24"/>
        </w:rPr>
        <w:t xml:space="preserve">, iż </w:t>
      </w:r>
      <w:r w:rsidR="00D35F2C" w:rsidRPr="00AA38D1">
        <w:rPr>
          <w:rFonts w:ascii="Times New Roman" w:eastAsia="Times New Roman" w:hAnsi="Times New Roman" w:cs="Times New Roman"/>
          <w:sz w:val="24"/>
          <w:szCs w:val="24"/>
        </w:rPr>
        <w:t xml:space="preserve">również </w:t>
      </w:r>
      <w:r w:rsidR="00922817" w:rsidRPr="00AA38D1">
        <w:rPr>
          <w:rFonts w:ascii="Times New Roman" w:eastAsia="Times New Roman" w:hAnsi="Times New Roman" w:cs="Times New Roman"/>
          <w:sz w:val="24"/>
          <w:szCs w:val="24"/>
        </w:rPr>
        <w:t>przy nabyciu wewnątrzwspólnotowym takich wyrobów nie ma zastosowania przepis art.</w:t>
      </w:r>
      <w:r w:rsidR="00AA38D1">
        <w:rPr>
          <w:rFonts w:ascii="Times New Roman" w:eastAsia="Times New Roman" w:hAnsi="Times New Roman" w:cs="Times New Roman"/>
          <w:sz w:val="24"/>
          <w:szCs w:val="24"/>
        </w:rPr>
        <w:t> </w:t>
      </w:r>
      <w:r w:rsidR="00D35F2C" w:rsidRPr="00AA38D1">
        <w:rPr>
          <w:rFonts w:ascii="Times New Roman" w:eastAsia="Times New Roman" w:hAnsi="Times New Roman" w:cs="Times New Roman"/>
          <w:sz w:val="24"/>
          <w:szCs w:val="24"/>
        </w:rPr>
        <w:t xml:space="preserve">78 ust. </w:t>
      </w:r>
      <w:r w:rsidR="007C3AA7" w:rsidRPr="00AA38D1">
        <w:rPr>
          <w:rFonts w:ascii="Times New Roman" w:eastAsia="Times New Roman" w:hAnsi="Times New Roman" w:cs="Times New Roman"/>
          <w:sz w:val="24"/>
          <w:szCs w:val="24"/>
        </w:rPr>
        <w:t xml:space="preserve">1 pkt </w:t>
      </w:r>
      <w:r w:rsidR="00D35F2C" w:rsidRPr="00AA38D1">
        <w:rPr>
          <w:rFonts w:ascii="Times New Roman" w:eastAsia="Times New Roman" w:hAnsi="Times New Roman" w:cs="Times New Roman"/>
          <w:sz w:val="24"/>
          <w:szCs w:val="24"/>
        </w:rPr>
        <w:t>3a.</w:t>
      </w:r>
      <w:r w:rsidR="007C3AA7" w:rsidRPr="00AA38D1">
        <w:rPr>
          <w:rFonts w:ascii="Times New Roman" w:eastAsia="Times New Roman" w:hAnsi="Times New Roman" w:cs="Times New Roman"/>
          <w:sz w:val="24"/>
          <w:szCs w:val="24"/>
        </w:rPr>
        <w:t xml:space="preserve"> W powyższym zakresie nie występują bowiem obecnie spory interpretacyjne, o których mowa powyżej (dotyczące nabycia wewnątrzwspólnotowego alkoholu etylowego całkowicie skażonego), i nie wystąpią one także po dodaniu do ustawy nowego ust. </w:t>
      </w:r>
      <w:r w:rsidR="00BB055B">
        <w:rPr>
          <w:rFonts w:ascii="Times New Roman" w:eastAsia="Times New Roman" w:hAnsi="Times New Roman" w:cs="Times New Roman"/>
          <w:sz w:val="24"/>
          <w:szCs w:val="24"/>
        </w:rPr>
        <w:t>2</w:t>
      </w:r>
      <w:r w:rsidR="007C3AA7" w:rsidRPr="00AA38D1">
        <w:rPr>
          <w:rFonts w:ascii="Times New Roman" w:eastAsia="Times New Roman" w:hAnsi="Times New Roman" w:cs="Times New Roman"/>
          <w:sz w:val="24"/>
          <w:szCs w:val="24"/>
        </w:rPr>
        <w:t xml:space="preserve">a w art. 78. </w:t>
      </w:r>
    </w:p>
    <w:p w:rsidR="005C012F" w:rsidRPr="00AA38D1" w:rsidRDefault="00F70F31" w:rsidP="00AA38D1">
      <w:pPr>
        <w:spacing w:before="120" w:after="0" w:line="360" w:lineRule="auto"/>
        <w:ind w:left="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r w:rsidR="005C012F" w:rsidRPr="00AA38D1">
        <w:rPr>
          <w:rFonts w:ascii="Times New Roman" w:eastAsia="Times New Roman" w:hAnsi="Times New Roman" w:cs="Times New Roman"/>
          <w:sz w:val="24"/>
          <w:szCs w:val="24"/>
        </w:rPr>
        <w:t xml:space="preserve"> potrzeb</w:t>
      </w:r>
      <w:r>
        <w:rPr>
          <w:rFonts w:ascii="Times New Roman" w:eastAsia="Times New Roman" w:hAnsi="Times New Roman" w:cs="Times New Roman"/>
          <w:sz w:val="24"/>
          <w:szCs w:val="24"/>
        </w:rPr>
        <w:t>y</w:t>
      </w:r>
      <w:r w:rsidR="005C012F" w:rsidRPr="00AA38D1">
        <w:rPr>
          <w:rFonts w:ascii="Times New Roman" w:eastAsia="Times New Roman" w:hAnsi="Times New Roman" w:cs="Times New Roman"/>
          <w:sz w:val="24"/>
          <w:szCs w:val="24"/>
        </w:rPr>
        <w:t xml:space="preserve"> tej zmiany znowelizowany został obecny pkt 2 </w:t>
      </w:r>
      <w:r>
        <w:rPr>
          <w:rFonts w:ascii="Times New Roman" w:eastAsia="Times New Roman" w:hAnsi="Times New Roman" w:cs="Times New Roman"/>
          <w:sz w:val="24"/>
          <w:szCs w:val="24"/>
        </w:rPr>
        <w:t>w</w:t>
      </w:r>
      <w:r w:rsidR="005C012F" w:rsidRPr="00AA38D1">
        <w:rPr>
          <w:rFonts w:ascii="Times New Roman" w:eastAsia="Times New Roman" w:hAnsi="Times New Roman" w:cs="Times New Roman"/>
          <w:sz w:val="24"/>
          <w:szCs w:val="24"/>
        </w:rPr>
        <w:t xml:space="preserve"> art. 78 </w:t>
      </w:r>
      <w:r>
        <w:rPr>
          <w:rFonts w:ascii="Times New Roman" w:eastAsia="Times New Roman" w:hAnsi="Times New Roman" w:cs="Times New Roman"/>
          <w:sz w:val="24"/>
          <w:szCs w:val="24"/>
        </w:rPr>
        <w:t xml:space="preserve">w </w:t>
      </w:r>
      <w:r w:rsidR="005C012F" w:rsidRPr="00AA38D1">
        <w:rPr>
          <w:rFonts w:ascii="Times New Roman" w:eastAsia="Times New Roman" w:hAnsi="Times New Roman" w:cs="Times New Roman"/>
          <w:sz w:val="24"/>
          <w:szCs w:val="24"/>
        </w:rPr>
        <w:t>ust. 1 przez</w:t>
      </w:r>
      <w:r w:rsidR="00AA38D1">
        <w:rPr>
          <w:rFonts w:ascii="Times New Roman" w:eastAsia="Times New Roman" w:hAnsi="Times New Roman" w:cs="Times New Roman"/>
          <w:sz w:val="24"/>
          <w:szCs w:val="24"/>
        </w:rPr>
        <w:t xml:space="preserve"> </w:t>
      </w:r>
      <w:r w:rsidR="005C012F" w:rsidRPr="00AA38D1">
        <w:rPr>
          <w:rFonts w:ascii="Times New Roman" w:eastAsia="Times New Roman" w:hAnsi="Times New Roman" w:cs="Times New Roman"/>
          <w:sz w:val="24"/>
          <w:szCs w:val="24"/>
        </w:rPr>
        <w:t>rozdzielenie do odrębnych jednostek redakcyjnych obowiązku potwierdzenia odbioru wyrobów na uproszczonym dokumencie towarzyszącym oraz wystawienia i</w:t>
      </w:r>
      <w:r w:rsidR="00AA38D1">
        <w:rPr>
          <w:rFonts w:ascii="Times New Roman" w:eastAsia="Times New Roman" w:hAnsi="Times New Roman" w:cs="Times New Roman"/>
          <w:sz w:val="24"/>
          <w:szCs w:val="24"/>
        </w:rPr>
        <w:t> </w:t>
      </w:r>
      <w:r w:rsidR="005C012F" w:rsidRPr="00AA38D1">
        <w:rPr>
          <w:rFonts w:ascii="Times New Roman" w:eastAsia="Times New Roman" w:hAnsi="Times New Roman" w:cs="Times New Roman"/>
          <w:sz w:val="24"/>
          <w:szCs w:val="24"/>
        </w:rPr>
        <w:t>dołączenia</w:t>
      </w:r>
      <w:r w:rsidR="00AA38D1">
        <w:rPr>
          <w:rFonts w:ascii="Times New Roman" w:eastAsia="Times New Roman" w:hAnsi="Times New Roman" w:cs="Times New Roman"/>
          <w:sz w:val="24"/>
          <w:szCs w:val="24"/>
        </w:rPr>
        <w:t xml:space="preserve"> </w:t>
      </w:r>
      <w:r w:rsidR="005C012F" w:rsidRPr="00AA38D1">
        <w:rPr>
          <w:rFonts w:ascii="Times New Roman" w:eastAsia="Times New Roman" w:hAnsi="Times New Roman" w:cs="Times New Roman"/>
          <w:sz w:val="24"/>
          <w:szCs w:val="24"/>
        </w:rPr>
        <w:t>do zwracanego uproszczonego dokumentu towarzyszącego dokumentu</w:t>
      </w:r>
      <w:r w:rsidR="00AA38D1">
        <w:rPr>
          <w:rFonts w:ascii="Times New Roman" w:eastAsia="Times New Roman" w:hAnsi="Times New Roman" w:cs="Times New Roman"/>
          <w:sz w:val="24"/>
          <w:szCs w:val="24"/>
        </w:rPr>
        <w:t xml:space="preserve"> </w:t>
      </w:r>
      <w:r w:rsidR="005C012F" w:rsidRPr="00AA38D1">
        <w:rPr>
          <w:rFonts w:ascii="Times New Roman" w:eastAsia="Times New Roman" w:hAnsi="Times New Roman" w:cs="Times New Roman"/>
          <w:sz w:val="24"/>
          <w:szCs w:val="24"/>
        </w:rPr>
        <w:t>potwierdzenia złożenia zabezpieczenia akcyzowego lub zapłaty akcyzy na terytorium kraju. Zmiana ta</w:t>
      </w:r>
      <w:r w:rsidR="00D62E52" w:rsidRPr="00AA38D1">
        <w:rPr>
          <w:rFonts w:ascii="Times New Roman" w:eastAsia="Times New Roman" w:hAnsi="Times New Roman" w:cs="Times New Roman"/>
          <w:sz w:val="24"/>
          <w:szCs w:val="24"/>
        </w:rPr>
        <w:t xml:space="preserve"> nie powoduje zmian regulujących kwestię braku obowiązku </w:t>
      </w:r>
      <w:r w:rsidR="005C012F" w:rsidRPr="00AA38D1">
        <w:rPr>
          <w:rFonts w:ascii="Times New Roman" w:eastAsia="Times New Roman" w:hAnsi="Times New Roman" w:cs="Times New Roman"/>
          <w:sz w:val="24"/>
          <w:szCs w:val="24"/>
        </w:rPr>
        <w:t xml:space="preserve">składania zabezpieczeń akcyzowych dla wyrobów opodatkowanych stawką zerową określonych w załączniku nr 2. </w:t>
      </w:r>
      <w:r w:rsidR="00D62E52" w:rsidRPr="00AA38D1">
        <w:rPr>
          <w:rFonts w:ascii="Times New Roman" w:eastAsia="Times New Roman" w:hAnsi="Times New Roman" w:cs="Times New Roman"/>
          <w:sz w:val="24"/>
          <w:szCs w:val="24"/>
        </w:rPr>
        <w:t xml:space="preserve">W dalszym ciągu nie występuje </w:t>
      </w:r>
      <w:r w:rsidR="00AE4D85" w:rsidRPr="00AA38D1">
        <w:rPr>
          <w:rFonts w:ascii="Times New Roman" w:eastAsia="Times New Roman" w:hAnsi="Times New Roman" w:cs="Times New Roman"/>
          <w:sz w:val="24"/>
          <w:szCs w:val="24"/>
        </w:rPr>
        <w:t>w</w:t>
      </w:r>
      <w:r w:rsidR="00AA38D1">
        <w:rPr>
          <w:rFonts w:ascii="Times New Roman" w:eastAsia="Times New Roman" w:hAnsi="Times New Roman" w:cs="Times New Roman"/>
          <w:sz w:val="24"/>
          <w:szCs w:val="24"/>
        </w:rPr>
        <w:t> </w:t>
      </w:r>
      <w:r w:rsidR="00AE4D85" w:rsidRPr="00AA38D1">
        <w:rPr>
          <w:rFonts w:ascii="Times New Roman" w:eastAsia="Times New Roman" w:hAnsi="Times New Roman" w:cs="Times New Roman"/>
          <w:sz w:val="24"/>
          <w:szCs w:val="24"/>
        </w:rPr>
        <w:t xml:space="preserve">tym zakresie </w:t>
      </w:r>
      <w:r w:rsidR="00D62E52" w:rsidRPr="00AA38D1">
        <w:rPr>
          <w:rFonts w:ascii="Times New Roman" w:eastAsia="Times New Roman" w:hAnsi="Times New Roman" w:cs="Times New Roman"/>
          <w:sz w:val="24"/>
          <w:szCs w:val="24"/>
        </w:rPr>
        <w:t>obowiązek składania zabezpieczeń akcyzowych.</w:t>
      </w:r>
    </w:p>
    <w:p w:rsidR="005C012F" w:rsidRPr="00AA38D1" w:rsidRDefault="005C012F" w:rsidP="00AA38D1">
      <w:pPr>
        <w:spacing w:before="120" w:after="0" w:line="360" w:lineRule="auto"/>
        <w:ind w:left="357"/>
        <w:jc w:val="both"/>
        <w:rPr>
          <w:rFonts w:ascii="Times New Roman" w:eastAsia="Times New Roman" w:hAnsi="Times New Roman" w:cs="Times New Roman"/>
          <w:sz w:val="24"/>
          <w:szCs w:val="24"/>
        </w:rPr>
      </w:pPr>
      <w:r w:rsidRPr="00AA38D1">
        <w:rPr>
          <w:rFonts w:ascii="Times New Roman" w:eastAsia="Times New Roman" w:hAnsi="Times New Roman" w:cs="Times New Roman"/>
          <w:sz w:val="24"/>
          <w:szCs w:val="24"/>
        </w:rPr>
        <w:t>W</w:t>
      </w:r>
      <w:r w:rsidR="00A6424A" w:rsidRPr="00AA38D1">
        <w:rPr>
          <w:rFonts w:ascii="Times New Roman" w:eastAsia="Times New Roman" w:hAnsi="Times New Roman" w:cs="Times New Roman"/>
          <w:sz w:val="24"/>
          <w:szCs w:val="24"/>
        </w:rPr>
        <w:t xml:space="preserve"> art. 78 ust. 1 pkt 2 doprecyzowano</w:t>
      </w:r>
      <w:r w:rsidR="00EE5F03" w:rsidRPr="00AA38D1">
        <w:rPr>
          <w:rFonts w:ascii="Times New Roman" w:eastAsia="Times New Roman" w:hAnsi="Times New Roman" w:cs="Times New Roman"/>
          <w:sz w:val="24"/>
          <w:szCs w:val="24"/>
        </w:rPr>
        <w:t xml:space="preserve"> </w:t>
      </w:r>
      <w:r w:rsidRPr="00AA38D1">
        <w:rPr>
          <w:rFonts w:ascii="Times New Roman" w:eastAsia="Times New Roman" w:hAnsi="Times New Roman" w:cs="Times New Roman"/>
          <w:sz w:val="24"/>
          <w:szCs w:val="24"/>
        </w:rPr>
        <w:t xml:space="preserve">jedynie </w:t>
      </w:r>
      <w:r w:rsidR="00EE5F03" w:rsidRPr="00AA38D1">
        <w:rPr>
          <w:rFonts w:ascii="Times New Roman" w:eastAsia="Times New Roman" w:hAnsi="Times New Roman" w:cs="Times New Roman"/>
          <w:sz w:val="24"/>
          <w:szCs w:val="24"/>
        </w:rPr>
        <w:t>zapis</w:t>
      </w:r>
      <w:r w:rsidR="00A6424A" w:rsidRPr="00AA38D1">
        <w:rPr>
          <w:rFonts w:ascii="Times New Roman" w:eastAsia="Times New Roman" w:hAnsi="Times New Roman" w:cs="Times New Roman"/>
          <w:sz w:val="24"/>
          <w:szCs w:val="24"/>
        </w:rPr>
        <w:t xml:space="preserve">, iż </w:t>
      </w:r>
      <w:r w:rsidR="00EE5F03" w:rsidRPr="00AA38D1">
        <w:rPr>
          <w:rFonts w:ascii="Times New Roman" w:eastAsia="Times New Roman" w:hAnsi="Times New Roman" w:cs="Times New Roman"/>
          <w:sz w:val="24"/>
          <w:szCs w:val="24"/>
        </w:rPr>
        <w:t xml:space="preserve">chodzi o wyroby opodatkowane zerową stawką akcyzy. </w:t>
      </w:r>
      <w:r w:rsidR="00EE5F03" w:rsidRPr="00AA38D1" w:rsidDel="005C012F">
        <w:rPr>
          <w:rFonts w:ascii="Times New Roman" w:eastAsia="Times New Roman" w:hAnsi="Times New Roman" w:cs="Times New Roman"/>
          <w:sz w:val="24"/>
          <w:szCs w:val="24"/>
        </w:rPr>
        <w:t xml:space="preserve">Powyższy fakt co prawda nie był </w:t>
      </w:r>
      <w:r w:rsidR="00A42045" w:rsidRPr="00AA38D1" w:rsidDel="005C012F">
        <w:rPr>
          <w:rFonts w:ascii="Times New Roman" w:eastAsia="Times New Roman" w:hAnsi="Times New Roman" w:cs="Times New Roman"/>
          <w:sz w:val="24"/>
          <w:szCs w:val="24"/>
        </w:rPr>
        <w:t xml:space="preserve">uprzednio </w:t>
      </w:r>
      <w:r w:rsidR="00EE5F03" w:rsidRPr="00AA38D1" w:rsidDel="005C012F">
        <w:rPr>
          <w:rFonts w:ascii="Times New Roman" w:eastAsia="Times New Roman" w:hAnsi="Times New Roman" w:cs="Times New Roman"/>
          <w:sz w:val="24"/>
          <w:szCs w:val="24"/>
        </w:rPr>
        <w:t>bezpośrednio wskazany w ww. przepisie</w:t>
      </w:r>
      <w:r w:rsidR="00AE4D85" w:rsidRPr="00AA38D1">
        <w:rPr>
          <w:rFonts w:ascii="Times New Roman" w:eastAsia="Times New Roman" w:hAnsi="Times New Roman" w:cs="Times New Roman"/>
          <w:sz w:val="24"/>
          <w:szCs w:val="24"/>
        </w:rPr>
        <w:t>,</w:t>
      </w:r>
      <w:r w:rsidR="00EE5F03" w:rsidRPr="00AA38D1" w:rsidDel="005C012F">
        <w:rPr>
          <w:rFonts w:ascii="Times New Roman" w:eastAsia="Times New Roman" w:hAnsi="Times New Roman" w:cs="Times New Roman"/>
          <w:sz w:val="24"/>
          <w:szCs w:val="24"/>
        </w:rPr>
        <w:t xml:space="preserve"> jedn</w:t>
      </w:r>
      <w:r w:rsidR="00F659AA" w:rsidRPr="00AA38D1" w:rsidDel="005C012F">
        <w:rPr>
          <w:rFonts w:ascii="Times New Roman" w:eastAsia="Times New Roman" w:hAnsi="Times New Roman" w:cs="Times New Roman"/>
          <w:sz w:val="24"/>
          <w:szCs w:val="24"/>
        </w:rPr>
        <w:t xml:space="preserve">ak </w:t>
      </w:r>
      <w:r w:rsidR="00AE4D85" w:rsidRPr="00AA38D1">
        <w:rPr>
          <w:rFonts w:ascii="Times New Roman" w:eastAsia="Times New Roman" w:hAnsi="Times New Roman" w:cs="Times New Roman"/>
          <w:sz w:val="24"/>
          <w:szCs w:val="24"/>
        </w:rPr>
        <w:t xml:space="preserve">przepis ten </w:t>
      </w:r>
      <w:r w:rsidR="00F659AA" w:rsidRPr="00AA38D1" w:rsidDel="005C012F">
        <w:rPr>
          <w:rFonts w:ascii="Times New Roman" w:eastAsia="Times New Roman" w:hAnsi="Times New Roman" w:cs="Times New Roman"/>
          <w:sz w:val="24"/>
          <w:szCs w:val="24"/>
        </w:rPr>
        <w:t>dotyczył wyrobów opodatkowanych</w:t>
      </w:r>
      <w:r w:rsidR="00EE5F03" w:rsidRPr="00AA38D1" w:rsidDel="005C012F">
        <w:rPr>
          <w:rFonts w:ascii="Times New Roman" w:eastAsia="Times New Roman" w:hAnsi="Times New Roman" w:cs="Times New Roman"/>
          <w:sz w:val="24"/>
          <w:szCs w:val="24"/>
        </w:rPr>
        <w:t xml:space="preserve"> zerową stawka akcyzy. </w:t>
      </w:r>
      <w:r w:rsidR="00EE5F03" w:rsidRPr="00AA38D1">
        <w:rPr>
          <w:rFonts w:ascii="Times New Roman" w:eastAsia="Times New Roman" w:hAnsi="Times New Roman" w:cs="Times New Roman"/>
          <w:sz w:val="24"/>
          <w:szCs w:val="24"/>
        </w:rPr>
        <w:t xml:space="preserve">Powyższe doprecyzowanie zapisu ma na </w:t>
      </w:r>
      <w:r w:rsidR="00EE5F03" w:rsidRPr="00AA38D1">
        <w:rPr>
          <w:rFonts w:ascii="Times New Roman" w:eastAsia="Times New Roman" w:hAnsi="Times New Roman" w:cs="Times New Roman"/>
          <w:sz w:val="24"/>
          <w:szCs w:val="24"/>
        </w:rPr>
        <w:lastRenderedPageBreak/>
        <w:t xml:space="preserve">celu wyeliminowanie nieprawidłowości interpretacyjnych </w:t>
      </w:r>
      <w:r w:rsidR="00A42045" w:rsidRPr="00AA38D1">
        <w:rPr>
          <w:rFonts w:ascii="Times New Roman" w:eastAsia="Times New Roman" w:hAnsi="Times New Roman" w:cs="Times New Roman"/>
          <w:sz w:val="24"/>
          <w:szCs w:val="24"/>
        </w:rPr>
        <w:t xml:space="preserve">w </w:t>
      </w:r>
      <w:r w:rsidR="00EE5F03" w:rsidRPr="00AA38D1">
        <w:rPr>
          <w:rFonts w:ascii="Times New Roman" w:eastAsia="Times New Roman" w:hAnsi="Times New Roman" w:cs="Times New Roman"/>
          <w:sz w:val="24"/>
          <w:szCs w:val="24"/>
        </w:rPr>
        <w:t xml:space="preserve">tym zakresie i nie powoduje zmiany </w:t>
      </w:r>
      <w:r w:rsidR="00F659AA" w:rsidRPr="00AA38D1">
        <w:rPr>
          <w:rFonts w:ascii="Times New Roman" w:eastAsia="Times New Roman" w:hAnsi="Times New Roman" w:cs="Times New Roman"/>
          <w:sz w:val="24"/>
          <w:szCs w:val="24"/>
        </w:rPr>
        <w:t xml:space="preserve">obowiązującego dotychczas </w:t>
      </w:r>
      <w:r w:rsidR="00EE5F03" w:rsidRPr="00AA38D1">
        <w:rPr>
          <w:rFonts w:ascii="Times New Roman" w:eastAsia="Times New Roman" w:hAnsi="Times New Roman" w:cs="Times New Roman"/>
          <w:sz w:val="24"/>
          <w:szCs w:val="24"/>
        </w:rPr>
        <w:t xml:space="preserve">stanu prawnego. </w:t>
      </w:r>
    </w:p>
    <w:p w:rsidR="005F77AE" w:rsidRPr="00AA38D1" w:rsidRDefault="00EE0D7C" w:rsidP="00AA38D1">
      <w:pPr>
        <w:spacing w:before="120" w:after="0" w:line="360" w:lineRule="auto"/>
        <w:ind w:left="357"/>
        <w:jc w:val="both"/>
        <w:rPr>
          <w:rFonts w:ascii="Times New Roman" w:eastAsia="Times New Roman" w:hAnsi="Times New Roman" w:cs="Times New Roman"/>
          <w:sz w:val="24"/>
          <w:szCs w:val="24"/>
        </w:rPr>
      </w:pPr>
      <w:r w:rsidRPr="00AA38D1">
        <w:rPr>
          <w:rFonts w:ascii="Times New Roman" w:hAnsi="Times New Roman"/>
          <w:sz w:val="24"/>
          <w:szCs w:val="24"/>
        </w:rPr>
        <w:t xml:space="preserve">Nowelizacja art. 78 w związku z dodaniem </w:t>
      </w:r>
      <w:r w:rsidR="00AE4D85" w:rsidRPr="00AA38D1">
        <w:rPr>
          <w:rFonts w:ascii="Times New Roman" w:hAnsi="Times New Roman"/>
          <w:sz w:val="24"/>
          <w:szCs w:val="24"/>
        </w:rPr>
        <w:t>w ust. 1 pkt</w:t>
      </w:r>
      <w:r w:rsidRPr="00AA38D1">
        <w:rPr>
          <w:rFonts w:ascii="Times New Roman" w:hAnsi="Times New Roman"/>
          <w:sz w:val="24"/>
          <w:szCs w:val="24"/>
        </w:rPr>
        <w:t xml:space="preserve"> </w:t>
      </w:r>
      <w:r w:rsidR="00C24372" w:rsidRPr="00AA38D1">
        <w:rPr>
          <w:rFonts w:ascii="Times New Roman" w:hAnsi="Times New Roman"/>
          <w:sz w:val="24"/>
          <w:szCs w:val="24"/>
        </w:rPr>
        <w:t>2</w:t>
      </w:r>
      <w:r w:rsidRPr="00AA38D1">
        <w:rPr>
          <w:rFonts w:ascii="Times New Roman" w:hAnsi="Times New Roman"/>
          <w:sz w:val="24"/>
          <w:szCs w:val="24"/>
        </w:rPr>
        <w:t xml:space="preserve">a spowodowała korektę obecnego </w:t>
      </w:r>
      <w:r w:rsidR="003D017D" w:rsidRPr="00AA38D1">
        <w:rPr>
          <w:rFonts w:ascii="Times New Roman" w:eastAsia="Times New Roman" w:hAnsi="Times New Roman" w:cs="Times New Roman"/>
          <w:sz w:val="24"/>
          <w:szCs w:val="24"/>
        </w:rPr>
        <w:t xml:space="preserve">art. </w:t>
      </w:r>
      <w:r w:rsidR="00445CAC" w:rsidRPr="00AA38D1">
        <w:rPr>
          <w:rFonts w:ascii="Times New Roman" w:eastAsia="Times New Roman" w:hAnsi="Times New Roman" w:cs="Times New Roman"/>
          <w:sz w:val="24"/>
          <w:szCs w:val="24"/>
        </w:rPr>
        <w:t xml:space="preserve">76 i </w:t>
      </w:r>
      <w:r w:rsidR="00062080" w:rsidRPr="00AA38D1">
        <w:rPr>
          <w:rFonts w:ascii="Times New Roman" w:eastAsia="Times New Roman" w:hAnsi="Times New Roman" w:cs="Times New Roman"/>
          <w:sz w:val="24"/>
          <w:szCs w:val="24"/>
        </w:rPr>
        <w:t xml:space="preserve">art. </w:t>
      </w:r>
      <w:r w:rsidR="00445CAC" w:rsidRPr="00AA38D1">
        <w:rPr>
          <w:rFonts w:ascii="Times New Roman" w:eastAsia="Times New Roman" w:hAnsi="Times New Roman" w:cs="Times New Roman"/>
          <w:sz w:val="24"/>
          <w:szCs w:val="24"/>
        </w:rPr>
        <w:t>78 ust. 2</w:t>
      </w:r>
      <w:r w:rsidR="003D017D" w:rsidRPr="00AA38D1">
        <w:rPr>
          <w:rFonts w:ascii="Times New Roman" w:eastAsia="Times New Roman" w:hAnsi="Times New Roman" w:cs="Times New Roman"/>
          <w:sz w:val="24"/>
          <w:szCs w:val="24"/>
        </w:rPr>
        <w:t xml:space="preserve"> ustawy o podatku akcyzowym.</w:t>
      </w:r>
    </w:p>
    <w:p w:rsidR="00AD60B7" w:rsidRPr="00AA38D1" w:rsidRDefault="00443A58" w:rsidP="00AA38D1">
      <w:pPr>
        <w:spacing w:before="120" w:after="0" w:line="360" w:lineRule="auto"/>
        <w:ind w:left="357"/>
        <w:jc w:val="both"/>
        <w:rPr>
          <w:rFonts w:ascii="Times New Roman" w:eastAsia="Times New Roman" w:hAnsi="Times New Roman" w:cs="Times New Roman"/>
          <w:sz w:val="24"/>
          <w:szCs w:val="24"/>
        </w:rPr>
      </w:pPr>
      <w:r w:rsidRPr="00F70F31">
        <w:rPr>
          <w:rFonts w:ascii="Times New Roman" w:eastAsia="Times New Roman" w:hAnsi="Times New Roman" w:cs="Times New Roman"/>
          <w:sz w:val="24"/>
          <w:szCs w:val="24"/>
        </w:rPr>
        <w:t xml:space="preserve">W </w:t>
      </w:r>
      <w:r w:rsidR="0029247D" w:rsidRPr="00F70F31">
        <w:rPr>
          <w:rFonts w:ascii="Times New Roman" w:eastAsia="Times New Roman" w:hAnsi="Times New Roman" w:cs="Times New Roman"/>
          <w:sz w:val="24"/>
          <w:szCs w:val="24"/>
        </w:rPr>
        <w:t xml:space="preserve">celu uniknięcie ewentualnych wątpliwości i niespójności art. 63 ust. 1 pkt 5 </w:t>
      </w:r>
      <w:r w:rsidR="00CF1DDE" w:rsidRPr="00F70F31">
        <w:rPr>
          <w:rFonts w:ascii="Times New Roman" w:eastAsia="Times New Roman" w:hAnsi="Times New Roman" w:cs="Times New Roman"/>
          <w:sz w:val="24"/>
          <w:szCs w:val="24"/>
        </w:rPr>
        <w:t xml:space="preserve">oraz art. 65 ust. 1a pkt 1 </w:t>
      </w:r>
      <w:r w:rsidRPr="00F70F31">
        <w:rPr>
          <w:rFonts w:ascii="Times New Roman" w:eastAsia="Times New Roman" w:hAnsi="Times New Roman" w:cs="Times New Roman"/>
          <w:sz w:val="24"/>
          <w:szCs w:val="24"/>
        </w:rPr>
        <w:t>z ust. 2</w:t>
      </w:r>
      <w:r w:rsidR="0029247D" w:rsidRPr="00F70F31">
        <w:rPr>
          <w:rFonts w:ascii="Times New Roman" w:eastAsia="Times New Roman" w:hAnsi="Times New Roman" w:cs="Times New Roman"/>
          <w:sz w:val="24"/>
          <w:szCs w:val="24"/>
        </w:rPr>
        <w:t>a w art. 78</w:t>
      </w:r>
      <w:r w:rsidRPr="00F70F31">
        <w:rPr>
          <w:rFonts w:ascii="Times New Roman" w:eastAsia="Times New Roman" w:hAnsi="Times New Roman" w:cs="Times New Roman"/>
          <w:sz w:val="24"/>
          <w:szCs w:val="24"/>
        </w:rPr>
        <w:t xml:space="preserve">, </w:t>
      </w:r>
      <w:r w:rsidR="00F70F31">
        <w:rPr>
          <w:rFonts w:ascii="Times New Roman" w:eastAsia="Times New Roman" w:hAnsi="Times New Roman" w:cs="Times New Roman"/>
          <w:sz w:val="24"/>
          <w:szCs w:val="24"/>
        </w:rPr>
        <w:t xml:space="preserve">w </w:t>
      </w:r>
      <w:r w:rsidRPr="00F70F31">
        <w:rPr>
          <w:rFonts w:ascii="Times New Roman" w:eastAsia="Times New Roman" w:hAnsi="Times New Roman" w:cs="Times New Roman"/>
          <w:sz w:val="24"/>
          <w:szCs w:val="24"/>
        </w:rPr>
        <w:t xml:space="preserve">którym określono, iż </w:t>
      </w:r>
      <w:r w:rsidR="0029247D" w:rsidRPr="00F70F31">
        <w:rPr>
          <w:rFonts w:ascii="Times New Roman" w:eastAsia="Times New Roman" w:hAnsi="Times New Roman" w:cs="Times New Roman"/>
          <w:sz w:val="24"/>
          <w:szCs w:val="24"/>
        </w:rPr>
        <w:t>obowiąz</w:t>
      </w:r>
      <w:r w:rsidR="00216170" w:rsidRPr="00F70F31">
        <w:rPr>
          <w:rFonts w:ascii="Times New Roman" w:eastAsia="Times New Roman" w:hAnsi="Times New Roman" w:cs="Times New Roman"/>
          <w:sz w:val="24"/>
          <w:szCs w:val="24"/>
        </w:rPr>
        <w:t>e</w:t>
      </w:r>
      <w:r w:rsidR="0029247D" w:rsidRPr="00F70F31">
        <w:rPr>
          <w:rFonts w:ascii="Times New Roman" w:eastAsia="Times New Roman" w:hAnsi="Times New Roman" w:cs="Times New Roman"/>
          <w:sz w:val="24"/>
          <w:szCs w:val="24"/>
        </w:rPr>
        <w:t xml:space="preserve">k złożenia zabezpieczenia akcyzowego </w:t>
      </w:r>
      <w:r w:rsidR="00216170" w:rsidRPr="00F70F31">
        <w:rPr>
          <w:rFonts w:ascii="Times New Roman" w:eastAsia="Times New Roman" w:hAnsi="Times New Roman" w:cs="Times New Roman"/>
          <w:sz w:val="24"/>
          <w:szCs w:val="24"/>
        </w:rPr>
        <w:t xml:space="preserve">nie dotyczy </w:t>
      </w:r>
      <w:r w:rsidR="0029247D" w:rsidRPr="00F70F31">
        <w:rPr>
          <w:rFonts w:ascii="Times New Roman" w:eastAsia="Times New Roman" w:hAnsi="Times New Roman" w:cs="Times New Roman"/>
          <w:sz w:val="24"/>
          <w:szCs w:val="24"/>
        </w:rPr>
        <w:t>naby</w:t>
      </w:r>
      <w:r w:rsidR="00216170" w:rsidRPr="00F70F31">
        <w:rPr>
          <w:rFonts w:ascii="Times New Roman" w:eastAsia="Times New Roman" w:hAnsi="Times New Roman" w:cs="Times New Roman"/>
          <w:sz w:val="24"/>
          <w:szCs w:val="24"/>
        </w:rPr>
        <w:t>cia</w:t>
      </w:r>
      <w:r w:rsidR="0029247D" w:rsidRPr="00F70F31">
        <w:rPr>
          <w:rFonts w:ascii="Times New Roman" w:eastAsia="Times New Roman" w:hAnsi="Times New Roman" w:cs="Times New Roman"/>
          <w:sz w:val="24"/>
          <w:szCs w:val="24"/>
        </w:rPr>
        <w:t xml:space="preserve"> wewnątrzwspólnotowo cał</w:t>
      </w:r>
      <w:r w:rsidRPr="00F70F31">
        <w:rPr>
          <w:rFonts w:ascii="Times New Roman" w:eastAsia="Times New Roman" w:hAnsi="Times New Roman" w:cs="Times New Roman"/>
          <w:sz w:val="24"/>
          <w:szCs w:val="24"/>
        </w:rPr>
        <w:t>kowicie skażon</w:t>
      </w:r>
      <w:r w:rsidR="00216170" w:rsidRPr="00F70F31">
        <w:rPr>
          <w:rFonts w:ascii="Times New Roman" w:eastAsia="Times New Roman" w:hAnsi="Times New Roman" w:cs="Times New Roman"/>
          <w:sz w:val="24"/>
          <w:szCs w:val="24"/>
        </w:rPr>
        <w:t>ego</w:t>
      </w:r>
      <w:r w:rsidRPr="00F70F31">
        <w:rPr>
          <w:rFonts w:ascii="Times New Roman" w:eastAsia="Times New Roman" w:hAnsi="Times New Roman" w:cs="Times New Roman"/>
          <w:sz w:val="24"/>
          <w:szCs w:val="24"/>
        </w:rPr>
        <w:t xml:space="preserve"> alkohol</w:t>
      </w:r>
      <w:r w:rsidR="00216170" w:rsidRPr="00F70F31">
        <w:rPr>
          <w:rFonts w:ascii="Times New Roman" w:eastAsia="Times New Roman" w:hAnsi="Times New Roman" w:cs="Times New Roman"/>
          <w:sz w:val="24"/>
          <w:szCs w:val="24"/>
        </w:rPr>
        <w:t>u</w:t>
      </w:r>
      <w:r w:rsidRPr="00F70F31">
        <w:rPr>
          <w:rFonts w:ascii="Times New Roman" w:eastAsia="Times New Roman" w:hAnsi="Times New Roman" w:cs="Times New Roman"/>
          <w:sz w:val="24"/>
          <w:szCs w:val="24"/>
        </w:rPr>
        <w:t xml:space="preserve"> etylow</w:t>
      </w:r>
      <w:r w:rsidR="00216170" w:rsidRPr="00F70F31">
        <w:rPr>
          <w:rFonts w:ascii="Times New Roman" w:eastAsia="Times New Roman" w:hAnsi="Times New Roman" w:cs="Times New Roman"/>
          <w:sz w:val="24"/>
          <w:szCs w:val="24"/>
        </w:rPr>
        <w:t>ego</w:t>
      </w:r>
      <w:r w:rsidRPr="00F70F31">
        <w:rPr>
          <w:rFonts w:ascii="Times New Roman" w:eastAsia="Times New Roman" w:hAnsi="Times New Roman" w:cs="Times New Roman"/>
          <w:sz w:val="24"/>
          <w:szCs w:val="24"/>
        </w:rPr>
        <w:t>, dokonano zmiany brzmienia tych przepisów. W</w:t>
      </w:r>
      <w:r w:rsidR="00AA38D1">
        <w:rPr>
          <w:rFonts w:ascii="Times New Roman" w:eastAsia="Times New Roman" w:hAnsi="Times New Roman" w:cs="Times New Roman"/>
          <w:sz w:val="24"/>
          <w:szCs w:val="24"/>
        </w:rPr>
        <w:t> </w:t>
      </w:r>
      <w:r w:rsidRPr="00AA38D1">
        <w:rPr>
          <w:rFonts w:ascii="Times New Roman" w:eastAsia="Times New Roman" w:hAnsi="Times New Roman" w:cs="Times New Roman"/>
          <w:sz w:val="24"/>
          <w:szCs w:val="24"/>
        </w:rPr>
        <w:t xml:space="preserve">art.63 ust. 1 pkt 5 </w:t>
      </w:r>
      <w:r w:rsidR="003253E6" w:rsidRPr="00AA38D1">
        <w:rPr>
          <w:rFonts w:ascii="Times New Roman" w:eastAsia="Times New Roman" w:hAnsi="Times New Roman" w:cs="Times New Roman"/>
          <w:sz w:val="24"/>
          <w:szCs w:val="24"/>
        </w:rPr>
        <w:t>doprecyzowano, iż obowiązek</w:t>
      </w:r>
      <w:r w:rsidRPr="00AA38D1">
        <w:rPr>
          <w:rFonts w:ascii="Times New Roman" w:eastAsia="Times New Roman" w:hAnsi="Times New Roman" w:cs="Times New Roman"/>
          <w:sz w:val="24"/>
          <w:szCs w:val="24"/>
        </w:rPr>
        <w:t xml:space="preserve"> złożenia </w:t>
      </w:r>
      <w:r w:rsidR="003253E6" w:rsidRPr="00AA38D1">
        <w:rPr>
          <w:rFonts w:ascii="Times New Roman" w:eastAsia="Times New Roman" w:hAnsi="Times New Roman" w:cs="Times New Roman"/>
          <w:sz w:val="24"/>
          <w:szCs w:val="24"/>
        </w:rPr>
        <w:t>zabezpieczenia</w:t>
      </w:r>
      <w:r w:rsidRPr="00AA38D1">
        <w:rPr>
          <w:rFonts w:ascii="Times New Roman" w:eastAsia="Times New Roman" w:hAnsi="Times New Roman" w:cs="Times New Roman"/>
          <w:sz w:val="24"/>
          <w:szCs w:val="24"/>
        </w:rPr>
        <w:t xml:space="preserve"> </w:t>
      </w:r>
      <w:r w:rsidR="003253E6" w:rsidRPr="00AA38D1">
        <w:rPr>
          <w:rFonts w:ascii="Times New Roman" w:eastAsia="Times New Roman" w:hAnsi="Times New Roman" w:cs="Times New Roman"/>
          <w:sz w:val="24"/>
          <w:szCs w:val="24"/>
        </w:rPr>
        <w:t>z tytułu dokonania nabycia wewnątrzwspólnotowego na podstawie art. 78 ust. 1 ustawy nie dotyczy nabycia wewnątrzwspólnotowego alkoholu etylowego całkowicie skażonego.</w:t>
      </w:r>
      <w:r w:rsidR="00216170" w:rsidRPr="00AA38D1">
        <w:rPr>
          <w:rFonts w:ascii="Times New Roman" w:eastAsia="Times New Roman" w:hAnsi="Times New Roman" w:cs="Times New Roman"/>
          <w:sz w:val="24"/>
          <w:szCs w:val="24"/>
        </w:rPr>
        <w:t xml:space="preserve"> Również w pkt 1 </w:t>
      </w:r>
      <w:r w:rsidR="00F70F31">
        <w:rPr>
          <w:rFonts w:ascii="Times New Roman" w:eastAsia="Times New Roman" w:hAnsi="Times New Roman" w:cs="Times New Roman"/>
          <w:sz w:val="24"/>
          <w:szCs w:val="24"/>
        </w:rPr>
        <w:t xml:space="preserve">w </w:t>
      </w:r>
      <w:r w:rsidR="00216170" w:rsidRPr="00AA38D1">
        <w:rPr>
          <w:rFonts w:ascii="Times New Roman" w:eastAsia="Times New Roman" w:hAnsi="Times New Roman" w:cs="Times New Roman"/>
          <w:sz w:val="24"/>
          <w:szCs w:val="24"/>
        </w:rPr>
        <w:t xml:space="preserve">art. 65 </w:t>
      </w:r>
      <w:r w:rsidR="00552D5A">
        <w:rPr>
          <w:rFonts w:ascii="Times New Roman" w:eastAsia="Times New Roman" w:hAnsi="Times New Roman" w:cs="Times New Roman"/>
          <w:sz w:val="24"/>
          <w:szCs w:val="24"/>
        </w:rPr>
        <w:t xml:space="preserve">w </w:t>
      </w:r>
      <w:r w:rsidR="00216170" w:rsidRPr="00AA38D1">
        <w:rPr>
          <w:rFonts w:ascii="Times New Roman" w:eastAsia="Times New Roman" w:hAnsi="Times New Roman" w:cs="Times New Roman"/>
          <w:sz w:val="24"/>
          <w:szCs w:val="24"/>
        </w:rPr>
        <w:t>ust. 1a dokonano stosownego doprecyzowania, przez dodanie określenia „z wyjątkiem przypadków, o których mowa w art. 78 ust. 2a”.</w:t>
      </w:r>
    </w:p>
    <w:p w:rsidR="003C71ED" w:rsidRPr="00AA38D1" w:rsidRDefault="003C71ED" w:rsidP="00AA38D1">
      <w:pPr>
        <w:pStyle w:val="Akapitzlist"/>
        <w:numPr>
          <w:ilvl w:val="0"/>
          <w:numId w:val="5"/>
        </w:numPr>
        <w:spacing w:before="120" w:after="0" w:line="360" w:lineRule="auto"/>
        <w:ind w:left="357" w:hanging="357"/>
        <w:contextualSpacing w:val="0"/>
        <w:jc w:val="both"/>
        <w:rPr>
          <w:rFonts w:ascii="Times New Roman" w:eastAsiaTheme="minorHAnsi" w:hAnsi="Times New Roman" w:cs="Times New Roman"/>
          <w:b/>
          <w:sz w:val="24"/>
          <w:szCs w:val="24"/>
          <w:lang w:eastAsia="en-US"/>
        </w:rPr>
      </w:pPr>
      <w:r w:rsidRPr="00AA38D1">
        <w:rPr>
          <w:rFonts w:ascii="Times New Roman" w:eastAsiaTheme="minorHAnsi" w:hAnsi="Times New Roman" w:cs="Times New Roman"/>
          <w:b/>
          <w:sz w:val="24"/>
          <w:szCs w:val="24"/>
          <w:lang w:eastAsia="en-US"/>
        </w:rPr>
        <w:t>Wejście w życie</w:t>
      </w:r>
      <w:r w:rsidR="005C723D" w:rsidRPr="00AA38D1">
        <w:rPr>
          <w:rFonts w:ascii="Times New Roman" w:eastAsiaTheme="minorHAnsi" w:hAnsi="Times New Roman" w:cs="Times New Roman"/>
          <w:b/>
          <w:sz w:val="24"/>
          <w:szCs w:val="24"/>
          <w:lang w:eastAsia="en-US"/>
        </w:rPr>
        <w:t xml:space="preserve"> zmian </w:t>
      </w:r>
    </w:p>
    <w:p w:rsidR="00701996" w:rsidRPr="00AA38D1" w:rsidRDefault="001E55C3" w:rsidP="00AA38D1">
      <w:pPr>
        <w:spacing w:before="120" w:after="0" w:line="360" w:lineRule="auto"/>
        <w:ind w:left="357"/>
        <w:jc w:val="both"/>
        <w:rPr>
          <w:rFonts w:asciiTheme="majorBidi" w:eastAsiaTheme="minorHAnsi" w:hAnsiTheme="majorBidi" w:cstheme="majorBidi"/>
          <w:sz w:val="24"/>
          <w:szCs w:val="24"/>
          <w:lang w:eastAsia="en-US"/>
        </w:rPr>
      </w:pPr>
      <w:r w:rsidRPr="00AA38D1">
        <w:rPr>
          <w:rFonts w:ascii="Times New Roman" w:eastAsiaTheme="minorHAnsi" w:hAnsi="Times New Roman" w:cs="Times New Roman"/>
          <w:sz w:val="24"/>
          <w:szCs w:val="24"/>
          <w:lang w:eastAsia="en-US"/>
        </w:rPr>
        <w:t>Ustawa wejdzie</w:t>
      </w:r>
      <w:r w:rsidR="003C71ED" w:rsidRPr="00AA38D1">
        <w:rPr>
          <w:rFonts w:ascii="Times New Roman" w:eastAsiaTheme="minorHAnsi" w:hAnsi="Times New Roman" w:cs="Times New Roman"/>
          <w:sz w:val="24"/>
          <w:szCs w:val="24"/>
          <w:lang w:eastAsia="en-US"/>
        </w:rPr>
        <w:t xml:space="preserve"> w życie </w:t>
      </w:r>
      <w:r w:rsidR="005C723D" w:rsidRPr="00AA38D1">
        <w:rPr>
          <w:rFonts w:ascii="Times New Roman" w:eastAsiaTheme="minorHAnsi" w:hAnsi="Times New Roman" w:cs="Times New Roman"/>
          <w:sz w:val="24"/>
          <w:szCs w:val="24"/>
          <w:lang w:eastAsia="en-US"/>
        </w:rPr>
        <w:t xml:space="preserve">po upływie </w:t>
      </w:r>
      <w:r w:rsidR="009F498B" w:rsidRPr="00AA38D1">
        <w:rPr>
          <w:rFonts w:ascii="Times New Roman" w:eastAsiaTheme="minorHAnsi" w:hAnsi="Times New Roman" w:cs="Times New Roman"/>
          <w:sz w:val="24"/>
          <w:szCs w:val="24"/>
          <w:lang w:eastAsia="en-US"/>
        </w:rPr>
        <w:t xml:space="preserve">14 </w:t>
      </w:r>
      <w:r w:rsidR="005C723D" w:rsidRPr="00AA38D1">
        <w:rPr>
          <w:rFonts w:ascii="Times New Roman" w:eastAsiaTheme="minorHAnsi" w:hAnsi="Times New Roman" w:cs="Times New Roman"/>
          <w:sz w:val="24"/>
          <w:szCs w:val="24"/>
          <w:lang w:eastAsia="en-US"/>
        </w:rPr>
        <w:t>dni od dnia ogłoszenia.</w:t>
      </w:r>
      <w:r w:rsidR="00176D30" w:rsidRPr="00AA38D1">
        <w:rPr>
          <w:sz w:val="24"/>
          <w:szCs w:val="24"/>
        </w:rPr>
        <w:t xml:space="preserve"> </w:t>
      </w:r>
      <w:r w:rsidR="00176D30" w:rsidRPr="00AA38D1">
        <w:rPr>
          <w:rFonts w:asciiTheme="majorBidi" w:hAnsiTheme="majorBidi" w:cstheme="majorBidi"/>
          <w:sz w:val="24"/>
          <w:szCs w:val="24"/>
        </w:rPr>
        <w:t xml:space="preserve">Nowelizacja nie </w:t>
      </w:r>
      <w:r w:rsidR="007D768E" w:rsidRPr="00AA38D1">
        <w:rPr>
          <w:rFonts w:asciiTheme="majorBidi" w:hAnsiTheme="majorBidi" w:cstheme="majorBidi"/>
          <w:sz w:val="24"/>
          <w:szCs w:val="24"/>
        </w:rPr>
        <w:t>reg</w:t>
      </w:r>
      <w:r w:rsidR="00E7573A" w:rsidRPr="00AA38D1">
        <w:rPr>
          <w:rFonts w:asciiTheme="majorBidi" w:hAnsiTheme="majorBidi" w:cstheme="majorBidi"/>
          <w:sz w:val="24"/>
          <w:szCs w:val="24"/>
        </w:rPr>
        <w:t>u</w:t>
      </w:r>
      <w:r w:rsidR="007D768E" w:rsidRPr="00AA38D1">
        <w:rPr>
          <w:rFonts w:asciiTheme="majorBidi" w:hAnsiTheme="majorBidi" w:cstheme="majorBidi"/>
          <w:sz w:val="24"/>
          <w:szCs w:val="24"/>
        </w:rPr>
        <w:t xml:space="preserve">luje </w:t>
      </w:r>
      <w:r w:rsidR="00176D30" w:rsidRPr="00AA38D1">
        <w:rPr>
          <w:rFonts w:asciiTheme="majorBidi" w:eastAsiaTheme="minorHAnsi" w:hAnsiTheme="majorBidi" w:cstheme="majorBidi"/>
          <w:sz w:val="24"/>
          <w:szCs w:val="24"/>
          <w:lang w:eastAsia="en-US"/>
        </w:rPr>
        <w:t>przepisów</w:t>
      </w:r>
      <w:r w:rsidR="007D768E" w:rsidRPr="00AA38D1">
        <w:rPr>
          <w:rFonts w:asciiTheme="majorBidi" w:eastAsiaTheme="minorHAnsi" w:hAnsiTheme="majorBidi" w:cstheme="majorBidi"/>
          <w:sz w:val="24"/>
          <w:szCs w:val="24"/>
          <w:lang w:eastAsia="en-US"/>
        </w:rPr>
        <w:t xml:space="preserve"> określających</w:t>
      </w:r>
      <w:r w:rsidR="00176D30" w:rsidRPr="00AA38D1">
        <w:rPr>
          <w:rFonts w:asciiTheme="majorBidi" w:eastAsiaTheme="minorHAnsi" w:hAnsiTheme="majorBidi" w:cstheme="majorBidi"/>
          <w:sz w:val="24"/>
          <w:szCs w:val="24"/>
          <w:lang w:eastAsia="en-US"/>
        </w:rPr>
        <w:t xml:space="preserve"> warunki wykonywania działalności gospodarczej, </w:t>
      </w:r>
      <w:r w:rsidR="007D768E" w:rsidRPr="00AA38D1">
        <w:rPr>
          <w:rFonts w:asciiTheme="majorBidi" w:eastAsiaTheme="minorHAnsi" w:hAnsiTheme="majorBidi" w:cstheme="majorBidi"/>
          <w:sz w:val="24"/>
          <w:szCs w:val="24"/>
          <w:lang w:eastAsia="en-US"/>
        </w:rPr>
        <w:t xml:space="preserve">lecz doprecyzowuje </w:t>
      </w:r>
      <w:r w:rsidR="00AE4D85" w:rsidRPr="00AA38D1">
        <w:rPr>
          <w:rFonts w:asciiTheme="majorBidi" w:eastAsiaTheme="minorHAnsi" w:hAnsiTheme="majorBidi" w:cstheme="majorBidi"/>
          <w:sz w:val="24"/>
          <w:szCs w:val="24"/>
          <w:lang w:eastAsia="en-US"/>
        </w:rPr>
        <w:t xml:space="preserve">przepisy </w:t>
      </w:r>
      <w:r w:rsidR="007D768E" w:rsidRPr="00AA38D1">
        <w:rPr>
          <w:rFonts w:asciiTheme="majorBidi" w:eastAsiaTheme="minorHAnsi" w:hAnsiTheme="majorBidi" w:cstheme="majorBidi"/>
          <w:sz w:val="24"/>
          <w:szCs w:val="24"/>
          <w:lang w:eastAsia="en-US"/>
        </w:rPr>
        <w:t xml:space="preserve">już obowiązujące. </w:t>
      </w:r>
      <w:r w:rsidR="00176D30" w:rsidRPr="00AA38D1">
        <w:rPr>
          <w:rFonts w:asciiTheme="majorBidi" w:eastAsiaTheme="minorHAnsi" w:hAnsiTheme="majorBidi" w:cstheme="majorBidi"/>
          <w:sz w:val="24"/>
          <w:szCs w:val="24"/>
          <w:lang w:eastAsia="en-US"/>
        </w:rPr>
        <w:t>Stąd też o</w:t>
      </w:r>
      <w:r w:rsidR="00176D30" w:rsidRPr="00AA38D1">
        <w:rPr>
          <w:rFonts w:asciiTheme="majorBidi" w:hAnsiTheme="majorBidi" w:cstheme="majorBidi"/>
          <w:sz w:val="24"/>
          <w:szCs w:val="24"/>
        </w:rPr>
        <w:t>dstąpiono od zachowania zasady wynikającej</w:t>
      </w:r>
      <w:r w:rsidR="00AE4D85" w:rsidRPr="00AA38D1">
        <w:rPr>
          <w:rFonts w:asciiTheme="majorBidi" w:hAnsiTheme="majorBidi" w:cstheme="majorBidi"/>
          <w:sz w:val="24"/>
          <w:szCs w:val="24"/>
        </w:rPr>
        <w:t xml:space="preserve"> </w:t>
      </w:r>
      <w:r w:rsidR="00176D30" w:rsidRPr="00AA38D1">
        <w:rPr>
          <w:rFonts w:asciiTheme="majorBidi" w:hAnsiTheme="majorBidi" w:cstheme="majorBidi"/>
          <w:sz w:val="24"/>
          <w:szCs w:val="24"/>
        </w:rPr>
        <w:t xml:space="preserve">z </w:t>
      </w:r>
      <w:r w:rsidR="00176D30" w:rsidRPr="00AA38D1">
        <w:rPr>
          <w:rFonts w:asciiTheme="majorBidi" w:eastAsiaTheme="minorHAnsi" w:hAnsiTheme="majorBidi" w:cstheme="majorBidi"/>
          <w:sz w:val="24"/>
          <w:szCs w:val="24"/>
          <w:lang w:eastAsia="en-US"/>
        </w:rPr>
        <w:t>uchwały nr 20 Rady Ministrów z dnia 18 lutego 2014 r. w</w:t>
      </w:r>
      <w:r w:rsidR="00AA38D1">
        <w:rPr>
          <w:rFonts w:asciiTheme="majorBidi" w:eastAsiaTheme="minorHAnsi" w:hAnsiTheme="majorBidi" w:cstheme="majorBidi"/>
          <w:sz w:val="24"/>
          <w:szCs w:val="24"/>
          <w:lang w:eastAsia="en-US"/>
        </w:rPr>
        <w:t> </w:t>
      </w:r>
      <w:r w:rsidR="00176D30" w:rsidRPr="00AA38D1">
        <w:rPr>
          <w:rFonts w:asciiTheme="majorBidi" w:eastAsiaTheme="minorHAnsi" w:hAnsiTheme="majorBidi" w:cstheme="majorBidi"/>
          <w:sz w:val="24"/>
          <w:szCs w:val="24"/>
          <w:lang w:eastAsia="en-US"/>
        </w:rPr>
        <w:t>sprawie zaleceń ujednolicenia terminów wejścia w życie niektórych aktów normatywnych</w:t>
      </w:r>
      <w:r w:rsidR="00281D15">
        <w:rPr>
          <w:rFonts w:asciiTheme="majorBidi" w:eastAsiaTheme="minorHAnsi" w:hAnsiTheme="majorBidi" w:cstheme="majorBidi"/>
          <w:sz w:val="24"/>
          <w:szCs w:val="24"/>
          <w:lang w:eastAsia="en-US"/>
        </w:rPr>
        <w:t xml:space="preserve"> (M.P. poz. 205)</w:t>
      </w:r>
      <w:r w:rsidR="007D768E" w:rsidRPr="00AA38D1">
        <w:rPr>
          <w:rFonts w:asciiTheme="majorBidi" w:eastAsiaTheme="minorHAnsi" w:hAnsiTheme="majorBidi" w:cstheme="majorBidi"/>
          <w:sz w:val="24"/>
          <w:szCs w:val="24"/>
          <w:lang w:eastAsia="en-US"/>
        </w:rPr>
        <w:t>.</w:t>
      </w:r>
      <w:r w:rsidR="00E7573A" w:rsidRPr="00AA38D1">
        <w:rPr>
          <w:rFonts w:asciiTheme="majorBidi" w:eastAsiaTheme="minorHAnsi" w:hAnsiTheme="majorBidi" w:cstheme="majorBidi"/>
          <w:sz w:val="24"/>
          <w:szCs w:val="24"/>
          <w:lang w:eastAsia="en-US"/>
        </w:rPr>
        <w:t xml:space="preserve"> </w:t>
      </w:r>
    </w:p>
    <w:p w:rsidR="003C71ED" w:rsidRPr="00AA38D1" w:rsidRDefault="003C71ED" w:rsidP="00AA38D1">
      <w:pPr>
        <w:pStyle w:val="Akapitzlist"/>
        <w:numPr>
          <w:ilvl w:val="0"/>
          <w:numId w:val="5"/>
        </w:numPr>
        <w:spacing w:before="120" w:after="0" w:line="360" w:lineRule="auto"/>
        <w:ind w:left="357" w:hanging="357"/>
        <w:jc w:val="both"/>
        <w:rPr>
          <w:rFonts w:ascii="Times New Roman" w:eastAsiaTheme="minorHAnsi" w:hAnsi="Times New Roman" w:cs="Times New Roman"/>
          <w:sz w:val="24"/>
          <w:szCs w:val="24"/>
          <w:lang w:eastAsia="en-US"/>
        </w:rPr>
      </w:pPr>
      <w:r w:rsidRPr="00AA38D1">
        <w:rPr>
          <w:rFonts w:ascii="Times New Roman" w:eastAsiaTheme="minorHAnsi" w:hAnsi="Times New Roman" w:cs="Times New Roman"/>
          <w:b/>
          <w:sz w:val="24"/>
          <w:szCs w:val="24"/>
          <w:lang w:eastAsia="en-US"/>
        </w:rPr>
        <w:t>Zgodność z prawem Unii Europejskiej</w:t>
      </w:r>
    </w:p>
    <w:p w:rsidR="005C723D" w:rsidRPr="00AA38D1" w:rsidRDefault="003C71ED" w:rsidP="00AA38D1">
      <w:pPr>
        <w:spacing w:before="120" w:after="0" w:line="360" w:lineRule="auto"/>
        <w:ind w:left="360"/>
        <w:jc w:val="both"/>
        <w:rPr>
          <w:rFonts w:ascii="Times New Roman" w:eastAsiaTheme="minorHAnsi" w:hAnsi="Times New Roman" w:cs="Times New Roman"/>
          <w:iCs/>
          <w:color w:val="000000" w:themeColor="text1"/>
          <w:sz w:val="24"/>
          <w:szCs w:val="24"/>
          <w:lang w:eastAsia="en-US"/>
        </w:rPr>
      </w:pPr>
      <w:r w:rsidRPr="00AA38D1">
        <w:rPr>
          <w:rFonts w:ascii="Times New Roman" w:eastAsiaTheme="minorHAnsi" w:hAnsi="Times New Roman" w:cs="Times New Roman"/>
          <w:sz w:val="24"/>
          <w:szCs w:val="24"/>
          <w:lang w:eastAsia="en-US"/>
        </w:rPr>
        <w:t>Przedmiot projektowanej regulacji jest zgodny z prawem Unii Europejskiej</w:t>
      </w:r>
      <w:r w:rsidR="008B1C9E" w:rsidRPr="00AA38D1">
        <w:rPr>
          <w:rFonts w:ascii="Times New Roman" w:eastAsiaTheme="minorHAnsi" w:hAnsi="Times New Roman" w:cs="Times New Roman"/>
          <w:sz w:val="24"/>
          <w:szCs w:val="24"/>
          <w:lang w:eastAsia="en-US"/>
        </w:rPr>
        <w:t>, tj</w:t>
      </w:r>
      <w:r w:rsidR="005C723D" w:rsidRPr="00AA38D1">
        <w:rPr>
          <w:rFonts w:ascii="Times New Roman" w:eastAsiaTheme="minorHAnsi" w:hAnsi="Times New Roman" w:cs="Times New Roman"/>
          <w:sz w:val="24"/>
          <w:szCs w:val="24"/>
          <w:lang w:eastAsia="en-US"/>
        </w:rPr>
        <w:t>.</w:t>
      </w:r>
      <w:r w:rsidR="00AA38D1">
        <w:rPr>
          <w:rFonts w:ascii="Times New Roman" w:eastAsiaTheme="minorHAnsi" w:hAnsi="Times New Roman" w:cs="Times New Roman"/>
          <w:sz w:val="24"/>
          <w:szCs w:val="24"/>
          <w:lang w:eastAsia="en-US"/>
        </w:rPr>
        <w:t> </w:t>
      </w:r>
      <w:r w:rsidR="005C723D" w:rsidRPr="00AA38D1">
        <w:rPr>
          <w:rFonts w:ascii="Times New Roman" w:eastAsiaTheme="minorHAnsi" w:hAnsi="Times New Roman" w:cs="Times New Roman"/>
          <w:sz w:val="24"/>
          <w:szCs w:val="24"/>
          <w:lang w:eastAsia="en-US"/>
        </w:rPr>
        <w:t xml:space="preserve">dyrektywą alkoholową, </w:t>
      </w:r>
      <w:r w:rsidR="005C723D" w:rsidRPr="00AA38D1">
        <w:rPr>
          <w:rFonts w:asciiTheme="majorBidi" w:hAnsiTheme="majorBidi" w:cstheme="majorBidi"/>
          <w:bCs/>
          <w:sz w:val="24"/>
          <w:szCs w:val="24"/>
        </w:rPr>
        <w:t>rozporządzeniem Komisji (EWG) nr 3649/92 z dnia 17</w:t>
      </w:r>
      <w:r w:rsidR="00AA38D1">
        <w:rPr>
          <w:rFonts w:asciiTheme="majorBidi" w:hAnsiTheme="majorBidi" w:cstheme="majorBidi"/>
          <w:bCs/>
          <w:sz w:val="24"/>
          <w:szCs w:val="24"/>
        </w:rPr>
        <w:t> </w:t>
      </w:r>
      <w:r w:rsidR="005C723D" w:rsidRPr="00AA38D1">
        <w:rPr>
          <w:rFonts w:asciiTheme="majorBidi" w:hAnsiTheme="majorBidi" w:cstheme="majorBidi"/>
          <w:bCs/>
          <w:sz w:val="24"/>
          <w:szCs w:val="24"/>
        </w:rPr>
        <w:t xml:space="preserve">grudnia 1992 r. </w:t>
      </w:r>
      <w:r w:rsidR="005C723D" w:rsidRPr="00AA38D1">
        <w:rPr>
          <w:rFonts w:asciiTheme="majorBidi" w:hAnsiTheme="majorBidi" w:cstheme="majorBidi"/>
          <w:bCs/>
          <w:iCs/>
          <w:sz w:val="24"/>
          <w:szCs w:val="24"/>
        </w:rPr>
        <w:t>w sprawie uproszczonego dokumentu towarzyszącego w</w:t>
      </w:r>
      <w:r w:rsidR="00AA38D1">
        <w:rPr>
          <w:rFonts w:asciiTheme="majorBidi" w:hAnsiTheme="majorBidi" w:cstheme="majorBidi"/>
          <w:bCs/>
          <w:iCs/>
          <w:sz w:val="24"/>
          <w:szCs w:val="24"/>
        </w:rPr>
        <w:t> </w:t>
      </w:r>
      <w:r w:rsidR="005C723D" w:rsidRPr="00AA38D1">
        <w:rPr>
          <w:rFonts w:asciiTheme="majorBidi" w:hAnsiTheme="majorBidi" w:cstheme="majorBidi"/>
          <w:bCs/>
          <w:iCs/>
          <w:sz w:val="24"/>
          <w:szCs w:val="24"/>
        </w:rPr>
        <w:t xml:space="preserve">wewnątrzwspólnotowym </w:t>
      </w:r>
      <w:r w:rsidR="005C723D" w:rsidRPr="00AA38D1">
        <w:rPr>
          <w:rFonts w:asciiTheme="majorBidi" w:hAnsiTheme="majorBidi" w:cstheme="majorBidi"/>
          <w:bCs/>
          <w:iCs/>
          <w:color w:val="000000" w:themeColor="text1"/>
          <w:sz w:val="24"/>
          <w:szCs w:val="24"/>
        </w:rPr>
        <w:t>przemieszczaniu wyrobów akcyzowych, przeznaczonych do konsumpcji w państwie członkowskim wysyłki</w:t>
      </w:r>
      <w:r w:rsidR="005C723D" w:rsidRPr="00AA38D1">
        <w:rPr>
          <w:rFonts w:asciiTheme="majorBidi" w:hAnsiTheme="majorBidi" w:cstheme="majorBidi"/>
          <w:bCs/>
          <w:color w:val="000000" w:themeColor="text1"/>
          <w:sz w:val="24"/>
          <w:szCs w:val="24"/>
        </w:rPr>
        <w:t xml:space="preserve"> oraz </w:t>
      </w:r>
      <w:r w:rsidR="005C723D" w:rsidRPr="00AA38D1">
        <w:rPr>
          <w:rFonts w:ascii="Times New Roman" w:eastAsiaTheme="minorHAnsi" w:hAnsi="Times New Roman" w:cs="Times New Roman"/>
          <w:color w:val="000000" w:themeColor="text1"/>
          <w:sz w:val="24"/>
          <w:szCs w:val="24"/>
          <w:lang w:eastAsia="en-US"/>
        </w:rPr>
        <w:t xml:space="preserve">rozporządzeniem wykonawczym Komisji </w:t>
      </w:r>
      <w:r w:rsidR="00BB055B">
        <w:rPr>
          <w:rFonts w:ascii="Times New Roman" w:eastAsiaTheme="minorHAnsi" w:hAnsi="Times New Roman" w:cs="Times New Roman"/>
          <w:color w:val="000000" w:themeColor="text1"/>
          <w:sz w:val="24"/>
          <w:szCs w:val="24"/>
          <w:lang w:eastAsia="en-US"/>
        </w:rPr>
        <w:t xml:space="preserve">(UE) </w:t>
      </w:r>
      <w:r w:rsidR="005C723D" w:rsidRPr="00AA38D1">
        <w:rPr>
          <w:rFonts w:ascii="Times New Roman" w:eastAsiaTheme="minorHAnsi" w:hAnsi="Times New Roman" w:cs="Times New Roman"/>
          <w:color w:val="000000" w:themeColor="text1"/>
          <w:sz w:val="24"/>
          <w:szCs w:val="24"/>
          <w:lang w:eastAsia="en-US"/>
        </w:rPr>
        <w:t xml:space="preserve">nr 162/2013 </w:t>
      </w:r>
      <w:r w:rsidR="00AE4D85" w:rsidRPr="00AA38D1">
        <w:rPr>
          <w:rFonts w:ascii="Times New Roman" w:eastAsiaTheme="minorHAnsi" w:hAnsi="Times New Roman" w:cs="Times New Roman"/>
          <w:color w:val="000000" w:themeColor="text1"/>
          <w:sz w:val="24"/>
          <w:szCs w:val="24"/>
          <w:lang w:eastAsia="en-US"/>
        </w:rPr>
        <w:t xml:space="preserve">zmieniającym </w:t>
      </w:r>
      <w:r w:rsidR="005C723D" w:rsidRPr="00AA38D1">
        <w:rPr>
          <w:rFonts w:ascii="Times New Roman" w:eastAsiaTheme="minorHAnsi" w:hAnsi="Times New Roman" w:cs="Times New Roman"/>
          <w:color w:val="000000" w:themeColor="text1"/>
          <w:sz w:val="24"/>
          <w:szCs w:val="24"/>
          <w:lang w:eastAsia="en-US"/>
        </w:rPr>
        <w:t xml:space="preserve">załącznik do rozporządzenia (WE) nr 3199/93 </w:t>
      </w:r>
      <w:r w:rsidR="005C723D" w:rsidRPr="00AA38D1">
        <w:rPr>
          <w:rFonts w:ascii="Times New Roman" w:eastAsiaTheme="minorHAnsi" w:hAnsi="Times New Roman" w:cs="Times New Roman"/>
          <w:iCs/>
          <w:color w:val="000000" w:themeColor="text1"/>
          <w:sz w:val="24"/>
          <w:szCs w:val="24"/>
          <w:lang w:eastAsia="en-US"/>
        </w:rPr>
        <w:t>w sprawie wzajemnego uznawania procedur całkowitego skażenia alkoholu etylowego do celów zwolnienia</w:t>
      </w:r>
      <w:r w:rsidR="00AA38D1" w:rsidRPr="00AA38D1">
        <w:rPr>
          <w:rFonts w:ascii="Times New Roman" w:eastAsiaTheme="minorHAnsi" w:hAnsi="Times New Roman" w:cs="Times New Roman"/>
          <w:iCs/>
          <w:color w:val="000000" w:themeColor="text1"/>
          <w:sz w:val="24"/>
          <w:szCs w:val="24"/>
          <w:lang w:eastAsia="en-US"/>
        </w:rPr>
        <w:t xml:space="preserve"> </w:t>
      </w:r>
      <w:r w:rsidR="005C723D" w:rsidRPr="00AA38D1">
        <w:rPr>
          <w:rFonts w:ascii="Times New Roman" w:eastAsiaTheme="minorHAnsi" w:hAnsi="Times New Roman" w:cs="Times New Roman"/>
          <w:iCs/>
          <w:color w:val="000000" w:themeColor="text1"/>
          <w:sz w:val="24"/>
          <w:szCs w:val="24"/>
          <w:lang w:eastAsia="en-US"/>
        </w:rPr>
        <w:t xml:space="preserve">z podatku akcyzowego. </w:t>
      </w:r>
    </w:p>
    <w:p w:rsidR="00A375DC" w:rsidRPr="00AA38D1" w:rsidRDefault="00A375DC" w:rsidP="00AA38D1">
      <w:pPr>
        <w:spacing w:before="120" w:after="0" w:line="360" w:lineRule="auto"/>
        <w:ind w:left="360"/>
        <w:jc w:val="both"/>
        <w:rPr>
          <w:rFonts w:ascii="Times New Roman" w:eastAsiaTheme="minorHAnsi" w:hAnsi="Times New Roman" w:cs="Times New Roman"/>
          <w:sz w:val="24"/>
          <w:szCs w:val="24"/>
          <w:lang w:eastAsia="en-US"/>
        </w:rPr>
      </w:pPr>
      <w:r w:rsidRPr="00AA38D1">
        <w:rPr>
          <w:rFonts w:ascii="Times New Roman" w:eastAsiaTheme="minorHAnsi" w:hAnsi="Times New Roman" w:cs="Times New Roman"/>
          <w:sz w:val="24"/>
          <w:szCs w:val="24"/>
          <w:lang w:eastAsia="en-US"/>
        </w:rPr>
        <w:lastRenderedPageBreak/>
        <w:t>Projekt nie wymaga przedstawienia właściwym instytucjom i organom Unii Europejskiej lub Europejskiemu Bankowi Centralnemu celem uzyskania opinii, dokonania konsultacji albo uzgodnienia.</w:t>
      </w:r>
    </w:p>
    <w:p w:rsidR="003C71ED" w:rsidRPr="00AA38D1" w:rsidRDefault="003C71ED" w:rsidP="00AA38D1">
      <w:pPr>
        <w:spacing w:before="120" w:after="0" w:line="360" w:lineRule="auto"/>
        <w:ind w:left="360"/>
        <w:jc w:val="both"/>
        <w:rPr>
          <w:rFonts w:ascii="Times New Roman" w:eastAsiaTheme="minorHAnsi" w:hAnsi="Times New Roman" w:cs="Times New Roman"/>
          <w:sz w:val="24"/>
          <w:szCs w:val="24"/>
          <w:lang w:eastAsia="en-US"/>
        </w:rPr>
      </w:pPr>
      <w:r w:rsidRPr="00AA38D1">
        <w:rPr>
          <w:rFonts w:ascii="Times New Roman" w:eastAsiaTheme="minorHAnsi" w:hAnsi="Times New Roman" w:cs="Times New Roman"/>
          <w:sz w:val="24"/>
          <w:szCs w:val="24"/>
          <w:lang w:eastAsia="en-US"/>
        </w:rPr>
        <w:t xml:space="preserve">Projekt ustawy nie zawiera norm technicznych w rozumieniu przepisów rozporządzenia Rady Ministrów z dnia 23 grudnia 2002 r. w sprawie sposobu funkcjonowania krajowego systemu notyfikacji norm i aktów prawnych (Dz. U. poz. 2039, z późn. zm.), w związku z czym nie podlega notyfikacji. </w:t>
      </w:r>
    </w:p>
    <w:p w:rsidR="003C71ED" w:rsidRDefault="003C71ED" w:rsidP="00AA38D1">
      <w:pPr>
        <w:spacing w:before="120" w:after="0" w:line="360" w:lineRule="auto"/>
        <w:ind w:left="360"/>
        <w:jc w:val="both"/>
        <w:rPr>
          <w:rFonts w:ascii="Times New Roman" w:eastAsiaTheme="minorHAnsi" w:hAnsi="Times New Roman" w:cs="Times New Roman"/>
          <w:sz w:val="24"/>
          <w:szCs w:val="24"/>
          <w:lang w:eastAsia="en-US"/>
        </w:rPr>
      </w:pPr>
      <w:r w:rsidRPr="00AA38D1">
        <w:rPr>
          <w:rFonts w:ascii="Times New Roman" w:eastAsiaTheme="minorHAnsi" w:hAnsi="Times New Roman" w:cs="Times New Roman"/>
          <w:sz w:val="24"/>
          <w:szCs w:val="24"/>
          <w:lang w:eastAsia="en-US"/>
        </w:rPr>
        <w:t xml:space="preserve">Zgodnie z art. 5 ustawy z dnia 7 lipca 2005 r. o działalności lobbingowej w procesie stanowienia prawa (Dz. U. poz. 1414, z późn. zm.) oraz uchwały nr 190 Rady Ministrów z dnia 29 października 2013 r. – Regulamin pracy Rady Ministrów (M.P. </w:t>
      </w:r>
      <w:r w:rsidR="002251EA" w:rsidRPr="00AA38D1">
        <w:rPr>
          <w:rFonts w:ascii="Times New Roman" w:eastAsiaTheme="minorHAnsi" w:hAnsi="Times New Roman" w:cs="Times New Roman"/>
          <w:sz w:val="24"/>
          <w:szCs w:val="24"/>
          <w:lang w:eastAsia="en-US"/>
        </w:rPr>
        <w:t xml:space="preserve">z 2016 r. </w:t>
      </w:r>
      <w:r w:rsidRPr="00AA38D1">
        <w:rPr>
          <w:rFonts w:ascii="Times New Roman" w:eastAsiaTheme="minorHAnsi" w:hAnsi="Times New Roman" w:cs="Times New Roman"/>
          <w:sz w:val="24"/>
          <w:szCs w:val="24"/>
          <w:lang w:eastAsia="en-US"/>
        </w:rPr>
        <w:t xml:space="preserve">poz. </w:t>
      </w:r>
      <w:r w:rsidR="002251EA" w:rsidRPr="00AA38D1">
        <w:rPr>
          <w:rFonts w:ascii="Times New Roman" w:eastAsiaTheme="minorHAnsi" w:hAnsi="Times New Roman" w:cs="Times New Roman"/>
          <w:sz w:val="24"/>
          <w:szCs w:val="24"/>
          <w:lang w:eastAsia="en-US"/>
        </w:rPr>
        <w:t>1006</w:t>
      </w:r>
      <w:r w:rsidR="00AE4D85" w:rsidRPr="00AA38D1">
        <w:rPr>
          <w:rFonts w:ascii="Times New Roman" w:eastAsiaTheme="minorHAnsi" w:hAnsi="Times New Roman" w:cs="Times New Roman"/>
          <w:sz w:val="24"/>
          <w:szCs w:val="24"/>
          <w:lang w:eastAsia="en-US"/>
        </w:rPr>
        <w:t>, z późn. zm.</w:t>
      </w:r>
      <w:r w:rsidRPr="00AA38D1">
        <w:rPr>
          <w:rFonts w:ascii="Times New Roman" w:eastAsiaTheme="minorHAnsi" w:hAnsi="Times New Roman" w:cs="Times New Roman"/>
          <w:sz w:val="24"/>
          <w:szCs w:val="24"/>
          <w:lang w:eastAsia="en-US"/>
        </w:rPr>
        <w:t>) tekst projektu zosta</w:t>
      </w:r>
      <w:r w:rsidR="00DF4B25" w:rsidRPr="00AA38D1">
        <w:rPr>
          <w:rFonts w:ascii="Times New Roman" w:eastAsiaTheme="minorHAnsi" w:hAnsi="Times New Roman" w:cs="Times New Roman"/>
          <w:sz w:val="24"/>
          <w:szCs w:val="24"/>
          <w:lang w:eastAsia="en-US"/>
        </w:rPr>
        <w:t>ł</w:t>
      </w:r>
      <w:r w:rsidRPr="00AA38D1">
        <w:rPr>
          <w:rFonts w:ascii="Times New Roman" w:eastAsiaTheme="minorHAnsi" w:hAnsi="Times New Roman" w:cs="Times New Roman"/>
          <w:sz w:val="24"/>
          <w:szCs w:val="24"/>
          <w:lang w:eastAsia="en-US"/>
        </w:rPr>
        <w:t xml:space="preserve"> udostępniony w Biuletynie Informacji Publicznej na stronie podmiotowej Rządowego Centrum Legislacji z</w:t>
      </w:r>
      <w:r w:rsidR="00AA38D1">
        <w:rPr>
          <w:rFonts w:ascii="Times New Roman" w:eastAsiaTheme="minorHAnsi" w:hAnsi="Times New Roman" w:cs="Times New Roman"/>
          <w:sz w:val="24"/>
          <w:szCs w:val="24"/>
          <w:lang w:eastAsia="en-US"/>
        </w:rPr>
        <w:t> </w:t>
      </w:r>
      <w:r w:rsidRPr="00AA38D1">
        <w:rPr>
          <w:rFonts w:ascii="Times New Roman" w:eastAsiaTheme="minorHAnsi" w:hAnsi="Times New Roman" w:cs="Times New Roman"/>
          <w:sz w:val="24"/>
          <w:szCs w:val="24"/>
          <w:lang w:eastAsia="en-US"/>
        </w:rPr>
        <w:t>chwilą przekazania go do uzgodnień z członkami Rady Ministrów.</w:t>
      </w:r>
    </w:p>
    <w:p w:rsidR="00AA38D1" w:rsidRDefault="00AA38D1" w:rsidP="00AA38D1">
      <w:pPr>
        <w:spacing w:before="120" w:after="0" w:line="360" w:lineRule="auto"/>
        <w:jc w:val="both"/>
        <w:rPr>
          <w:rFonts w:ascii="Times New Roman" w:eastAsiaTheme="minorHAnsi" w:hAnsi="Times New Roman" w:cs="Times New Roman"/>
          <w:sz w:val="20"/>
          <w:szCs w:val="20"/>
          <w:lang w:eastAsia="en-US"/>
        </w:rPr>
      </w:pPr>
    </w:p>
    <w:sectPr w:rsidR="00AA38D1" w:rsidSect="007F3D4F">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4A0" w:rsidRDefault="009644A0" w:rsidP="007632BF">
      <w:pPr>
        <w:spacing w:after="0" w:line="240" w:lineRule="auto"/>
      </w:pPr>
      <w:r>
        <w:separator/>
      </w:r>
    </w:p>
  </w:endnote>
  <w:endnote w:type="continuationSeparator" w:id="0">
    <w:p w:rsidR="009644A0" w:rsidRDefault="009644A0" w:rsidP="00763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17578"/>
      <w:docPartObj>
        <w:docPartGallery w:val="Page Numbers (Bottom of Page)"/>
        <w:docPartUnique/>
      </w:docPartObj>
    </w:sdtPr>
    <w:sdtEndPr>
      <w:rPr>
        <w:rFonts w:ascii="Times New Roman" w:hAnsi="Times New Roman" w:cs="Times New Roman"/>
        <w:sz w:val="24"/>
        <w:szCs w:val="24"/>
      </w:rPr>
    </w:sdtEndPr>
    <w:sdtContent>
      <w:p w:rsidR="007F3D4F" w:rsidRPr="007F3D4F" w:rsidRDefault="007F3D4F" w:rsidP="007F3D4F">
        <w:pPr>
          <w:pStyle w:val="Stopka"/>
          <w:jc w:val="center"/>
          <w:rPr>
            <w:rFonts w:ascii="Times New Roman" w:hAnsi="Times New Roman" w:cs="Times New Roman"/>
            <w:sz w:val="24"/>
            <w:szCs w:val="24"/>
          </w:rPr>
        </w:pPr>
        <w:r w:rsidRPr="007F3D4F">
          <w:rPr>
            <w:rFonts w:ascii="Times New Roman" w:hAnsi="Times New Roman" w:cs="Times New Roman"/>
            <w:sz w:val="24"/>
            <w:szCs w:val="24"/>
          </w:rPr>
          <w:fldChar w:fldCharType="begin"/>
        </w:r>
        <w:r w:rsidRPr="007F3D4F">
          <w:rPr>
            <w:rFonts w:ascii="Times New Roman" w:hAnsi="Times New Roman" w:cs="Times New Roman"/>
            <w:sz w:val="24"/>
            <w:szCs w:val="24"/>
          </w:rPr>
          <w:instrText>PAGE   \* MERGEFORMAT</w:instrText>
        </w:r>
        <w:r w:rsidRPr="007F3D4F">
          <w:rPr>
            <w:rFonts w:ascii="Times New Roman" w:hAnsi="Times New Roman" w:cs="Times New Roman"/>
            <w:sz w:val="24"/>
            <w:szCs w:val="24"/>
          </w:rPr>
          <w:fldChar w:fldCharType="separate"/>
        </w:r>
        <w:r w:rsidR="000D6087">
          <w:rPr>
            <w:rFonts w:ascii="Times New Roman" w:hAnsi="Times New Roman" w:cs="Times New Roman"/>
            <w:noProof/>
            <w:sz w:val="24"/>
            <w:szCs w:val="24"/>
          </w:rPr>
          <w:t>8</w:t>
        </w:r>
        <w:r w:rsidRPr="007F3D4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4A0" w:rsidRDefault="009644A0" w:rsidP="007632BF">
      <w:pPr>
        <w:spacing w:after="0" w:line="240" w:lineRule="auto"/>
      </w:pPr>
      <w:r>
        <w:separator/>
      </w:r>
    </w:p>
  </w:footnote>
  <w:footnote w:type="continuationSeparator" w:id="0">
    <w:p w:rsidR="009644A0" w:rsidRDefault="009644A0" w:rsidP="007632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D3F6D"/>
    <w:multiLevelType w:val="hybridMultilevel"/>
    <w:tmpl w:val="F9AC06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2114F4A"/>
    <w:multiLevelType w:val="hybridMultilevel"/>
    <w:tmpl w:val="71FC34BE"/>
    <w:lvl w:ilvl="0" w:tplc="D8F26886">
      <w:start w:val="1"/>
      <w:numFmt w:val="decimal"/>
      <w:lvlText w:val="%1."/>
      <w:lvlJc w:val="left"/>
      <w:pPr>
        <w:ind w:left="644"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2C837D8"/>
    <w:multiLevelType w:val="hybridMultilevel"/>
    <w:tmpl w:val="DF6CE920"/>
    <w:lvl w:ilvl="0" w:tplc="89667B4A">
      <w:start w:val="1"/>
      <w:numFmt w:val="lowerLetter"/>
      <w:lvlText w:val="%1)"/>
      <w:lvlJc w:val="left"/>
      <w:pPr>
        <w:ind w:left="870" w:hanging="36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3">
    <w:nsid w:val="213F2C60"/>
    <w:multiLevelType w:val="multilevel"/>
    <w:tmpl w:val="268AE1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E07D47"/>
    <w:multiLevelType w:val="hybridMultilevel"/>
    <w:tmpl w:val="CB2C0EC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2B2C014D"/>
    <w:multiLevelType w:val="hybridMultilevel"/>
    <w:tmpl w:val="144ABD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DB91446"/>
    <w:multiLevelType w:val="hybridMultilevel"/>
    <w:tmpl w:val="3DB6EC64"/>
    <w:lvl w:ilvl="0" w:tplc="0415000F">
      <w:start w:val="1"/>
      <w:numFmt w:val="decimal"/>
      <w:lvlText w:val="%1."/>
      <w:lvlJc w:val="left"/>
      <w:pPr>
        <w:ind w:left="644"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6265740"/>
    <w:multiLevelType w:val="hybridMultilevel"/>
    <w:tmpl w:val="F6E2DD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32B6A46"/>
    <w:multiLevelType w:val="hybridMultilevel"/>
    <w:tmpl w:val="977E574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nsid w:val="6DE96572"/>
    <w:multiLevelType w:val="hybridMultilevel"/>
    <w:tmpl w:val="35D8ECA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8"/>
  </w:num>
  <w:num w:numId="7">
    <w:abstractNumId w:val="9"/>
  </w:num>
  <w:num w:numId="8">
    <w:abstractNumId w:val="4"/>
  </w:num>
  <w:num w:numId="9">
    <w:abstractNumId w:val="6"/>
  </w:num>
  <w:num w:numId="10">
    <w:abstractNumId w:val="0"/>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2A1"/>
    <w:rsid w:val="00004F98"/>
    <w:rsid w:val="00007F5D"/>
    <w:rsid w:val="000201FA"/>
    <w:rsid w:val="0003405D"/>
    <w:rsid w:val="00036713"/>
    <w:rsid w:val="00045E47"/>
    <w:rsid w:val="00045E7D"/>
    <w:rsid w:val="00062080"/>
    <w:rsid w:val="00075E95"/>
    <w:rsid w:val="00083951"/>
    <w:rsid w:val="00083D3E"/>
    <w:rsid w:val="00083E9F"/>
    <w:rsid w:val="00094D79"/>
    <w:rsid w:val="000A43DD"/>
    <w:rsid w:val="000C3FEF"/>
    <w:rsid w:val="000D4C93"/>
    <w:rsid w:val="000D6087"/>
    <w:rsid w:val="000D6382"/>
    <w:rsid w:val="000E31F1"/>
    <w:rsid w:val="000F33E0"/>
    <w:rsid w:val="000F6E00"/>
    <w:rsid w:val="0010319B"/>
    <w:rsid w:val="001044E8"/>
    <w:rsid w:val="001047E0"/>
    <w:rsid w:val="0011324A"/>
    <w:rsid w:val="001363D3"/>
    <w:rsid w:val="001473AB"/>
    <w:rsid w:val="001509B8"/>
    <w:rsid w:val="00151141"/>
    <w:rsid w:val="00151807"/>
    <w:rsid w:val="00154386"/>
    <w:rsid w:val="00172B23"/>
    <w:rsid w:val="00176D30"/>
    <w:rsid w:val="00183B63"/>
    <w:rsid w:val="001872D9"/>
    <w:rsid w:val="001A042E"/>
    <w:rsid w:val="001B10E6"/>
    <w:rsid w:val="001B6095"/>
    <w:rsid w:val="001B7196"/>
    <w:rsid w:val="001C72EC"/>
    <w:rsid w:val="001D26D6"/>
    <w:rsid w:val="001D624A"/>
    <w:rsid w:val="001E55C3"/>
    <w:rsid w:val="001F3743"/>
    <w:rsid w:val="00200853"/>
    <w:rsid w:val="00205409"/>
    <w:rsid w:val="00213408"/>
    <w:rsid w:val="00216170"/>
    <w:rsid w:val="00222D69"/>
    <w:rsid w:val="002251EA"/>
    <w:rsid w:val="002267DC"/>
    <w:rsid w:val="002452E9"/>
    <w:rsid w:val="002463C4"/>
    <w:rsid w:val="0025679A"/>
    <w:rsid w:val="00262214"/>
    <w:rsid w:val="002801AC"/>
    <w:rsid w:val="00281D15"/>
    <w:rsid w:val="00290ECF"/>
    <w:rsid w:val="0029247D"/>
    <w:rsid w:val="0029652C"/>
    <w:rsid w:val="002A094F"/>
    <w:rsid w:val="002A5630"/>
    <w:rsid w:val="002B2B86"/>
    <w:rsid w:val="002B3FB4"/>
    <w:rsid w:val="002C0785"/>
    <w:rsid w:val="002C167C"/>
    <w:rsid w:val="002C222C"/>
    <w:rsid w:val="002C5799"/>
    <w:rsid w:val="002D0774"/>
    <w:rsid w:val="002F40A6"/>
    <w:rsid w:val="003039D1"/>
    <w:rsid w:val="003253E6"/>
    <w:rsid w:val="00332FFB"/>
    <w:rsid w:val="003448BF"/>
    <w:rsid w:val="00366DE8"/>
    <w:rsid w:val="00375568"/>
    <w:rsid w:val="00385568"/>
    <w:rsid w:val="00390690"/>
    <w:rsid w:val="003912BD"/>
    <w:rsid w:val="00392213"/>
    <w:rsid w:val="00394D8F"/>
    <w:rsid w:val="0039612A"/>
    <w:rsid w:val="003A1BEA"/>
    <w:rsid w:val="003B6A3B"/>
    <w:rsid w:val="003C5BBB"/>
    <w:rsid w:val="003C68B4"/>
    <w:rsid w:val="003C71ED"/>
    <w:rsid w:val="003D017D"/>
    <w:rsid w:val="003D5918"/>
    <w:rsid w:val="003D6587"/>
    <w:rsid w:val="003D7BA6"/>
    <w:rsid w:val="003E052B"/>
    <w:rsid w:val="003E7C63"/>
    <w:rsid w:val="00401089"/>
    <w:rsid w:val="00406E83"/>
    <w:rsid w:val="00414D70"/>
    <w:rsid w:val="004170A4"/>
    <w:rsid w:val="004242A6"/>
    <w:rsid w:val="00424986"/>
    <w:rsid w:val="00424E18"/>
    <w:rsid w:val="00430D64"/>
    <w:rsid w:val="004320EF"/>
    <w:rsid w:val="00434537"/>
    <w:rsid w:val="004429F6"/>
    <w:rsid w:val="00443A58"/>
    <w:rsid w:val="00445CAC"/>
    <w:rsid w:val="00445DD9"/>
    <w:rsid w:val="00452AE4"/>
    <w:rsid w:val="004545D6"/>
    <w:rsid w:val="00462A47"/>
    <w:rsid w:val="00466B34"/>
    <w:rsid w:val="00471743"/>
    <w:rsid w:val="0049122A"/>
    <w:rsid w:val="00493EB3"/>
    <w:rsid w:val="004A2CEE"/>
    <w:rsid w:val="004A5547"/>
    <w:rsid w:val="004A5EE3"/>
    <w:rsid w:val="004C1227"/>
    <w:rsid w:val="004D11DD"/>
    <w:rsid w:val="004E16CB"/>
    <w:rsid w:val="004E1BB6"/>
    <w:rsid w:val="004E6116"/>
    <w:rsid w:val="00500F87"/>
    <w:rsid w:val="00504A90"/>
    <w:rsid w:val="005059CF"/>
    <w:rsid w:val="00511D03"/>
    <w:rsid w:val="0053277E"/>
    <w:rsid w:val="00533118"/>
    <w:rsid w:val="00535698"/>
    <w:rsid w:val="005360B1"/>
    <w:rsid w:val="00543098"/>
    <w:rsid w:val="00552D5A"/>
    <w:rsid w:val="0057678B"/>
    <w:rsid w:val="005851E4"/>
    <w:rsid w:val="00597AF8"/>
    <w:rsid w:val="005A631A"/>
    <w:rsid w:val="005C012F"/>
    <w:rsid w:val="005C233A"/>
    <w:rsid w:val="005C3AEE"/>
    <w:rsid w:val="005C5E7E"/>
    <w:rsid w:val="005C723D"/>
    <w:rsid w:val="005D12B4"/>
    <w:rsid w:val="005E0CBA"/>
    <w:rsid w:val="005E1544"/>
    <w:rsid w:val="005E1F1F"/>
    <w:rsid w:val="005F0259"/>
    <w:rsid w:val="005F17D6"/>
    <w:rsid w:val="005F77AE"/>
    <w:rsid w:val="00602D67"/>
    <w:rsid w:val="00603243"/>
    <w:rsid w:val="00603C0C"/>
    <w:rsid w:val="006107B5"/>
    <w:rsid w:val="006520DE"/>
    <w:rsid w:val="00656AFE"/>
    <w:rsid w:val="00672110"/>
    <w:rsid w:val="0068532F"/>
    <w:rsid w:val="00693B50"/>
    <w:rsid w:val="00696B0A"/>
    <w:rsid w:val="006A0FF9"/>
    <w:rsid w:val="006A2936"/>
    <w:rsid w:val="006A7ED9"/>
    <w:rsid w:val="006C07EC"/>
    <w:rsid w:val="006E1747"/>
    <w:rsid w:val="006E283B"/>
    <w:rsid w:val="006E3821"/>
    <w:rsid w:val="006E43E9"/>
    <w:rsid w:val="006E4972"/>
    <w:rsid w:val="006E7A84"/>
    <w:rsid w:val="006F289F"/>
    <w:rsid w:val="00701996"/>
    <w:rsid w:val="00715447"/>
    <w:rsid w:val="00751436"/>
    <w:rsid w:val="00757230"/>
    <w:rsid w:val="007632BF"/>
    <w:rsid w:val="007868D1"/>
    <w:rsid w:val="0079530E"/>
    <w:rsid w:val="00796006"/>
    <w:rsid w:val="007B6AE9"/>
    <w:rsid w:val="007C2A67"/>
    <w:rsid w:val="007C3AA7"/>
    <w:rsid w:val="007D768E"/>
    <w:rsid w:val="007F3D4F"/>
    <w:rsid w:val="007F7662"/>
    <w:rsid w:val="00802857"/>
    <w:rsid w:val="00803383"/>
    <w:rsid w:val="00815AFA"/>
    <w:rsid w:val="00820C49"/>
    <w:rsid w:val="00821A44"/>
    <w:rsid w:val="00831E39"/>
    <w:rsid w:val="00843812"/>
    <w:rsid w:val="0085630B"/>
    <w:rsid w:val="00866200"/>
    <w:rsid w:val="0087078D"/>
    <w:rsid w:val="00872BE4"/>
    <w:rsid w:val="00881BD8"/>
    <w:rsid w:val="00890128"/>
    <w:rsid w:val="008A12BF"/>
    <w:rsid w:val="008B1C9E"/>
    <w:rsid w:val="008C1569"/>
    <w:rsid w:val="008D0AA7"/>
    <w:rsid w:val="008D321F"/>
    <w:rsid w:val="008D411A"/>
    <w:rsid w:val="008D6294"/>
    <w:rsid w:val="008E2BFB"/>
    <w:rsid w:val="008F43B4"/>
    <w:rsid w:val="008F4F8C"/>
    <w:rsid w:val="008F70DF"/>
    <w:rsid w:val="008F7B9F"/>
    <w:rsid w:val="0090332F"/>
    <w:rsid w:val="009070B5"/>
    <w:rsid w:val="009073E2"/>
    <w:rsid w:val="00922817"/>
    <w:rsid w:val="00924B94"/>
    <w:rsid w:val="00951389"/>
    <w:rsid w:val="009550C0"/>
    <w:rsid w:val="00955372"/>
    <w:rsid w:val="009644A0"/>
    <w:rsid w:val="009803F1"/>
    <w:rsid w:val="0098681A"/>
    <w:rsid w:val="0098723C"/>
    <w:rsid w:val="00993879"/>
    <w:rsid w:val="009A4D4D"/>
    <w:rsid w:val="009A5AE0"/>
    <w:rsid w:val="009B037F"/>
    <w:rsid w:val="009C311A"/>
    <w:rsid w:val="009D1F5D"/>
    <w:rsid w:val="009D3DAD"/>
    <w:rsid w:val="009F498B"/>
    <w:rsid w:val="00A11327"/>
    <w:rsid w:val="00A13480"/>
    <w:rsid w:val="00A23554"/>
    <w:rsid w:val="00A375DC"/>
    <w:rsid w:val="00A42045"/>
    <w:rsid w:val="00A54107"/>
    <w:rsid w:val="00A61D07"/>
    <w:rsid w:val="00A6424A"/>
    <w:rsid w:val="00A654FA"/>
    <w:rsid w:val="00A72041"/>
    <w:rsid w:val="00AA17F5"/>
    <w:rsid w:val="00AA38D1"/>
    <w:rsid w:val="00AC428D"/>
    <w:rsid w:val="00AD21A9"/>
    <w:rsid w:val="00AD3884"/>
    <w:rsid w:val="00AD59B9"/>
    <w:rsid w:val="00AD60B7"/>
    <w:rsid w:val="00AE2372"/>
    <w:rsid w:val="00AE4D85"/>
    <w:rsid w:val="00AF26BB"/>
    <w:rsid w:val="00AF6AFA"/>
    <w:rsid w:val="00B00ACD"/>
    <w:rsid w:val="00B0318E"/>
    <w:rsid w:val="00B03EB3"/>
    <w:rsid w:val="00B16DA1"/>
    <w:rsid w:val="00B232B9"/>
    <w:rsid w:val="00B24CCD"/>
    <w:rsid w:val="00B3319D"/>
    <w:rsid w:val="00B33F1B"/>
    <w:rsid w:val="00B4468B"/>
    <w:rsid w:val="00B44945"/>
    <w:rsid w:val="00B46DEC"/>
    <w:rsid w:val="00B60596"/>
    <w:rsid w:val="00B83B94"/>
    <w:rsid w:val="00B87F5A"/>
    <w:rsid w:val="00B92B72"/>
    <w:rsid w:val="00BA5186"/>
    <w:rsid w:val="00BB055B"/>
    <w:rsid w:val="00BC075A"/>
    <w:rsid w:val="00BC2826"/>
    <w:rsid w:val="00BD24F6"/>
    <w:rsid w:val="00BD5088"/>
    <w:rsid w:val="00BE01B6"/>
    <w:rsid w:val="00BE0758"/>
    <w:rsid w:val="00BE1A17"/>
    <w:rsid w:val="00BE3638"/>
    <w:rsid w:val="00BE3682"/>
    <w:rsid w:val="00BE507C"/>
    <w:rsid w:val="00BF0FC6"/>
    <w:rsid w:val="00C01416"/>
    <w:rsid w:val="00C146F5"/>
    <w:rsid w:val="00C24372"/>
    <w:rsid w:val="00C25B52"/>
    <w:rsid w:val="00C2679C"/>
    <w:rsid w:val="00C45170"/>
    <w:rsid w:val="00C54112"/>
    <w:rsid w:val="00C5496D"/>
    <w:rsid w:val="00C61A01"/>
    <w:rsid w:val="00C67592"/>
    <w:rsid w:val="00C83D28"/>
    <w:rsid w:val="00C96974"/>
    <w:rsid w:val="00CA15C0"/>
    <w:rsid w:val="00CA21F2"/>
    <w:rsid w:val="00CC7089"/>
    <w:rsid w:val="00CD0249"/>
    <w:rsid w:val="00CD036C"/>
    <w:rsid w:val="00CE23E4"/>
    <w:rsid w:val="00CE4806"/>
    <w:rsid w:val="00CF1DDE"/>
    <w:rsid w:val="00CF2135"/>
    <w:rsid w:val="00D11D91"/>
    <w:rsid w:val="00D15567"/>
    <w:rsid w:val="00D35F2C"/>
    <w:rsid w:val="00D404E9"/>
    <w:rsid w:val="00D51FFB"/>
    <w:rsid w:val="00D62E52"/>
    <w:rsid w:val="00D640B0"/>
    <w:rsid w:val="00D72458"/>
    <w:rsid w:val="00D72892"/>
    <w:rsid w:val="00D90781"/>
    <w:rsid w:val="00DB6CDC"/>
    <w:rsid w:val="00DC0C49"/>
    <w:rsid w:val="00DD79F7"/>
    <w:rsid w:val="00DE1F7A"/>
    <w:rsid w:val="00DF3384"/>
    <w:rsid w:val="00DF4B25"/>
    <w:rsid w:val="00DF56CE"/>
    <w:rsid w:val="00DF61DF"/>
    <w:rsid w:val="00E055EF"/>
    <w:rsid w:val="00E11C52"/>
    <w:rsid w:val="00E36D6F"/>
    <w:rsid w:val="00E37275"/>
    <w:rsid w:val="00E56DB7"/>
    <w:rsid w:val="00E60A4A"/>
    <w:rsid w:val="00E60ED7"/>
    <w:rsid w:val="00E6764A"/>
    <w:rsid w:val="00E719C8"/>
    <w:rsid w:val="00E7573A"/>
    <w:rsid w:val="00EA02A9"/>
    <w:rsid w:val="00EA7310"/>
    <w:rsid w:val="00EB0255"/>
    <w:rsid w:val="00EB440D"/>
    <w:rsid w:val="00EC3A1B"/>
    <w:rsid w:val="00ED7AA2"/>
    <w:rsid w:val="00EE0D7C"/>
    <w:rsid w:val="00EE5F03"/>
    <w:rsid w:val="00EF4287"/>
    <w:rsid w:val="00F0724E"/>
    <w:rsid w:val="00F13DD7"/>
    <w:rsid w:val="00F30BE5"/>
    <w:rsid w:val="00F35E81"/>
    <w:rsid w:val="00F442A1"/>
    <w:rsid w:val="00F465C6"/>
    <w:rsid w:val="00F50652"/>
    <w:rsid w:val="00F55A44"/>
    <w:rsid w:val="00F606A3"/>
    <w:rsid w:val="00F659AA"/>
    <w:rsid w:val="00F70E4C"/>
    <w:rsid w:val="00F70F31"/>
    <w:rsid w:val="00F8380A"/>
    <w:rsid w:val="00F9421E"/>
    <w:rsid w:val="00FA1101"/>
    <w:rsid w:val="00FA7874"/>
    <w:rsid w:val="00FC32CB"/>
    <w:rsid w:val="00FC555E"/>
    <w:rsid w:val="00FF576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A563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445DD9"/>
    <w:rPr>
      <w:sz w:val="16"/>
      <w:szCs w:val="16"/>
    </w:rPr>
  </w:style>
  <w:style w:type="paragraph" w:styleId="Tekstkomentarza">
    <w:name w:val="annotation text"/>
    <w:basedOn w:val="Normalny"/>
    <w:link w:val="TekstkomentarzaZnak"/>
    <w:uiPriority w:val="99"/>
    <w:unhideWhenUsed/>
    <w:rsid w:val="00445DD9"/>
    <w:pPr>
      <w:spacing w:line="240" w:lineRule="auto"/>
    </w:pPr>
    <w:rPr>
      <w:sz w:val="20"/>
      <w:szCs w:val="20"/>
    </w:rPr>
  </w:style>
  <w:style w:type="character" w:customStyle="1" w:styleId="TekstkomentarzaZnak">
    <w:name w:val="Tekst komentarza Znak"/>
    <w:basedOn w:val="Domylnaczcionkaakapitu"/>
    <w:link w:val="Tekstkomentarza"/>
    <w:uiPriority w:val="99"/>
    <w:rsid w:val="00445DD9"/>
    <w:rPr>
      <w:sz w:val="20"/>
      <w:szCs w:val="20"/>
    </w:rPr>
  </w:style>
  <w:style w:type="paragraph" w:styleId="Tematkomentarza">
    <w:name w:val="annotation subject"/>
    <w:basedOn w:val="Tekstkomentarza"/>
    <w:next w:val="Tekstkomentarza"/>
    <w:link w:val="TematkomentarzaZnak"/>
    <w:uiPriority w:val="99"/>
    <w:semiHidden/>
    <w:unhideWhenUsed/>
    <w:rsid w:val="00445DD9"/>
    <w:rPr>
      <w:b/>
      <w:bCs/>
    </w:rPr>
  </w:style>
  <w:style w:type="character" w:customStyle="1" w:styleId="TematkomentarzaZnak">
    <w:name w:val="Temat komentarza Znak"/>
    <w:basedOn w:val="TekstkomentarzaZnak"/>
    <w:link w:val="Tematkomentarza"/>
    <w:uiPriority w:val="99"/>
    <w:semiHidden/>
    <w:rsid w:val="00445DD9"/>
    <w:rPr>
      <w:b/>
      <w:bCs/>
      <w:sz w:val="20"/>
      <w:szCs w:val="20"/>
    </w:rPr>
  </w:style>
  <w:style w:type="paragraph" w:styleId="Tekstdymka">
    <w:name w:val="Balloon Text"/>
    <w:basedOn w:val="Normalny"/>
    <w:link w:val="TekstdymkaZnak"/>
    <w:uiPriority w:val="99"/>
    <w:semiHidden/>
    <w:unhideWhenUsed/>
    <w:rsid w:val="00445D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45DD9"/>
    <w:rPr>
      <w:rFonts w:ascii="Tahoma" w:hAnsi="Tahoma" w:cs="Tahoma"/>
      <w:sz w:val="16"/>
      <w:szCs w:val="16"/>
    </w:rPr>
  </w:style>
  <w:style w:type="paragraph" w:styleId="Zwykytekst">
    <w:name w:val="Plain Text"/>
    <w:basedOn w:val="Normalny"/>
    <w:link w:val="ZwykytekstZnak"/>
    <w:uiPriority w:val="99"/>
    <w:unhideWhenUsed/>
    <w:rsid w:val="00890128"/>
    <w:pPr>
      <w:spacing w:after="0" w:line="240" w:lineRule="auto"/>
    </w:pPr>
    <w:rPr>
      <w:rFonts w:ascii="Calibri" w:eastAsiaTheme="minorHAnsi" w:hAnsi="Calibri"/>
      <w:szCs w:val="21"/>
      <w:lang w:eastAsia="en-US"/>
    </w:rPr>
  </w:style>
  <w:style w:type="character" w:customStyle="1" w:styleId="ZwykytekstZnak">
    <w:name w:val="Zwykły tekst Znak"/>
    <w:basedOn w:val="Domylnaczcionkaakapitu"/>
    <w:link w:val="Zwykytekst"/>
    <w:uiPriority w:val="99"/>
    <w:rsid w:val="00890128"/>
    <w:rPr>
      <w:rFonts w:ascii="Calibri" w:eastAsiaTheme="minorHAnsi" w:hAnsi="Calibri"/>
      <w:szCs w:val="21"/>
      <w:lang w:eastAsia="en-US"/>
    </w:rPr>
  </w:style>
  <w:style w:type="character" w:styleId="Hipercze">
    <w:name w:val="Hyperlink"/>
    <w:basedOn w:val="Domylnaczcionkaakapitu"/>
    <w:uiPriority w:val="99"/>
    <w:semiHidden/>
    <w:unhideWhenUsed/>
    <w:rsid w:val="005059CF"/>
    <w:rPr>
      <w:color w:val="0000FF"/>
      <w:u w:val="single"/>
    </w:rPr>
  </w:style>
  <w:style w:type="paragraph" w:customStyle="1" w:styleId="PKTpunkt">
    <w:name w:val="PKT – punkt"/>
    <w:uiPriority w:val="13"/>
    <w:qFormat/>
    <w:rsid w:val="005059CF"/>
    <w:pPr>
      <w:spacing w:after="0" w:line="360" w:lineRule="auto"/>
      <w:ind w:left="510" w:hanging="510"/>
      <w:jc w:val="both"/>
    </w:pPr>
    <w:rPr>
      <w:rFonts w:ascii="Times" w:hAnsi="Times" w:cs="Arial"/>
      <w:bCs/>
      <w:sz w:val="24"/>
      <w:szCs w:val="20"/>
    </w:rPr>
  </w:style>
  <w:style w:type="character" w:customStyle="1" w:styleId="Ppogrubienie">
    <w:name w:val="_P_ – pogrubienie"/>
    <w:basedOn w:val="Domylnaczcionkaakapitu"/>
    <w:uiPriority w:val="1"/>
    <w:qFormat/>
    <w:rsid w:val="005059CF"/>
    <w:rPr>
      <w:b/>
      <w:bCs w:val="0"/>
    </w:rPr>
  </w:style>
  <w:style w:type="paragraph" w:styleId="Akapitzlist">
    <w:name w:val="List Paragraph"/>
    <w:basedOn w:val="Normalny"/>
    <w:uiPriority w:val="34"/>
    <w:qFormat/>
    <w:rsid w:val="00A11327"/>
    <w:pPr>
      <w:ind w:left="720"/>
      <w:contextualSpacing/>
    </w:pPr>
  </w:style>
  <w:style w:type="paragraph" w:styleId="Nagwek">
    <w:name w:val="header"/>
    <w:basedOn w:val="Normalny"/>
    <w:link w:val="NagwekZnak"/>
    <w:uiPriority w:val="99"/>
    <w:unhideWhenUsed/>
    <w:rsid w:val="007632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632BF"/>
  </w:style>
  <w:style w:type="paragraph" w:styleId="Stopka">
    <w:name w:val="footer"/>
    <w:basedOn w:val="Normalny"/>
    <w:link w:val="StopkaZnak"/>
    <w:uiPriority w:val="99"/>
    <w:unhideWhenUsed/>
    <w:rsid w:val="007632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32BF"/>
  </w:style>
  <w:style w:type="paragraph" w:styleId="Tekstprzypisudolnego">
    <w:name w:val="footnote text"/>
    <w:basedOn w:val="Normalny"/>
    <w:link w:val="TekstprzypisudolnegoZnak"/>
    <w:uiPriority w:val="99"/>
    <w:semiHidden/>
    <w:unhideWhenUsed/>
    <w:rsid w:val="007632B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632BF"/>
    <w:rPr>
      <w:sz w:val="20"/>
      <w:szCs w:val="20"/>
    </w:rPr>
  </w:style>
  <w:style w:type="character" w:styleId="Odwoanieprzypisudolnego">
    <w:name w:val="footnote reference"/>
    <w:basedOn w:val="Domylnaczcionkaakapitu"/>
    <w:uiPriority w:val="99"/>
    <w:semiHidden/>
    <w:unhideWhenUsed/>
    <w:rsid w:val="007632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A563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445DD9"/>
    <w:rPr>
      <w:sz w:val="16"/>
      <w:szCs w:val="16"/>
    </w:rPr>
  </w:style>
  <w:style w:type="paragraph" w:styleId="Tekstkomentarza">
    <w:name w:val="annotation text"/>
    <w:basedOn w:val="Normalny"/>
    <w:link w:val="TekstkomentarzaZnak"/>
    <w:uiPriority w:val="99"/>
    <w:unhideWhenUsed/>
    <w:rsid w:val="00445DD9"/>
    <w:pPr>
      <w:spacing w:line="240" w:lineRule="auto"/>
    </w:pPr>
    <w:rPr>
      <w:sz w:val="20"/>
      <w:szCs w:val="20"/>
    </w:rPr>
  </w:style>
  <w:style w:type="character" w:customStyle="1" w:styleId="TekstkomentarzaZnak">
    <w:name w:val="Tekst komentarza Znak"/>
    <w:basedOn w:val="Domylnaczcionkaakapitu"/>
    <w:link w:val="Tekstkomentarza"/>
    <w:uiPriority w:val="99"/>
    <w:rsid w:val="00445DD9"/>
    <w:rPr>
      <w:sz w:val="20"/>
      <w:szCs w:val="20"/>
    </w:rPr>
  </w:style>
  <w:style w:type="paragraph" w:styleId="Tematkomentarza">
    <w:name w:val="annotation subject"/>
    <w:basedOn w:val="Tekstkomentarza"/>
    <w:next w:val="Tekstkomentarza"/>
    <w:link w:val="TematkomentarzaZnak"/>
    <w:uiPriority w:val="99"/>
    <w:semiHidden/>
    <w:unhideWhenUsed/>
    <w:rsid w:val="00445DD9"/>
    <w:rPr>
      <w:b/>
      <w:bCs/>
    </w:rPr>
  </w:style>
  <w:style w:type="character" w:customStyle="1" w:styleId="TematkomentarzaZnak">
    <w:name w:val="Temat komentarza Znak"/>
    <w:basedOn w:val="TekstkomentarzaZnak"/>
    <w:link w:val="Tematkomentarza"/>
    <w:uiPriority w:val="99"/>
    <w:semiHidden/>
    <w:rsid w:val="00445DD9"/>
    <w:rPr>
      <w:b/>
      <w:bCs/>
      <w:sz w:val="20"/>
      <w:szCs w:val="20"/>
    </w:rPr>
  </w:style>
  <w:style w:type="paragraph" w:styleId="Tekstdymka">
    <w:name w:val="Balloon Text"/>
    <w:basedOn w:val="Normalny"/>
    <w:link w:val="TekstdymkaZnak"/>
    <w:uiPriority w:val="99"/>
    <w:semiHidden/>
    <w:unhideWhenUsed/>
    <w:rsid w:val="00445D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45DD9"/>
    <w:rPr>
      <w:rFonts w:ascii="Tahoma" w:hAnsi="Tahoma" w:cs="Tahoma"/>
      <w:sz w:val="16"/>
      <w:szCs w:val="16"/>
    </w:rPr>
  </w:style>
  <w:style w:type="paragraph" w:styleId="Zwykytekst">
    <w:name w:val="Plain Text"/>
    <w:basedOn w:val="Normalny"/>
    <w:link w:val="ZwykytekstZnak"/>
    <w:uiPriority w:val="99"/>
    <w:unhideWhenUsed/>
    <w:rsid w:val="00890128"/>
    <w:pPr>
      <w:spacing w:after="0" w:line="240" w:lineRule="auto"/>
    </w:pPr>
    <w:rPr>
      <w:rFonts w:ascii="Calibri" w:eastAsiaTheme="minorHAnsi" w:hAnsi="Calibri"/>
      <w:szCs w:val="21"/>
      <w:lang w:eastAsia="en-US"/>
    </w:rPr>
  </w:style>
  <w:style w:type="character" w:customStyle="1" w:styleId="ZwykytekstZnak">
    <w:name w:val="Zwykły tekst Znak"/>
    <w:basedOn w:val="Domylnaczcionkaakapitu"/>
    <w:link w:val="Zwykytekst"/>
    <w:uiPriority w:val="99"/>
    <w:rsid w:val="00890128"/>
    <w:rPr>
      <w:rFonts w:ascii="Calibri" w:eastAsiaTheme="minorHAnsi" w:hAnsi="Calibri"/>
      <w:szCs w:val="21"/>
      <w:lang w:eastAsia="en-US"/>
    </w:rPr>
  </w:style>
  <w:style w:type="character" w:styleId="Hipercze">
    <w:name w:val="Hyperlink"/>
    <w:basedOn w:val="Domylnaczcionkaakapitu"/>
    <w:uiPriority w:val="99"/>
    <w:semiHidden/>
    <w:unhideWhenUsed/>
    <w:rsid w:val="005059CF"/>
    <w:rPr>
      <w:color w:val="0000FF"/>
      <w:u w:val="single"/>
    </w:rPr>
  </w:style>
  <w:style w:type="paragraph" w:customStyle="1" w:styleId="PKTpunkt">
    <w:name w:val="PKT – punkt"/>
    <w:uiPriority w:val="13"/>
    <w:qFormat/>
    <w:rsid w:val="005059CF"/>
    <w:pPr>
      <w:spacing w:after="0" w:line="360" w:lineRule="auto"/>
      <w:ind w:left="510" w:hanging="510"/>
      <w:jc w:val="both"/>
    </w:pPr>
    <w:rPr>
      <w:rFonts w:ascii="Times" w:hAnsi="Times" w:cs="Arial"/>
      <w:bCs/>
      <w:sz w:val="24"/>
      <w:szCs w:val="20"/>
    </w:rPr>
  </w:style>
  <w:style w:type="character" w:customStyle="1" w:styleId="Ppogrubienie">
    <w:name w:val="_P_ – pogrubienie"/>
    <w:basedOn w:val="Domylnaczcionkaakapitu"/>
    <w:uiPriority w:val="1"/>
    <w:qFormat/>
    <w:rsid w:val="005059CF"/>
    <w:rPr>
      <w:b/>
      <w:bCs w:val="0"/>
    </w:rPr>
  </w:style>
  <w:style w:type="paragraph" w:styleId="Akapitzlist">
    <w:name w:val="List Paragraph"/>
    <w:basedOn w:val="Normalny"/>
    <w:uiPriority w:val="34"/>
    <w:qFormat/>
    <w:rsid w:val="00A11327"/>
    <w:pPr>
      <w:ind w:left="720"/>
      <w:contextualSpacing/>
    </w:pPr>
  </w:style>
  <w:style w:type="paragraph" w:styleId="Nagwek">
    <w:name w:val="header"/>
    <w:basedOn w:val="Normalny"/>
    <w:link w:val="NagwekZnak"/>
    <w:uiPriority w:val="99"/>
    <w:unhideWhenUsed/>
    <w:rsid w:val="007632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632BF"/>
  </w:style>
  <w:style w:type="paragraph" w:styleId="Stopka">
    <w:name w:val="footer"/>
    <w:basedOn w:val="Normalny"/>
    <w:link w:val="StopkaZnak"/>
    <w:uiPriority w:val="99"/>
    <w:unhideWhenUsed/>
    <w:rsid w:val="007632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32BF"/>
  </w:style>
  <w:style w:type="paragraph" w:styleId="Tekstprzypisudolnego">
    <w:name w:val="footnote text"/>
    <w:basedOn w:val="Normalny"/>
    <w:link w:val="TekstprzypisudolnegoZnak"/>
    <w:uiPriority w:val="99"/>
    <w:semiHidden/>
    <w:unhideWhenUsed/>
    <w:rsid w:val="007632B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632BF"/>
    <w:rPr>
      <w:sz w:val="20"/>
      <w:szCs w:val="20"/>
    </w:rPr>
  </w:style>
  <w:style w:type="character" w:styleId="Odwoanieprzypisudolnego">
    <w:name w:val="footnote reference"/>
    <w:basedOn w:val="Domylnaczcionkaakapitu"/>
    <w:uiPriority w:val="99"/>
    <w:semiHidden/>
    <w:unhideWhenUsed/>
    <w:rsid w:val="007632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03529">
      <w:bodyDiv w:val="1"/>
      <w:marLeft w:val="0"/>
      <w:marRight w:val="0"/>
      <w:marTop w:val="0"/>
      <w:marBottom w:val="0"/>
      <w:divBdr>
        <w:top w:val="none" w:sz="0" w:space="0" w:color="auto"/>
        <w:left w:val="none" w:sz="0" w:space="0" w:color="auto"/>
        <w:bottom w:val="none" w:sz="0" w:space="0" w:color="auto"/>
        <w:right w:val="none" w:sz="0" w:space="0" w:color="auto"/>
      </w:divBdr>
    </w:div>
    <w:div w:id="133958232">
      <w:bodyDiv w:val="1"/>
      <w:marLeft w:val="0"/>
      <w:marRight w:val="0"/>
      <w:marTop w:val="0"/>
      <w:marBottom w:val="0"/>
      <w:divBdr>
        <w:top w:val="none" w:sz="0" w:space="0" w:color="auto"/>
        <w:left w:val="none" w:sz="0" w:space="0" w:color="auto"/>
        <w:bottom w:val="none" w:sz="0" w:space="0" w:color="auto"/>
        <w:right w:val="none" w:sz="0" w:space="0" w:color="auto"/>
      </w:divBdr>
    </w:div>
    <w:div w:id="244610972">
      <w:bodyDiv w:val="1"/>
      <w:marLeft w:val="0"/>
      <w:marRight w:val="0"/>
      <w:marTop w:val="0"/>
      <w:marBottom w:val="0"/>
      <w:divBdr>
        <w:top w:val="none" w:sz="0" w:space="0" w:color="auto"/>
        <w:left w:val="none" w:sz="0" w:space="0" w:color="auto"/>
        <w:bottom w:val="none" w:sz="0" w:space="0" w:color="auto"/>
        <w:right w:val="none" w:sz="0" w:space="0" w:color="auto"/>
      </w:divBdr>
    </w:div>
    <w:div w:id="807625939">
      <w:bodyDiv w:val="1"/>
      <w:marLeft w:val="0"/>
      <w:marRight w:val="0"/>
      <w:marTop w:val="0"/>
      <w:marBottom w:val="0"/>
      <w:divBdr>
        <w:top w:val="none" w:sz="0" w:space="0" w:color="auto"/>
        <w:left w:val="none" w:sz="0" w:space="0" w:color="auto"/>
        <w:bottom w:val="none" w:sz="0" w:space="0" w:color="auto"/>
        <w:right w:val="none" w:sz="0" w:space="0" w:color="auto"/>
      </w:divBdr>
    </w:div>
    <w:div w:id="813330219">
      <w:bodyDiv w:val="1"/>
      <w:marLeft w:val="0"/>
      <w:marRight w:val="0"/>
      <w:marTop w:val="0"/>
      <w:marBottom w:val="0"/>
      <w:divBdr>
        <w:top w:val="none" w:sz="0" w:space="0" w:color="auto"/>
        <w:left w:val="none" w:sz="0" w:space="0" w:color="auto"/>
        <w:bottom w:val="none" w:sz="0" w:space="0" w:color="auto"/>
        <w:right w:val="none" w:sz="0" w:space="0" w:color="auto"/>
      </w:divBdr>
    </w:div>
    <w:div w:id="1009066631">
      <w:bodyDiv w:val="1"/>
      <w:marLeft w:val="0"/>
      <w:marRight w:val="0"/>
      <w:marTop w:val="0"/>
      <w:marBottom w:val="0"/>
      <w:divBdr>
        <w:top w:val="none" w:sz="0" w:space="0" w:color="auto"/>
        <w:left w:val="none" w:sz="0" w:space="0" w:color="auto"/>
        <w:bottom w:val="none" w:sz="0" w:space="0" w:color="auto"/>
        <w:right w:val="none" w:sz="0" w:space="0" w:color="auto"/>
      </w:divBdr>
      <w:divsChild>
        <w:div w:id="190068645">
          <w:marLeft w:val="0"/>
          <w:marRight w:val="0"/>
          <w:marTop w:val="0"/>
          <w:marBottom w:val="0"/>
          <w:divBdr>
            <w:top w:val="none" w:sz="0" w:space="0" w:color="auto"/>
            <w:left w:val="none" w:sz="0" w:space="0" w:color="auto"/>
            <w:bottom w:val="none" w:sz="0" w:space="0" w:color="auto"/>
            <w:right w:val="none" w:sz="0" w:space="0" w:color="auto"/>
          </w:divBdr>
          <w:divsChild>
            <w:div w:id="139345361">
              <w:marLeft w:val="0"/>
              <w:marRight w:val="0"/>
              <w:marTop w:val="0"/>
              <w:marBottom w:val="0"/>
              <w:divBdr>
                <w:top w:val="none" w:sz="0" w:space="0" w:color="auto"/>
                <w:left w:val="none" w:sz="0" w:space="0" w:color="auto"/>
                <w:bottom w:val="none" w:sz="0" w:space="0" w:color="auto"/>
                <w:right w:val="none" w:sz="0" w:space="0" w:color="auto"/>
              </w:divBdr>
              <w:divsChild>
                <w:div w:id="1687055665">
                  <w:marLeft w:val="0"/>
                  <w:marRight w:val="0"/>
                  <w:marTop w:val="0"/>
                  <w:marBottom w:val="0"/>
                  <w:divBdr>
                    <w:top w:val="none" w:sz="0" w:space="0" w:color="auto"/>
                    <w:left w:val="none" w:sz="0" w:space="0" w:color="auto"/>
                    <w:bottom w:val="none" w:sz="0" w:space="0" w:color="auto"/>
                    <w:right w:val="none" w:sz="0" w:space="0" w:color="auto"/>
                  </w:divBdr>
                  <w:divsChild>
                    <w:div w:id="783384077">
                      <w:marLeft w:val="0"/>
                      <w:marRight w:val="0"/>
                      <w:marTop w:val="0"/>
                      <w:marBottom w:val="0"/>
                      <w:divBdr>
                        <w:top w:val="none" w:sz="0" w:space="0" w:color="auto"/>
                        <w:left w:val="none" w:sz="0" w:space="0" w:color="auto"/>
                        <w:bottom w:val="none" w:sz="0" w:space="0" w:color="auto"/>
                        <w:right w:val="none" w:sz="0" w:space="0" w:color="auto"/>
                      </w:divBdr>
                      <w:divsChild>
                        <w:div w:id="514541521">
                          <w:marLeft w:val="0"/>
                          <w:marRight w:val="0"/>
                          <w:marTop w:val="0"/>
                          <w:marBottom w:val="0"/>
                          <w:divBdr>
                            <w:top w:val="none" w:sz="0" w:space="0" w:color="auto"/>
                            <w:left w:val="none" w:sz="0" w:space="0" w:color="auto"/>
                            <w:bottom w:val="none" w:sz="0" w:space="0" w:color="auto"/>
                            <w:right w:val="none" w:sz="0" w:space="0" w:color="auto"/>
                          </w:divBdr>
                          <w:divsChild>
                            <w:div w:id="952708407">
                              <w:marLeft w:val="0"/>
                              <w:marRight w:val="0"/>
                              <w:marTop w:val="0"/>
                              <w:marBottom w:val="0"/>
                              <w:divBdr>
                                <w:top w:val="none" w:sz="0" w:space="0" w:color="auto"/>
                                <w:left w:val="none" w:sz="0" w:space="0" w:color="auto"/>
                                <w:bottom w:val="none" w:sz="0" w:space="0" w:color="auto"/>
                                <w:right w:val="none" w:sz="0" w:space="0" w:color="auto"/>
                              </w:divBdr>
                              <w:divsChild>
                                <w:div w:id="1478689360">
                                  <w:marLeft w:val="0"/>
                                  <w:marRight w:val="0"/>
                                  <w:marTop w:val="0"/>
                                  <w:marBottom w:val="0"/>
                                  <w:divBdr>
                                    <w:top w:val="none" w:sz="0" w:space="0" w:color="auto"/>
                                    <w:left w:val="none" w:sz="0" w:space="0" w:color="auto"/>
                                    <w:bottom w:val="none" w:sz="0" w:space="0" w:color="auto"/>
                                    <w:right w:val="none" w:sz="0" w:space="0" w:color="auto"/>
                                  </w:divBdr>
                                  <w:divsChild>
                                    <w:div w:id="2029986190">
                                      <w:marLeft w:val="0"/>
                                      <w:marRight w:val="0"/>
                                      <w:marTop w:val="0"/>
                                      <w:marBottom w:val="0"/>
                                      <w:divBdr>
                                        <w:top w:val="none" w:sz="0" w:space="0" w:color="auto"/>
                                        <w:left w:val="none" w:sz="0" w:space="0" w:color="auto"/>
                                        <w:bottom w:val="none" w:sz="0" w:space="0" w:color="auto"/>
                                        <w:right w:val="none" w:sz="0" w:space="0" w:color="auto"/>
                                      </w:divBdr>
                                      <w:divsChild>
                                        <w:div w:id="1103694785">
                                          <w:marLeft w:val="0"/>
                                          <w:marRight w:val="0"/>
                                          <w:marTop w:val="0"/>
                                          <w:marBottom w:val="0"/>
                                          <w:divBdr>
                                            <w:top w:val="none" w:sz="0" w:space="0" w:color="auto"/>
                                            <w:left w:val="none" w:sz="0" w:space="0" w:color="auto"/>
                                            <w:bottom w:val="none" w:sz="0" w:space="0" w:color="auto"/>
                                            <w:right w:val="none" w:sz="0" w:space="0" w:color="auto"/>
                                          </w:divBdr>
                                          <w:divsChild>
                                            <w:div w:id="1422680499">
                                              <w:marLeft w:val="0"/>
                                              <w:marRight w:val="0"/>
                                              <w:marTop w:val="0"/>
                                              <w:marBottom w:val="0"/>
                                              <w:divBdr>
                                                <w:top w:val="none" w:sz="0" w:space="0" w:color="auto"/>
                                                <w:left w:val="none" w:sz="0" w:space="0" w:color="auto"/>
                                                <w:bottom w:val="none" w:sz="0" w:space="0" w:color="auto"/>
                                                <w:right w:val="none" w:sz="0" w:space="0" w:color="auto"/>
                                              </w:divBdr>
                                              <w:divsChild>
                                                <w:div w:id="1786077363">
                                                  <w:marLeft w:val="0"/>
                                                  <w:marRight w:val="0"/>
                                                  <w:marTop w:val="0"/>
                                                  <w:marBottom w:val="0"/>
                                                  <w:divBdr>
                                                    <w:top w:val="none" w:sz="0" w:space="0" w:color="auto"/>
                                                    <w:left w:val="none" w:sz="0" w:space="0" w:color="auto"/>
                                                    <w:bottom w:val="none" w:sz="0" w:space="0" w:color="auto"/>
                                                    <w:right w:val="none" w:sz="0" w:space="0" w:color="auto"/>
                                                  </w:divBdr>
                                                  <w:divsChild>
                                                    <w:div w:id="780338135">
                                                      <w:marLeft w:val="0"/>
                                                      <w:marRight w:val="0"/>
                                                      <w:marTop w:val="0"/>
                                                      <w:marBottom w:val="0"/>
                                                      <w:divBdr>
                                                        <w:top w:val="none" w:sz="0" w:space="0" w:color="auto"/>
                                                        <w:left w:val="none" w:sz="0" w:space="0" w:color="auto"/>
                                                        <w:bottom w:val="none" w:sz="0" w:space="0" w:color="auto"/>
                                                        <w:right w:val="none" w:sz="0" w:space="0" w:color="auto"/>
                                                      </w:divBdr>
                                                      <w:divsChild>
                                                        <w:div w:id="1293903467">
                                                          <w:marLeft w:val="0"/>
                                                          <w:marRight w:val="0"/>
                                                          <w:marTop w:val="0"/>
                                                          <w:marBottom w:val="0"/>
                                                          <w:divBdr>
                                                            <w:top w:val="none" w:sz="0" w:space="0" w:color="auto"/>
                                                            <w:left w:val="none" w:sz="0" w:space="0" w:color="auto"/>
                                                            <w:bottom w:val="none" w:sz="0" w:space="0" w:color="auto"/>
                                                            <w:right w:val="none" w:sz="0" w:space="0" w:color="auto"/>
                                                          </w:divBdr>
                                                          <w:divsChild>
                                                            <w:div w:id="1537044513">
                                                              <w:marLeft w:val="0"/>
                                                              <w:marRight w:val="0"/>
                                                              <w:marTop w:val="0"/>
                                                              <w:marBottom w:val="0"/>
                                                              <w:divBdr>
                                                                <w:top w:val="none" w:sz="0" w:space="0" w:color="auto"/>
                                                                <w:left w:val="none" w:sz="0" w:space="0" w:color="auto"/>
                                                                <w:bottom w:val="none" w:sz="0" w:space="0" w:color="auto"/>
                                                                <w:right w:val="none" w:sz="0" w:space="0" w:color="auto"/>
                                                              </w:divBdr>
                                                              <w:divsChild>
                                                                <w:div w:id="113548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7409212">
      <w:bodyDiv w:val="1"/>
      <w:marLeft w:val="0"/>
      <w:marRight w:val="0"/>
      <w:marTop w:val="0"/>
      <w:marBottom w:val="0"/>
      <w:divBdr>
        <w:top w:val="none" w:sz="0" w:space="0" w:color="auto"/>
        <w:left w:val="none" w:sz="0" w:space="0" w:color="auto"/>
        <w:bottom w:val="none" w:sz="0" w:space="0" w:color="auto"/>
        <w:right w:val="none" w:sz="0" w:space="0" w:color="auto"/>
      </w:divBdr>
      <w:divsChild>
        <w:div w:id="168061564">
          <w:marLeft w:val="0"/>
          <w:marRight w:val="0"/>
          <w:marTop w:val="0"/>
          <w:marBottom w:val="0"/>
          <w:divBdr>
            <w:top w:val="none" w:sz="0" w:space="0" w:color="auto"/>
            <w:left w:val="none" w:sz="0" w:space="0" w:color="auto"/>
            <w:bottom w:val="none" w:sz="0" w:space="0" w:color="auto"/>
            <w:right w:val="none" w:sz="0" w:space="0" w:color="auto"/>
          </w:divBdr>
          <w:divsChild>
            <w:div w:id="1973514335">
              <w:marLeft w:val="0"/>
              <w:marRight w:val="0"/>
              <w:marTop w:val="0"/>
              <w:marBottom w:val="0"/>
              <w:divBdr>
                <w:top w:val="none" w:sz="0" w:space="0" w:color="auto"/>
                <w:left w:val="none" w:sz="0" w:space="0" w:color="auto"/>
                <w:bottom w:val="none" w:sz="0" w:space="0" w:color="auto"/>
                <w:right w:val="none" w:sz="0" w:space="0" w:color="auto"/>
              </w:divBdr>
              <w:divsChild>
                <w:div w:id="1201743277">
                  <w:marLeft w:val="0"/>
                  <w:marRight w:val="0"/>
                  <w:marTop w:val="0"/>
                  <w:marBottom w:val="0"/>
                  <w:divBdr>
                    <w:top w:val="none" w:sz="0" w:space="0" w:color="auto"/>
                    <w:left w:val="none" w:sz="0" w:space="0" w:color="auto"/>
                    <w:bottom w:val="none" w:sz="0" w:space="0" w:color="auto"/>
                    <w:right w:val="none" w:sz="0" w:space="0" w:color="auto"/>
                  </w:divBdr>
                  <w:divsChild>
                    <w:div w:id="1039861739">
                      <w:marLeft w:val="0"/>
                      <w:marRight w:val="0"/>
                      <w:marTop w:val="0"/>
                      <w:marBottom w:val="0"/>
                      <w:divBdr>
                        <w:top w:val="none" w:sz="0" w:space="0" w:color="auto"/>
                        <w:left w:val="none" w:sz="0" w:space="0" w:color="auto"/>
                        <w:bottom w:val="none" w:sz="0" w:space="0" w:color="auto"/>
                        <w:right w:val="none" w:sz="0" w:space="0" w:color="auto"/>
                      </w:divBdr>
                      <w:divsChild>
                        <w:div w:id="1175531461">
                          <w:marLeft w:val="0"/>
                          <w:marRight w:val="0"/>
                          <w:marTop w:val="0"/>
                          <w:marBottom w:val="0"/>
                          <w:divBdr>
                            <w:top w:val="none" w:sz="0" w:space="0" w:color="auto"/>
                            <w:left w:val="none" w:sz="0" w:space="0" w:color="auto"/>
                            <w:bottom w:val="none" w:sz="0" w:space="0" w:color="auto"/>
                            <w:right w:val="none" w:sz="0" w:space="0" w:color="auto"/>
                          </w:divBdr>
                          <w:divsChild>
                            <w:div w:id="1248418143">
                              <w:marLeft w:val="0"/>
                              <w:marRight w:val="0"/>
                              <w:marTop w:val="0"/>
                              <w:marBottom w:val="0"/>
                              <w:divBdr>
                                <w:top w:val="none" w:sz="0" w:space="0" w:color="auto"/>
                                <w:left w:val="none" w:sz="0" w:space="0" w:color="auto"/>
                                <w:bottom w:val="none" w:sz="0" w:space="0" w:color="auto"/>
                                <w:right w:val="none" w:sz="0" w:space="0" w:color="auto"/>
                              </w:divBdr>
                              <w:divsChild>
                                <w:div w:id="1951624598">
                                  <w:marLeft w:val="0"/>
                                  <w:marRight w:val="0"/>
                                  <w:marTop w:val="0"/>
                                  <w:marBottom w:val="0"/>
                                  <w:divBdr>
                                    <w:top w:val="none" w:sz="0" w:space="0" w:color="auto"/>
                                    <w:left w:val="none" w:sz="0" w:space="0" w:color="auto"/>
                                    <w:bottom w:val="none" w:sz="0" w:space="0" w:color="auto"/>
                                    <w:right w:val="none" w:sz="0" w:space="0" w:color="auto"/>
                                  </w:divBdr>
                                  <w:divsChild>
                                    <w:div w:id="1441947658">
                                      <w:marLeft w:val="0"/>
                                      <w:marRight w:val="0"/>
                                      <w:marTop w:val="0"/>
                                      <w:marBottom w:val="0"/>
                                      <w:divBdr>
                                        <w:top w:val="none" w:sz="0" w:space="0" w:color="auto"/>
                                        <w:left w:val="none" w:sz="0" w:space="0" w:color="auto"/>
                                        <w:bottom w:val="none" w:sz="0" w:space="0" w:color="auto"/>
                                        <w:right w:val="none" w:sz="0" w:space="0" w:color="auto"/>
                                      </w:divBdr>
                                      <w:divsChild>
                                        <w:div w:id="1901090431">
                                          <w:marLeft w:val="0"/>
                                          <w:marRight w:val="0"/>
                                          <w:marTop w:val="0"/>
                                          <w:marBottom w:val="0"/>
                                          <w:divBdr>
                                            <w:top w:val="none" w:sz="0" w:space="0" w:color="auto"/>
                                            <w:left w:val="none" w:sz="0" w:space="0" w:color="auto"/>
                                            <w:bottom w:val="none" w:sz="0" w:space="0" w:color="auto"/>
                                            <w:right w:val="none" w:sz="0" w:space="0" w:color="auto"/>
                                          </w:divBdr>
                                          <w:divsChild>
                                            <w:div w:id="920719300">
                                              <w:marLeft w:val="0"/>
                                              <w:marRight w:val="0"/>
                                              <w:marTop w:val="0"/>
                                              <w:marBottom w:val="0"/>
                                              <w:divBdr>
                                                <w:top w:val="none" w:sz="0" w:space="0" w:color="auto"/>
                                                <w:left w:val="none" w:sz="0" w:space="0" w:color="auto"/>
                                                <w:bottom w:val="none" w:sz="0" w:space="0" w:color="auto"/>
                                                <w:right w:val="none" w:sz="0" w:space="0" w:color="auto"/>
                                              </w:divBdr>
                                              <w:divsChild>
                                                <w:div w:id="651762001">
                                                  <w:marLeft w:val="0"/>
                                                  <w:marRight w:val="0"/>
                                                  <w:marTop w:val="0"/>
                                                  <w:marBottom w:val="0"/>
                                                  <w:divBdr>
                                                    <w:top w:val="none" w:sz="0" w:space="0" w:color="auto"/>
                                                    <w:left w:val="none" w:sz="0" w:space="0" w:color="auto"/>
                                                    <w:bottom w:val="none" w:sz="0" w:space="0" w:color="auto"/>
                                                    <w:right w:val="none" w:sz="0" w:space="0" w:color="auto"/>
                                                  </w:divBdr>
                                                  <w:divsChild>
                                                    <w:div w:id="1811555512">
                                                      <w:marLeft w:val="0"/>
                                                      <w:marRight w:val="0"/>
                                                      <w:marTop w:val="0"/>
                                                      <w:marBottom w:val="0"/>
                                                      <w:divBdr>
                                                        <w:top w:val="none" w:sz="0" w:space="0" w:color="auto"/>
                                                        <w:left w:val="none" w:sz="0" w:space="0" w:color="auto"/>
                                                        <w:bottom w:val="none" w:sz="0" w:space="0" w:color="auto"/>
                                                        <w:right w:val="none" w:sz="0" w:space="0" w:color="auto"/>
                                                      </w:divBdr>
                                                      <w:divsChild>
                                                        <w:div w:id="233777554">
                                                          <w:marLeft w:val="0"/>
                                                          <w:marRight w:val="0"/>
                                                          <w:marTop w:val="0"/>
                                                          <w:marBottom w:val="0"/>
                                                          <w:divBdr>
                                                            <w:top w:val="none" w:sz="0" w:space="0" w:color="auto"/>
                                                            <w:left w:val="none" w:sz="0" w:space="0" w:color="auto"/>
                                                            <w:bottom w:val="none" w:sz="0" w:space="0" w:color="auto"/>
                                                            <w:right w:val="none" w:sz="0" w:space="0" w:color="auto"/>
                                                          </w:divBdr>
                                                        </w:div>
                                                      </w:divsChild>
                                                    </w:div>
                                                    <w:div w:id="588542061">
                                                      <w:marLeft w:val="0"/>
                                                      <w:marRight w:val="0"/>
                                                      <w:marTop w:val="0"/>
                                                      <w:marBottom w:val="0"/>
                                                      <w:divBdr>
                                                        <w:top w:val="none" w:sz="0" w:space="0" w:color="auto"/>
                                                        <w:left w:val="none" w:sz="0" w:space="0" w:color="auto"/>
                                                        <w:bottom w:val="none" w:sz="0" w:space="0" w:color="auto"/>
                                                        <w:right w:val="none" w:sz="0" w:space="0" w:color="auto"/>
                                                      </w:divBdr>
                                                      <w:divsChild>
                                                        <w:div w:id="1455754462">
                                                          <w:marLeft w:val="0"/>
                                                          <w:marRight w:val="0"/>
                                                          <w:marTop w:val="0"/>
                                                          <w:marBottom w:val="0"/>
                                                          <w:divBdr>
                                                            <w:top w:val="none" w:sz="0" w:space="0" w:color="auto"/>
                                                            <w:left w:val="none" w:sz="0" w:space="0" w:color="auto"/>
                                                            <w:bottom w:val="none" w:sz="0" w:space="0" w:color="auto"/>
                                                            <w:right w:val="none" w:sz="0" w:space="0" w:color="auto"/>
                                                          </w:divBdr>
                                                          <w:divsChild>
                                                            <w:div w:id="2146239387">
                                                              <w:marLeft w:val="0"/>
                                                              <w:marRight w:val="0"/>
                                                              <w:marTop w:val="0"/>
                                                              <w:marBottom w:val="0"/>
                                                              <w:divBdr>
                                                                <w:top w:val="none" w:sz="0" w:space="0" w:color="auto"/>
                                                                <w:left w:val="none" w:sz="0" w:space="0" w:color="auto"/>
                                                                <w:bottom w:val="none" w:sz="0" w:space="0" w:color="auto"/>
                                                                <w:right w:val="none" w:sz="0" w:space="0" w:color="auto"/>
                                                              </w:divBdr>
                                                              <w:divsChild>
                                                                <w:div w:id="106125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0575144">
      <w:bodyDiv w:val="1"/>
      <w:marLeft w:val="0"/>
      <w:marRight w:val="0"/>
      <w:marTop w:val="0"/>
      <w:marBottom w:val="0"/>
      <w:divBdr>
        <w:top w:val="none" w:sz="0" w:space="0" w:color="auto"/>
        <w:left w:val="none" w:sz="0" w:space="0" w:color="auto"/>
        <w:bottom w:val="none" w:sz="0" w:space="0" w:color="auto"/>
        <w:right w:val="none" w:sz="0" w:space="0" w:color="auto"/>
      </w:divBdr>
    </w:div>
    <w:div w:id="1834444194">
      <w:bodyDiv w:val="1"/>
      <w:marLeft w:val="0"/>
      <w:marRight w:val="0"/>
      <w:marTop w:val="0"/>
      <w:marBottom w:val="0"/>
      <w:divBdr>
        <w:top w:val="none" w:sz="0" w:space="0" w:color="auto"/>
        <w:left w:val="none" w:sz="0" w:space="0" w:color="auto"/>
        <w:bottom w:val="none" w:sz="0" w:space="0" w:color="auto"/>
        <w:right w:val="none" w:sz="0" w:space="0" w:color="auto"/>
      </w:divBdr>
    </w:div>
    <w:div w:id="2048335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53C4F-FF56-4E68-A968-8F7537099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2305</Words>
  <Characters>13831</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Fellmann Alicja</dc:creator>
  <cp:lastModifiedBy>Ewa A. Genert</cp:lastModifiedBy>
  <cp:revision>2</cp:revision>
  <cp:lastPrinted>2017-02-01T14:04:00Z</cp:lastPrinted>
  <dcterms:created xsi:type="dcterms:W3CDTF">2017-02-09T13:13:00Z</dcterms:created>
  <dcterms:modified xsi:type="dcterms:W3CDTF">2017-02-09T13:13:00Z</dcterms:modified>
</cp:coreProperties>
</file>