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5ADF4" w14:textId="77777777" w:rsidR="00F5215D" w:rsidRPr="00A36CBD" w:rsidRDefault="00F5215D" w:rsidP="008A5895">
      <w:pPr>
        <w:spacing w:after="0" w:line="240" w:lineRule="auto"/>
        <w:ind w:left="-142" w:firstLine="142"/>
        <w:jc w:val="right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</w:pPr>
      <w:bookmarkStart w:id="0" w:name="_GoBack"/>
      <w:bookmarkEnd w:id="0"/>
      <w:r w:rsidRPr="00A36C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  <w:t>PROJEKT</w:t>
      </w:r>
    </w:p>
    <w:p w14:paraId="682F2009" w14:textId="77777777" w:rsidR="00F5215D" w:rsidRPr="00A36CBD" w:rsidRDefault="00F5215D" w:rsidP="008A5895">
      <w:pPr>
        <w:spacing w:after="0" w:line="240" w:lineRule="auto"/>
        <w:ind w:left="-142" w:firstLine="142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72ECF486" w14:textId="77777777" w:rsidR="00F5215D" w:rsidRPr="00A36CBD" w:rsidRDefault="00F5215D" w:rsidP="008A5895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76DB12B" w14:textId="77777777" w:rsidR="00F5215D" w:rsidRPr="00A36CBD" w:rsidRDefault="00F5215D" w:rsidP="008A5895">
      <w:pPr>
        <w:spacing w:after="0" w:line="360" w:lineRule="auto"/>
        <w:ind w:left="-142"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36C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USTAWA</w:t>
      </w:r>
    </w:p>
    <w:p w14:paraId="16327519" w14:textId="77777777" w:rsidR="00F5215D" w:rsidRPr="00A36CBD" w:rsidRDefault="00F5215D" w:rsidP="008A5895">
      <w:pPr>
        <w:spacing w:after="0" w:line="360" w:lineRule="auto"/>
        <w:ind w:left="-142"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36C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z dnia ……… 2016 r. </w:t>
      </w:r>
    </w:p>
    <w:p w14:paraId="28C2F595" w14:textId="77777777" w:rsidR="00F5215D" w:rsidRPr="00A36CBD" w:rsidRDefault="00F5215D" w:rsidP="008A5895">
      <w:pPr>
        <w:spacing w:after="0" w:line="360" w:lineRule="auto"/>
        <w:ind w:left="-142"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36C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 zmianie ustawy Kodeks postępowania cywilnego</w:t>
      </w:r>
    </w:p>
    <w:p w14:paraId="5A542321" w14:textId="77777777" w:rsidR="00F5215D" w:rsidRPr="00A36CBD" w:rsidRDefault="00F5215D" w:rsidP="008A5895">
      <w:pPr>
        <w:spacing w:after="0" w:line="360" w:lineRule="auto"/>
        <w:ind w:left="-142"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68D48632" w14:textId="77777777" w:rsidR="00F5215D" w:rsidRPr="00A36CBD" w:rsidRDefault="00F5215D" w:rsidP="008A5895">
      <w:pPr>
        <w:spacing w:after="0" w:line="360" w:lineRule="auto"/>
        <w:ind w:left="-142" w:firstLine="14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A36C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Art. 1.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W ustawie z dnia 17 listopada 1964 r. Kodeks postępowania cywilnego (Dz.U. 1964 nr 43 poz. 296) wprowadza się następujące zmiany:</w:t>
      </w:r>
    </w:p>
    <w:p w14:paraId="3C2D2ADE" w14:textId="77777777" w:rsidR="00A05FF8" w:rsidRPr="00A36CBD" w:rsidRDefault="00A05FF8" w:rsidP="008A5895">
      <w:pPr>
        <w:spacing w:after="0" w:line="360" w:lineRule="auto"/>
        <w:ind w:left="-142" w:firstLine="14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2BD26669" w14:textId="77777777" w:rsidR="00F5215D" w:rsidRDefault="00F5215D" w:rsidP="008A5895">
      <w:pPr>
        <w:pStyle w:val="Akapitzlist"/>
        <w:numPr>
          <w:ilvl w:val="0"/>
          <w:numId w:val="1"/>
        </w:numPr>
        <w:spacing w:after="0" w:line="360" w:lineRule="auto"/>
        <w:ind w:left="-142" w:firstLine="14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art. 505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>36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8A58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otrzymuje następujące brzmienie:</w:t>
      </w:r>
    </w:p>
    <w:p w14:paraId="41AF82DE" w14:textId="77777777" w:rsidR="008A5895" w:rsidRPr="008A5895" w:rsidRDefault="008A5895" w:rsidP="00E74477">
      <w:pPr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„</w:t>
      </w:r>
      <w:r w:rsidRPr="008A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Art. 505</w:t>
      </w:r>
      <w:r w:rsidRPr="008A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pl-PL"/>
        </w:rPr>
        <w:t>36</w:t>
      </w:r>
      <w:r w:rsidRPr="008A58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§</w:t>
      </w:r>
      <w:r w:rsidR="00E744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1.</w:t>
      </w:r>
      <w:r w:rsidRPr="008A5895">
        <w:t xml:space="preserve"> </w:t>
      </w:r>
      <w:r w:rsidRPr="008A58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 razie prawidłowego wniesienia sprzeciwu nakaz zapłaty traci moc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br/>
      </w:r>
      <w:r w:rsidRPr="008A58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 całości, a sąd przekazuje sprawę do sądu według właściwości ogólnej. W takim przypadku nie pobiera się opłaty uzupełniającej od pozwu.</w:t>
      </w:r>
    </w:p>
    <w:p w14:paraId="053C4562" w14:textId="77777777" w:rsidR="00F5215D" w:rsidRDefault="008A5895" w:rsidP="00E74477">
      <w:pPr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§</w:t>
      </w:r>
      <w:r w:rsidR="00E744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</w:t>
      </w:r>
      <w:r w:rsidR="00F5215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</w:t>
      </w:r>
      <w:r w:rsidR="00714C8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 razie prawidłowego wniesienia sprzeciwu przez jednego z pozwanych nakaz zapłaty traci moc </w:t>
      </w:r>
      <w:r w:rsidR="00A05FF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tylko </w:t>
      </w:r>
      <w:r w:rsidR="00714C8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 stosunku do tego z pozwanych, który </w:t>
      </w:r>
      <w:r w:rsidR="008B3E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skutecznie wniósł sprzeciw.</w:t>
      </w:r>
    </w:p>
    <w:p w14:paraId="743E860F" w14:textId="77777777" w:rsidR="008B3EF6" w:rsidRPr="00A36CBD" w:rsidRDefault="008B3EF6" w:rsidP="00E74477">
      <w:pPr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8B3E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§</w:t>
      </w:r>
      <w:r w:rsidR="00E744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8A58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3</w:t>
      </w:r>
      <w:r w:rsidRPr="008B3E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W razie prawidłowego wniesienia sprzeciwu jedynie co do </w:t>
      </w:r>
      <w:r w:rsidR="008A58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części rozstrzygnięcia, nakaz za</w:t>
      </w:r>
      <w:r w:rsidRPr="008B3E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płaty traci moc jedynie w stosunku do tej części, co do której sprzeciw został skutecznie wniesiony.”</w:t>
      </w:r>
    </w:p>
    <w:p w14:paraId="1DA9D5E7" w14:textId="77777777" w:rsidR="00F5215D" w:rsidRDefault="00F5215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77FBA7D" w14:textId="77777777" w:rsidR="002A63DF" w:rsidRPr="002A63DF" w:rsidRDefault="002A63DF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Art. 2.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Ustawa wchodzi w życie z upływem 3 miesięcy od dnia ogłoszenia. </w:t>
      </w:r>
    </w:p>
    <w:p w14:paraId="1A221066" w14:textId="77777777" w:rsidR="001226A6" w:rsidRDefault="001226A6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27DBDB5E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87B7579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73567201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56608267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4F7794F0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999AE21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57B9F3E4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3CE4BBF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6C3C90A9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6A869F06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498F9E4B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25B8796A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116AD01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4DF7BC81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4078318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F3D0E95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4651BF6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5EE57D4" w14:textId="77777777" w:rsidR="00A36CBD" w:rsidRDefault="00A36CBD" w:rsidP="00F52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37F58FD" w14:textId="77777777" w:rsidR="00A36CBD" w:rsidRDefault="00A36CBD" w:rsidP="002724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AA03FDC" w14:textId="77777777" w:rsidR="00D149A9" w:rsidRDefault="00D149A9" w:rsidP="002724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78593E4" w14:textId="77777777" w:rsidR="001226A6" w:rsidRPr="00A36CBD" w:rsidRDefault="00A36CBD" w:rsidP="00630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UZASADNIENIE</w:t>
      </w:r>
    </w:p>
    <w:p w14:paraId="7A874B38" w14:textId="77777777" w:rsidR="006306E3" w:rsidRPr="00A36CBD" w:rsidRDefault="006306E3" w:rsidP="00A36C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35DA8CB" w14:textId="40BEA04E" w:rsidR="00A36CBD" w:rsidRDefault="00BB4FEB" w:rsidP="00863726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Celem</w:t>
      </w:r>
      <w:r w:rsid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projektowanej 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ustawy jest </w:t>
      </w:r>
      <w:r w:rsidR="007F6FF3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zmiana </w:t>
      </w:r>
      <w:r w:rsid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ustawy z dnia 17 listopada 1964 r. Kodeks postępowania cywilnego w zakresie art. 505</w:t>
      </w:r>
      <w:r w:rsidR="00A36CB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>36</w:t>
      </w:r>
      <w:r w:rsidR="00D855E0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 xml:space="preserve"> </w:t>
      </w:r>
      <w:r w:rsidR="00D855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tejże ustawy </w:t>
      </w:r>
      <w:r w:rsidR="002748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tak, </w:t>
      </w:r>
      <w:r w:rsidR="00D855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aby był on zgodny z Konstytucją Rzeczpospolitej Polskiej. </w:t>
      </w:r>
    </w:p>
    <w:p w14:paraId="2B213A8E" w14:textId="77777777" w:rsidR="00D855E0" w:rsidRDefault="00D855E0" w:rsidP="00863726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Elektroniczne postępowanie upominawcze funkcjonuje w polskim procesie cywilnym od 1 stycznia 2010 r. Instytucję tę do ustawy z dnia 17 listopada 1964 r. Kodeks postępowania cywilnego wprowadziła ustawa z dnia 9 stycznia 2009 r. o zmianie ustawy Kodeks postępowania cywilnego oraz niektórych innych ustaw. </w:t>
      </w:r>
      <w:r w:rsidR="003636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Jest to pierwsze z planowanych cywilnych postępowań elektronicznych. </w:t>
      </w:r>
    </w:p>
    <w:p w14:paraId="34D02604" w14:textId="77777777" w:rsidR="003636EB" w:rsidRDefault="003636EB" w:rsidP="00863726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Właściwym do rozpoznawania wszelkich spraw kierowanych na drogę elektronicznego postępowania upominawczego jest Sąd Rejonowy Lublin-Zachód w Lublinie, VI Wydział Cywilny. </w:t>
      </w:r>
      <w:r w:rsidR="002B0EC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 uzasadnieniu projektu ustawy z dnia 9 stycznia 2009 r. o zmianie ustawy Kodeks postępowania cywilnego oraz niektórych innych ustaw wskazywano, że celem regulacji było podniesienie sprawności postępowania w sprawach cywilnych, gospodarczych i pracowniczych oraz wprowadzenie nowoczesnego, informatycznego systemu umożliwiającego sprawne rozpoznawanie pozwów i podniesienie jakości obsługi stron w postępowaniu sądowym. </w:t>
      </w:r>
    </w:p>
    <w:p w14:paraId="304F256C" w14:textId="77777777" w:rsidR="00D855E0" w:rsidRDefault="001C318A" w:rsidP="00863726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Tak </w:t>
      </w:r>
      <w:r w:rsidRPr="001C31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jak w tradycyjnym postępowaniu upominawczym, również w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EPU dochodzone mogą być tylko</w:t>
      </w:r>
      <w:r w:rsidRPr="001C31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roszczenia pieniężne i co do zasady o bezspornym charakterze (art.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1C31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498 oraz art.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1C31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499 w zw. z art.505</w:t>
      </w:r>
      <w:r w:rsidRPr="001C31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>28</w:t>
      </w:r>
      <w:r w:rsidR="008F1D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k.p.c.</w:t>
      </w:r>
      <w:r w:rsidRPr="001C31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</w:t>
      </w:r>
    </w:p>
    <w:p w14:paraId="3E76C9FA" w14:textId="6E2F42C6" w:rsidR="003750FC" w:rsidRDefault="0025363C" w:rsidP="00863726">
      <w:pPr>
        <w:spacing w:after="0" w:line="384" w:lineRule="auto"/>
        <w:ind w:firstLine="709"/>
        <w:jc w:val="both"/>
        <w:rPr>
          <w:rFonts w:ascii="Arial" w:hAnsi="Arial" w:cs="Aria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Zgodnie z obowiązującym stanem prawnym wniesienie sprzeciwu od nakazu zapłaty wydanego w elektronicznym postępowaniu upominawczym skutkuje </w:t>
      </w:r>
      <w:r w:rsidR="00470F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utratą mocy całego orzeczenia wobec wszystkich pozwanych nawet w przypadku, gdy sprzeciw został wniesiony tylko przez jednego z kilku pozwanych lub gdy pozwany wniósł sprzeciw jedynie od części nakazu zapłaty. </w:t>
      </w:r>
      <w:r w:rsidR="004034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403421" w:rsidRPr="00403421">
        <w:rPr>
          <w:rFonts w:ascii="Times New Roman" w:hAnsi="Times New Roman" w:cs="Times New Roman"/>
          <w:sz w:val="24"/>
        </w:rPr>
        <w:t>Ustawa</w:t>
      </w:r>
      <w:r w:rsidRPr="00403421">
        <w:rPr>
          <w:rFonts w:ascii="Times New Roman" w:hAnsi="Times New Roman" w:cs="Times New Roman"/>
          <w:sz w:val="24"/>
        </w:rPr>
        <w:t xml:space="preserve"> nie przewiduje </w:t>
      </w:r>
      <w:r w:rsidR="00403421" w:rsidRPr="00403421">
        <w:rPr>
          <w:rFonts w:ascii="Times New Roman" w:hAnsi="Times New Roman" w:cs="Times New Roman"/>
          <w:sz w:val="24"/>
        </w:rPr>
        <w:t xml:space="preserve">możliwości </w:t>
      </w:r>
      <w:r w:rsidRPr="00403421">
        <w:rPr>
          <w:rFonts w:ascii="Times New Roman" w:hAnsi="Times New Roman" w:cs="Times New Roman"/>
          <w:sz w:val="24"/>
        </w:rPr>
        <w:t xml:space="preserve">wnoszenia sprzeciwu co do części nakazu. Wyłączenie takiej możliwości wydaje się </w:t>
      </w:r>
      <w:r w:rsidR="00143768" w:rsidRPr="00403421">
        <w:rPr>
          <w:rFonts w:ascii="Times New Roman" w:hAnsi="Times New Roman" w:cs="Times New Roman"/>
          <w:sz w:val="24"/>
        </w:rPr>
        <w:t>wątpliwe</w:t>
      </w:r>
      <w:r w:rsidR="00403421" w:rsidRPr="00403421">
        <w:rPr>
          <w:rFonts w:ascii="Times New Roman" w:hAnsi="Times New Roman" w:cs="Times New Roman"/>
          <w:sz w:val="24"/>
        </w:rPr>
        <w:t xml:space="preserve"> w zakresie elektronicznego postępowania upominawczego gdyż f</w:t>
      </w:r>
      <w:r w:rsidRPr="00403421">
        <w:rPr>
          <w:rFonts w:ascii="Times New Roman" w:hAnsi="Times New Roman" w:cs="Times New Roman"/>
          <w:sz w:val="24"/>
        </w:rPr>
        <w:t>unkcjonuje ono</w:t>
      </w:r>
      <w:r w:rsidR="00403421" w:rsidRPr="00403421">
        <w:rPr>
          <w:rFonts w:ascii="Times New Roman" w:hAnsi="Times New Roman" w:cs="Times New Roman"/>
          <w:sz w:val="24"/>
        </w:rPr>
        <w:t xml:space="preserve"> przecież</w:t>
      </w:r>
      <w:r w:rsidRPr="00403421">
        <w:rPr>
          <w:rFonts w:ascii="Times New Roman" w:hAnsi="Times New Roman" w:cs="Times New Roman"/>
          <w:sz w:val="24"/>
        </w:rPr>
        <w:t xml:space="preserve"> w „tradyc</w:t>
      </w:r>
      <w:r w:rsidR="003750FC">
        <w:rPr>
          <w:rFonts w:ascii="Times New Roman" w:hAnsi="Times New Roman" w:cs="Times New Roman"/>
          <w:sz w:val="24"/>
        </w:rPr>
        <w:t>yjnym” postępowaniu upominawczy. N</w:t>
      </w:r>
      <w:r w:rsidRPr="00403421">
        <w:rPr>
          <w:rFonts w:ascii="Times New Roman" w:hAnsi="Times New Roman" w:cs="Times New Roman"/>
          <w:sz w:val="24"/>
        </w:rPr>
        <w:t>akaz zapłaty</w:t>
      </w:r>
      <w:r w:rsidR="003750FC">
        <w:rPr>
          <w:rFonts w:ascii="Times New Roman" w:hAnsi="Times New Roman" w:cs="Times New Roman"/>
          <w:sz w:val="24"/>
        </w:rPr>
        <w:t xml:space="preserve"> wydany na skutek rozpoznania sprawy</w:t>
      </w:r>
      <w:r w:rsidR="00403421" w:rsidRPr="00403421">
        <w:rPr>
          <w:rFonts w:ascii="Times New Roman" w:hAnsi="Times New Roman" w:cs="Times New Roman"/>
          <w:sz w:val="24"/>
        </w:rPr>
        <w:t xml:space="preserve"> w zwykłej postaci postępowania elektronicznego</w:t>
      </w:r>
      <w:r w:rsidRPr="00403421">
        <w:rPr>
          <w:rFonts w:ascii="Times New Roman" w:hAnsi="Times New Roman" w:cs="Times New Roman"/>
          <w:sz w:val="24"/>
        </w:rPr>
        <w:t xml:space="preserve"> traci moc jedynie w części zaskarżonej sprzeciwem.</w:t>
      </w:r>
      <w:r w:rsidRPr="00403421">
        <w:rPr>
          <w:rFonts w:ascii="Arial" w:hAnsi="Arial" w:cs="Arial"/>
          <w:sz w:val="24"/>
        </w:rPr>
        <w:t xml:space="preserve"> </w:t>
      </w:r>
      <w:r w:rsidR="00143768" w:rsidRPr="00143768">
        <w:rPr>
          <w:rFonts w:ascii="Times New Roman" w:hAnsi="Times New Roman" w:cs="Times New Roman"/>
          <w:sz w:val="24"/>
        </w:rPr>
        <w:t xml:space="preserve">Wobec brzmienia obecnej regulacji niejako zmusza się pozwanego </w:t>
      </w:r>
      <w:r w:rsidRPr="00143768">
        <w:rPr>
          <w:rFonts w:ascii="Times New Roman" w:hAnsi="Times New Roman" w:cs="Times New Roman"/>
          <w:sz w:val="24"/>
        </w:rPr>
        <w:t xml:space="preserve">do kwestionowania całego rozstrzygnięcia nawet wówczas, </w:t>
      </w:r>
      <w:r w:rsidRPr="00143768">
        <w:rPr>
          <w:rFonts w:ascii="Times New Roman" w:hAnsi="Times New Roman" w:cs="Times New Roman"/>
          <w:sz w:val="24"/>
        </w:rPr>
        <w:lastRenderedPageBreak/>
        <w:t>gdy w pewnym zakresie zga</w:t>
      </w:r>
      <w:r w:rsidR="00143768">
        <w:rPr>
          <w:rFonts w:ascii="Times New Roman" w:hAnsi="Times New Roman" w:cs="Times New Roman"/>
          <w:sz w:val="24"/>
        </w:rPr>
        <w:t>dza się z zasadnością powództwa, a</w:t>
      </w:r>
      <w:r w:rsidR="00143768">
        <w:rPr>
          <w:rFonts w:ascii="Arial" w:hAnsi="Arial" w:cs="Arial"/>
        </w:rPr>
        <w:t xml:space="preserve"> </w:t>
      </w:r>
      <w:r w:rsidR="00143768" w:rsidRPr="00143768">
        <w:rPr>
          <w:rFonts w:ascii="Times New Roman" w:hAnsi="Times New Roman" w:cs="Times New Roman"/>
          <w:sz w:val="24"/>
        </w:rPr>
        <w:t>r</w:t>
      </w:r>
      <w:r w:rsidRPr="00143768">
        <w:rPr>
          <w:rFonts w:ascii="Times New Roman" w:hAnsi="Times New Roman" w:cs="Times New Roman"/>
          <w:sz w:val="24"/>
        </w:rPr>
        <w:t>ozwiązanie to jest sprzeczne z zasadą ekonomii procesowej</w:t>
      </w:r>
      <w:r w:rsidR="00143768">
        <w:rPr>
          <w:rStyle w:val="Odwoanieprzypisudolnego"/>
          <w:rFonts w:ascii="Times New Roman" w:hAnsi="Times New Roman" w:cs="Times New Roman"/>
          <w:sz w:val="24"/>
        </w:rPr>
        <w:footnoteReference w:id="1"/>
      </w:r>
      <w:r w:rsidRPr="00143768">
        <w:rPr>
          <w:rFonts w:ascii="Times New Roman" w:hAnsi="Times New Roman" w:cs="Times New Roman"/>
          <w:sz w:val="24"/>
        </w:rPr>
        <w:t>.</w:t>
      </w:r>
      <w:r w:rsidRPr="003D170E">
        <w:rPr>
          <w:rFonts w:ascii="Arial" w:hAnsi="Arial" w:cs="Arial"/>
        </w:rPr>
        <w:t xml:space="preserve"> </w:t>
      </w:r>
    </w:p>
    <w:p w14:paraId="2621A6A9" w14:textId="21C08B0A" w:rsidR="003750FC" w:rsidRPr="001C7098" w:rsidRDefault="003750FC" w:rsidP="00863726">
      <w:pPr>
        <w:spacing w:after="0" w:line="38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098">
        <w:rPr>
          <w:rFonts w:ascii="Times New Roman" w:hAnsi="Times New Roman" w:cs="Times New Roman"/>
          <w:sz w:val="24"/>
          <w:szCs w:val="24"/>
        </w:rPr>
        <w:t xml:space="preserve">Dyskusyjny charakter obowiązującej obecnie regulacji jest również akcentowany </w:t>
      </w:r>
      <w:r w:rsidR="001C7098">
        <w:rPr>
          <w:rFonts w:ascii="Times New Roman" w:hAnsi="Times New Roman" w:cs="Times New Roman"/>
          <w:sz w:val="24"/>
          <w:szCs w:val="24"/>
        </w:rPr>
        <w:br/>
      </w:r>
      <w:r w:rsidRPr="001C7098">
        <w:rPr>
          <w:rFonts w:ascii="Times New Roman" w:hAnsi="Times New Roman" w:cs="Times New Roman"/>
          <w:sz w:val="24"/>
          <w:szCs w:val="24"/>
        </w:rPr>
        <w:t xml:space="preserve">w doktrynie. </w:t>
      </w:r>
      <w:r w:rsidR="001C7098" w:rsidRPr="001C7098">
        <w:rPr>
          <w:rFonts w:ascii="Times New Roman" w:hAnsi="Times New Roman" w:cs="Times New Roman"/>
          <w:sz w:val="24"/>
          <w:szCs w:val="24"/>
        </w:rPr>
        <w:t xml:space="preserve">W literaturze stawia się </w:t>
      </w:r>
      <w:r w:rsidR="001C7098">
        <w:rPr>
          <w:rFonts w:ascii="Times New Roman" w:hAnsi="Times New Roman" w:cs="Times New Roman"/>
          <w:sz w:val="24"/>
          <w:szCs w:val="24"/>
        </w:rPr>
        <w:t>pytanie o zgodność art. 505</w:t>
      </w:r>
      <w:r w:rsidR="001C7098">
        <w:rPr>
          <w:rFonts w:ascii="Times New Roman" w:hAnsi="Times New Roman" w:cs="Times New Roman"/>
          <w:sz w:val="24"/>
          <w:szCs w:val="24"/>
          <w:vertAlign w:val="superscript"/>
        </w:rPr>
        <w:t>36</w:t>
      </w:r>
      <w:r w:rsidR="001C7098">
        <w:rPr>
          <w:rFonts w:ascii="Times New Roman" w:hAnsi="Times New Roman" w:cs="Times New Roman"/>
          <w:sz w:val="24"/>
          <w:szCs w:val="24"/>
        </w:rPr>
        <w:t xml:space="preserve"> k.p.c. z Konstytucją Rzeczpospolitej Polskiej ponieważ, w jego obecnym br</w:t>
      </w:r>
      <w:r w:rsidR="00E23F2E">
        <w:rPr>
          <w:rFonts w:ascii="Times New Roman" w:hAnsi="Times New Roman" w:cs="Times New Roman"/>
          <w:sz w:val="24"/>
          <w:szCs w:val="24"/>
        </w:rPr>
        <w:t>zmieniu</w:t>
      </w:r>
      <w:r w:rsidR="001C7098" w:rsidRPr="001C7098">
        <w:rPr>
          <w:rFonts w:ascii="Times New Roman" w:hAnsi="Times New Roman" w:cs="Times New Roman"/>
          <w:sz w:val="24"/>
          <w:szCs w:val="24"/>
        </w:rPr>
        <w:t xml:space="preserve"> może dochodzić do sytuacji, że powodowi, którego roszczenie byłoby zaskarżone tylko w nieznacznym zakresie przez pozwanego, wydłuży się droga do uzyskania prawomocnego rozstrzygnięcia, co narusza nakaz rozpoznania sprawy cywilnej przez sąd "bez nieuzasadnionej zwłoki"</w:t>
      </w:r>
      <w:r w:rsidR="00E23F2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1C7098" w:rsidRPr="001C7098">
        <w:rPr>
          <w:rFonts w:ascii="Times New Roman" w:hAnsi="Times New Roman" w:cs="Times New Roman"/>
          <w:sz w:val="24"/>
          <w:szCs w:val="24"/>
        </w:rPr>
        <w:t>.</w:t>
      </w:r>
    </w:p>
    <w:p w14:paraId="36E6506F" w14:textId="1943D4B2" w:rsidR="00080EB4" w:rsidRDefault="003A7DAA" w:rsidP="00863726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Jak 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wynika z </w:t>
      </w:r>
      <w:r w:rsidR="008F1D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ostanowienia Trybunału Konstytucyjnego </w:t>
      </w:r>
      <w:r w:rsidR="008F1D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z dnia 15 stycznia 2015 r.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br/>
      </w:r>
      <w:r w:rsidR="008F1D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 sprawie o sygn. akt 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 7/12</w:t>
      </w:r>
      <w:r w:rsidR="008F1D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</w:t>
      </w:r>
      <w:r w:rsidR="007F6FF3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a</w:t>
      </w:r>
      <w:r w:rsidR="00E5226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rtykuł 505</w:t>
      </w:r>
      <w:r w:rsidR="00E5226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 xml:space="preserve">36 </w:t>
      </w:r>
      <w:r w:rsidR="00E5226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§ 1 k.p.c. w obecnym brzmieniu jest niezgodny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br/>
      </w:r>
      <w:r w:rsidR="00E5226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z Konstytucją Rzeczypospolitej Polskiej. Trybunał Konstytucyjny 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wskazuje, że </w:t>
      </w:r>
      <w:r w:rsidR="00E5226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niekonstytucyjność artykułu 505</w:t>
      </w:r>
      <w:r w:rsidR="00E5226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 xml:space="preserve">36 </w:t>
      </w:r>
      <w:r w:rsidR="0040234F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 xml:space="preserve"> </w:t>
      </w:r>
      <w:r w:rsidR="0040234F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§ 1 k.p.c. </w:t>
      </w:r>
      <w:r w:rsidR="00E5226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wynika 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z faktu, iż na podstawie </w:t>
      </w:r>
      <w:r w:rsidR="008F1D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tego 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przepisu </w:t>
      </w:r>
      <w:r w:rsidR="00E5226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wniesienie sprzeciwu od nakazu zapłaty, który został wydany w elektronicznym postępowaniu upominawczym tylko przez jednego z pozwanych </w:t>
      </w:r>
      <w:r w:rsidR="006B6F09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bądź zaskarżenie tylko części rozstrzygnięcia zawsze </w:t>
      </w:r>
      <w:r w:rsidR="00E5226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skutkuje utratą mocy nakazu </w:t>
      </w:r>
      <w:r w:rsidR="006B6F09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 całości i </w:t>
      </w:r>
      <w:r w:rsidR="00E5226D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 odniesieniu do wszystkich pozwanych, tj. nawet tych, </w:t>
      </w:r>
      <w:r w:rsidR="003F747B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któr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zy nie składali sprzeciwu. Taki bowiem </w:t>
      </w:r>
      <w:r w:rsidR="003F747B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wynik przynosi wykładnia literalna przepisu art. 505</w:t>
      </w:r>
      <w:r w:rsidR="003F747B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 xml:space="preserve">36  </w:t>
      </w:r>
      <w:r w:rsidR="003F747B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§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1 k.p.c. </w:t>
      </w:r>
      <w:r w:rsidR="008F1D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Regulacja ta wprowadza</w:t>
      </w:r>
      <w:r w:rsidR="0066623F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wyjątek od reguły, zgodnie z którą nakaz zapłaty może być zaskarżony przez każdego z pozwanych ze skutkiem dla siebie, a ponadto pozwany może zaskarżyć nakaz w ca</w:t>
      </w:r>
      <w:r w:rsidR="00080E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łości czy w części, o czym stanowią </w:t>
      </w:r>
      <w:r w:rsidR="0066623F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art. 503 § 1 i art. 504 § 2 k.p.c.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</w:p>
    <w:p w14:paraId="2D5BBB6E" w14:textId="12F5A190" w:rsidR="003A7DAA" w:rsidRDefault="00080EB4" w:rsidP="00863726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Treść przepisu określonego w art. 505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>36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k.p.c. zdaniem Trybunału Konstytucyjnego</w:t>
      </w:r>
      <w:r w:rsidR="008412CC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stoi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br/>
      </w:r>
      <w:r w:rsidR="008412CC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w sprzeczności z art. 45 Konstytucji Rzeczypospolitej Polskiej i art. 6 ust. 1 Konwencji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br/>
      </w:r>
      <w:r w:rsidR="008412CC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o Ochronie Praw Człowieka i Podstawowych Wolności</w:t>
      </w:r>
      <w:r>
        <w:rPr>
          <w:rStyle w:val="Odwoanieprzypisudolnego"/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footnoteReference w:id="3"/>
      </w:r>
      <w:r w:rsidR="008412CC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 który daje możliwość samodzielnego działania przed sądem, co jest jedną z podstaw i gwarancji  sprawiedliwego procesu urzeczywistniającego zasady sprawiedliwości społecznej w d</w:t>
      </w:r>
      <w:r w:rsidR="00F32787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emokratycznym państwie prawnym. Przepis art. 505</w:t>
      </w:r>
      <w:r w:rsidR="00F32787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 xml:space="preserve">36 </w:t>
      </w:r>
      <w:r w:rsidR="00F32787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§ kłóci się również z uprawnieniem do zaskarżenia orzeczeń wydanych w pierwszej instancji (art. 78 Konstytucji), które zakłada m.in. prawo swobody decyzji w zakresie zaskarżenia tych orzeczeń i poddawania ich </w:t>
      </w:r>
      <w:r w:rsidR="00E31C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kontroli. Dzieje się tak </w:t>
      </w:r>
      <w:r w:rsidR="00902C31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dlatego</w:t>
      </w:r>
      <w:r w:rsidR="00E31C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</w:t>
      </w:r>
      <w:r w:rsidR="00902C31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że ustawodawca narzuca pozwanym następujące</w:t>
      </w:r>
      <w:r w:rsidR="00E31C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rozwiązanie</w:t>
      </w:r>
      <w:r w:rsidR="00902C31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: akceptacja treści nakazu w całości przez wszystkich pozwanych i przez to akceptacja zgłoszonego roszczenia powoda w całości, albo konieczność zaskarżenia w całości, nawet jeśli część twierdzeń powoda jest między stronami bezsporna </w:t>
      </w:r>
      <w:r w:rsidR="003A7D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br/>
      </w:r>
      <w:r w:rsidR="00902C31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i pozwani nie chcą prowadzić procesu w tym zakresie w wyniku wniesien</w:t>
      </w:r>
      <w:r w:rsidR="003A7D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ia sprzeciwu od nakazu zapłaty.</w:t>
      </w:r>
    </w:p>
    <w:p w14:paraId="2974D4AA" w14:textId="68FFB14E" w:rsidR="00E636E6" w:rsidRDefault="00140BF9" w:rsidP="00863726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Obecne brzmien</w:t>
      </w:r>
      <w:r w:rsidR="003A7D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ie przepisu 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art. 505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pl-PL"/>
        </w:rPr>
        <w:t xml:space="preserve">36 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 zakresie, w którym wyłącza on możliwość sprzeciwu co do części nakazu zapłaty jest kontrowersyjne i</w:t>
      </w:r>
      <w:r w:rsidR="0066623F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BB4FEB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budzi 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wątpliwości interpretacyjne</w:t>
      </w:r>
      <w:r w:rsidR="00F67E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oraz stwarza problemy w praktycznym jego stosowaniu</w:t>
      </w:r>
      <w:r w:rsidR="0066623F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Pojęcie całości nakazu powinno 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odnosić się w sposób czytelny</w:t>
      </w:r>
      <w:r w:rsidR="0066623F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do całości roszczenia i kumulacji przedmiotowej, w brzmieniu obowiązującym daje</w:t>
      </w:r>
      <w:r w:rsidR="00BB4FEB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jednak</w:t>
      </w:r>
      <w:r w:rsidR="0066623F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możliwość </w:t>
      </w:r>
      <w:r w:rsidR="00AA5C08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uwzględniania</w:t>
      </w:r>
      <w:r w:rsidR="0066623F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zarówno kumulacji przedmiotowej jak i podmiotowej.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Wprowadzana zmiana zapewni zgodność przepisu z Konstytucją Rzeczypospolitej Polskiej oraz zapewni możliwość przeprowadzenia czytelnej i zgodnej z zasadami postępowania </w:t>
      </w:r>
      <w:r w:rsidR="009A7DA2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zawartymi w innych częściach aktu 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wykładni.</w:t>
      </w:r>
      <w:r w:rsidR="000C772E"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Od tej pory wniesienie sprzeciwu od nakazu zapłaty w elektronicznym postępowaniu upominawczym przez jednego z pozwanych nie będzie automatycznie oznaczało utraty mocy nakazu wobec wszystkich pozwanych. Zmiana zapewni jednocześnie lepszą ochro</w:t>
      </w:r>
      <w:r w:rsidR="00E31C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nę roszczeń powoda który, w razie skutecznego wniesienia sprzeciwu tylko przez jednego z pozwanych będzie mógł w stosunku do tych pozwanych, którzy sprzeciwu nie wnieśli, uzyskać klauzulę wykonalności i egzekwować zasądzoną na jego rzecz należność. </w:t>
      </w:r>
    </w:p>
    <w:p w14:paraId="1E6D1F1D" w14:textId="3441F2C0" w:rsidR="00E636E6" w:rsidRDefault="002A63DF" w:rsidP="00863726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Trzymiesięczny okres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  <w:t xml:space="preserve">vacatio legis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ma na celu zapewnienie dostosowania systemu elektronicznego do projektowanych zmian. </w:t>
      </w:r>
      <w:r w:rsidR="00E636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Dostosowanie to ma na celu m.in. wprowadzenie możliwości uzyskania klauzuli wykonalności w zakresie tylko tych powodów, którzy nie wnieśli sprzeciwu lub w zakresie tej części orzeczenia, co do której nie wniesiono sprzeciwu. </w:t>
      </w:r>
    </w:p>
    <w:p w14:paraId="2863B0B0" w14:textId="16B0C329" w:rsidR="00A05FF8" w:rsidRPr="00A060D2" w:rsidRDefault="00EC6AA7" w:rsidP="00A060D2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Projekt nie </w:t>
      </w:r>
      <w:r w:rsidR="002A6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spowoduje </w:t>
      </w:r>
      <w:r w:rsidRPr="00A36C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dodatkowych kosztów dla budżetu państwa i nie jest objęty prawem Unii Europejskiej.</w:t>
      </w:r>
      <w:r w:rsidR="002A63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</w:p>
    <w:sectPr w:rsidR="00A05FF8" w:rsidRPr="00A06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A420E" w14:textId="77777777" w:rsidR="001464ED" w:rsidRDefault="001464ED" w:rsidP="00143768">
      <w:pPr>
        <w:spacing w:after="0" w:line="240" w:lineRule="auto"/>
      </w:pPr>
      <w:r>
        <w:separator/>
      </w:r>
    </w:p>
  </w:endnote>
  <w:endnote w:type="continuationSeparator" w:id="0">
    <w:p w14:paraId="6E90E319" w14:textId="77777777" w:rsidR="001464ED" w:rsidRDefault="001464ED" w:rsidP="00143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E3402" w14:textId="77777777" w:rsidR="001464ED" w:rsidRDefault="001464ED" w:rsidP="00143768">
      <w:pPr>
        <w:spacing w:after="0" w:line="240" w:lineRule="auto"/>
      </w:pPr>
      <w:r>
        <w:separator/>
      </w:r>
    </w:p>
  </w:footnote>
  <w:footnote w:type="continuationSeparator" w:id="0">
    <w:p w14:paraId="42FFA571" w14:textId="77777777" w:rsidR="001464ED" w:rsidRDefault="001464ED" w:rsidP="00143768">
      <w:pPr>
        <w:spacing w:after="0" w:line="240" w:lineRule="auto"/>
      </w:pPr>
      <w:r>
        <w:continuationSeparator/>
      </w:r>
    </w:p>
  </w:footnote>
  <w:footnote w:id="1">
    <w:p w14:paraId="31839B78" w14:textId="15F345AC" w:rsidR="00143768" w:rsidRPr="003A7DAA" w:rsidRDefault="00143768" w:rsidP="00863726">
      <w:pPr>
        <w:pStyle w:val="Tekstprzypisudolnego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A7DA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3A7DAA">
        <w:rPr>
          <w:rFonts w:ascii="Times New Roman" w:hAnsi="Times New Roman" w:cs="Times New Roman"/>
          <w:sz w:val="18"/>
          <w:szCs w:val="18"/>
        </w:rPr>
        <w:t xml:space="preserve"> </w:t>
      </w:r>
      <w:r w:rsidR="002724D4" w:rsidRPr="003A7DAA">
        <w:rPr>
          <w:rFonts w:ascii="Times New Roman" w:hAnsi="Times New Roman" w:cs="Times New Roman"/>
          <w:sz w:val="18"/>
          <w:szCs w:val="18"/>
        </w:rPr>
        <w:t xml:space="preserve">   </w:t>
      </w:r>
      <w:r w:rsidR="003A7DAA">
        <w:rPr>
          <w:rFonts w:ascii="Times New Roman" w:hAnsi="Times New Roman" w:cs="Times New Roman"/>
          <w:sz w:val="18"/>
          <w:szCs w:val="18"/>
        </w:rPr>
        <w:t>T. Zembrzuski</w:t>
      </w:r>
      <w:r w:rsidRPr="003A7DAA">
        <w:rPr>
          <w:rFonts w:ascii="Times New Roman" w:hAnsi="Times New Roman" w:cs="Times New Roman"/>
          <w:sz w:val="18"/>
          <w:szCs w:val="18"/>
        </w:rPr>
        <w:t xml:space="preserve">, </w:t>
      </w:r>
      <w:r w:rsidR="00F60181" w:rsidRPr="003A7DAA">
        <w:rPr>
          <w:rFonts w:ascii="Times New Roman" w:hAnsi="Times New Roman" w:cs="Times New Roman"/>
          <w:i/>
          <w:sz w:val="18"/>
          <w:szCs w:val="18"/>
        </w:rPr>
        <w:t>Opinia prawna do projektu ustawy o zmianie ustawy – Kodeks postępowania cywilnego oraz niektórych innych ustaw</w:t>
      </w:r>
      <w:r w:rsidR="00F60181" w:rsidRPr="003A7DAA">
        <w:rPr>
          <w:rFonts w:ascii="Times New Roman" w:hAnsi="Times New Roman" w:cs="Times New Roman"/>
          <w:sz w:val="18"/>
          <w:szCs w:val="18"/>
        </w:rPr>
        <w:t xml:space="preserve"> (druk sejmowy nr 859)</w:t>
      </w:r>
      <w:r w:rsidR="002724D4" w:rsidRPr="003A7DAA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72A2B6FA" w14:textId="69624EA9" w:rsidR="00E23F2E" w:rsidRPr="003A7DAA" w:rsidRDefault="00E23F2E" w:rsidP="00863726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A7DA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3A7DAA">
        <w:rPr>
          <w:rFonts w:ascii="Times New Roman" w:hAnsi="Times New Roman" w:cs="Times New Roman"/>
          <w:sz w:val="18"/>
          <w:szCs w:val="18"/>
        </w:rPr>
        <w:t xml:space="preserve"> J. Bodio , T. Demendecki , A. Jakubecki, O. Marcewicz , P. Telenga , M. P. Wójcik, </w:t>
      </w:r>
      <w:r w:rsidRPr="003A7DAA">
        <w:rPr>
          <w:rFonts w:ascii="Times New Roman" w:hAnsi="Times New Roman" w:cs="Times New Roman"/>
          <w:i/>
          <w:sz w:val="18"/>
          <w:szCs w:val="18"/>
        </w:rPr>
        <w:t>Kodeks postępowania cywilnego. Komentarz</w:t>
      </w:r>
      <w:r w:rsidRPr="003A7DAA">
        <w:rPr>
          <w:rFonts w:ascii="Times New Roman" w:hAnsi="Times New Roman" w:cs="Times New Roman"/>
          <w:sz w:val="18"/>
          <w:szCs w:val="18"/>
        </w:rPr>
        <w:t>, Warszawa, 2014, teza nr 1 do art. 505</w:t>
      </w:r>
      <w:r w:rsidRPr="003A7DAA">
        <w:rPr>
          <w:rFonts w:ascii="Times New Roman" w:hAnsi="Times New Roman" w:cs="Times New Roman"/>
          <w:sz w:val="18"/>
          <w:szCs w:val="18"/>
          <w:vertAlign w:val="superscript"/>
        </w:rPr>
        <w:t>36</w:t>
      </w:r>
      <w:r w:rsidR="003A7DAA">
        <w:rPr>
          <w:rFonts w:ascii="Times New Roman" w:hAnsi="Times New Roman" w:cs="Times New Roman"/>
          <w:sz w:val="18"/>
          <w:szCs w:val="18"/>
        </w:rPr>
        <w:t>.</w:t>
      </w:r>
    </w:p>
  </w:footnote>
  <w:footnote w:id="3">
    <w:p w14:paraId="20F02316" w14:textId="7B709AD5" w:rsidR="00080EB4" w:rsidRPr="00080EB4" w:rsidRDefault="00080EB4" w:rsidP="00863726">
      <w:pPr>
        <w:pStyle w:val="Tekstprzypisudolnego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A7DA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3A7DAA">
        <w:rPr>
          <w:rFonts w:ascii="Times New Roman" w:hAnsi="Times New Roman" w:cs="Times New Roman"/>
          <w:sz w:val="18"/>
          <w:szCs w:val="18"/>
        </w:rPr>
        <w:t xml:space="preserve">  Konwencja o Ochronie Praw Człowieka i Podstawowych Wolności sporządzona w Rzymie dnia 4 listopada 1950 r., zmieniona następnie Protokołami nr 3, 5 i 8 oraz uzupełniona Protokołem nr 2 (</w:t>
      </w:r>
      <w:r w:rsidRPr="003A7DAA"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>Dz.U. 1993 nr 61 poz. 284)</w:t>
      </w:r>
      <w:r w:rsidR="003A7DAA"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A82261"/>
    <w:multiLevelType w:val="hybridMultilevel"/>
    <w:tmpl w:val="2E6E9C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15D"/>
    <w:rsid w:val="00080EB4"/>
    <w:rsid w:val="000C772E"/>
    <w:rsid w:val="001226A6"/>
    <w:rsid w:val="00140BF9"/>
    <w:rsid w:val="00143768"/>
    <w:rsid w:val="001464ED"/>
    <w:rsid w:val="001C318A"/>
    <w:rsid w:val="001C7098"/>
    <w:rsid w:val="001E33CD"/>
    <w:rsid w:val="0025363C"/>
    <w:rsid w:val="00257D7E"/>
    <w:rsid w:val="002724D4"/>
    <w:rsid w:val="002748E6"/>
    <w:rsid w:val="002A63DF"/>
    <w:rsid w:val="002B0EC0"/>
    <w:rsid w:val="003636EB"/>
    <w:rsid w:val="003750FC"/>
    <w:rsid w:val="003A7DAA"/>
    <w:rsid w:val="003E7321"/>
    <w:rsid w:val="003F747B"/>
    <w:rsid w:val="0040234F"/>
    <w:rsid w:val="00403421"/>
    <w:rsid w:val="00470F19"/>
    <w:rsid w:val="00473610"/>
    <w:rsid w:val="004E4035"/>
    <w:rsid w:val="00553140"/>
    <w:rsid w:val="005E2049"/>
    <w:rsid w:val="005E732B"/>
    <w:rsid w:val="006306E3"/>
    <w:rsid w:val="0066623F"/>
    <w:rsid w:val="006B6F09"/>
    <w:rsid w:val="00714C8D"/>
    <w:rsid w:val="00784909"/>
    <w:rsid w:val="007F6FF3"/>
    <w:rsid w:val="00813591"/>
    <w:rsid w:val="008412CC"/>
    <w:rsid w:val="00863726"/>
    <w:rsid w:val="008A5895"/>
    <w:rsid w:val="008B3EF6"/>
    <w:rsid w:val="008E20C7"/>
    <w:rsid w:val="008F1D22"/>
    <w:rsid w:val="00902C31"/>
    <w:rsid w:val="009A7DA2"/>
    <w:rsid w:val="00A05FF8"/>
    <w:rsid w:val="00A060D2"/>
    <w:rsid w:val="00A14469"/>
    <w:rsid w:val="00A36CBD"/>
    <w:rsid w:val="00A4306B"/>
    <w:rsid w:val="00AA5C08"/>
    <w:rsid w:val="00B86A36"/>
    <w:rsid w:val="00BB4FEB"/>
    <w:rsid w:val="00C848AF"/>
    <w:rsid w:val="00D149A9"/>
    <w:rsid w:val="00D855E0"/>
    <w:rsid w:val="00DD6E91"/>
    <w:rsid w:val="00E23F2E"/>
    <w:rsid w:val="00E31C72"/>
    <w:rsid w:val="00E5226D"/>
    <w:rsid w:val="00E636E6"/>
    <w:rsid w:val="00E74477"/>
    <w:rsid w:val="00EC6AA7"/>
    <w:rsid w:val="00F32787"/>
    <w:rsid w:val="00F5215D"/>
    <w:rsid w:val="00F60181"/>
    <w:rsid w:val="00F6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061F"/>
  <w15:chartTrackingRefBased/>
  <w15:docId w15:val="{38BB01F2-C0EA-46CA-8643-C5A16E04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215D"/>
    <w:pPr>
      <w:ind w:left="720"/>
      <w:contextualSpacing/>
    </w:pPr>
  </w:style>
  <w:style w:type="character" w:customStyle="1" w:styleId="luchili">
    <w:name w:val="luc_hili"/>
    <w:basedOn w:val="Domylnaczcionkaakapitu"/>
    <w:rsid w:val="00A36CBD"/>
  </w:style>
  <w:style w:type="character" w:customStyle="1" w:styleId="apple-converted-space">
    <w:name w:val="apple-converted-space"/>
    <w:basedOn w:val="Domylnaczcionkaakapitu"/>
    <w:rsid w:val="00A36CB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376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376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376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44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44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44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44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447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47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86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A36"/>
  </w:style>
  <w:style w:type="paragraph" w:styleId="Stopka">
    <w:name w:val="footer"/>
    <w:basedOn w:val="Normalny"/>
    <w:link w:val="StopkaZnak"/>
    <w:uiPriority w:val="99"/>
    <w:unhideWhenUsed/>
    <w:rsid w:val="00B86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6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998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51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847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8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7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4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71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64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9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46144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573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CD1E2-E1F7-41E1-8DA1-11483D36E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1072</Words>
  <Characters>6437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Cis</dc:creator>
  <cp:keywords/>
  <dc:description/>
  <cp:lastModifiedBy>Grażyna D. Grabowska</cp:lastModifiedBy>
  <cp:revision>2</cp:revision>
  <cp:lastPrinted>2017-02-01T08:18:00Z</cp:lastPrinted>
  <dcterms:created xsi:type="dcterms:W3CDTF">2017-02-10T15:31:00Z</dcterms:created>
  <dcterms:modified xsi:type="dcterms:W3CDTF">2017-02-10T15:31:00Z</dcterms:modified>
</cp:coreProperties>
</file>