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CE5" w:rsidRPr="00E73A16" w:rsidRDefault="004E5393" w:rsidP="004E5393">
      <w:pPr>
        <w:jc w:val="right"/>
        <w:rPr>
          <w:rFonts w:ascii="Times New Roman" w:hAnsi="Times New Roman" w:cs="Times New Roman"/>
          <w:i/>
          <w:sz w:val="24"/>
          <w:szCs w:val="24"/>
        </w:rPr>
      </w:pPr>
      <w:bookmarkStart w:id="0" w:name="_GoBack"/>
      <w:bookmarkEnd w:id="0"/>
      <w:r w:rsidRPr="00E73A16">
        <w:rPr>
          <w:rFonts w:ascii="Times New Roman" w:hAnsi="Times New Roman" w:cs="Times New Roman"/>
          <w:i/>
          <w:sz w:val="24"/>
          <w:szCs w:val="24"/>
        </w:rPr>
        <w:t>PROJEKT</w:t>
      </w:r>
    </w:p>
    <w:p w:rsidR="004E5393" w:rsidRDefault="004E5393" w:rsidP="004E5393">
      <w:pPr>
        <w:jc w:val="right"/>
        <w:rPr>
          <w:rFonts w:ascii="Times New Roman" w:hAnsi="Times New Roman" w:cs="Times New Roman"/>
          <w:sz w:val="24"/>
          <w:szCs w:val="24"/>
        </w:rPr>
      </w:pPr>
    </w:p>
    <w:p w:rsidR="004E5393" w:rsidRPr="00E73A16" w:rsidRDefault="004E5393" w:rsidP="004E5393">
      <w:pPr>
        <w:jc w:val="center"/>
        <w:rPr>
          <w:rFonts w:ascii="Times New Roman" w:hAnsi="Times New Roman" w:cs="Times New Roman"/>
          <w:b/>
          <w:sz w:val="24"/>
          <w:szCs w:val="24"/>
        </w:rPr>
      </w:pPr>
      <w:r w:rsidRPr="00E73A16">
        <w:rPr>
          <w:rFonts w:ascii="Times New Roman" w:hAnsi="Times New Roman" w:cs="Times New Roman"/>
          <w:b/>
          <w:sz w:val="24"/>
          <w:szCs w:val="24"/>
        </w:rPr>
        <w:t xml:space="preserve">USTAWA </w:t>
      </w:r>
    </w:p>
    <w:p w:rsidR="004E5393" w:rsidRPr="00E73A16" w:rsidRDefault="004E5393" w:rsidP="004E5393">
      <w:pPr>
        <w:jc w:val="center"/>
        <w:rPr>
          <w:rFonts w:ascii="Times New Roman" w:hAnsi="Times New Roman" w:cs="Times New Roman"/>
          <w:b/>
          <w:sz w:val="24"/>
          <w:szCs w:val="24"/>
        </w:rPr>
      </w:pPr>
      <w:r w:rsidRPr="00E73A16">
        <w:rPr>
          <w:rFonts w:ascii="Times New Roman" w:hAnsi="Times New Roman" w:cs="Times New Roman"/>
          <w:b/>
          <w:sz w:val="24"/>
          <w:szCs w:val="24"/>
        </w:rPr>
        <w:t>z dnia ………………………..</w:t>
      </w:r>
    </w:p>
    <w:p w:rsidR="004E5393" w:rsidRPr="00E73A16" w:rsidRDefault="004E5393" w:rsidP="004E5393">
      <w:pPr>
        <w:jc w:val="center"/>
        <w:rPr>
          <w:rFonts w:ascii="Times New Roman" w:hAnsi="Times New Roman" w:cs="Times New Roman"/>
          <w:b/>
          <w:sz w:val="24"/>
          <w:szCs w:val="24"/>
        </w:rPr>
      </w:pPr>
      <w:r w:rsidRPr="00E73A16">
        <w:rPr>
          <w:rFonts w:ascii="Times New Roman" w:hAnsi="Times New Roman" w:cs="Times New Roman"/>
          <w:b/>
          <w:sz w:val="24"/>
          <w:szCs w:val="24"/>
        </w:rPr>
        <w:t xml:space="preserve">o zmianie ustawy o kształtowaniu ustroju rolnego </w:t>
      </w:r>
    </w:p>
    <w:p w:rsidR="00E73A16" w:rsidRDefault="00E73A16" w:rsidP="00E73A16">
      <w:pPr>
        <w:rPr>
          <w:rFonts w:ascii="Times New Roman" w:hAnsi="Times New Roman" w:cs="Times New Roman"/>
          <w:sz w:val="24"/>
          <w:szCs w:val="24"/>
        </w:rPr>
      </w:pPr>
    </w:p>
    <w:p w:rsidR="00AE121F" w:rsidRDefault="00E73A16" w:rsidP="00AE121F">
      <w:pPr>
        <w:spacing w:before="240" w:line="360" w:lineRule="auto"/>
        <w:rPr>
          <w:rFonts w:ascii="Times New Roman" w:hAnsi="Times New Roman" w:cs="Times New Roman"/>
          <w:sz w:val="24"/>
          <w:szCs w:val="24"/>
        </w:rPr>
      </w:pPr>
      <w:r w:rsidRPr="00E73A16">
        <w:rPr>
          <w:rFonts w:ascii="Times New Roman" w:hAnsi="Times New Roman" w:cs="Times New Roman"/>
          <w:b/>
          <w:sz w:val="24"/>
          <w:szCs w:val="24"/>
        </w:rPr>
        <w:t>Art. 1.</w:t>
      </w:r>
      <w:r>
        <w:rPr>
          <w:rFonts w:ascii="Times New Roman" w:hAnsi="Times New Roman" w:cs="Times New Roman"/>
          <w:sz w:val="24"/>
          <w:szCs w:val="24"/>
        </w:rPr>
        <w:t xml:space="preserve"> </w:t>
      </w:r>
      <w:r w:rsidRPr="00E73A16">
        <w:rPr>
          <w:rFonts w:ascii="Times New Roman" w:hAnsi="Times New Roman" w:cs="Times New Roman"/>
          <w:sz w:val="24"/>
          <w:szCs w:val="24"/>
        </w:rPr>
        <w:t xml:space="preserve">W ustawie z dnia 11 kwietnia 2003 r. o kształtowaniu ustroju </w:t>
      </w:r>
      <w:r>
        <w:rPr>
          <w:rFonts w:ascii="Times New Roman" w:hAnsi="Times New Roman" w:cs="Times New Roman"/>
          <w:sz w:val="24"/>
          <w:szCs w:val="24"/>
        </w:rPr>
        <w:t>rolnego (Dz. U. z 20</w:t>
      </w:r>
      <w:r w:rsidR="00A408FC">
        <w:rPr>
          <w:rFonts w:ascii="Times New Roman" w:hAnsi="Times New Roman" w:cs="Times New Roman"/>
          <w:sz w:val="24"/>
          <w:szCs w:val="24"/>
        </w:rPr>
        <w:t xml:space="preserve">03 r., Nr 64, </w:t>
      </w:r>
      <w:r w:rsidRPr="00E73A16">
        <w:rPr>
          <w:rFonts w:ascii="Times New Roman" w:hAnsi="Times New Roman" w:cs="Times New Roman"/>
          <w:sz w:val="24"/>
          <w:szCs w:val="24"/>
        </w:rPr>
        <w:t xml:space="preserve">poz. </w:t>
      </w:r>
      <w:r w:rsidR="00A408FC">
        <w:rPr>
          <w:rFonts w:ascii="Times New Roman" w:hAnsi="Times New Roman" w:cs="Times New Roman"/>
          <w:sz w:val="24"/>
          <w:szCs w:val="24"/>
        </w:rPr>
        <w:t xml:space="preserve">592 z późn. zm. </w:t>
      </w:r>
      <w:r w:rsidRPr="00E73A16">
        <w:rPr>
          <w:rFonts w:ascii="Times New Roman" w:hAnsi="Times New Roman" w:cs="Times New Roman"/>
          <w:sz w:val="24"/>
          <w:szCs w:val="24"/>
        </w:rPr>
        <w:t>) wprowadza się następujące zmiany:</w:t>
      </w:r>
    </w:p>
    <w:p w:rsidR="00713248" w:rsidRPr="00AE121F" w:rsidRDefault="00713248" w:rsidP="00AE121F">
      <w:pPr>
        <w:spacing w:before="240" w:line="360" w:lineRule="auto"/>
        <w:rPr>
          <w:rFonts w:ascii="Times New Roman" w:hAnsi="Times New Roman" w:cs="Times New Roman"/>
          <w:sz w:val="24"/>
          <w:szCs w:val="24"/>
        </w:rPr>
      </w:pPr>
      <w:r w:rsidRPr="00AE121F">
        <w:rPr>
          <w:rFonts w:ascii="Times New Roman" w:hAnsi="Times New Roman" w:cs="Times New Roman"/>
          <w:sz w:val="24"/>
          <w:szCs w:val="24"/>
        </w:rPr>
        <w:t>w art. 6 ust. 1 otrzymuje następujące brzmienie:</w:t>
      </w:r>
    </w:p>
    <w:p w:rsidR="00290A41" w:rsidRDefault="00713248" w:rsidP="00290A41">
      <w:pPr>
        <w:spacing w:before="24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„1. </w:t>
      </w:r>
      <w:r w:rsidRPr="00713248">
        <w:rPr>
          <w:rFonts w:ascii="Times New Roman" w:hAnsi="Times New Roman" w:cs="Times New Roman"/>
          <w:color w:val="000000"/>
          <w:sz w:val="24"/>
          <w:szCs w:val="24"/>
        </w:rPr>
        <w:t xml:space="preserve">Za rolnika indywidualnego uważa się osobę fizyczną będącą właścicielem, użytkownikiem wieczystym, samoistnym posiadaczem lub dzierżawcą nieruchomości rolnych, których łączna powierzchnia użytków rolnych nie przekracza 300 ha, posiadającą kwalifikacje rolnicze oraz </w:t>
      </w:r>
      <w:r>
        <w:rPr>
          <w:rFonts w:ascii="Times New Roman" w:hAnsi="Times New Roman" w:cs="Times New Roman"/>
          <w:color w:val="000000"/>
          <w:sz w:val="24"/>
          <w:szCs w:val="24"/>
        </w:rPr>
        <w:t>co najmniej od 5 lat stale zamieszkującą na terytorium Rzeczpospolitej Polskiej</w:t>
      </w:r>
      <w:r w:rsidR="001F5136">
        <w:rPr>
          <w:rFonts w:ascii="Times New Roman" w:hAnsi="Times New Roman" w:cs="Times New Roman"/>
          <w:color w:val="000000"/>
          <w:sz w:val="24"/>
          <w:szCs w:val="24"/>
        </w:rPr>
        <w:t xml:space="preserve"> </w:t>
      </w:r>
      <w:r w:rsidRPr="00713248">
        <w:rPr>
          <w:rFonts w:ascii="Times New Roman" w:hAnsi="Times New Roman" w:cs="Times New Roman"/>
          <w:color w:val="000000"/>
          <w:sz w:val="24"/>
          <w:szCs w:val="24"/>
        </w:rPr>
        <w:t xml:space="preserve"> prowadzącą przez ten okres osobiście gospodarstwo</w:t>
      </w:r>
      <w:r w:rsidR="00290A41">
        <w:rPr>
          <w:rFonts w:ascii="Times New Roman" w:hAnsi="Times New Roman" w:cs="Times New Roman"/>
          <w:color w:val="000000"/>
          <w:sz w:val="24"/>
          <w:szCs w:val="24"/>
        </w:rPr>
        <w:t xml:space="preserve"> rolne w którego skład wchodzi nieruchomość rolna, której jest on </w:t>
      </w:r>
      <w:r w:rsidR="00290A41" w:rsidRPr="00713248">
        <w:rPr>
          <w:rFonts w:ascii="Times New Roman" w:hAnsi="Times New Roman" w:cs="Times New Roman"/>
          <w:color w:val="000000"/>
          <w:sz w:val="24"/>
          <w:szCs w:val="24"/>
        </w:rPr>
        <w:t>właścicielem, użytkownikiem wieczystym, samoistnym posiadaczem lub dzierżawcą</w:t>
      </w:r>
      <w:r w:rsidRPr="00713248">
        <w:rPr>
          <w:rFonts w:ascii="Times New Roman" w:hAnsi="Times New Roman" w:cs="Times New Roman"/>
          <w:color w:val="000000"/>
          <w:sz w:val="24"/>
          <w:szCs w:val="24"/>
        </w:rPr>
        <w:t>.</w:t>
      </w:r>
      <w:r w:rsidR="001F5136">
        <w:rPr>
          <w:rFonts w:ascii="Times New Roman" w:hAnsi="Times New Roman" w:cs="Times New Roman"/>
          <w:color w:val="000000"/>
          <w:sz w:val="24"/>
          <w:szCs w:val="24"/>
        </w:rPr>
        <w:t xml:space="preserve"> </w:t>
      </w:r>
      <w:r w:rsidRPr="001F5136">
        <w:rPr>
          <w:rFonts w:ascii="Times New Roman" w:hAnsi="Times New Roman" w:cs="Times New Roman"/>
          <w:color w:val="000000"/>
          <w:sz w:val="24"/>
          <w:szCs w:val="24"/>
        </w:rPr>
        <w:t>Przez stałe zamieszkanie należy rozumieć zamieszkanie w określonej miejscowości, pod oznaczonym adresem z zamiarem stałego pobytu.</w:t>
      </w:r>
      <w:r w:rsidR="001F5136">
        <w:rPr>
          <w:rFonts w:ascii="Times New Roman" w:hAnsi="Times New Roman" w:cs="Times New Roman"/>
          <w:sz w:val="24"/>
          <w:szCs w:val="24"/>
        </w:rPr>
        <w:t>”</w:t>
      </w:r>
    </w:p>
    <w:p w:rsidR="001F5136" w:rsidRDefault="001F5136" w:rsidP="001F5136">
      <w:pPr>
        <w:spacing w:before="240" w:line="360" w:lineRule="auto"/>
        <w:jc w:val="both"/>
        <w:rPr>
          <w:rFonts w:ascii="Times New Roman" w:hAnsi="Times New Roman" w:cs="Times New Roman"/>
          <w:sz w:val="24"/>
          <w:szCs w:val="24"/>
        </w:rPr>
      </w:pPr>
      <w:r>
        <w:rPr>
          <w:rFonts w:ascii="Times New Roman" w:hAnsi="Times New Roman" w:cs="Times New Roman"/>
          <w:b/>
          <w:sz w:val="24"/>
          <w:szCs w:val="24"/>
        </w:rPr>
        <w:t xml:space="preserve">Art. 2. </w:t>
      </w:r>
      <w:r>
        <w:rPr>
          <w:rFonts w:ascii="Times New Roman" w:hAnsi="Times New Roman" w:cs="Times New Roman"/>
          <w:sz w:val="24"/>
          <w:szCs w:val="24"/>
        </w:rPr>
        <w:t xml:space="preserve">Ustawa wchodzi po upływnie 14 dni od dnia ogłoszenia. </w:t>
      </w:r>
    </w:p>
    <w:p w:rsidR="001F5136" w:rsidRDefault="001F5136" w:rsidP="001F5136">
      <w:pPr>
        <w:spacing w:before="240" w:line="360" w:lineRule="auto"/>
        <w:jc w:val="both"/>
        <w:rPr>
          <w:rFonts w:ascii="Times New Roman" w:hAnsi="Times New Roman" w:cs="Times New Roman"/>
          <w:sz w:val="24"/>
          <w:szCs w:val="24"/>
        </w:rPr>
      </w:pPr>
    </w:p>
    <w:p w:rsidR="00A408FC" w:rsidRDefault="00A408FC" w:rsidP="001F5136">
      <w:pPr>
        <w:spacing w:before="240" w:line="360" w:lineRule="auto"/>
        <w:jc w:val="both"/>
        <w:rPr>
          <w:rFonts w:ascii="Times New Roman" w:hAnsi="Times New Roman" w:cs="Times New Roman"/>
          <w:sz w:val="24"/>
          <w:szCs w:val="24"/>
        </w:rPr>
      </w:pPr>
    </w:p>
    <w:p w:rsidR="00A408FC" w:rsidRDefault="00A408FC" w:rsidP="001F5136">
      <w:pPr>
        <w:spacing w:before="240" w:line="360" w:lineRule="auto"/>
        <w:jc w:val="both"/>
        <w:rPr>
          <w:rFonts w:ascii="Times New Roman" w:hAnsi="Times New Roman" w:cs="Times New Roman"/>
          <w:sz w:val="24"/>
          <w:szCs w:val="24"/>
        </w:rPr>
      </w:pPr>
    </w:p>
    <w:p w:rsidR="00A408FC" w:rsidRDefault="00A408FC" w:rsidP="001F5136">
      <w:pPr>
        <w:spacing w:before="240" w:line="360" w:lineRule="auto"/>
        <w:jc w:val="both"/>
        <w:rPr>
          <w:rFonts w:ascii="Times New Roman" w:hAnsi="Times New Roman" w:cs="Times New Roman"/>
          <w:sz w:val="24"/>
          <w:szCs w:val="24"/>
        </w:rPr>
      </w:pPr>
    </w:p>
    <w:p w:rsidR="00A408FC" w:rsidRDefault="00A408FC" w:rsidP="001F5136">
      <w:pPr>
        <w:spacing w:before="240" w:line="360" w:lineRule="auto"/>
        <w:jc w:val="both"/>
        <w:rPr>
          <w:rFonts w:ascii="Times New Roman" w:hAnsi="Times New Roman" w:cs="Times New Roman"/>
          <w:sz w:val="24"/>
          <w:szCs w:val="24"/>
        </w:rPr>
      </w:pPr>
    </w:p>
    <w:p w:rsidR="00A408FC" w:rsidRDefault="00A408FC" w:rsidP="001F5136">
      <w:pPr>
        <w:spacing w:before="240" w:line="360" w:lineRule="auto"/>
        <w:jc w:val="both"/>
        <w:rPr>
          <w:rFonts w:ascii="Times New Roman" w:hAnsi="Times New Roman" w:cs="Times New Roman"/>
          <w:sz w:val="24"/>
          <w:szCs w:val="24"/>
        </w:rPr>
      </w:pPr>
    </w:p>
    <w:p w:rsidR="00A408FC" w:rsidRDefault="00A408FC" w:rsidP="001F5136">
      <w:pPr>
        <w:spacing w:before="240" w:line="360" w:lineRule="auto"/>
        <w:jc w:val="both"/>
        <w:rPr>
          <w:rFonts w:ascii="Times New Roman" w:hAnsi="Times New Roman" w:cs="Times New Roman"/>
          <w:sz w:val="24"/>
          <w:szCs w:val="24"/>
        </w:rPr>
      </w:pPr>
    </w:p>
    <w:p w:rsidR="00A408FC" w:rsidRDefault="00A408FC" w:rsidP="001F5136">
      <w:pPr>
        <w:spacing w:before="240" w:line="360" w:lineRule="auto"/>
        <w:jc w:val="both"/>
        <w:rPr>
          <w:rFonts w:ascii="Times New Roman" w:hAnsi="Times New Roman" w:cs="Times New Roman"/>
          <w:sz w:val="24"/>
          <w:szCs w:val="24"/>
        </w:rPr>
      </w:pPr>
    </w:p>
    <w:p w:rsidR="00A408FC" w:rsidRPr="00883220" w:rsidRDefault="00A408FC" w:rsidP="00A408FC">
      <w:pPr>
        <w:spacing w:before="240" w:line="360" w:lineRule="auto"/>
        <w:jc w:val="center"/>
        <w:rPr>
          <w:rFonts w:ascii="Times New Roman" w:hAnsi="Times New Roman" w:cs="Times New Roman"/>
          <w:b/>
          <w:sz w:val="24"/>
          <w:szCs w:val="24"/>
        </w:rPr>
      </w:pPr>
      <w:r w:rsidRPr="00883220">
        <w:rPr>
          <w:rFonts w:ascii="Times New Roman" w:hAnsi="Times New Roman" w:cs="Times New Roman"/>
          <w:b/>
          <w:sz w:val="24"/>
          <w:szCs w:val="24"/>
        </w:rPr>
        <w:t>UZASADNIENIE</w:t>
      </w:r>
    </w:p>
    <w:p w:rsidR="00B90598" w:rsidRDefault="00A408FC" w:rsidP="00B9059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Niniejszy projekt ustawy zakłada zmianę ustawy z dnia 11 kwietnia 2003 r. o kształtowaniu ustroju rolnego</w:t>
      </w:r>
      <w:r>
        <w:rPr>
          <w:rStyle w:val="Odwoanieprzypisudolnego"/>
          <w:rFonts w:ascii="Times New Roman" w:hAnsi="Times New Roman" w:cs="Times New Roman"/>
          <w:sz w:val="24"/>
          <w:szCs w:val="24"/>
        </w:rPr>
        <w:footnoteReference w:id="1"/>
      </w:r>
      <w:r w:rsidR="00B90598">
        <w:rPr>
          <w:rFonts w:ascii="Times New Roman" w:hAnsi="Times New Roman" w:cs="Times New Roman"/>
          <w:sz w:val="24"/>
          <w:szCs w:val="24"/>
        </w:rPr>
        <w:t xml:space="preserve"> (dalej: ustawa). Projektowana zmiana ma na celu modyfikację brzmienia art. 6 ust. 1 ustawy tj. definicji legalnej rolnika indywidualnego. </w:t>
      </w:r>
    </w:p>
    <w:p w:rsidR="00F20520" w:rsidRDefault="00B90598" w:rsidP="00F20520">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Ustaw</w:t>
      </w:r>
      <w:r w:rsidR="00F20520">
        <w:rPr>
          <w:rFonts w:ascii="Times New Roman" w:hAnsi="Times New Roman" w:cs="Times New Roman"/>
          <w:sz w:val="24"/>
          <w:szCs w:val="24"/>
        </w:rPr>
        <w:t>a</w:t>
      </w:r>
      <w:r>
        <w:rPr>
          <w:rFonts w:ascii="Times New Roman" w:hAnsi="Times New Roman" w:cs="Times New Roman"/>
          <w:sz w:val="24"/>
          <w:szCs w:val="24"/>
        </w:rPr>
        <w:t xml:space="preserve"> z dnia 14 kwietnia 2016 r. o wstrzymaniu sprzedaży nieruchomości </w:t>
      </w:r>
      <w:r w:rsidRPr="00B90598">
        <w:rPr>
          <w:rFonts w:ascii="Times New Roman" w:hAnsi="Times New Roman" w:cs="Times New Roman"/>
          <w:sz w:val="24"/>
          <w:szCs w:val="24"/>
        </w:rPr>
        <w:t>Zasobu Własności Rolnej Skarbu Państwa oraz o zmianie niektórych ustaw</w:t>
      </w:r>
      <w:r>
        <w:rPr>
          <w:rStyle w:val="Odwoanieprzypisudolnego"/>
          <w:rFonts w:ascii="Times New Roman" w:hAnsi="Times New Roman" w:cs="Times New Roman"/>
          <w:sz w:val="24"/>
          <w:szCs w:val="24"/>
        </w:rPr>
        <w:footnoteReference w:id="2"/>
      </w:r>
      <w:r w:rsidR="00F20520">
        <w:rPr>
          <w:rFonts w:ascii="Times New Roman" w:hAnsi="Times New Roman" w:cs="Times New Roman"/>
          <w:sz w:val="24"/>
          <w:szCs w:val="24"/>
        </w:rPr>
        <w:t xml:space="preserve"> ma na celu m.in. realizację </w:t>
      </w:r>
      <w:r w:rsidR="00F20520" w:rsidRPr="00F20520">
        <w:rPr>
          <w:rFonts w:ascii="Times New Roman" w:hAnsi="Times New Roman" w:cs="Times New Roman"/>
          <w:sz w:val="24"/>
          <w:szCs w:val="24"/>
        </w:rPr>
        <w:t xml:space="preserve"> konstytucyjnej zasady, że podstawą ustroju rolnego są gospodarstwa rodzinne</w:t>
      </w:r>
      <w:r w:rsidR="00F20520">
        <w:rPr>
          <w:rFonts w:ascii="Times New Roman" w:hAnsi="Times New Roman" w:cs="Times New Roman"/>
          <w:sz w:val="24"/>
          <w:szCs w:val="24"/>
        </w:rPr>
        <w:t xml:space="preserve">, realną </w:t>
      </w:r>
      <w:r w:rsidR="00F20520" w:rsidRPr="00F20520">
        <w:rPr>
          <w:rFonts w:ascii="Times New Roman" w:hAnsi="Times New Roman" w:cs="Times New Roman"/>
          <w:sz w:val="24"/>
          <w:szCs w:val="24"/>
        </w:rPr>
        <w:t>ochron</w:t>
      </w:r>
      <w:r w:rsidR="00F20520">
        <w:rPr>
          <w:rFonts w:ascii="Times New Roman" w:hAnsi="Times New Roman" w:cs="Times New Roman"/>
          <w:sz w:val="24"/>
          <w:szCs w:val="24"/>
        </w:rPr>
        <w:t xml:space="preserve">ę </w:t>
      </w:r>
      <w:r w:rsidR="00F20520" w:rsidRPr="00F20520">
        <w:rPr>
          <w:rFonts w:ascii="Times New Roman" w:hAnsi="Times New Roman" w:cs="Times New Roman"/>
          <w:sz w:val="24"/>
          <w:szCs w:val="24"/>
        </w:rPr>
        <w:t>gruntów rolnych przed niekontrolowanym spekulacyjnym obrotem,</w:t>
      </w:r>
      <w:r w:rsidR="00F20520">
        <w:rPr>
          <w:rFonts w:ascii="Times New Roman" w:hAnsi="Times New Roman" w:cs="Times New Roman"/>
          <w:sz w:val="24"/>
          <w:szCs w:val="24"/>
        </w:rPr>
        <w:t xml:space="preserve"> </w:t>
      </w:r>
      <w:r w:rsidR="00F20520" w:rsidRPr="00F20520">
        <w:rPr>
          <w:rFonts w:ascii="Times New Roman" w:hAnsi="Times New Roman" w:cs="Times New Roman"/>
          <w:sz w:val="24"/>
          <w:szCs w:val="24"/>
        </w:rPr>
        <w:t>przeciwdziałanie nadmiernej kon</w:t>
      </w:r>
      <w:r w:rsidR="00F20520">
        <w:rPr>
          <w:rFonts w:ascii="Times New Roman" w:hAnsi="Times New Roman" w:cs="Times New Roman"/>
          <w:sz w:val="24"/>
          <w:szCs w:val="24"/>
        </w:rPr>
        <w:t xml:space="preserve">centracji nieruchomości rolnych, </w:t>
      </w:r>
      <w:r w:rsidR="00F20520" w:rsidRPr="00F20520">
        <w:rPr>
          <w:rFonts w:ascii="Times New Roman" w:hAnsi="Times New Roman" w:cs="Times New Roman"/>
          <w:sz w:val="24"/>
          <w:szCs w:val="24"/>
        </w:rPr>
        <w:t>zapewnienie bez</w:t>
      </w:r>
      <w:r w:rsidR="00F20520">
        <w:rPr>
          <w:rFonts w:ascii="Times New Roman" w:hAnsi="Times New Roman" w:cs="Times New Roman"/>
          <w:sz w:val="24"/>
          <w:szCs w:val="24"/>
        </w:rPr>
        <w:t xml:space="preserve">pieczeństwa żywnościowego kraju, a przede wszystkim zabezpieczenie gruntów rolnych położonych na terytorium Rzeczypospolitej Polskiej przed jej wykupem przez obcokrajowców. </w:t>
      </w:r>
    </w:p>
    <w:p w:rsidR="003C274B" w:rsidRDefault="00F20520" w:rsidP="00F20520">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Tryb i zasady nabywania nieruchomości położonych w granicach Rzeczypospolitej Polskiej przez cudzoziemców uregulowane zostały w ustawie z dnia 24 marca 1920 r. o nabywaniu nieruchomości przez cudzoziemców</w:t>
      </w:r>
      <w:r>
        <w:rPr>
          <w:rStyle w:val="Odwoanieprzypisudolnego"/>
          <w:rFonts w:ascii="Times New Roman" w:hAnsi="Times New Roman" w:cs="Times New Roman"/>
          <w:sz w:val="24"/>
          <w:szCs w:val="24"/>
        </w:rPr>
        <w:footnoteReference w:id="3"/>
      </w:r>
      <w:r>
        <w:rPr>
          <w:rFonts w:ascii="Times New Roman" w:hAnsi="Times New Roman" w:cs="Times New Roman"/>
          <w:sz w:val="24"/>
          <w:szCs w:val="24"/>
        </w:rPr>
        <w:t xml:space="preserve">. W myśl przepisów tej ustawy, </w:t>
      </w:r>
      <w:r w:rsidRPr="00F20520">
        <w:rPr>
          <w:rFonts w:ascii="Times New Roman" w:hAnsi="Times New Roman" w:cs="Times New Roman"/>
          <w:sz w:val="24"/>
          <w:szCs w:val="24"/>
        </w:rPr>
        <w:t xml:space="preserve"> nabycie nieruchomości rolnej przez cudzoziemca wymaga uzyskania przez niego zezwolenia wydawanego w drodze decyzji administracyjnej, przez ministra właściwego do spraw wewnętrznych, jeżeli sprzeciwu nie wniesie Minister Obrony Narodowej oraz w przypadku nieruchomości rolnych - minister właściwy do spraw rozwoju wsi.</w:t>
      </w:r>
      <w:r>
        <w:rPr>
          <w:rFonts w:ascii="Times New Roman" w:hAnsi="Times New Roman" w:cs="Times New Roman"/>
          <w:sz w:val="24"/>
          <w:szCs w:val="24"/>
        </w:rPr>
        <w:t xml:space="preserve"> Dodatkowe obostrzenie</w:t>
      </w:r>
      <w:r w:rsidR="0043325F">
        <w:rPr>
          <w:rFonts w:ascii="Times New Roman" w:hAnsi="Times New Roman" w:cs="Times New Roman"/>
          <w:sz w:val="24"/>
          <w:szCs w:val="24"/>
        </w:rPr>
        <w:t xml:space="preserve"> w przedmiocie nabywania przez cudzoziemców nieruchomości rolnych położonych na terytorium Rzeczypospolitej Polskiej stanowią regulacje zawarte w ustawie o kształtowaniu ustroju rolnego. Nabywcą nieruchomości rolnej może być jedynie osoba, która spełnia ustawową de</w:t>
      </w:r>
      <w:r w:rsidR="00836C64">
        <w:rPr>
          <w:rFonts w:ascii="Times New Roman" w:hAnsi="Times New Roman" w:cs="Times New Roman"/>
          <w:sz w:val="24"/>
          <w:szCs w:val="24"/>
        </w:rPr>
        <w:t xml:space="preserve">finicję rolnika indywidualnego. </w:t>
      </w:r>
      <w:r w:rsidR="00836C64">
        <w:rPr>
          <w:rFonts w:ascii="Times New Roman" w:hAnsi="Times New Roman" w:cs="Times New Roman"/>
          <w:i/>
          <w:sz w:val="24"/>
          <w:szCs w:val="24"/>
        </w:rPr>
        <w:t>De lege lata</w:t>
      </w:r>
      <w:r w:rsidR="00836C64">
        <w:rPr>
          <w:rFonts w:ascii="Times New Roman" w:hAnsi="Times New Roman" w:cs="Times New Roman"/>
          <w:sz w:val="24"/>
          <w:szCs w:val="24"/>
        </w:rPr>
        <w:t xml:space="preserve"> rolnik indywidualny to </w:t>
      </w:r>
      <w:r w:rsidR="00836C64" w:rsidRPr="00290A41">
        <w:rPr>
          <w:rFonts w:ascii="Times New Roman" w:hAnsi="Times New Roman" w:cs="Times New Roman"/>
          <w:sz w:val="24"/>
          <w:szCs w:val="24"/>
        </w:rPr>
        <w:t>osoba fizyczna będąca właścicielem, użytkownikiem wieczystym, samoistnym posiadaczem lub dzierżawcą nieruchomości rolnych, których łączna powierzchnia użytków nie przekracza 300 ha, posiadająca kwalifikacje rolnicze oraz od co najmniej 5 lat zamieszkała w gminie, na obszarze której położona jest jedna z nieruchomości rolnych wchodzących w skład gospodarstwa rolnego i prowadząca przez ten okres osobiście to gospodarstwo</w:t>
      </w:r>
      <w:r w:rsidR="00836C64">
        <w:rPr>
          <w:rFonts w:ascii="Times New Roman" w:hAnsi="Times New Roman" w:cs="Times New Roman"/>
          <w:sz w:val="24"/>
          <w:szCs w:val="24"/>
        </w:rPr>
        <w:t xml:space="preserve">.  W ustawie określono ponadto czym jest osobiste prowadzenie gospodarstwa </w:t>
      </w:r>
      <w:r w:rsidR="00836C64">
        <w:rPr>
          <w:rFonts w:ascii="Times New Roman" w:hAnsi="Times New Roman" w:cs="Times New Roman"/>
          <w:sz w:val="24"/>
          <w:szCs w:val="24"/>
        </w:rPr>
        <w:lastRenderedPageBreak/>
        <w:t xml:space="preserve">rolnego oraz jakie przesłanki należy spełnić, aby móc stwierdzić, że nabywca posiada kwalifikacje rolnicze. </w:t>
      </w:r>
    </w:p>
    <w:p w:rsidR="003C274B" w:rsidRDefault="003C274B" w:rsidP="00F20520">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W ocenie projektodawców obecnie funkcjonujące rozwiązania i regulacje</w:t>
      </w:r>
      <w:r w:rsidR="006D3547">
        <w:rPr>
          <w:rFonts w:ascii="Times New Roman" w:hAnsi="Times New Roman" w:cs="Times New Roman"/>
          <w:sz w:val="24"/>
          <w:szCs w:val="24"/>
        </w:rPr>
        <w:t xml:space="preserve"> nie realizują </w:t>
      </w:r>
      <w:r w:rsidR="006D3547">
        <w:rPr>
          <w:rFonts w:ascii="Times New Roman" w:hAnsi="Times New Roman" w:cs="Times New Roman"/>
          <w:i/>
          <w:sz w:val="24"/>
          <w:szCs w:val="24"/>
        </w:rPr>
        <w:t>ratio legis</w:t>
      </w:r>
      <w:r>
        <w:rPr>
          <w:rFonts w:ascii="Times New Roman" w:hAnsi="Times New Roman" w:cs="Times New Roman"/>
          <w:sz w:val="24"/>
          <w:szCs w:val="24"/>
        </w:rPr>
        <w:t xml:space="preserve"> </w:t>
      </w:r>
      <w:r w:rsidR="006D3547">
        <w:rPr>
          <w:rFonts w:ascii="Times New Roman" w:hAnsi="Times New Roman" w:cs="Times New Roman"/>
          <w:sz w:val="24"/>
          <w:szCs w:val="24"/>
        </w:rPr>
        <w:t xml:space="preserve">ustawy – zabezpieczenia </w:t>
      </w:r>
      <w:r>
        <w:rPr>
          <w:rFonts w:ascii="Times New Roman" w:hAnsi="Times New Roman" w:cs="Times New Roman"/>
          <w:sz w:val="24"/>
          <w:szCs w:val="24"/>
        </w:rPr>
        <w:t xml:space="preserve">nieruchomości rolnych położonych na terytorium Rzeczypospolitej Polskiej przed ich wykupem przez cudzoziemców. </w:t>
      </w:r>
    </w:p>
    <w:p w:rsidR="009174DF" w:rsidRDefault="009174DF" w:rsidP="003C274B">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Ustawową </w:t>
      </w:r>
      <w:r w:rsidR="003C274B">
        <w:rPr>
          <w:rFonts w:ascii="Times New Roman" w:hAnsi="Times New Roman" w:cs="Times New Roman"/>
          <w:sz w:val="24"/>
          <w:szCs w:val="24"/>
        </w:rPr>
        <w:t xml:space="preserve">definicję rolnika indywidualnego mogą spełniać również cudzoziemcy, a więc mogą oni nabywać nieruchomości rolne na takich samych zasadach, na jakich prawo to przysługuje obywatelom Rzeczypospolitej Polskiej. </w:t>
      </w:r>
    </w:p>
    <w:p w:rsidR="009174DF" w:rsidRDefault="003C274B" w:rsidP="003C274B">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Z</w:t>
      </w:r>
      <w:r w:rsidRPr="003C274B">
        <w:rPr>
          <w:rFonts w:ascii="Times New Roman" w:hAnsi="Times New Roman" w:cs="Times New Roman"/>
          <w:sz w:val="24"/>
          <w:szCs w:val="24"/>
        </w:rPr>
        <w:t>godnie z art. 7 ust. 9 ustawy, dowodem potwierdzającym posiadanie kwalifikacji rolniczych mogą być również odpowiednie dokumenty wydane przez właściwe organy lub instytucje państw członkowskich Europejskiego Obszaru Gospodarczego oraz Konfederacji Szwajcarskiej.</w:t>
      </w:r>
      <w:r>
        <w:rPr>
          <w:rFonts w:ascii="Times New Roman" w:hAnsi="Times New Roman" w:cs="Times New Roman"/>
          <w:sz w:val="24"/>
          <w:szCs w:val="24"/>
        </w:rPr>
        <w:t xml:space="preserve"> </w:t>
      </w:r>
      <w:r w:rsidR="00883220">
        <w:rPr>
          <w:rFonts w:ascii="Times New Roman" w:hAnsi="Times New Roman" w:cs="Times New Roman"/>
          <w:sz w:val="24"/>
          <w:szCs w:val="24"/>
        </w:rPr>
        <w:t xml:space="preserve"> </w:t>
      </w:r>
      <w:r w:rsidR="00DE624C">
        <w:rPr>
          <w:rFonts w:ascii="Times New Roman" w:hAnsi="Times New Roman" w:cs="Times New Roman"/>
          <w:sz w:val="24"/>
          <w:szCs w:val="24"/>
        </w:rPr>
        <w:t xml:space="preserve">Osobiste prowadzenie gospodarstwa rolnego, według przepisów ustawy, to </w:t>
      </w:r>
      <w:r w:rsidR="00DE624C" w:rsidRPr="00DE624C">
        <w:rPr>
          <w:rFonts w:ascii="Times New Roman" w:hAnsi="Times New Roman" w:cs="Times New Roman"/>
          <w:sz w:val="24"/>
          <w:szCs w:val="24"/>
        </w:rPr>
        <w:t> </w:t>
      </w:r>
      <w:r w:rsidR="00DE624C">
        <w:rPr>
          <w:rFonts w:ascii="Times New Roman" w:hAnsi="Times New Roman" w:cs="Times New Roman"/>
          <w:sz w:val="24"/>
          <w:szCs w:val="24"/>
        </w:rPr>
        <w:t>pracowanie w tym gospodarstwie i podejmowanie wszelkich decyzji dotyczących</w:t>
      </w:r>
      <w:r w:rsidR="00DE624C" w:rsidRPr="00DE624C">
        <w:rPr>
          <w:rFonts w:ascii="Times New Roman" w:hAnsi="Times New Roman" w:cs="Times New Roman"/>
          <w:sz w:val="24"/>
          <w:szCs w:val="24"/>
        </w:rPr>
        <w:t xml:space="preserve"> prowadzenia działalnośc</w:t>
      </w:r>
      <w:r w:rsidR="006D3547">
        <w:rPr>
          <w:rFonts w:ascii="Times New Roman" w:hAnsi="Times New Roman" w:cs="Times New Roman"/>
          <w:sz w:val="24"/>
          <w:szCs w:val="24"/>
        </w:rPr>
        <w:t xml:space="preserve">i rolniczej w tym gospodarstwie. </w:t>
      </w:r>
    </w:p>
    <w:p w:rsidR="00DE624C" w:rsidRDefault="003C274B" w:rsidP="00DE624C">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wskazać należy, że </w:t>
      </w:r>
      <w:r w:rsidR="0014792E">
        <w:rPr>
          <w:rFonts w:ascii="Times New Roman" w:hAnsi="Times New Roman" w:cs="Times New Roman"/>
          <w:sz w:val="24"/>
          <w:szCs w:val="24"/>
        </w:rPr>
        <w:t xml:space="preserve">przesłanka zamieszkiwania w gminie </w:t>
      </w:r>
      <w:r w:rsidR="0014792E" w:rsidRPr="0014792E">
        <w:rPr>
          <w:rFonts w:ascii="Times New Roman" w:hAnsi="Times New Roman" w:cs="Times New Roman"/>
          <w:sz w:val="24"/>
          <w:szCs w:val="24"/>
        </w:rPr>
        <w:t>na obszarze której położona jest jedna z nieruchomości rolnych wchodzących w skład gospodarstwa rolnego</w:t>
      </w:r>
      <w:r w:rsidR="0014792E">
        <w:rPr>
          <w:rFonts w:ascii="Times New Roman" w:hAnsi="Times New Roman" w:cs="Times New Roman"/>
          <w:sz w:val="24"/>
          <w:szCs w:val="24"/>
        </w:rPr>
        <w:t xml:space="preserve"> nie stanowi przeszkody do nabywania nieruchomości rolnych w P</w:t>
      </w:r>
      <w:r w:rsidR="00376EDB">
        <w:rPr>
          <w:rFonts w:ascii="Times New Roman" w:hAnsi="Times New Roman" w:cs="Times New Roman"/>
          <w:sz w:val="24"/>
          <w:szCs w:val="24"/>
        </w:rPr>
        <w:t>olsce przez cudzoziemców bowiem, gmina, jako podstawowa jednostka podziału terytorialnego w Pol</w:t>
      </w:r>
      <w:r w:rsidR="00955C8E">
        <w:rPr>
          <w:rFonts w:ascii="Times New Roman" w:hAnsi="Times New Roman" w:cs="Times New Roman"/>
          <w:sz w:val="24"/>
          <w:szCs w:val="24"/>
        </w:rPr>
        <w:t>sce ma swoje odpowiedniki w </w:t>
      </w:r>
      <w:r w:rsidR="00376EDB">
        <w:rPr>
          <w:rFonts w:ascii="Times New Roman" w:hAnsi="Times New Roman" w:cs="Times New Roman"/>
          <w:sz w:val="24"/>
          <w:szCs w:val="24"/>
        </w:rPr>
        <w:t xml:space="preserve">państwach Europejskiego Obszaru Gospodarczego. </w:t>
      </w:r>
      <w:r w:rsidR="00376EDB" w:rsidRPr="00376EDB">
        <w:rPr>
          <w:rFonts w:ascii="Times New Roman" w:hAnsi="Times New Roman" w:cs="Times New Roman"/>
          <w:sz w:val="24"/>
          <w:szCs w:val="24"/>
        </w:rPr>
        <w:t>Będący formą decentralizacji władzy publicznej samorząd terytorialny funkcjonuje we wszystkich państwach Unii Europejskiej</w:t>
      </w:r>
      <w:r w:rsidR="00376EDB">
        <w:rPr>
          <w:rFonts w:ascii="Times New Roman" w:hAnsi="Times New Roman" w:cs="Times New Roman"/>
          <w:sz w:val="24"/>
          <w:szCs w:val="24"/>
        </w:rPr>
        <w:t>, a j</w:t>
      </w:r>
      <w:r w:rsidR="00376EDB" w:rsidRPr="00376EDB">
        <w:rPr>
          <w:rFonts w:ascii="Times New Roman" w:hAnsi="Times New Roman" w:cs="Times New Roman"/>
          <w:sz w:val="24"/>
          <w:szCs w:val="24"/>
        </w:rPr>
        <w:t>ego istnienie jest jednym z wyróżników demokratycznego charakteru tych państw, będących instytucjonalną formą organizowania się działających na ich terytorium społeczeństw obywatelskich</w:t>
      </w:r>
      <w:r w:rsidR="00376EDB">
        <w:rPr>
          <w:rFonts w:ascii="Times New Roman" w:hAnsi="Times New Roman" w:cs="Times New Roman"/>
          <w:sz w:val="24"/>
          <w:szCs w:val="24"/>
        </w:rPr>
        <w:t>. Wskazać należy, że niezależnie od tego, czy dane państwo charakteryzuje się podziałem terytorialnym trójstopniowym czy dwustopniowym, za podstawową jednostkę samorządu terytorialnego należy uznawać tę jednostkę, która znajduje się na najniższym stopniu podziału terytorialnego danego państwa i k</w:t>
      </w:r>
      <w:r w:rsidR="009174DF">
        <w:rPr>
          <w:rFonts w:ascii="Times New Roman" w:hAnsi="Times New Roman" w:cs="Times New Roman"/>
          <w:sz w:val="24"/>
          <w:szCs w:val="24"/>
        </w:rPr>
        <w:t>tóra spełnia aspekty samodzielności komunalnej</w:t>
      </w:r>
      <w:r w:rsidR="009174DF">
        <w:rPr>
          <w:rStyle w:val="Odwoanieprzypisudolnego"/>
          <w:rFonts w:ascii="Times New Roman" w:hAnsi="Times New Roman" w:cs="Times New Roman"/>
          <w:sz w:val="24"/>
          <w:szCs w:val="24"/>
        </w:rPr>
        <w:footnoteReference w:id="4"/>
      </w:r>
      <w:r w:rsidR="009174DF">
        <w:rPr>
          <w:rFonts w:ascii="Times New Roman" w:hAnsi="Times New Roman" w:cs="Times New Roman"/>
          <w:sz w:val="24"/>
          <w:szCs w:val="24"/>
        </w:rPr>
        <w:t xml:space="preserve"> tj. musi cechować się odrębnością i względną niezależnością polityczną, odrębnością i osobowością prawną, odrębnością finansową, odrębnością ekonomiczną, odrębnością administracyjną oraz odrębnością organizacyjną</w:t>
      </w:r>
      <w:r w:rsidR="009174DF">
        <w:rPr>
          <w:rStyle w:val="Odwoanieprzypisudolnego"/>
          <w:rFonts w:ascii="Times New Roman" w:hAnsi="Times New Roman" w:cs="Times New Roman"/>
          <w:sz w:val="24"/>
          <w:szCs w:val="24"/>
        </w:rPr>
        <w:footnoteReference w:id="5"/>
      </w:r>
      <w:r w:rsidR="009174DF">
        <w:rPr>
          <w:rFonts w:ascii="Times New Roman" w:hAnsi="Times New Roman" w:cs="Times New Roman"/>
          <w:sz w:val="24"/>
          <w:szCs w:val="24"/>
        </w:rPr>
        <w:t xml:space="preserve">. </w:t>
      </w:r>
      <w:r w:rsidR="00955C8E">
        <w:rPr>
          <w:rFonts w:ascii="Times New Roman" w:hAnsi="Times New Roman" w:cs="Times New Roman"/>
          <w:sz w:val="24"/>
          <w:szCs w:val="24"/>
        </w:rPr>
        <w:t xml:space="preserve">W tym miejscu nie </w:t>
      </w:r>
      <w:r w:rsidR="00955C8E">
        <w:rPr>
          <w:rFonts w:ascii="Times New Roman" w:hAnsi="Times New Roman" w:cs="Times New Roman"/>
          <w:sz w:val="24"/>
          <w:szCs w:val="24"/>
        </w:rPr>
        <w:lastRenderedPageBreak/>
        <w:t>sposób nie wspomnieć o Europejskiej Karcie Samorządu Lokalnego</w:t>
      </w:r>
      <w:r w:rsidR="00955C8E">
        <w:rPr>
          <w:rStyle w:val="Odwoanieprzypisudolnego"/>
          <w:rFonts w:ascii="Times New Roman" w:hAnsi="Times New Roman" w:cs="Times New Roman"/>
          <w:sz w:val="24"/>
          <w:szCs w:val="24"/>
        </w:rPr>
        <w:footnoteReference w:id="6"/>
      </w:r>
      <w:r w:rsidR="00955C8E">
        <w:rPr>
          <w:rFonts w:ascii="Times New Roman" w:hAnsi="Times New Roman" w:cs="Times New Roman"/>
          <w:sz w:val="24"/>
          <w:szCs w:val="24"/>
        </w:rPr>
        <w:t>, której p</w:t>
      </w:r>
      <w:r w:rsidR="00955C8E" w:rsidRPr="00955C8E">
        <w:rPr>
          <w:rFonts w:ascii="Times New Roman" w:hAnsi="Times New Roman" w:cs="Times New Roman"/>
          <w:sz w:val="24"/>
          <w:szCs w:val="24"/>
        </w:rPr>
        <w:t>reambuła wskazuje cel, jakim kierowały się państwa członkowskie Rady Europy będące sygnatariuszami Karty - jest nim zacieśnienie więzi pomiędzy państwami członkowskimi a jednym ze środków służących jego realizacji jest zawieranie umów w dziedzinie administracji. Można</w:t>
      </w:r>
      <w:r w:rsidR="00955C8E">
        <w:rPr>
          <w:rFonts w:ascii="Times New Roman" w:hAnsi="Times New Roman" w:cs="Times New Roman"/>
          <w:sz w:val="24"/>
          <w:szCs w:val="24"/>
        </w:rPr>
        <w:t xml:space="preserve"> więc</w:t>
      </w:r>
      <w:r w:rsidR="00955C8E" w:rsidRPr="00955C8E">
        <w:rPr>
          <w:rFonts w:ascii="Times New Roman" w:hAnsi="Times New Roman" w:cs="Times New Roman"/>
          <w:sz w:val="24"/>
          <w:szCs w:val="24"/>
        </w:rPr>
        <w:t xml:space="preserve"> przyjąć, że regulacje Karty wyznaczają pozycję gminy jako podstawowej jednostki samorządu terytorialneg</w:t>
      </w:r>
      <w:r w:rsidR="00955C8E">
        <w:rPr>
          <w:rFonts w:ascii="Times New Roman" w:hAnsi="Times New Roman" w:cs="Times New Roman"/>
          <w:sz w:val="24"/>
          <w:szCs w:val="24"/>
        </w:rPr>
        <w:t xml:space="preserve">o. </w:t>
      </w:r>
      <w:r w:rsidR="00883220">
        <w:rPr>
          <w:rFonts w:ascii="Times New Roman" w:hAnsi="Times New Roman" w:cs="Times New Roman"/>
          <w:sz w:val="24"/>
          <w:szCs w:val="24"/>
        </w:rPr>
        <w:t>Gmina jest podstawową jednostką terytorialną  m.in. we Francji, Hiszpanii czy Niemczech</w:t>
      </w:r>
      <w:r w:rsidR="00883220">
        <w:rPr>
          <w:rStyle w:val="Odwoanieprzypisudolnego"/>
          <w:rFonts w:ascii="Times New Roman" w:hAnsi="Times New Roman" w:cs="Times New Roman"/>
          <w:sz w:val="24"/>
          <w:szCs w:val="24"/>
        </w:rPr>
        <w:footnoteReference w:id="7"/>
      </w:r>
      <w:r w:rsidR="00883220">
        <w:rPr>
          <w:rFonts w:ascii="Times New Roman" w:hAnsi="Times New Roman" w:cs="Times New Roman"/>
          <w:sz w:val="24"/>
          <w:szCs w:val="24"/>
        </w:rPr>
        <w:t xml:space="preserve"> dlatego też, w ocenie projektodawców przyjąć należy, że cudzoziemiec, będący osobą fizyczną i </w:t>
      </w:r>
      <w:r w:rsidR="00883220" w:rsidRPr="00883220">
        <w:rPr>
          <w:rFonts w:ascii="Times New Roman" w:hAnsi="Times New Roman" w:cs="Times New Roman"/>
          <w:sz w:val="24"/>
          <w:szCs w:val="24"/>
        </w:rPr>
        <w:t xml:space="preserve">właścicielem, użytkownikiem wieczystym, samoistnym posiadaczem lub dzierżawcą nieruchomości rolnych, których łączna powierzchnia użytków nie przekracza 300 ha, posiadająca kwalifikacje rolnicze oraz od co najmniej 5 lat zamieszkała w gminie, na obszarze której położona jest jedna z nieruchomości rolnych wchodzących w skład gospodarstwa rolnego i prowadząca przez ten </w:t>
      </w:r>
      <w:r w:rsidR="00883220">
        <w:rPr>
          <w:rFonts w:ascii="Times New Roman" w:hAnsi="Times New Roman" w:cs="Times New Roman"/>
          <w:sz w:val="24"/>
          <w:szCs w:val="24"/>
        </w:rPr>
        <w:t>okres osobiście to gospodarstwo może nabyć nieruchomość rolną położoną na teryto</w:t>
      </w:r>
      <w:r w:rsidR="00DE624C">
        <w:rPr>
          <w:rFonts w:ascii="Times New Roman" w:hAnsi="Times New Roman" w:cs="Times New Roman"/>
          <w:sz w:val="24"/>
          <w:szCs w:val="24"/>
        </w:rPr>
        <w:t>rium Rzeczypospolitej Polskiej.</w:t>
      </w:r>
    </w:p>
    <w:p w:rsidR="00DB1F82" w:rsidRPr="00DB1F82" w:rsidRDefault="00DE624C" w:rsidP="00DB1F82">
      <w:pPr>
        <w:spacing w:before="240" w:line="360" w:lineRule="auto"/>
        <w:jc w:val="both"/>
        <w:rPr>
          <w:rFonts w:ascii="Times New Roman" w:eastAsia="Times New Roman" w:hAnsi="Times New Roman" w:cs="Times New Roman"/>
          <w:color w:val="000000"/>
          <w:sz w:val="24"/>
          <w:szCs w:val="24"/>
          <w:lang w:eastAsia="pl-PL"/>
        </w:rPr>
      </w:pPr>
      <w:r w:rsidRPr="00DE624C">
        <w:rPr>
          <w:rFonts w:ascii="Times New Roman" w:hAnsi="Times New Roman" w:cs="Times New Roman"/>
          <w:sz w:val="24"/>
          <w:szCs w:val="24"/>
        </w:rPr>
        <w:t xml:space="preserve">Według przepisów ustawy dowodem potwierdzającym </w:t>
      </w:r>
      <w:r w:rsidRPr="00DE624C">
        <w:rPr>
          <w:rFonts w:ascii="Times New Roman" w:eastAsia="Times New Roman" w:hAnsi="Times New Roman" w:cs="Times New Roman"/>
          <w:color w:val="000000"/>
          <w:sz w:val="24"/>
          <w:szCs w:val="24"/>
          <w:lang w:eastAsia="pl-PL"/>
        </w:rPr>
        <w:t>prowadzenie gospodarstwa rolnego jest oświadczenie prowadzącego to gospodarstwo, poświadczone przez wójta (burmistrza, prezydenta miasta). W świetle poczynionych wyżej wywodów wskazać należy, że w przedmiocie cudzoziemców dowodem potwierdzającym prowadzenie gospodarstwa rolnego będzie oświadczenie prowadzącego to gospodarstwo poświadczone przez odpowiednik polskiego wójta, to jest przez organ wykonawczy jednostki terytorialnej najniższego szczebla w krajach Europejskiego Obszaru Gospodarczego. Przeszkodą nie jest również regulacja stanowiąca, że dowodem potwierdzającym zamieszkanie jest zaświadczenie o</w:t>
      </w:r>
      <w:r>
        <w:rPr>
          <w:rFonts w:ascii="Times New Roman" w:eastAsia="Times New Roman" w:hAnsi="Times New Roman" w:cs="Times New Roman"/>
          <w:color w:val="000000"/>
          <w:sz w:val="24"/>
          <w:szCs w:val="24"/>
          <w:lang w:eastAsia="pl-PL"/>
        </w:rPr>
        <w:t xml:space="preserve"> zameldowaniu na pobyt stały. W </w:t>
      </w:r>
      <w:r w:rsidRPr="00DE624C">
        <w:rPr>
          <w:rFonts w:ascii="Times New Roman" w:eastAsia="Times New Roman" w:hAnsi="Times New Roman" w:cs="Times New Roman"/>
          <w:color w:val="000000"/>
          <w:sz w:val="24"/>
          <w:szCs w:val="24"/>
          <w:lang w:eastAsia="pl-PL"/>
        </w:rPr>
        <w:t xml:space="preserve">Niemczech odpowiednikiem zameldowania na pobyt stały jest </w:t>
      </w:r>
      <w:r w:rsidRPr="00DE624C">
        <w:rPr>
          <w:rFonts w:ascii="Times New Roman" w:eastAsia="Times New Roman" w:hAnsi="Times New Roman" w:cs="Times New Roman"/>
          <w:i/>
          <w:color w:val="000000"/>
          <w:sz w:val="24"/>
          <w:szCs w:val="24"/>
          <w:lang w:eastAsia="pl-PL"/>
        </w:rPr>
        <w:t>Anmeldebestätigung</w:t>
      </w:r>
      <w:r>
        <w:rPr>
          <w:rFonts w:ascii="Times New Roman" w:eastAsia="Times New Roman" w:hAnsi="Times New Roman" w:cs="Times New Roman"/>
          <w:color w:val="000000"/>
          <w:sz w:val="24"/>
          <w:szCs w:val="24"/>
          <w:lang w:eastAsia="pl-PL"/>
        </w:rPr>
        <w:t>, a </w:t>
      </w:r>
      <w:r w:rsidRPr="00DE624C">
        <w:rPr>
          <w:rFonts w:ascii="Times New Roman" w:eastAsia="Times New Roman" w:hAnsi="Times New Roman" w:cs="Times New Roman"/>
          <w:color w:val="000000"/>
          <w:sz w:val="24"/>
          <w:szCs w:val="24"/>
          <w:lang w:eastAsia="pl-PL"/>
        </w:rPr>
        <w:t>formalności meldunkowych dopełnia się w lokalnym urzędzie w miejscu zamieszkania. We Francji z kolei dokumentem potwierdzającym zamieszkanie, a wiec odpowiednikiem polskiego zaświadczenia o zameldowaniu na pobyt stały jest dokument stwierdzający posiadanie tyt</w:t>
      </w:r>
      <w:r w:rsidR="00DB1F82">
        <w:rPr>
          <w:rFonts w:ascii="Times New Roman" w:eastAsia="Times New Roman" w:hAnsi="Times New Roman" w:cs="Times New Roman"/>
          <w:color w:val="000000"/>
          <w:sz w:val="24"/>
          <w:szCs w:val="24"/>
          <w:lang w:eastAsia="pl-PL"/>
        </w:rPr>
        <w:t>ułu prawnego do nieruchomości. Z</w:t>
      </w:r>
      <w:r w:rsidR="00DB1F82" w:rsidRPr="00DB1F82">
        <w:rPr>
          <w:rFonts w:ascii="Times New Roman" w:eastAsia="Times New Roman" w:hAnsi="Times New Roman" w:cs="Times New Roman"/>
          <w:color w:val="000000"/>
          <w:sz w:val="24"/>
          <w:szCs w:val="24"/>
          <w:lang w:eastAsia="pl-PL"/>
        </w:rPr>
        <w:t>godnie</w:t>
      </w:r>
      <w:r w:rsidR="00DB1F82">
        <w:rPr>
          <w:rFonts w:ascii="Times New Roman" w:eastAsia="Times New Roman" w:hAnsi="Times New Roman" w:cs="Times New Roman"/>
          <w:color w:val="000000"/>
          <w:sz w:val="24"/>
          <w:szCs w:val="24"/>
          <w:lang w:eastAsia="pl-PL"/>
        </w:rPr>
        <w:t xml:space="preserve"> zaś</w:t>
      </w:r>
      <w:r w:rsidR="00DB1F82" w:rsidRPr="00DB1F82">
        <w:rPr>
          <w:rFonts w:ascii="Times New Roman" w:eastAsia="Times New Roman" w:hAnsi="Times New Roman" w:cs="Times New Roman"/>
          <w:color w:val="000000"/>
          <w:sz w:val="24"/>
          <w:szCs w:val="24"/>
          <w:lang w:eastAsia="pl-PL"/>
        </w:rPr>
        <w:t xml:space="preserve"> z przepisami Konwencji znoszącej wymóg legalizacji zagranicznych dokumentów urzędowych, sporządzonej w Hadze dnia 5 października 1961 r., która w stosunku do Rzeczypospolitej Polskiej weszła w życie w dniu 14 sierpnia 2005 r. (Dz. U. Nr 112, poz. 938), nie ma konieczności legalizacji </w:t>
      </w:r>
      <w:r w:rsidR="00DB1F82" w:rsidRPr="00DB1F82">
        <w:rPr>
          <w:rFonts w:ascii="Times New Roman" w:eastAsia="Times New Roman" w:hAnsi="Times New Roman" w:cs="Times New Roman"/>
          <w:color w:val="000000"/>
          <w:sz w:val="24"/>
          <w:szCs w:val="24"/>
          <w:lang w:eastAsia="pl-PL"/>
        </w:rPr>
        <w:lastRenderedPageBreak/>
        <w:t>dokumentów wprowadzanych do obrotu prawnego w państw</w:t>
      </w:r>
      <w:r w:rsidR="0005364A">
        <w:rPr>
          <w:rFonts w:ascii="Times New Roman" w:eastAsia="Times New Roman" w:hAnsi="Times New Roman" w:cs="Times New Roman"/>
          <w:color w:val="000000"/>
          <w:sz w:val="24"/>
          <w:szCs w:val="24"/>
          <w:lang w:eastAsia="pl-PL"/>
        </w:rPr>
        <w:t xml:space="preserve">ach będących stronami konwencji </w:t>
      </w:r>
      <w:r w:rsidR="00DB1F82" w:rsidRPr="00DB1F82">
        <w:rPr>
          <w:rFonts w:ascii="Times New Roman" w:eastAsia="Times New Roman" w:hAnsi="Times New Roman" w:cs="Times New Roman"/>
          <w:color w:val="000000"/>
          <w:sz w:val="24"/>
          <w:szCs w:val="24"/>
          <w:lang w:eastAsia="pl-PL"/>
        </w:rPr>
        <w:t xml:space="preserve">poza koniecznością opatrzenia ich </w:t>
      </w:r>
      <w:r w:rsidR="00DB1F82" w:rsidRPr="00DB1F82">
        <w:rPr>
          <w:rFonts w:ascii="Times New Roman" w:eastAsia="Times New Roman" w:hAnsi="Times New Roman" w:cs="Times New Roman"/>
          <w:i/>
          <w:color w:val="000000"/>
          <w:sz w:val="24"/>
          <w:szCs w:val="24"/>
          <w:lang w:eastAsia="pl-PL"/>
        </w:rPr>
        <w:t>apostille</w:t>
      </w:r>
      <w:r w:rsidR="00DB1F82" w:rsidRPr="00DB1F82">
        <w:rPr>
          <w:rFonts w:ascii="Times New Roman" w:eastAsia="Times New Roman" w:hAnsi="Times New Roman" w:cs="Times New Roman"/>
          <w:color w:val="000000"/>
          <w:sz w:val="24"/>
          <w:szCs w:val="24"/>
          <w:lang w:eastAsia="pl-PL"/>
        </w:rPr>
        <w:t>.</w:t>
      </w:r>
    </w:p>
    <w:p w:rsidR="00DB1F82" w:rsidRPr="00DB1F82" w:rsidRDefault="00DB1F82" w:rsidP="00DB1F82">
      <w:pPr>
        <w:spacing w:before="240" w:line="360" w:lineRule="auto"/>
        <w:jc w:val="both"/>
        <w:rPr>
          <w:rFonts w:ascii="Times New Roman" w:eastAsia="Times New Roman" w:hAnsi="Times New Roman" w:cs="Times New Roman"/>
          <w:color w:val="000000"/>
          <w:sz w:val="24"/>
          <w:szCs w:val="24"/>
          <w:lang w:eastAsia="pl-PL"/>
        </w:rPr>
      </w:pPr>
      <w:r w:rsidRPr="00DB1F82">
        <w:rPr>
          <w:rFonts w:ascii="Times New Roman" w:eastAsia="Times New Roman" w:hAnsi="Times New Roman" w:cs="Times New Roman"/>
          <w:color w:val="000000"/>
          <w:sz w:val="24"/>
          <w:szCs w:val="24"/>
          <w:lang w:eastAsia="pl-PL"/>
        </w:rPr>
        <w:t xml:space="preserve"> </w:t>
      </w:r>
    </w:p>
    <w:p w:rsidR="00DE624C" w:rsidRDefault="00DB1F82" w:rsidP="00DB1F82">
      <w:pPr>
        <w:spacing w:before="240" w:line="360" w:lineRule="auto"/>
        <w:jc w:val="both"/>
        <w:rPr>
          <w:rFonts w:ascii="Times New Roman" w:eastAsia="Times New Roman" w:hAnsi="Times New Roman" w:cs="Times New Roman"/>
          <w:color w:val="000000"/>
          <w:sz w:val="24"/>
          <w:szCs w:val="24"/>
          <w:lang w:eastAsia="pl-PL"/>
        </w:rPr>
      </w:pPr>
      <w:r w:rsidRPr="00DB1F82">
        <w:rPr>
          <w:rFonts w:ascii="Times New Roman" w:eastAsia="Times New Roman" w:hAnsi="Times New Roman" w:cs="Times New Roman"/>
          <w:color w:val="000000"/>
          <w:sz w:val="24"/>
          <w:szCs w:val="24"/>
          <w:lang w:eastAsia="pl-PL"/>
        </w:rPr>
        <w:t>Konwencja haska zniosła legalizację dokumentów urzędowych sporządzonych na terytorium jednego z</w:t>
      </w:r>
      <w:r>
        <w:rPr>
          <w:rFonts w:ascii="Times New Roman" w:eastAsia="Times New Roman" w:hAnsi="Times New Roman" w:cs="Times New Roman"/>
          <w:color w:val="000000"/>
          <w:sz w:val="24"/>
          <w:szCs w:val="24"/>
          <w:lang w:eastAsia="pl-PL"/>
        </w:rPr>
        <w:t xml:space="preserve"> państw będących jej stronom</w:t>
      </w:r>
      <w:r w:rsidRPr="00DB1F82">
        <w:rPr>
          <w:rFonts w:ascii="Times New Roman" w:eastAsia="Times New Roman" w:hAnsi="Times New Roman" w:cs="Times New Roman"/>
          <w:color w:val="000000"/>
          <w:sz w:val="24"/>
          <w:szCs w:val="24"/>
          <w:lang w:eastAsia="pl-PL"/>
        </w:rPr>
        <w:t>, a przedkładanych na terytorium innego. Za dokumenty urzędowe uważa się dokumenty sądowe, administracyjne, akty notarialne, oraz zaświadczenia urzędowe umieszczone na dokumentach prywatnych.</w:t>
      </w:r>
      <w:r>
        <w:rPr>
          <w:rFonts w:ascii="Times New Roman" w:eastAsia="Times New Roman" w:hAnsi="Times New Roman" w:cs="Times New Roman"/>
          <w:color w:val="000000"/>
          <w:sz w:val="24"/>
          <w:szCs w:val="24"/>
          <w:lang w:eastAsia="pl-PL"/>
        </w:rPr>
        <w:t xml:space="preserve"> </w:t>
      </w:r>
      <w:r w:rsidRPr="00DB1F82">
        <w:rPr>
          <w:rFonts w:ascii="Times New Roman" w:eastAsia="Times New Roman" w:hAnsi="Times New Roman" w:cs="Times New Roman"/>
          <w:color w:val="000000"/>
          <w:sz w:val="24"/>
          <w:szCs w:val="24"/>
          <w:lang w:eastAsia="pl-PL"/>
        </w:rPr>
        <w:t>Rozporządzenie Parlamentu Europejskiego i Rady nr 2016/1191 z dnia 6 lipca 2016 r. w sprawie promowania s</w:t>
      </w:r>
      <w:r>
        <w:rPr>
          <w:rFonts w:ascii="Times New Roman" w:eastAsia="Times New Roman" w:hAnsi="Times New Roman" w:cs="Times New Roman"/>
          <w:color w:val="000000"/>
          <w:sz w:val="24"/>
          <w:szCs w:val="24"/>
          <w:lang w:eastAsia="pl-PL"/>
        </w:rPr>
        <w:t>wobodnego przepływu obywateli i </w:t>
      </w:r>
      <w:r w:rsidRPr="00DB1F82">
        <w:rPr>
          <w:rFonts w:ascii="Times New Roman" w:eastAsia="Times New Roman" w:hAnsi="Times New Roman" w:cs="Times New Roman"/>
          <w:color w:val="000000"/>
          <w:sz w:val="24"/>
          <w:szCs w:val="24"/>
          <w:lang w:eastAsia="pl-PL"/>
        </w:rPr>
        <w:t>przedsiębiorstw poprzez uproszczenie przyjmowania okre</w:t>
      </w:r>
      <w:r>
        <w:rPr>
          <w:rFonts w:ascii="Times New Roman" w:eastAsia="Times New Roman" w:hAnsi="Times New Roman" w:cs="Times New Roman"/>
          <w:color w:val="000000"/>
          <w:sz w:val="24"/>
          <w:szCs w:val="24"/>
          <w:lang w:eastAsia="pl-PL"/>
        </w:rPr>
        <w:t>ślonych dokumentów urzędowych w </w:t>
      </w:r>
      <w:r w:rsidRPr="00DB1F82">
        <w:rPr>
          <w:rFonts w:ascii="Times New Roman" w:eastAsia="Times New Roman" w:hAnsi="Times New Roman" w:cs="Times New Roman"/>
          <w:color w:val="000000"/>
          <w:sz w:val="24"/>
          <w:szCs w:val="24"/>
          <w:lang w:eastAsia="pl-PL"/>
        </w:rPr>
        <w:t>Unii Europejskiej</w:t>
      </w:r>
      <w:r>
        <w:rPr>
          <w:rFonts w:ascii="Times New Roman" w:eastAsia="Times New Roman" w:hAnsi="Times New Roman" w:cs="Times New Roman"/>
          <w:color w:val="000000"/>
          <w:sz w:val="24"/>
          <w:szCs w:val="24"/>
          <w:lang w:eastAsia="pl-PL"/>
        </w:rPr>
        <w:t xml:space="preserve"> </w:t>
      </w:r>
      <w:r w:rsidRPr="00DB1F82">
        <w:rPr>
          <w:rFonts w:ascii="Times New Roman" w:eastAsia="Times New Roman" w:hAnsi="Times New Roman" w:cs="Times New Roman"/>
          <w:color w:val="000000"/>
          <w:sz w:val="24"/>
          <w:szCs w:val="24"/>
          <w:lang w:eastAsia="pl-PL"/>
        </w:rPr>
        <w:t xml:space="preserve">zmieniające rozporządzenie (UE) nr 1024/2012 przewiduje, że obywatel UE nie będzie musiał w przypadku niektórych dokumentów uzyskiwać </w:t>
      </w:r>
      <w:r w:rsidRPr="00DB1F82">
        <w:rPr>
          <w:rFonts w:ascii="Times New Roman" w:eastAsia="Times New Roman" w:hAnsi="Times New Roman" w:cs="Times New Roman"/>
          <w:i/>
          <w:color w:val="000000"/>
          <w:sz w:val="24"/>
          <w:szCs w:val="24"/>
          <w:lang w:eastAsia="pl-PL"/>
        </w:rPr>
        <w:t xml:space="preserve">apostille </w:t>
      </w:r>
      <w:r>
        <w:rPr>
          <w:rFonts w:ascii="Times New Roman" w:eastAsia="Times New Roman" w:hAnsi="Times New Roman" w:cs="Times New Roman"/>
          <w:color w:val="000000"/>
          <w:sz w:val="24"/>
          <w:szCs w:val="24"/>
          <w:lang w:eastAsia="pl-PL"/>
        </w:rPr>
        <w:t xml:space="preserve">– rozporządzenie to wejdzie w życie 16 lutego 2019 r. </w:t>
      </w:r>
    </w:p>
    <w:p w:rsidR="00DB1F82" w:rsidRDefault="00DB1F82" w:rsidP="00DB1F82">
      <w:pPr>
        <w:spacing w:before="240" w:line="36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pl-PL"/>
        </w:rPr>
        <w:t xml:space="preserve">Wobec przedstawionych wyżej okoliczności, w ocenie projektodawców, możliwe jest nabycie nieruchomości rolnych położonych na terytorium Rzeczypospolitej Polskiej przez cudzoziemców, co zaprzecza celowi, jaki przyświecał ustawie </w:t>
      </w:r>
      <w:r>
        <w:rPr>
          <w:rFonts w:ascii="Times New Roman" w:hAnsi="Times New Roman" w:cs="Times New Roman"/>
          <w:sz w:val="24"/>
          <w:szCs w:val="24"/>
        </w:rPr>
        <w:t xml:space="preserve">z dnia 14 kwietnia 2016 r. o wstrzymaniu sprzedaży nieruchomości </w:t>
      </w:r>
      <w:r w:rsidRPr="00B90598">
        <w:rPr>
          <w:rFonts w:ascii="Times New Roman" w:hAnsi="Times New Roman" w:cs="Times New Roman"/>
          <w:sz w:val="24"/>
          <w:szCs w:val="24"/>
        </w:rPr>
        <w:t>Zasobu Własności Rolnej Skarbu Państwa oraz o zmianie niektórych ustaw</w:t>
      </w:r>
      <w:r>
        <w:rPr>
          <w:rFonts w:ascii="Times New Roman" w:hAnsi="Times New Roman" w:cs="Times New Roman"/>
          <w:sz w:val="24"/>
          <w:szCs w:val="24"/>
        </w:rPr>
        <w:t>. Dlatego też projektodawcy proponują zmianę definicji legalnej rolnika indywidualnego poprzez dodanie doń przesłanki zamieszkiwania na terytorium Rzeczypospolitej Polskiej przez co najmniej pięć lat.</w:t>
      </w:r>
    </w:p>
    <w:p w:rsidR="00DB1F82" w:rsidRDefault="00DB1F82" w:rsidP="00DB1F82">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Jednocześnie projektodawcy proponują zlikwidowanie</w:t>
      </w:r>
      <w:r w:rsidR="00775BAE">
        <w:rPr>
          <w:rFonts w:ascii="Times New Roman" w:hAnsi="Times New Roman" w:cs="Times New Roman"/>
          <w:sz w:val="24"/>
          <w:szCs w:val="24"/>
        </w:rPr>
        <w:t xml:space="preserve"> obowiązującej </w:t>
      </w:r>
      <w:r w:rsidR="00775BAE">
        <w:rPr>
          <w:rFonts w:ascii="Times New Roman" w:hAnsi="Times New Roman" w:cs="Times New Roman"/>
          <w:i/>
          <w:sz w:val="24"/>
          <w:szCs w:val="24"/>
        </w:rPr>
        <w:t>de lege lata</w:t>
      </w:r>
      <w:r w:rsidR="00775BAE">
        <w:rPr>
          <w:rFonts w:ascii="Times New Roman" w:hAnsi="Times New Roman" w:cs="Times New Roman"/>
          <w:sz w:val="24"/>
          <w:szCs w:val="24"/>
        </w:rPr>
        <w:t xml:space="preserve"> konieczności zamieszkiwania </w:t>
      </w:r>
      <w:r w:rsidR="00775BAE" w:rsidRPr="00775BAE">
        <w:rPr>
          <w:rFonts w:ascii="Times New Roman" w:hAnsi="Times New Roman" w:cs="Times New Roman"/>
          <w:sz w:val="24"/>
          <w:szCs w:val="24"/>
        </w:rPr>
        <w:t>w gminie, na obszar</w:t>
      </w:r>
      <w:r w:rsidR="00775BAE">
        <w:rPr>
          <w:rFonts w:ascii="Times New Roman" w:hAnsi="Times New Roman" w:cs="Times New Roman"/>
          <w:sz w:val="24"/>
          <w:szCs w:val="24"/>
        </w:rPr>
        <w:t>ze której jest położona jedna z </w:t>
      </w:r>
      <w:r w:rsidR="00775BAE" w:rsidRPr="00775BAE">
        <w:rPr>
          <w:rFonts w:ascii="Times New Roman" w:hAnsi="Times New Roman" w:cs="Times New Roman"/>
          <w:sz w:val="24"/>
          <w:szCs w:val="24"/>
        </w:rPr>
        <w:t>nieruchomości rolnych wchodzących w skład gospodarstwa rolneg</w:t>
      </w:r>
      <w:r w:rsidR="00775BAE">
        <w:rPr>
          <w:rFonts w:ascii="Times New Roman" w:hAnsi="Times New Roman" w:cs="Times New Roman"/>
          <w:sz w:val="24"/>
          <w:szCs w:val="24"/>
        </w:rPr>
        <w:t>o. Taka regulacja zbyt dalece ogranicza prawo obywateli Rzeczypospolitej Polskiej do nabywania nieruchomości rolnych bowiem, z uwagi na niewielką średnią powierzchnię gmin w Polsce (około 126 km</w:t>
      </w:r>
      <w:r w:rsidR="00775BAE">
        <w:rPr>
          <w:rFonts w:ascii="Times New Roman" w:hAnsi="Times New Roman" w:cs="Times New Roman"/>
          <w:sz w:val="24"/>
          <w:szCs w:val="24"/>
          <w:vertAlign w:val="superscript"/>
        </w:rPr>
        <w:t>2</w:t>
      </w:r>
      <w:r w:rsidR="00775BAE">
        <w:rPr>
          <w:rFonts w:ascii="Times New Roman" w:hAnsi="Times New Roman" w:cs="Times New Roman"/>
          <w:sz w:val="24"/>
          <w:szCs w:val="24"/>
        </w:rPr>
        <w:t>) koniecznym jest dopuszczenie możliwości zamieszkiwania przez rolnika indywidualnego na terytorium jednej gminy, a posiadania i prowadzenia gospodarstwa rolnego, w którego skład wchodzi nieruchomość rolna, na terytorium</w:t>
      </w:r>
      <w:r w:rsidR="0005364A">
        <w:rPr>
          <w:rFonts w:ascii="Times New Roman" w:hAnsi="Times New Roman" w:cs="Times New Roman"/>
          <w:sz w:val="24"/>
          <w:szCs w:val="24"/>
        </w:rPr>
        <w:t xml:space="preserve"> innej</w:t>
      </w:r>
      <w:r w:rsidR="00775BAE">
        <w:rPr>
          <w:rFonts w:ascii="Times New Roman" w:hAnsi="Times New Roman" w:cs="Times New Roman"/>
          <w:sz w:val="24"/>
          <w:szCs w:val="24"/>
        </w:rPr>
        <w:t xml:space="preserve"> gminy. </w:t>
      </w:r>
      <w:r w:rsidR="00775BAE">
        <w:rPr>
          <w:rFonts w:ascii="Times New Roman" w:hAnsi="Times New Roman" w:cs="Times New Roman"/>
          <w:i/>
          <w:sz w:val="24"/>
          <w:szCs w:val="24"/>
        </w:rPr>
        <w:t xml:space="preserve">De lege lata </w:t>
      </w:r>
      <w:r w:rsidR="00775BAE">
        <w:rPr>
          <w:rFonts w:ascii="Times New Roman" w:hAnsi="Times New Roman" w:cs="Times New Roman"/>
          <w:sz w:val="24"/>
          <w:szCs w:val="24"/>
        </w:rPr>
        <w:t>przepisy te ograniczają konstytucyjne prawo każdego obywatela do wolności</w:t>
      </w:r>
      <w:r w:rsidR="00775BAE" w:rsidRPr="00775BAE">
        <w:rPr>
          <w:rFonts w:ascii="Times New Roman" w:hAnsi="Times New Roman" w:cs="Times New Roman"/>
          <w:sz w:val="24"/>
          <w:szCs w:val="24"/>
        </w:rPr>
        <w:t xml:space="preserve"> wyboru miejsca pobytu i zamieszkania</w:t>
      </w:r>
      <w:r w:rsidR="00775BAE">
        <w:rPr>
          <w:rFonts w:ascii="Times New Roman" w:hAnsi="Times New Roman" w:cs="Times New Roman"/>
          <w:sz w:val="24"/>
          <w:szCs w:val="24"/>
        </w:rPr>
        <w:t xml:space="preserve">. </w:t>
      </w:r>
    </w:p>
    <w:p w:rsidR="00775BAE" w:rsidRDefault="00775BAE" w:rsidP="00DB1F82">
      <w:pPr>
        <w:spacing w:before="240" w:line="36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Niniejszy projekt ustawy przysienie pozytywne skutki społeczne, gospodarcze</w:t>
      </w:r>
      <w:r w:rsidR="006D3547">
        <w:rPr>
          <w:rFonts w:ascii="Times New Roman" w:eastAsia="Times New Roman" w:hAnsi="Times New Roman" w:cs="Times New Roman"/>
          <w:color w:val="000000"/>
          <w:sz w:val="24"/>
          <w:szCs w:val="24"/>
          <w:lang w:eastAsia="pl-PL"/>
        </w:rPr>
        <w:t>, finansowe i </w:t>
      </w:r>
      <w:r>
        <w:rPr>
          <w:rFonts w:ascii="Times New Roman" w:eastAsia="Times New Roman" w:hAnsi="Times New Roman" w:cs="Times New Roman"/>
          <w:color w:val="000000"/>
          <w:sz w:val="24"/>
          <w:szCs w:val="24"/>
          <w:lang w:eastAsia="pl-PL"/>
        </w:rPr>
        <w:t>prawne w szczególności poprzez rozszerzenie prawa obywateli RP do nabywania nieruchomości rolnych nie uzależniając tego od miejsca ich zamieszkania</w:t>
      </w:r>
      <w:r w:rsidR="006D3547">
        <w:rPr>
          <w:rFonts w:ascii="Times New Roman" w:eastAsia="Times New Roman" w:hAnsi="Times New Roman" w:cs="Times New Roman"/>
          <w:color w:val="000000"/>
          <w:sz w:val="24"/>
          <w:szCs w:val="24"/>
          <w:lang w:eastAsia="pl-PL"/>
        </w:rPr>
        <w:t xml:space="preserve">, a także poprzez </w:t>
      </w:r>
      <w:r w:rsidR="006D3547">
        <w:rPr>
          <w:rFonts w:ascii="Times New Roman" w:eastAsia="Times New Roman" w:hAnsi="Times New Roman" w:cs="Times New Roman"/>
          <w:color w:val="000000"/>
          <w:sz w:val="24"/>
          <w:szCs w:val="24"/>
          <w:lang w:eastAsia="pl-PL"/>
        </w:rPr>
        <w:lastRenderedPageBreak/>
        <w:t>wyeliminowanie niejasności dotyczących możliwości nabywania nieruchomości rolnych przez cudzoziemców.</w:t>
      </w:r>
    </w:p>
    <w:p w:rsidR="006D3547" w:rsidRDefault="006D3547" w:rsidP="00DB1F82">
      <w:pPr>
        <w:spacing w:before="240" w:line="36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Projekt tego nie pociąga za sobą obciążenia budżetu państwa i budżetów jednostek samorządu terytorialnego, a także nie zakłada wykonania aktów wykonawczych wobec czego nie istnieje konieczność przedstawiania ich założeń. Projekt ten jest efektem konsultacji społecznych przeprowadzonych wśród środowisk rolniczych. </w:t>
      </w:r>
    </w:p>
    <w:p w:rsidR="006D3547" w:rsidRPr="00775BAE" w:rsidRDefault="006D3547" w:rsidP="00DB1F82">
      <w:pPr>
        <w:spacing w:before="240" w:line="36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Niniejszy projekt jest zgody z prawem Unii Europejskiej. </w:t>
      </w:r>
    </w:p>
    <w:p w:rsidR="00290A41" w:rsidRPr="00DE624C" w:rsidRDefault="00290A41" w:rsidP="00DE624C">
      <w:pPr>
        <w:spacing w:before="240" w:line="360" w:lineRule="auto"/>
        <w:jc w:val="both"/>
        <w:rPr>
          <w:rFonts w:ascii="Times New Roman" w:eastAsia="Times New Roman" w:hAnsi="Times New Roman" w:cs="Times New Roman"/>
          <w:color w:val="000000"/>
          <w:sz w:val="24"/>
          <w:szCs w:val="24"/>
          <w:lang w:eastAsia="pl-PL"/>
        </w:rPr>
      </w:pPr>
    </w:p>
    <w:p w:rsidR="00883220" w:rsidRPr="003C274B" w:rsidRDefault="00883220" w:rsidP="003C274B">
      <w:pPr>
        <w:spacing w:before="240" w:line="360" w:lineRule="auto"/>
        <w:jc w:val="both"/>
        <w:rPr>
          <w:rFonts w:ascii="Verdana" w:hAnsi="Verdana"/>
          <w:color w:val="000000"/>
          <w:sz w:val="20"/>
          <w:szCs w:val="20"/>
        </w:rPr>
      </w:pPr>
    </w:p>
    <w:p w:rsidR="00836C64" w:rsidRPr="00836C64" w:rsidRDefault="00836C64" w:rsidP="00F20520">
      <w:pPr>
        <w:spacing w:before="240" w:line="360" w:lineRule="auto"/>
        <w:jc w:val="both"/>
        <w:rPr>
          <w:rFonts w:ascii="Times New Roman" w:hAnsi="Times New Roman" w:cs="Times New Roman"/>
          <w:sz w:val="36"/>
          <w:szCs w:val="24"/>
        </w:rPr>
      </w:pPr>
    </w:p>
    <w:p w:rsidR="00B90598" w:rsidRDefault="00B90598" w:rsidP="00B90598">
      <w:pPr>
        <w:spacing w:before="240" w:line="360" w:lineRule="auto"/>
        <w:jc w:val="both"/>
        <w:rPr>
          <w:rFonts w:ascii="Times New Roman" w:hAnsi="Times New Roman" w:cs="Times New Roman"/>
          <w:sz w:val="24"/>
          <w:szCs w:val="24"/>
        </w:rPr>
      </w:pPr>
    </w:p>
    <w:p w:rsidR="00B90598" w:rsidRPr="003C274B" w:rsidRDefault="00B90598" w:rsidP="00A408FC">
      <w:pPr>
        <w:spacing w:before="240" w:line="360" w:lineRule="auto"/>
        <w:rPr>
          <w:rFonts w:ascii="Times New Roman" w:hAnsi="Times New Roman" w:cs="Times New Roman"/>
          <w:sz w:val="36"/>
          <w:szCs w:val="24"/>
        </w:rPr>
      </w:pPr>
    </w:p>
    <w:p w:rsidR="00B90598" w:rsidRPr="003C274B" w:rsidRDefault="00B90598" w:rsidP="00A408FC">
      <w:pPr>
        <w:spacing w:before="240" w:line="360" w:lineRule="auto"/>
        <w:rPr>
          <w:rFonts w:ascii="Times New Roman" w:hAnsi="Times New Roman" w:cs="Times New Roman"/>
          <w:sz w:val="36"/>
          <w:szCs w:val="24"/>
        </w:rPr>
      </w:pPr>
    </w:p>
    <w:p w:rsidR="00A408FC" w:rsidRPr="003C274B" w:rsidRDefault="00A408FC" w:rsidP="001F5136">
      <w:pPr>
        <w:spacing w:before="240" w:line="360" w:lineRule="auto"/>
        <w:jc w:val="both"/>
        <w:rPr>
          <w:rFonts w:ascii="Times New Roman" w:hAnsi="Times New Roman" w:cs="Times New Roman"/>
          <w:sz w:val="36"/>
          <w:szCs w:val="24"/>
        </w:rPr>
      </w:pPr>
    </w:p>
    <w:sectPr w:rsidR="00A408FC" w:rsidRPr="003C274B" w:rsidSect="00FA4716">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5C8" w:rsidRDefault="004D65C8" w:rsidP="00A408FC">
      <w:pPr>
        <w:spacing w:after="0" w:line="240" w:lineRule="auto"/>
      </w:pPr>
      <w:r>
        <w:separator/>
      </w:r>
    </w:p>
  </w:endnote>
  <w:endnote w:type="continuationSeparator" w:id="0">
    <w:p w:rsidR="004D65C8" w:rsidRDefault="004D65C8" w:rsidP="00A40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5C8" w:rsidRDefault="004D65C8" w:rsidP="00A408FC">
      <w:pPr>
        <w:spacing w:after="0" w:line="240" w:lineRule="auto"/>
      </w:pPr>
      <w:r>
        <w:separator/>
      </w:r>
    </w:p>
  </w:footnote>
  <w:footnote w:type="continuationSeparator" w:id="0">
    <w:p w:rsidR="004D65C8" w:rsidRDefault="004D65C8" w:rsidP="00A408FC">
      <w:pPr>
        <w:spacing w:after="0" w:line="240" w:lineRule="auto"/>
      </w:pPr>
      <w:r>
        <w:continuationSeparator/>
      </w:r>
    </w:p>
  </w:footnote>
  <w:footnote w:id="1">
    <w:p w:rsidR="00A408FC" w:rsidRPr="00883220" w:rsidRDefault="00A408FC">
      <w:pPr>
        <w:pStyle w:val="Tekstprzypisudolnego"/>
        <w:rPr>
          <w:rFonts w:ascii="Times New Roman" w:hAnsi="Times New Roman" w:cs="Times New Roman"/>
          <w:sz w:val="18"/>
        </w:rPr>
      </w:pPr>
      <w:r w:rsidRPr="00883220">
        <w:rPr>
          <w:rStyle w:val="Odwoanieprzypisudolnego"/>
          <w:rFonts w:ascii="Times New Roman" w:hAnsi="Times New Roman" w:cs="Times New Roman"/>
          <w:sz w:val="18"/>
        </w:rPr>
        <w:footnoteRef/>
      </w:r>
      <w:r w:rsidRPr="00883220">
        <w:rPr>
          <w:rFonts w:ascii="Times New Roman" w:hAnsi="Times New Roman" w:cs="Times New Roman"/>
          <w:sz w:val="18"/>
        </w:rPr>
        <w:t xml:space="preserve"> Dz. U. z 2003 r., Nr 64, poz. 592 z późn. zm.</w:t>
      </w:r>
    </w:p>
  </w:footnote>
  <w:footnote w:id="2">
    <w:p w:rsidR="00B90598" w:rsidRPr="00883220" w:rsidRDefault="00B90598">
      <w:pPr>
        <w:pStyle w:val="Tekstprzypisudolnego"/>
        <w:rPr>
          <w:rFonts w:ascii="Times New Roman" w:hAnsi="Times New Roman" w:cs="Times New Roman"/>
          <w:sz w:val="18"/>
        </w:rPr>
      </w:pPr>
      <w:r w:rsidRPr="00883220">
        <w:rPr>
          <w:rStyle w:val="Odwoanieprzypisudolnego"/>
          <w:rFonts w:ascii="Times New Roman" w:hAnsi="Times New Roman" w:cs="Times New Roman"/>
          <w:sz w:val="18"/>
        </w:rPr>
        <w:footnoteRef/>
      </w:r>
      <w:r w:rsidRPr="00883220">
        <w:rPr>
          <w:rFonts w:ascii="Times New Roman" w:hAnsi="Times New Roman" w:cs="Times New Roman"/>
          <w:sz w:val="18"/>
        </w:rPr>
        <w:t xml:space="preserve"> Dz. U. z 2016 r., poz. 585</w:t>
      </w:r>
    </w:p>
  </w:footnote>
  <w:footnote w:id="3">
    <w:p w:rsidR="00F20520" w:rsidRDefault="00F20520">
      <w:pPr>
        <w:pStyle w:val="Tekstprzypisudolnego"/>
      </w:pPr>
      <w:r w:rsidRPr="00883220">
        <w:rPr>
          <w:rStyle w:val="Odwoanieprzypisudolnego"/>
          <w:rFonts w:ascii="Times New Roman" w:hAnsi="Times New Roman" w:cs="Times New Roman"/>
          <w:sz w:val="18"/>
        </w:rPr>
        <w:footnoteRef/>
      </w:r>
      <w:r w:rsidRPr="00883220">
        <w:rPr>
          <w:rFonts w:ascii="Times New Roman" w:hAnsi="Times New Roman" w:cs="Times New Roman"/>
          <w:sz w:val="18"/>
        </w:rPr>
        <w:t xml:space="preserve"> Dz. U. z 1920 r., Nr 31, poz. 178 z późn. zm.</w:t>
      </w:r>
      <w:r w:rsidRPr="00883220">
        <w:rPr>
          <w:sz w:val="18"/>
        </w:rPr>
        <w:t xml:space="preserve"> </w:t>
      </w:r>
    </w:p>
  </w:footnote>
  <w:footnote w:id="4">
    <w:p w:rsidR="009174DF" w:rsidRPr="00955C8E" w:rsidRDefault="009174DF" w:rsidP="00955C8E">
      <w:pPr>
        <w:pStyle w:val="Tekstprzypisudolnego"/>
        <w:jc w:val="both"/>
        <w:rPr>
          <w:rFonts w:ascii="Times New Roman" w:hAnsi="Times New Roman" w:cs="Times New Roman"/>
          <w:sz w:val="18"/>
          <w:szCs w:val="18"/>
        </w:rPr>
      </w:pPr>
      <w:r w:rsidRPr="009174DF">
        <w:rPr>
          <w:rStyle w:val="Odwoanieprzypisudolnego"/>
          <w:rFonts w:ascii="Times New Roman" w:hAnsi="Times New Roman" w:cs="Times New Roman"/>
        </w:rPr>
        <w:footnoteRef/>
      </w:r>
      <w:r w:rsidR="00955C8E">
        <w:rPr>
          <w:rFonts w:ascii="Times New Roman" w:hAnsi="Times New Roman" w:cs="Times New Roman"/>
        </w:rPr>
        <w:t xml:space="preserve"> </w:t>
      </w:r>
      <w:r w:rsidRPr="00955C8E">
        <w:rPr>
          <w:rFonts w:ascii="Times New Roman" w:hAnsi="Times New Roman" w:cs="Times New Roman"/>
          <w:sz w:val="18"/>
          <w:szCs w:val="18"/>
        </w:rPr>
        <w:t xml:space="preserve">H. Izdebski, M. Kulesza, </w:t>
      </w:r>
      <w:r w:rsidRPr="00955C8E">
        <w:rPr>
          <w:rFonts w:ascii="Times New Roman" w:hAnsi="Times New Roman" w:cs="Times New Roman"/>
          <w:i/>
          <w:sz w:val="18"/>
          <w:szCs w:val="18"/>
        </w:rPr>
        <w:t>Administracja publiczna. Zagadnienia ogólne</w:t>
      </w:r>
      <w:r w:rsidRPr="00955C8E">
        <w:rPr>
          <w:rFonts w:ascii="Times New Roman" w:hAnsi="Times New Roman" w:cs="Times New Roman"/>
          <w:sz w:val="18"/>
          <w:szCs w:val="18"/>
        </w:rPr>
        <w:t>, Warszawa 2004.</w:t>
      </w:r>
    </w:p>
  </w:footnote>
  <w:footnote w:id="5">
    <w:p w:rsidR="009174DF" w:rsidRPr="00955C8E" w:rsidRDefault="009174DF" w:rsidP="00955C8E">
      <w:pPr>
        <w:pStyle w:val="Tekstprzypisudolnego"/>
        <w:jc w:val="both"/>
        <w:rPr>
          <w:rFonts w:ascii="Times New Roman" w:hAnsi="Times New Roman" w:cs="Times New Roman"/>
          <w:i/>
          <w:sz w:val="18"/>
          <w:szCs w:val="18"/>
        </w:rPr>
      </w:pPr>
      <w:r w:rsidRPr="00955C8E">
        <w:rPr>
          <w:rStyle w:val="Odwoanieprzypisudolnego"/>
          <w:rFonts w:ascii="Times New Roman" w:hAnsi="Times New Roman" w:cs="Times New Roman"/>
          <w:sz w:val="18"/>
          <w:szCs w:val="18"/>
        </w:rPr>
        <w:footnoteRef/>
      </w:r>
      <w:r w:rsidR="00955C8E" w:rsidRPr="00955C8E">
        <w:rPr>
          <w:rFonts w:ascii="Times New Roman" w:hAnsi="Times New Roman" w:cs="Times New Roman"/>
          <w:sz w:val="18"/>
          <w:szCs w:val="18"/>
        </w:rPr>
        <w:t xml:space="preserve"> S. </w:t>
      </w:r>
      <w:r w:rsidRPr="00955C8E">
        <w:rPr>
          <w:rFonts w:ascii="Times New Roman" w:hAnsi="Times New Roman" w:cs="Times New Roman"/>
          <w:sz w:val="18"/>
          <w:szCs w:val="18"/>
        </w:rPr>
        <w:t xml:space="preserve">Faliński, </w:t>
      </w:r>
      <w:r w:rsidRPr="00955C8E">
        <w:rPr>
          <w:rFonts w:ascii="Times New Roman" w:hAnsi="Times New Roman" w:cs="Times New Roman"/>
          <w:i/>
          <w:sz w:val="18"/>
          <w:szCs w:val="18"/>
        </w:rPr>
        <w:t xml:space="preserve">Zróżnicowanie jednostek samorządu terytorialnego w państwach Unii Europejskiej, </w:t>
      </w:r>
      <w:r w:rsidR="00883220">
        <w:rPr>
          <w:rFonts w:ascii="Times New Roman" w:hAnsi="Times New Roman" w:cs="Times New Roman"/>
          <w:sz w:val="18"/>
          <w:szCs w:val="18"/>
        </w:rPr>
        <w:t>The Central European Journal of </w:t>
      </w:r>
      <w:r w:rsidRPr="00955C8E">
        <w:rPr>
          <w:rFonts w:ascii="Times New Roman" w:hAnsi="Times New Roman" w:cs="Times New Roman"/>
          <w:sz w:val="18"/>
          <w:szCs w:val="18"/>
        </w:rPr>
        <w:t>Social Sciences and Humanities 3/2014.</w:t>
      </w:r>
    </w:p>
  </w:footnote>
  <w:footnote w:id="6">
    <w:p w:rsidR="00955C8E" w:rsidRDefault="00955C8E">
      <w:pPr>
        <w:pStyle w:val="Tekstprzypisudolnego"/>
      </w:pPr>
      <w:r w:rsidRPr="00955C8E">
        <w:rPr>
          <w:rStyle w:val="Odwoanieprzypisudolnego"/>
          <w:rFonts w:ascii="Times New Roman" w:hAnsi="Times New Roman" w:cs="Times New Roman"/>
          <w:sz w:val="18"/>
          <w:szCs w:val="18"/>
        </w:rPr>
        <w:footnoteRef/>
      </w:r>
      <w:r w:rsidRPr="00955C8E">
        <w:rPr>
          <w:rFonts w:ascii="Times New Roman" w:hAnsi="Times New Roman" w:cs="Times New Roman"/>
          <w:sz w:val="18"/>
          <w:szCs w:val="18"/>
        </w:rPr>
        <w:t xml:space="preserve">  Europejska Karta Samorządu Terytorialnego, sporządzona w Strasburgu dnia 15 października 1985 r. (Dz. U. z 1994 r. Nr 124, poz. 607)</w:t>
      </w:r>
      <w:r w:rsidR="00883220">
        <w:rPr>
          <w:rFonts w:ascii="Times New Roman" w:hAnsi="Times New Roman" w:cs="Times New Roman"/>
          <w:sz w:val="18"/>
          <w:szCs w:val="18"/>
        </w:rPr>
        <w:t>.</w:t>
      </w:r>
    </w:p>
  </w:footnote>
  <w:footnote w:id="7">
    <w:p w:rsidR="00883220" w:rsidRDefault="00883220">
      <w:pPr>
        <w:pStyle w:val="Tekstprzypisudolnego"/>
      </w:pPr>
      <w:r>
        <w:rPr>
          <w:rStyle w:val="Odwoanieprzypisudolnego"/>
        </w:rPr>
        <w:footnoteRef/>
      </w:r>
      <w:r>
        <w:t xml:space="preserve"> </w:t>
      </w:r>
      <w:r w:rsidRPr="00955C8E">
        <w:rPr>
          <w:rStyle w:val="Odwoanieprzypisudolnego"/>
          <w:rFonts w:ascii="Times New Roman" w:hAnsi="Times New Roman" w:cs="Times New Roman"/>
          <w:sz w:val="18"/>
          <w:szCs w:val="18"/>
        </w:rPr>
        <w:footnoteRef/>
      </w:r>
      <w:r w:rsidRPr="00955C8E">
        <w:rPr>
          <w:rFonts w:ascii="Times New Roman" w:hAnsi="Times New Roman" w:cs="Times New Roman"/>
          <w:sz w:val="18"/>
          <w:szCs w:val="18"/>
        </w:rPr>
        <w:t xml:space="preserve"> S. Faliński, </w:t>
      </w:r>
      <w:r w:rsidRPr="00955C8E">
        <w:rPr>
          <w:rFonts w:ascii="Times New Roman" w:hAnsi="Times New Roman" w:cs="Times New Roman"/>
          <w:i/>
          <w:sz w:val="18"/>
          <w:szCs w:val="18"/>
        </w:rPr>
        <w:t xml:space="preserve">Zróżnicowanie jednostek samorządu terytorialnego w państwach Unii Europejskiej, </w:t>
      </w:r>
      <w:r>
        <w:rPr>
          <w:rFonts w:ascii="Times New Roman" w:hAnsi="Times New Roman" w:cs="Times New Roman"/>
          <w:sz w:val="18"/>
          <w:szCs w:val="18"/>
        </w:rPr>
        <w:t>The Central European Journal of </w:t>
      </w:r>
      <w:r w:rsidRPr="00955C8E">
        <w:rPr>
          <w:rFonts w:ascii="Times New Roman" w:hAnsi="Times New Roman" w:cs="Times New Roman"/>
          <w:sz w:val="18"/>
          <w:szCs w:val="18"/>
        </w:rPr>
        <w:t>Social Sciences and Humanities 3/2014.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50CA"/>
    <w:multiLevelType w:val="multilevel"/>
    <w:tmpl w:val="41D4B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DE77C6"/>
    <w:multiLevelType w:val="hybridMultilevel"/>
    <w:tmpl w:val="0E02A7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63F408F"/>
    <w:multiLevelType w:val="hybridMultilevel"/>
    <w:tmpl w:val="EEEEE7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5AA53A05"/>
    <w:multiLevelType w:val="hybridMultilevel"/>
    <w:tmpl w:val="E2C42C32"/>
    <w:lvl w:ilvl="0" w:tplc="0C266568">
      <w:start w:val="1"/>
      <w:numFmt w:val="decimal"/>
      <w:lvlText w:val="%1."/>
      <w:lvlJc w:val="left"/>
      <w:pPr>
        <w:ind w:left="720" w:hanging="360"/>
      </w:pPr>
      <w:rPr>
        <w:rFonts w:asciiTheme="minorHAnsi" w:hAnsiTheme="minorHAnsi"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70C05090"/>
    <w:multiLevelType w:val="multilevel"/>
    <w:tmpl w:val="C2C4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393"/>
    <w:rsid w:val="0005364A"/>
    <w:rsid w:val="001060F6"/>
    <w:rsid w:val="0014792E"/>
    <w:rsid w:val="001F3CE5"/>
    <w:rsid w:val="001F5136"/>
    <w:rsid w:val="002678CF"/>
    <w:rsid w:val="00290A41"/>
    <w:rsid w:val="00376EDB"/>
    <w:rsid w:val="003C274B"/>
    <w:rsid w:val="0043325F"/>
    <w:rsid w:val="004D65C8"/>
    <w:rsid w:val="004E5393"/>
    <w:rsid w:val="00620E9D"/>
    <w:rsid w:val="00643814"/>
    <w:rsid w:val="006D3547"/>
    <w:rsid w:val="00713248"/>
    <w:rsid w:val="00775BAE"/>
    <w:rsid w:val="00836C64"/>
    <w:rsid w:val="00883220"/>
    <w:rsid w:val="009174DF"/>
    <w:rsid w:val="00927157"/>
    <w:rsid w:val="00955C8E"/>
    <w:rsid w:val="00A408FC"/>
    <w:rsid w:val="00AE121F"/>
    <w:rsid w:val="00B90598"/>
    <w:rsid w:val="00C013A7"/>
    <w:rsid w:val="00C81684"/>
    <w:rsid w:val="00DB1F82"/>
    <w:rsid w:val="00DE624C"/>
    <w:rsid w:val="00E73A16"/>
    <w:rsid w:val="00F20520"/>
    <w:rsid w:val="00F4117E"/>
    <w:rsid w:val="00FA47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73A16"/>
    <w:pPr>
      <w:ind w:left="720"/>
      <w:contextualSpacing/>
    </w:pPr>
  </w:style>
  <w:style w:type="paragraph" w:styleId="Tekstprzypisudolnego">
    <w:name w:val="footnote text"/>
    <w:basedOn w:val="Normalny"/>
    <w:link w:val="TekstprzypisudolnegoZnak"/>
    <w:uiPriority w:val="99"/>
    <w:semiHidden/>
    <w:unhideWhenUsed/>
    <w:rsid w:val="00A408F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408FC"/>
    <w:rPr>
      <w:sz w:val="20"/>
      <w:szCs w:val="20"/>
    </w:rPr>
  </w:style>
  <w:style w:type="character" w:styleId="Odwoanieprzypisudolnego">
    <w:name w:val="footnote reference"/>
    <w:basedOn w:val="Domylnaczcionkaakapitu"/>
    <w:uiPriority w:val="99"/>
    <w:semiHidden/>
    <w:unhideWhenUsed/>
    <w:rsid w:val="00A408FC"/>
    <w:rPr>
      <w:vertAlign w:val="superscript"/>
    </w:rPr>
  </w:style>
  <w:style w:type="paragraph" w:styleId="NormalnyWeb">
    <w:name w:val="Normal (Web)"/>
    <w:basedOn w:val="Normalny"/>
    <w:uiPriority w:val="99"/>
    <w:semiHidden/>
    <w:unhideWhenUsed/>
    <w:rsid w:val="00B9059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B90598"/>
    <w:rPr>
      <w:color w:val="0000FF"/>
      <w:u w:val="single"/>
    </w:rPr>
  </w:style>
  <w:style w:type="character" w:customStyle="1" w:styleId="apple-converted-space">
    <w:name w:val="apple-converted-space"/>
    <w:basedOn w:val="Domylnaczcionkaakapitu"/>
    <w:rsid w:val="00F20520"/>
  </w:style>
  <w:style w:type="character" w:customStyle="1" w:styleId="luchili">
    <w:name w:val="luc_hili"/>
    <w:basedOn w:val="Domylnaczcionkaakapitu"/>
    <w:rsid w:val="00836C64"/>
  </w:style>
  <w:style w:type="paragraph" w:styleId="Tekstprzypisukocowego">
    <w:name w:val="endnote text"/>
    <w:basedOn w:val="Normalny"/>
    <w:link w:val="TekstprzypisukocowegoZnak"/>
    <w:uiPriority w:val="99"/>
    <w:semiHidden/>
    <w:unhideWhenUsed/>
    <w:rsid w:val="003C27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C274B"/>
    <w:rPr>
      <w:sz w:val="20"/>
      <w:szCs w:val="20"/>
    </w:rPr>
  </w:style>
  <w:style w:type="character" w:styleId="Odwoanieprzypisukocowego">
    <w:name w:val="endnote reference"/>
    <w:basedOn w:val="Domylnaczcionkaakapitu"/>
    <w:uiPriority w:val="99"/>
    <w:semiHidden/>
    <w:unhideWhenUsed/>
    <w:rsid w:val="003C274B"/>
    <w:rPr>
      <w:vertAlign w:val="superscript"/>
    </w:rPr>
  </w:style>
  <w:style w:type="paragraph" w:styleId="Nagwek">
    <w:name w:val="header"/>
    <w:basedOn w:val="Normalny"/>
    <w:link w:val="NagwekZnak"/>
    <w:uiPriority w:val="99"/>
    <w:unhideWhenUsed/>
    <w:rsid w:val="008832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83220"/>
  </w:style>
  <w:style w:type="paragraph" w:styleId="Stopka">
    <w:name w:val="footer"/>
    <w:basedOn w:val="Normalny"/>
    <w:link w:val="StopkaZnak"/>
    <w:uiPriority w:val="99"/>
    <w:unhideWhenUsed/>
    <w:rsid w:val="008832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83220"/>
  </w:style>
  <w:style w:type="paragraph" w:styleId="Tekstdymka">
    <w:name w:val="Balloon Text"/>
    <w:basedOn w:val="Normalny"/>
    <w:link w:val="TekstdymkaZnak"/>
    <w:uiPriority w:val="99"/>
    <w:semiHidden/>
    <w:unhideWhenUsed/>
    <w:rsid w:val="006D354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D354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73A16"/>
    <w:pPr>
      <w:ind w:left="720"/>
      <w:contextualSpacing/>
    </w:pPr>
  </w:style>
  <w:style w:type="paragraph" w:styleId="Tekstprzypisudolnego">
    <w:name w:val="footnote text"/>
    <w:basedOn w:val="Normalny"/>
    <w:link w:val="TekstprzypisudolnegoZnak"/>
    <w:uiPriority w:val="99"/>
    <w:semiHidden/>
    <w:unhideWhenUsed/>
    <w:rsid w:val="00A408F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408FC"/>
    <w:rPr>
      <w:sz w:val="20"/>
      <w:szCs w:val="20"/>
    </w:rPr>
  </w:style>
  <w:style w:type="character" w:styleId="Odwoanieprzypisudolnego">
    <w:name w:val="footnote reference"/>
    <w:basedOn w:val="Domylnaczcionkaakapitu"/>
    <w:uiPriority w:val="99"/>
    <w:semiHidden/>
    <w:unhideWhenUsed/>
    <w:rsid w:val="00A408FC"/>
    <w:rPr>
      <w:vertAlign w:val="superscript"/>
    </w:rPr>
  </w:style>
  <w:style w:type="paragraph" w:styleId="NormalnyWeb">
    <w:name w:val="Normal (Web)"/>
    <w:basedOn w:val="Normalny"/>
    <w:uiPriority w:val="99"/>
    <w:semiHidden/>
    <w:unhideWhenUsed/>
    <w:rsid w:val="00B9059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B90598"/>
    <w:rPr>
      <w:color w:val="0000FF"/>
      <w:u w:val="single"/>
    </w:rPr>
  </w:style>
  <w:style w:type="character" w:customStyle="1" w:styleId="apple-converted-space">
    <w:name w:val="apple-converted-space"/>
    <w:basedOn w:val="Domylnaczcionkaakapitu"/>
    <w:rsid w:val="00F20520"/>
  </w:style>
  <w:style w:type="character" w:customStyle="1" w:styleId="luchili">
    <w:name w:val="luc_hili"/>
    <w:basedOn w:val="Domylnaczcionkaakapitu"/>
    <w:rsid w:val="00836C64"/>
  </w:style>
  <w:style w:type="paragraph" w:styleId="Tekstprzypisukocowego">
    <w:name w:val="endnote text"/>
    <w:basedOn w:val="Normalny"/>
    <w:link w:val="TekstprzypisukocowegoZnak"/>
    <w:uiPriority w:val="99"/>
    <w:semiHidden/>
    <w:unhideWhenUsed/>
    <w:rsid w:val="003C27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C274B"/>
    <w:rPr>
      <w:sz w:val="20"/>
      <w:szCs w:val="20"/>
    </w:rPr>
  </w:style>
  <w:style w:type="character" w:styleId="Odwoanieprzypisukocowego">
    <w:name w:val="endnote reference"/>
    <w:basedOn w:val="Domylnaczcionkaakapitu"/>
    <w:uiPriority w:val="99"/>
    <w:semiHidden/>
    <w:unhideWhenUsed/>
    <w:rsid w:val="003C274B"/>
    <w:rPr>
      <w:vertAlign w:val="superscript"/>
    </w:rPr>
  </w:style>
  <w:style w:type="paragraph" w:styleId="Nagwek">
    <w:name w:val="header"/>
    <w:basedOn w:val="Normalny"/>
    <w:link w:val="NagwekZnak"/>
    <w:uiPriority w:val="99"/>
    <w:unhideWhenUsed/>
    <w:rsid w:val="008832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83220"/>
  </w:style>
  <w:style w:type="paragraph" w:styleId="Stopka">
    <w:name w:val="footer"/>
    <w:basedOn w:val="Normalny"/>
    <w:link w:val="StopkaZnak"/>
    <w:uiPriority w:val="99"/>
    <w:unhideWhenUsed/>
    <w:rsid w:val="008832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83220"/>
  </w:style>
  <w:style w:type="paragraph" w:styleId="Tekstdymka">
    <w:name w:val="Balloon Text"/>
    <w:basedOn w:val="Normalny"/>
    <w:link w:val="TekstdymkaZnak"/>
    <w:uiPriority w:val="99"/>
    <w:semiHidden/>
    <w:unhideWhenUsed/>
    <w:rsid w:val="006D354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D35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03372">
      <w:bodyDiv w:val="1"/>
      <w:marLeft w:val="0"/>
      <w:marRight w:val="0"/>
      <w:marTop w:val="0"/>
      <w:marBottom w:val="0"/>
      <w:divBdr>
        <w:top w:val="none" w:sz="0" w:space="0" w:color="auto"/>
        <w:left w:val="none" w:sz="0" w:space="0" w:color="auto"/>
        <w:bottom w:val="none" w:sz="0" w:space="0" w:color="auto"/>
        <w:right w:val="none" w:sz="0" w:space="0" w:color="auto"/>
      </w:divBdr>
    </w:div>
    <w:div w:id="184366142">
      <w:bodyDiv w:val="1"/>
      <w:marLeft w:val="0"/>
      <w:marRight w:val="0"/>
      <w:marTop w:val="0"/>
      <w:marBottom w:val="0"/>
      <w:divBdr>
        <w:top w:val="none" w:sz="0" w:space="0" w:color="auto"/>
        <w:left w:val="none" w:sz="0" w:space="0" w:color="auto"/>
        <w:bottom w:val="none" w:sz="0" w:space="0" w:color="auto"/>
        <w:right w:val="none" w:sz="0" w:space="0" w:color="auto"/>
      </w:divBdr>
    </w:div>
    <w:div w:id="240024258">
      <w:bodyDiv w:val="1"/>
      <w:marLeft w:val="0"/>
      <w:marRight w:val="0"/>
      <w:marTop w:val="0"/>
      <w:marBottom w:val="0"/>
      <w:divBdr>
        <w:top w:val="none" w:sz="0" w:space="0" w:color="auto"/>
        <w:left w:val="none" w:sz="0" w:space="0" w:color="auto"/>
        <w:bottom w:val="none" w:sz="0" w:space="0" w:color="auto"/>
        <w:right w:val="none" w:sz="0" w:space="0" w:color="auto"/>
      </w:divBdr>
    </w:div>
    <w:div w:id="596838593">
      <w:bodyDiv w:val="1"/>
      <w:marLeft w:val="0"/>
      <w:marRight w:val="0"/>
      <w:marTop w:val="0"/>
      <w:marBottom w:val="0"/>
      <w:divBdr>
        <w:top w:val="none" w:sz="0" w:space="0" w:color="auto"/>
        <w:left w:val="none" w:sz="0" w:space="0" w:color="auto"/>
        <w:bottom w:val="none" w:sz="0" w:space="0" w:color="auto"/>
        <w:right w:val="none" w:sz="0" w:space="0" w:color="auto"/>
      </w:divBdr>
    </w:div>
    <w:div w:id="629941903">
      <w:bodyDiv w:val="1"/>
      <w:marLeft w:val="0"/>
      <w:marRight w:val="0"/>
      <w:marTop w:val="0"/>
      <w:marBottom w:val="0"/>
      <w:divBdr>
        <w:top w:val="none" w:sz="0" w:space="0" w:color="auto"/>
        <w:left w:val="none" w:sz="0" w:space="0" w:color="auto"/>
        <w:bottom w:val="none" w:sz="0" w:space="0" w:color="auto"/>
        <w:right w:val="none" w:sz="0" w:space="0" w:color="auto"/>
      </w:divBdr>
      <w:divsChild>
        <w:div w:id="1710111005">
          <w:marLeft w:val="0"/>
          <w:marRight w:val="0"/>
          <w:marTop w:val="0"/>
          <w:marBottom w:val="0"/>
          <w:divBdr>
            <w:top w:val="none" w:sz="0" w:space="0" w:color="auto"/>
            <w:left w:val="none" w:sz="0" w:space="0" w:color="auto"/>
            <w:bottom w:val="none" w:sz="0" w:space="0" w:color="auto"/>
            <w:right w:val="none" w:sz="0" w:space="0" w:color="auto"/>
          </w:divBdr>
        </w:div>
        <w:div w:id="831144179">
          <w:marLeft w:val="0"/>
          <w:marRight w:val="0"/>
          <w:marTop w:val="0"/>
          <w:marBottom w:val="0"/>
          <w:divBdr>
            <w:top w:val="none" w:sz="0" w:space="0" w:color="auto"/>
            <w:left w:val="none" w:sz="0" w:space="0" w:color="auto"/>
            <w:bottom w:val="none" w:sz="0" w:space="0" w:color="auto"/>
            <w:right w:val="none" w:sz="0" w:space="0" w:color="auto"/>
          </w:divBdr>
        </w:div>
        <w:div w:id="1135760143">
          <w:marLeft w:val="0"/>
          <w:marRight w:val="0"/>
          <w:marTop w:val="0"/>
          <w:marBottom w:val="0"/>
          <w:divBdr>
            <w:top w:val="none" w:sz="0" w:space="0" w:color="auto"/>
            <w:left w:val="none" w:sz="0" w:space="0" w:color="auto"/>
            <w:bottom w:val="none" w:sz="0" w:space="0" w:color="auto"/>
            <w:right w:val="none" w:sz="0" w:space="0" w:color="auto"/>
          </w:divBdr>
        </w:div>
        <w:div w:id="1994945064">
          <w:marLeft w:val="0"/>
          <w:marRight w:val="0"/>
          <w:marTop w:val="0"/>
          <w:marBottom w:val="0"/>
          <w:divBdr>
            <w:top w:val="none" w:sz="0" w:space="0" w:color="auto"/>
            <w:left w:val="none" w:sz="0" w:space="0" w:color="auto"/>
            <w:bottom w:val="none" w:sz="0" w:space="0" w:color="auto"/>
            <w:right w:val="none" w:sz="0" w:space="0" w:color="auto"/>
          </w:divBdr>
        </w:div>
      </w:divsChild>
    </w:div>
    <w:div w:id="893782023">
      <w:bodyDiv w:val="1"/>
      <w:marLeft w:val="0"/>
      <w:marRight w:val="0"/>
      <w:marTop w:val="0"/>
      <w:marBottom w:val="0"/>
      <w:divBdr>
        <w:top w:val="none" w:sz="0" w:space="0" w:color="auto"/>
        <w:left w:val="none" w:sz="0" w:space="0" w:color="auto"/>
        <w:bottom w:val="none" w:sz="0" w:space="0" w:color="auto"/>
        <w:right w:val="none" w:sz="0" w:space="0" w:color="auto"/>
      </w:divBdr>
      <w:divsChild>
        <w:div w:id="769010828">
          <w:marLeft w:val="0"/>
          <w:marRight w:val="0"/>
          <w:marTop w:val="0"/>
          <w:marBottom w:val="0"/>
          <w:divBdr>
            <w:top w:val="none" w:sz="0" w:space="0" w:color="auto"/>
            <w:left w:val="none" w:sz="0" w:space="0" w:color="auto"/>
            <w:bottom w:val="none" w:sz="0" w:space="0" w:color="auto"/>
            <w:right w:val="none" w:sz="0" w:space="0" w:color="auto"/>
          </w:divBdr>
          <w:divsChild>
            <w:div w:id="1621112874">
              <w:marLeft w:val="720"/>
              <w:marRight w:val="0"/>
              <w:marTop w:val="0"/>
              <w:marBottom w:val="0"/>
              <w:divBdr>
                <w:top w:val="none" w:sz="0" w:space="0" w:color="auto"/>
                <w:left w:val="none" w:sz="0" w:space="0" w:color="auto"/>
                <w:bottom w:val="none" w:sz="0" w:space="0" w:color="auto"/>
                <w:right w:val="none" w:sz="0" w:space="0" w:color="auto"/>
              </w:divBdr>
            </w:div>
          </w:divsChild>
        </w:div>
        <w:div w:id="1810709306">
          <w:marLeft w:val="0"/>
          <w:marRight w:val="0"/>
          <w:marTop w:val="0"/>
          <w:marBottom w:val="0"/>
          <w:divBdr>
            <w:top w:val="none" w:sz="0" w:space="0" w:color="auto"/>
            <w:left w:val="none" w:sz="0" w:space="0" w:color="auto"/>
            <w:bottom w:val="none" w:sz="0" w:space="0" w:color="auto"/>
            <w:right w:val="none" w:sz="0" w:space="0" w:color="auto"/>
          </w:divBdr>
          <w:divsChild>
            <w:div w:id="15022255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146046037">
      <w:bodyDiv w:val="1"/>
      <w:marLeft w:val="0"/>
      <w:marRight w:val="0"/>
      <w:marTop w:val="0"/>
      <w:marBottom w:val="0"/>
      <w:divBdr>
        <w:top w:val="none" w:sz="0" w:space="0" w:color="auto"/>
        <w:left w:val="none" w:sz="0" w:space="0" w:color="auto"/>
        <w:bottom w:val="none" w:sz="0" w:space="0" w:color="auto"/>
        <w:right w:val="none" w:sz="0" w:space="0" w:color="auto"/>
      </w:divBdr>
      <w:divsChild>
        <w:div w:id="1819688359">
          <w:marLeft w:val="0"/>
          <w:marRight w:val="0"/>
          <w:marTop w:val="0"/>
          <w:marBottom w:val="0"/>
          <w:divBdr>
            <w:top w:val="none" w:sz="0" w:space="0" w:color="auto"/>
            <w:left w:val="none" w:sz="0" w:space="0" w:color="auto"/>
            <w:bottom w:val="none" w:sz="0" w:space="0" w:color="auto"/>
            <w:right w:val="none" w:sz="0" w:space="0" w:color="auto"/>
          </w:divBdr>
          <w:divsChild>
            <w:div w:id="122042388">
              <w:marLeft w:val="720"/>
              <w:marRight w:val="0"/>
              <w:marTop w:val="0"/>
              <w:marBottom w:val="0"/>
              <w:divBdr>
                <w:top w:val="none" w:sz="0" w:space="0" w:color="auto"/>
                <w:left w:val="none" w:sz="0" w:space="0" w:color="auto"/>
                <w:bottom w:val="none" w:sz="0" w:space="0" w:color="auto"/>
                <w:right w:val="none" w:sz="0" w:space="0" w:color="auto"/>
              </w:divBdr>
            </w:div>
          </w:divsChild>
        </w:div>
        <w:div w:id="1193882366">
          <w:marLeft w:val="0"/>
          <w:marRight w:val="0"/>
          <w:marTop w:val="0"/>
          <w:marBottom w:val="0"/>
          <w:divBdr>
            <w:top w:val="none" w:sz="0" w:space="0" w:color="auto"/>
            <w:left w:val="none" w:sz="0" w:space="0" w:color="auto"/>
            <w:bottom w:val="none" w:sz="0" w:space="0" w:color="auto"/>
            <w:right w:val="none" w:sz="0" w:space="0" w:color="auto"/>
          </w:divBdr>
          <w:divsChild>
            <w:div w:id="109093028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305702474">
      <w:bodyDiv w:val="1"/>
      <w:marLeft w:val="0"/>
      <w:marRight w:val="0"/>
      <w:marTop w:val="0"/>
      <w:marBottom w:val="0"/>
      <w:divBdr>
        <w:top w:val="none" w:sz="0" w:space="0" w:color="auto"/>
        <w:left w:val="none" w:sz="0" w:space="0" w:color="auto"/>
        <w:bottom w:val="none" w:sz="0" w:space="0" w:color="auto"/>
        <w:right w:val="none" w:sz="0" w:space="0" w:color="auto"/>
      </w:divBdr>
    </w:div>
    <w:div w:id="1450128125">
      <w:bodyDiv w:val="1"/>
      <w:marLeft w:val="0"/>
      <w:marRight w:val="0"/>
      <w:marTop w:val="0"/>
      <w:marBottom w:val="0"/>
      <w:divBdr>
        <w:top w:val="none" w:sz="0" w:space="0" w:color="auto"/>
        <w:left w:val="none" w:sz="0" w:space="0" w:color="auto"/>
        <w:bottom w:val="none" w:sz="0" w:space="0" w:color="auto"/>
        <w:right w:val="none" w:sz="0" w:space="0" w:color="auto"/>
      </w:divBdr>
    </w:div>
    <w:div w:id="164280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D194E-C895-4AB6-9E16-2BFEE9EB6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1577</Words>
  <Characters>9465</Characters>
  <Application>Microsoft Office Word</Application>
  <DocSecurity>0</DocSecurity>
  <Lines>78</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Cis</dc:creator>
  <cp:lastModifiedBy>Ewa A. Genert</cp:lastModifiedBy>
  <cp:revision>2</cp:revision>
  <cp:lastPrinted>2017-01-26T11:11:00Z</cp:lastPrinted>
  <dcterms:created xsi:type="dcterms:W3CDTF">2017-02-22T09:21:00Z</dcterms:created>
  <dcterms:modified xsi:type="dcterms:W3CDTF">2017-02-22T09:21:00Z</dcterms:modified>
</cp:coreProperties>
</file>