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1F96" w:rsidRPr="00FE1F96" w:rsidRDefault="00E77673" w:rsidP="00172029">
      <w:pPr>
        <w:suppressAutoHyphens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bookmarkStart w:id="0" w:name="_GoBack"/>
      <w:bookmarkEnd w:id="0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UZASADNIENIE</w:t>
      </w:r>
    </w:p>
    <w:p w:rsidR="00FE1F96" w:rsidRPr="00FE1F96" w:rsidRDefault="00FE1F96" w:rsidP="00E7767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Proponowane zmiany wynikają z potrzeby zapewnienia możliwości stosowania nowych rozwiązań w relacjach pomiędzy hodowcami oraz organizacjami hodowców a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posiadaczami gruntów rolnych oraz organizacjami posiadaczy gruntów rolnych w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zakresie pobierania opłat z tytułu wykorzystania we własnym gospodarstwie do siewu materiału ze zbioru odmiany chronionej krajowym wyłącznym prawem hodowcy do odmiany (opłat od rozmnożeń własnych).</w:t>
      </w:r>
    </w:p>
    <w:p w:rsidR="00FE1F96" w:rsidRPr="00FE1F96" w:rsidRDefault="00FE1F96" w:rsidP="00E7767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Dotychczas podejmowane przez resort rolnictwa </w:t>
      </w:r>
      <w:proofErr w:type="spellStart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pozalegislacyjne</w:t>
      </w:r>
      <w:proofErr w:type="spellEnd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działania – organizowanie spotkań hodowców z rolnikami czy próby mediacji – nie przyniosły oczekiwanego rezultatu w postaci powszechnego zawierania umów akceptowanych przez hodowców i rolników. Rolnicy natomiast od kilku lat wnoszą o zmianę skomplikowanego i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uciążliwego systemu pobierania opłat.</w:t>
      </w:r>
    </w:p>
    <w:p w:rsidR="00FE1F96" w:rsidRPr="00FE1F96" w:rsidRDefault="00FE1F96" w:rsidP="00E7767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W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zależności od sytuacji i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doświadczenia we współpracy pomiędzy stronami umowy możliwe będzie przyjmowanie elastycznych rozwiązań w zakresie zawierania umów i</w:t>
      </w:r>
      <w:r w:rsidR="000401B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pobierania opłat od rozmnożeń własnych.</w:t>
      </w:r>
    </w:p>
    <w:p w:rsidR="00FE1F96" w:rsidRPr="00FE1F96" w:rsidRDefault="00FE1F96" w:rsidP="00E7767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Hodowca będzie miał również możliwość podjęcia decyzji o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udostępnieniu wybranej przez siebie odmiany (lub odmian) chronionej bez pobierania opłat od rozmnożeń własnych w wyznaczonym przez siebie okresie, np. ze względów marketingowych.</w:t>
      </w:r>
    </w:p>
    <w:p w:rsidR="00FE1F96" w:rsidRPr="00FE1F96" w:rsidRDefault="00FE1F96" w:rsidP="00E7767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W dodawanych w art. 23 ustawy z dnia 26 czerwca 2003 r. o ochronie prawnej odmian roślin (Dz. U. z 2016 r. poz. 843) ust. 3a i 3b zaproponowano, aby materiał ze zbioru odmiany chronionej mógł być użyty do siewu bez uiszczania opłat w przypadku odmian, co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do których hodowca zrezygnował z pobierania opłat za pośrednictwem stron internetowych hodowcy lub organizacji hodowców. Posiadacz gruntów rolnych będzie zwolniony z tych opłat w odniesieniu do odmian, co do których hodowca zrezygnował z</w:t>
      </w:r>
      <w:r w:rsidR="000401B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pobierania opłat</w:t>
      </w:r>
      <w:r w:rsidR="0041151E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oraz przez okres, przez który hodowca nie będzie pobierał tych opłat. </w:t>
      </w:r>
    </w:p>
    <w:p w:rsidR="00FE1F96" w:rsidRPr="00FE1F96" w:rsidRDefault="00FE1F96" w:rsidP="00E77673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W ust. 4a, który dodaje się w art. 23 ww. ustawy</w:t>
      </w:r>
      <w:r w:rsidR="00F713F0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uwzględniono również, postulowaną przez Krajową Radę Izb Rolniczych, możliwość jednorazowego pobierania opłat od rozmnożeń własnych przy zakupie kwalifikowanego materiału siewnego. Do tej pory taka możliwość nie była wystarczająco jasno określona.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Ponadto w projekcie ustawy przewiduje się zwolnienie z obowiązku przekazywania pisemnej informacji dotyczącej wykorzystania materiału ze zbioru jako materiału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 xml:space="preserve">siewnego oraz wyłączenie z kontroli zgodności przekazanej informacji ze stanem faktycznym także posiadaczy gruntów rolnych, których ogólna powierzchnia przekracza 10 ha – w przypadku uprawy ziemniaka, oraz posiadaczy gruntów rolnych, których ogólna powierzchnia przekracza 25 ha – w przypadku pozostałych upraw roślin wymienionych w art. 23 ust. 2 pkt 1 ustawy z dnia 26 czerwca 2003 r. o ochronie prawnej odmian roślin, a także organizacji reprezentujących posiadaczy gruntów rolnych. 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Uchylenie art. 23a ma na celu zwolnienie wszystkich posiadaczy gruntów rolnych oraz organizacji posiadaczy gruntów rolnych z obowiązku przekazywania hodowcom albo organizacjom hodowców pisemnej informacji dotyczącej wykorzystania materiału ze zbioru, który został uzyskany w gospodarstwie rolnym i użyty na terenie tego samego gospodarstwa rolnego. Zmiana ta została wprowadzona na wniosek Krajowej Rady Izb Rolniczych.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Zmiany w art. 23b są konsekwencją uchylenia art. 23a, a ich celem jest doprecyzowanie zakresu informacji, które przetwórca (przedsiębiorca zajmujący się świadczeniem usług w zakresie czyszczenia, suszenia, kalibrowania, zaprawiania lub </w:t>
      </w:r>
      <w:proofErr w:type="spellStart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otoczkowania</w:t>
      </w:r>
      <w:proofErr w:type="spellEnd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materiału siewnego lub materiału ze zbioru) albo organizacja przetwórców przekazuje hodowcy albo organizacji hodowców. 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Zmiany w art. 23c polegają na zwolnieniu posiadaczy gruntów rolnych oraz organizacji posiadaczy gruntów rolnych z możliwości przeprowadzenia kontroli przez hodowcę albo organizację hodowców. Zmiany te zostały wprowadzone na wniosek Krajowej Rady Izb Rolniczych. 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Konsekwencją uchylenia art. 23a jest także wprowadzenie odpowiednich zmian w</w:t>
      </w:r>
      <w:r w:rsidR="000401B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art.</w:t>
      </w:r>
      <w:r w:rsidR="000401B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37a pkt 4.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W projekcie ustawy nie ma potrzeby wprowadzenia regulacji przejściowych</w:t>
      </w:r>
      <w:r w:rsidR="0041151E">
        <w:rPr>
          <w:rFonts w:ascii="Times New Roman" w:eastAsia="Times New Roman" w:hAnsi="Times New Roman" w:cs="Times New Roman"/>
          <w:sz w:val="24"/>
          <w:szCs w:val="20"/>
          <w:lang w:eastAsia="pl-PL"/>
        </w:rPr>
        <w:t>,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bowiem</w:t>
      </w:r>
      <w:r w:rsidRPr="00FE1F96">
        <w:rPr>
          <w:rFonts w:ascii="Times New Roman" w:eastAsia="Times New Roman" w:hAnsi="Times New Roman" w:cs="Arial"/>
          <w:sz w:val="24"/>
          <w:szCs w:val="20"/>
          <w:lang w:eastAsia="pl-PL"/>
        </w:rPr>
        <w:t xml:space="preserve">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projektowane zmiany dotyczą zniesienia dotychczasowych obowiązków lub wprowadzenia nowych przepisów, które nie były dotychczas przedmiotem regulacji. 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W sprawach określonych w art. 37a pkt 4 i 5 ww. ustawy będą miały zastosowanie ogólne zasady dotyczące wykroczeń, w szczególności art. 2 Kodeksu wykroczeń. Do spraw określonych w przepisach art. 37a pkt 4 i 5 ustawy o ochronie prawnej odmian roślin będą więc miały zastosowanie te przepisy w nowym brzmieniu, w szczególności zatem postępowania w tych sprawach będą podlegały umorzeniu. 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lastRenderedPageBreak/>
        <w:t>Projekt ustawy nie jest objęty prawem Unii Europejskiej.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nie zawiera przepisów technicznych w rozumieniu przepisów rozporządzenia Rady Ministrów z dnia 23 grudnia 2002 r. w sprawie sposobu funkcjonowania krajowego systemu notyfikacj</w:t>
      </w:r>
      <w:r w:rsidR="001D0121">
        <w:rPr>
          <w:rFonts w:ascii="Times New Roman" w:eastAsia="Times New Roman" w:hAnsi="Times New Roman" w:cs="Times New Roman"/>
          <w:sz w:val="24"/>
          <w:szCs w:val="20"/>
          <w:lang w:eastAsia="pl-PL"/>
        </w:rPr>
        <w:t>i norm i aktów prawnych (Dz. U.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poz.</w:t>
      </w:r>
      <w:r w:rsidR="000401B8">
        <w:rPr>
          <w:rFonts w:ascii="Times New Roman" w:eastAsia="Times New Roman" w:hAnsi="Times New Roman" w:cs="Times New Roman"/>
          <w:sz w:val="24"/>
          <w:szCs w:val="20"/>
          <w:lang w:eastAsia="pl-PL"/>
        </w:rPr>
        <w:t> 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2039, z </w:t>
      </w:r>
      <w:proofErr w:type="spellStart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. zm.) i w związku z tym nie podlega notyfikacji.</w:t>
      </w:r>
    </w:p>
    <w:p w:rsidR="00FE1F96" w:rsidRPr="00FE1F96" w:rsidRDefault="00FE1F96" w:rsidP="000401B8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Stosownie do art. 5 ustawy z dnia 7 lipca 2005 r. o działalności lobbingowej w</w:t>
      </w:r>
      <w:r w:rsidR="00E77673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 </w:t>
      </w: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 xml:space="preserve">procesie stanowienia prawa (Dz. U. poz. 1414, z </w:t>
      </w:r>
      <w:proofErr w:type="spellStart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późn</w:t>
      </w:r>
      <w:proofErr w:type="spellEnd"/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. zm.) projekt ustawy został zamieszczony w Biuletynie Informacji Publicznej Rządowego Centrum Legislacji.</w:t>
      </w:r>
    </w:p>
    <w:p w:rsidR="000401B8" w:rsidRPr="00D06C47" w:rsidRDefault="00FE1F96" w:rsidP="00D06C47">
      <w:pPr>
        <w:widowControl w:val="0"/>
        <w:autoSpaceDE w:val="0"/>
        <w:autoSpaceDN w:val="0"/>
        <w:adjustRightInd w:val="0"/>
        <w:spacing w:before="120" w:after="0" w:line="360" w:lineRule="auto"/>
        <w:jc w:val="both"/>
        <w:rPr>
          <w:rFonts w:ascii="Times New Roman" w:eastAsia="Times New Roman" w:hAnsi="Times New Roman" w:cs="Times New Roman"/>
          <w:sz w:val="24"/>
          <w:szCs w:val="20"/>
          <w:lang w:eastAsia="pl-PL"/>
        </w:rPr>
      </w:pPr>
      <w:r w:rsidRPr="00FE1F96">
        <w:rPr>
          <w:rFonts w:ascii="Times New Roman" w:eastAsia="Times New Roman" w:hAnsi="Times New Roman" w:cs="Times New Roman"/>
          <w:sz w:val="24"/>
          <w:szCs w:val="20"/>
          <w:lang w:eastAsia="pl-PL"/>
        </w:rPr>
        <w:t>Projekt ustawy został ujęty w Wykazie prac legislacyjnych i programowych Rady Ministrów pod numerem UD 108.</w:t>
      </w:r>
    </w:p>
    <w:sectPr w:rsidR="000401B8" w:rsidRPr="00D06C47" w:rsidSect="000401B8">
      <w:footerReference w:type="default" r:id="rId7"/>
      <w:pgSz w:w="11906" w:h="16838" w:code="9"/>
      <w:pgMar w:top="1588" w:right="1418" w:bottom="141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1B8" w:rsidRDefault="000401B8" w:rsidP="000401B8">
      <w:pPr>
        <w:spacing w:after="0" w:line="240" w:lineRule="auto"/>
      </w:pPr>
      <w:r>
        <w:separator/>
      </w:r>
    </w:p>
  </w:endnote>
  <w:endnote w:type="continuationSeparator" w:id="0">
    <w:p w:rsidR="000401B8" w:rsidRDefault="000401B8" w:rsidP="00040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2618992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0401B8" w:rsidRPr="000401B8" w:rsidRDefault="000401B8" w:rsidP="000401B8">
        <w:pPr>
          <w:pStyle w:val="Stopka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401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01B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401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B2405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Pr="000401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1B8" w:rsidRDefault="000401B8" w:rsidP="000401B8">
      <w:pPr>
        <w:spacing w:after="0" w:line="240" w:lineRule="auto"/>
      </w:pPr>
      <w:r>
        <w:separator/>
      </w:r>
    </w:p>
  </w:footnote>
  <w:footnote w:type="continuationSeparator" w:id="0">
    <w:p w:rsidR="000401B8" w:rsidRDefault="000401B8" w:rsidP="000401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F96"/>
    <w:rsid w:val="000401B8"/>
    <w:rsid w:val="00172029"/>
    <w:rsid w:val="00175A27"/>
    <w:rsid w:val="001D0121"/>
    <w:rsid w:val="00250305"/>
    <w:rsid w:val="00282157"/>
    <w:rsid w:val="002C1444"/>
    <w:rsid w:val="003B2405"/>
    <w:rsid w:val="0041151E"/>
    <w:rsid w:val="0069354A"/>
    <w:rsid w:val="00777034"/>
    <w:rsid w:val="009A480B"/>
    <w:rsid w:val="00A61B74"/>
    <w:rsid w:val="00AA4052"/>
    <w:rsid w:val="00AD6A67"/>
    <w:rsid w:val="00B92A4D"/>
    <w:rsid w:val="00BE4B65"/>
    <w:rsid w:val="00C64C3C"/>
    <w:rsid w:val="00C70323"/>
    <w:rsid w:val="00CC5016"/>
    <w:rsid w:val="00D06C47"/>
    <w:rsid w:val="00E77673"/>
    <w:rsid w:val="00EE789E"/>
    <w:rsid w:val="00F713F0"/>
    <w:rsid w:val="00FC5B88"/>
    <w:rsid w:val="00FE1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0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1B8"/>
  </w:style>
  <w:style w:type="paragraph" w:styleId="Stopka">
    <w:name w:val="footer"/>
    <w:basedOn w:val="Normalny"/>
    <w:link w:val="StopkaZnak"/>
    <w:uiPriority w:val="99"/>
    <w:unhideWhenUsed/>
    <w:rsid w:val="00040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1B8"/>
  </w:style>
  <w:style w:type="paragraph" w:styleId="Tekstdymka">
    <w:name w:val="Balloon Text"/>
    <w:basedOn w:val="Normalny"/>
    <w:link w:val="TekstdymkaZnak"/>
    <w:uiPriority w:val="99"/>
    <w:semiHidden/>
    <w:unhideWhenUsed/>
    <w:rsid w:val="0017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0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0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01B8"/>
  </w:style>
  <w:style w:type="paragraph" w:styleId="Stopka">
    <w:name w:val="footer"/>
    <w:basedOn w:val="Normalny"/>
    <w:link w:val="StopkaZnak"/>
    <w:uiPriority w:val="99"/>
    <w:unhideWhenUsed/>
    <w:rsid w:val="000401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01B8"/>
  </w:style>
  <w:style w:type="paragraph" w:styleId="Tekstdymka">
    <w:name w:val="Balloon Text"/>
    <w:basedOn w:val="Normalny"/>
    <w:link w:val="TekstdymkaZnak"/>
    <w:uiPriority w:val="99"/>
    <w:semiHidden/>
    <w:unhideWhenUsed/>
    <w:rsid w:val="001720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720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816</Words>
  <Characters>4399</Characters>
  <Application>Microsoft Office Word</Application>
  <DocSecurity>0</DocSecurity>
  <Lines>104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KPRM</Company>
  <LinksUpToDate>false</LinksUpToDate>
  <CharactersWithSpaces>5145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Roza Chmielewska</dc:creator>
  <cp:lastModifiedBy>Ewa A. Genert</cp:lastModifiedBy>
  <cp:revision>2</cp:revision>
  <dcterms:created xsi:type="dcterms:W3CDTF">2017-02-24T10:07:00Z</dcterms:created>
  <dcterms:modified xsi:type="dcterms:W3CDTF">2017-02-24T10:07:00Z</dcterms:modified>
</cp:coreProperties>
</file>