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EB1" w:rsidRPr="00584326" w:rsidRDefault="00EA0EB1" w:rsidP="00EA0EB1">
      <w:pPr>
        <w:pStyle w:val="DATAAKTUdatauchwalenialubwydaniaaktu"/>
        <w:rPr>
          <w:b/>
        </w:rPr>
      </w:pPr>
      <w:bookmarkStart w:id="0" w:name="_GoBack"/>
      <w:bookmarkEnd w:id="0"/>
      <w:r w:rsidRPr="00584326">
        <w:rPr>
          <w:rStyle w:val="Ppogrubienie"/>
          <w:b w:val="0"/>
        </w:rPr>
        <w:t>UZASADNIENIE</w:t>
      </w:r>
    </w:p>
    <w:p w:rsidR="00EA0EB1" w:rsidRPr="004B5235" w:rsidRDefault="00EA0EB1" w:rsidP="00584326">
      <w:pPr>
        <w:pStyle w:val="NIEARTTEKSTtekstnieartykuowanynppodstprawnarozplubpreambua"/>
        <w:spacing w:before="240"/>
        <w:ind w:firstLine="0"/>
      </w:pPr>
      <w:r w:rsidRPr="004B5235">
        <w:t>Opracowanie projektu ustawy o zmianie ustawy o pobieraniu, przechowywaniu i</w:t>
      </w:r>
      <w:r w:rsidR="00584326">
        <w:t> </w:t>
      </w:r>
      <w:r w:rsidRPr="004B5235">
        <w:t>przeszczepianiu komórek, tkanek i narządów jest spowodowane koniecznością dostosowania przepisów ustawy z dnia 1 lipca 2005 r. o pobieraniu, przechowywaniu i</w:t>
      </w:r>
      <w:r w:rsidR="00584326">
        <w:t> </w:t>
      </w:r>
      <w:r w:rsidRPr="004B5235">
        <w:t xml:space="preserve">przeszczepianiu komórek, tkanek i narządów (Dz. U. z 2015 r. poz. 793, z późn. zm.), zwanej dalej „ustawą”, do przepisów dyrektywy Komisji (UE) 2015/565 z </w:t>
      </w:r>
      <w:r w:rsidR="00525CDD">
        <w:t xml:space="preserve">dnia </w:t>
      </w:r>
      <w:r w:rsidRPr="004B5235">
        <w:t>8</w:t>
      </w:r>
      <w:r w:rsidR="00584326">
        <w:t> </w:t>
      </w:r>
      <w:r w:rsidRPr="004B5235">
        <w:t xml:space="preserve">kwietnia 2015 r. zmieniającej dyrektywę 2006/86/WE w odniesieniu do niektórych wymagań technicznych dotyczących kodowania tkanek i komórek ludzkich (Dz. Urz. UE L 93 z </w:t>
      </w:r>
      <w:r w:rsidR="00487B4B">
        <w:t>0</w:t>
      </w:r>
      <w:r w:rsidRPr="004B5235">
        <w:t>9.</w:t>
      </w:r>
      <w:r w:rsidR="00487B4B">
        <w:t>0</w:t>
      </w:r>
      <w:r w:rsidRPr="004B5235">
        <w:t xml:space="preserve">4.2015, str. 43), zwanej dalej „dyrektywą 2015/565”, oraz do przepisów dyrektywy Komisji (UE) 2015/566 z </w:t>
      </w:r>
      <w:r w:rsidR="00525CDD">
        <w:t xml:space="preserve">dnia </w:t>
      </w:r>
      <w:r w:rsidRPr="004B5235">
        <w:t>8 kwietnia 2015 r. w sprawie wykonania dyrektywy 2004/23/WE w odniesieniu do procedur weryfikacji równorzędnych norm jakości i bezpieczeństwa przywożonych tkanek i komórek (Dz. Urz. UE L 93 z</w:t>
      </w:r>
      <w:r w:rsidR="00584326">
        <w:t> </w:t>
      </w:r>
      <w:r w:rsidR="00487B4B">
        <w:t>0</w:t>
      </w:r>
      <w:r w:rsidRPr="004B5235">
        <w:t>9.</w:t>
      </w:r>
      <w:r w:rsidR="00487B4B">
        <w:t>0</w:t>
      </w:r>
      <w:r w:rsidRPr="004B5235">
        <w:t>4.2015, str. 56), zwanej dalej „dyrektywą 2015/566”.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 xml:space="preserve">Projekt ustawy wprowadza normy dotyczące </w:t>
      </w:r>
      <w:r>
        <w:t>sprowadzania</w:t>
      </w:r>
      <w:r w:rsidRPr="004B5235">
        <w:t xml:space="preserve"> na terytorium Rzeczypospolitej Polskiej z państw trzecich, a więc z państw nienależących do Unii Europejskiej oraz państw nienależących do Europejskiego Porozumienia o Wolnym Handlu (EFTA), tj. stron umowy o Europejskim Obszarze Gospodarczym (EOG) – tkanek i komórek ludzkich przeznaczonych do przeszczepiania i zastosowania u ludzi. Projekt ustawy wprowadza także przepisy dotyczące pobierania i testowania tkanek i</w:t>
      </w:r>
      <w:r w:rsidR="00584326">
        <w:t> </w:t>
      </w:r>
      <w:r w:rsidRPr="004B5235">
        <w:t>komórek, które odbywa się poza Unią Europejską</w:t>
      </w:r>
      <w:r w:rsidR="00E75316">
        <w:t>,</w:t>
      </w:r>
      <w:r w:rsidRPr="004B5235">
        <w:t xml:space="preserve"> oraz działań na rzecz zapewnienia monitorowania tkanek i komórek w drodze od dawcy do biorcy i na odwrót.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 xml:space="preserve">Projekt </w:t>
      </w:r>
      <w:r>
        <w:t xml:space="preserve">ustawy </w:t>
      </w:r>
      <w:r w:rsidRPr="004B5235">
        <w:t>wprowadza również niepowtarzalny identyfikator stosowany w</w:t>
      </w:r>
      <w:r w:rsidR="00584326">
        <w:t> </w:t>
      </w:r>
      <w:r w:rsidRPr="004B5235">
        <w:t>odniesieniu do tkanek i komórek dystrybuowanych w Unii Europejskiej w postaci „jednolitego kodu europejskiego”, który zawiera informacje dotyczące głównych cech i</w:t>
      </w:r>
      <w:r w:rsidR="00584326">
        <w:t> </w:t>
      </w:r>
      <w:r w:rsidRPr="004B5235">
        <w:t xml:space="preserve">właściwości tkanek i komórek. 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 xml:space="preserve">W art. 2 ust. 1 </w:t>
      </w:r>
      <w:r>
        <w:t xml:space="preserve">ustawy </w:t>
      </w:r>
      <w:r w:rsidRPr="004B5235">
        <w:t>wprowadzono definicje nowych pojęć w związku z</w:t>
      </w:r>
      <w:r w:rsidR="00584326">
        <w:t> </w:t>
      </w:r>
      <w:r w:rsidRPr="004B5235">
        <w:t>implementacją dyrektyw 2015/565 i 2015/566. Nowe brzmienie definicji wynikać będzie bezpośrednio z dyrektyw lub pośrednio z konieczności dodania definicji w</w:t>
      </w:r>
      <w:r w:rsidR="00584326">
        <w:t> </w:t>
      </w:r>
      <w:r w:rsidRPr="004B5235">
        <w:t>związku z ich implementacją. Definicje obejmują następujące określenia: „bank tkanek i komórek prowadzący działalność przywozową”, „biorca”, „data ważności</w:t>
      </w:r>
      <w:r w:rsidR="00EE37E4" w:rsidRPr="00EE37E4">
        <w:t xml:space="preserve"> tkanek lub komórek</w:t>
      </w:r>
      <w:r w:rsidRPr="004B5235">
        <w:t xml:space="preserve">”, „dopuszczenie do obiegu”, „dostawca z państwa trzeciego”, „działalność przywozowa”, „etykieta ostateczna”, „jednolity kod europejski”, </w:t>
      </w:r>
      <w:r w:rsidRPr="004B5235">
        <w:lastRenderedPageBreak/>
        <w:t>„jednorazowy przywóz”, „</w:t>
      </w:r>
      <w:r>
        <w:t xml:space="preserve">europejski </w:t>
      </w:r>
      <w:r w:rsidRPr="004B5235">
        <w:t>kod banku tkanek i komórek”, „kod tkanek i</w:t>
      </w:r>
      <w:r w:rsidR="00584326">
        <w:t> </w:t>
      </w:r>
      <w:r w:rsidRPr="004B5235">
        <w:t xml:space="preserve">komórek”, „nagły przypadek”, „niepowtarzalny numer </w:t>
      </w:r>
      <w:r>
        <w:t>donacji</w:t>
      </w:r>
      <w:r w:rsidRPr="004B5235">
        <w:t>”, „numer podziału”, „państwa członkowskie UE”, „państwa</w:t>
      </w:r>
      <w:r w:rsidR="00584326">
        <w:t xml:space="preserve"> trzecie”, „przeszczepianie”, </w:t>
      </w:r>
      <w:r w:rsidRPr="004B5235">
        <w:t xml:space="preserve">„przywóz”, „sekwencja identyfikacyjna </w:t>
      </w:r>
      <w:r>
        <w:t>donacji</w:t>
      </w:r>
      <w:r w:rsidRPr="004B5235">
        <w:t>”, „sekwencja identyfikacyjna tkanek i komórek”, „system kodowania EUTC”, „</w:t>
      </w:r>
      <w:r>
        <w:t xml:space="preserve">europejskie </w:t>
      </w:r>
      <w:r w:rsidRPr="004B5235">
        <w:t>kompendium banków tkanek i komórek”, „kompendium przetworzonych tkanek i komórek”, „zagraniczny podmiot pobierający”, „zamierzony biorca”.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 xml:space="preserve">Należy przy tym wskazać, odnośnie </w:t>
      </w:r>
      <w:r w:rsidR="00E75316">
        <w:t xml:space="preserve">do </w:t>
      </w:r>
      <w:r w:rsidRPr="004B5235">
        <w:t>definicji wprowadzanych bezpośrednio do zmienianej ustawy przez implementowane dyrektyw</w:t>
      </w:r>
      <w:r>
        <w:t>y</w:t>
      </w:r>
      <w:r w:rsidRPr="004B5235">
        <w:t>, że zrezygnowano z</w:t>
      </w:r>
      <w:r w:rsidR="00584326">
        <w:t> </w:t>
      </w:r>
      <w:r w:rsidRPr="004B5235">
        <w:t>wprowadzania i posługiwania się w zmienianej ustawie pojęciem „produktu”, którym to operują obie przedmiotowe dyrektywy, bez zdefiniowania przez nie tego pojęcia. Wskazać należy, że przez pojęcie „produkt” lub „produkt tkanek i komórek” należy rozumieć tkanki i komórki poddane przetwarzaniu w rozumieniu art. 2 ust. 1 pkt 37 ustawy w brzmieniu ustalonym przez niniejszy projekt. Mimo ich przetwarzania tkanki i komórki pozostają wciąż tkankami i komórkami. Utworzenie nowego pojęcia</w:t>
      </w:r>
      <w:r w:rsidR="00E75316">
        <w:t>,</w:t>
      </w:r>
      <w:r w:rsidRPr="004B5235">
        <w:t xml:space="preserve"> różnicującego w sposób pozorny z punktu widzenia nauk medycznych</w:t>
      </w:r>
      <w:r w:rsidR="000316E3">
        <w:t>,</w:t>
      </w:r>
      <w:r w:rsidRPr="004B5235">
        <w:t xml:space="preserve"> tkanki i komórki względem tkanek i komórek poddanych przetworzeniu, nie tylko wprowadzałoby dość istotne problemy interpretacyjne w zakresie rzeczywistego stosowania ustawy, ale mogłoby także prowadzić m.in. do próby omijania przepisów karnych, które penalizują m.in. obrót tkankami i komórkami w ten sposób, że poddanie tkanek i komórek procesowi przetwarzania czyniłoby je „produktem”, a konsekwencją tego byłoby zalegalizowanie procederu handlu tkankami i komórkami.</w:t>
      </w:r>
    </w:p>
    <w:p w:rsidR="00EA0EB1" w:rsidRDefault="00EA0EB1" w:rsidP="00584326">
      <w:pPr>
        <w:pStyle w:val="NIEARTTEKSTtekstnieartykuowanynppodstprawnarozplubpreambua"/>
        <w:ind w:firstLine="0"/>
      </w:pPr>
      <w:r w:rsidRPr="004B5235">
        <w:t>Z tego względu pojęcia wprowadzane do ustawy bezpośrednio z implementowanych dyrektyw, w których konstrukcji znajdowało się pojęcie „produkt”, zostały zmienione w</w:t>
      </w:r>
      <w:r w:rsidR="00584326">
        <w:t> </w:t>
      </w:r>
      <w:r w:rsidRPr="004B5235">
        <w:t>taki sposób, że: pojęcie „numer produktu” zastąpiono pojęciem „numer tkanek i</w:t>
      </w:r>
      <w:r w:rsidR="00584326">
        <w:t> </w:t>
      </w:r>
      <w:r w:rsidRPr="004B5235">
        <w:t>komórek”, pojęcie „system kodowania produktu” zastąpiono pojęciem „system kodowania tkanek i komórek”, pojęcie „sekwencji identyfikacyjnej produktu” zastąpiono pojęciem „sekwencji identyfikacyjnej tkanek i komórek”, pojęcie „unijnego kompendium produktów tkanek i komórek” zastąpiono pojęciem „</w:t>
      </w:r>
      <w:r>
        <w:t>europejskiego</w:t>
      </w:r>
      <w:r w:rsidRPr="004B5235">
        <w:t xml:space="preserve"> kompendium pr</w:t>
      </w:r>
      <w:r>
        <w:t>zetworzonych tkanek i komórek”.</w:t>
      </w:r>
    </w:p>
    <w:p w:rsidR="00EA0EB1" w:rsidRPr="009C6AA0" w:rsidRDefault="00EA0EB1" w:rsidP="00584326">
      <w:pPr>
        <w:pStyle w:val="ARTartustawynprozporzdzenia"/>
        <w:ind w:firstLine="0"/>
      </w:pPr>
      <w:r>
        <w:t xml:space="preserve">Jednocześnie, w celu wyeliminowania wątpliwości dotyczących zakresu stosowania ustawy, w art. 1 </w:t>
      </w:r>
      <w:r w:rsidR="00E75316">
        <w:t xml:space="preserve">w </w:t>
      </w:r>
      <w:r>
        <w:t>ust. 1 dodano pkt 3</w:t>
      </w:r>
      <w:r w:rsidR="00E75316">
        <w:t>,</w:t>
      </w:r>
      <w:r>
        <w:t xml:space="preserve"> wskazując, że przepisy ustawy znajdą </w:t>
      </w:r>
      <w:r>
        <w:lastRenderedPageBreak/>
        <w:t xml:space="preserve">zastosowanie do czynności donacji, pobierania, gromadzenia, testowania i dopuszczania do obiegu tkanek i komórek przeznaczonych do wytwarzania produktów leczniczych terapii zaawansowanej. 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>W art. 2 ust. 1 dodano nowe pojęci</w:t>
      </w:r>
      <w:r>
        <w:t>e</w:t>
      </w:r>
      <w:r w:rsidRPr="004B5235">
        <w:t>: „przeszczepianie”,</w:t>
      </w:r>
      <w:r>
        <w:t xml:space="preserve"> wynika</w:t>
      </w:r>
      <w:r w:rsidR="00E75316">
        <w:t>jące</w:t>
      </w:r>
      <w:r>
        <w:t xml:space="preserve"> z k</w:t>
      </w:r>
      <w:r w:rsidRPr="004B5235">
        <w:t>oniecznoś</w:t>
      </w:r>
      <w:r>
        <w:t>ci</w:t>
      </w:r>
      <w:r w:rsidRPr="004B5235">
        <w:t xml:space="preserve"> </w:t>
      </w:r>
      <w:r>
        <w:t xml:space="preserve">rozróżnienia w stosunku do </w:t>
      </w:r>
      <w:r w:rsidRPr="004B5235">
        <w:t>pojęcia „zastosowanie u ludzi”, które do tej pory odnosiło się do komórek, tkanek i narządów, a które powinno odnosić się tylko do tkanek i</w:t>
      </w:r>
      <w:r w:rsidR="00584326">
        <w:t> </w:t>
      </w:r>
      <w:r w:rsidRPr="004B5235">
        <w:t>komórek</w:t>
      </w:r>
      <w:r>
        <w:t>.</w:t>
      </w:r>
      <w:r w:rsidRPr="004B5235">
        <w:t xml:space="preserve"> Po drugie, wskazać należy, iż z jednej strony brak definicji pojęcia „przeszczepiania”, a z drugiej strony nie w pełni zdefiniowane pojęcie „zastosowanie u</w:t>
      </w:r>
      <w:r w:rsidR="00584326">
        <w:t> </w:t>
      </w:r>
      <w:r w:rsidRPr="004B5235">
        <w:t>ludzi” budziło poważne problemy natury praktycznej w zakresie wykorzystywania pobranych tkanek i komórek od dawcy na potrzeby medycyny transplantacyjnej. W</w:t>
      </w:r>
      <w:r w:rsidR="00584326">
        <w:t> </w:t>
      </w:r>
      <w:r w:rsidRPr="004B5235">
        <w:t>szczególności wiele kontrowersji co do legalnego wykorzystywania pobranych tkanek i komórek wzbudzało owo „zastosowanie u ludzi”, które nie było w istocie przeszczepianiem. W dotychczas obowiązującym stanie prawnym nie było możliwe, na gruncie wykładni ustawy, rozstrzygnięcie sporu czy „przeszczepianie” mieści się w</w:t>
      </w:r>
      <w:r w:rsidR="00584326">
        <w:t> </w:t>
      </w:r>
      <w:r w:rsidRPr="004B5235">
        <w:t>pojęciu „zastosowanie u ludzi”, czy też pojęcie „przeszczepiania” jest synonimem „zastosowania u ludzi”, a finalnie, czy legalne jest na gruncie ustawy użycie tkanek i</w:t>
      </w:r>
      <w:r w:rsidR="00584326">
        <w:t> </w:t>
      </w:r>
      <w:r w:rsidRPr="004B5235">
        <w:t>komórek takie, które nie jest przeszczepieniem, a użyciem przetworzonego materiału biologicznego powstałego z pobranych tkanek i komórek od dawcy na rzecz biorcy.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>Mając na względzie implementację ww. dyrektyw dotyczących bezpośrednio zagadnień związanych z tkankami i komórkami, pojawiła się tym samym pilna potrzeba zdefiniowania pojęcia „przeszczepianie” i pojęcia „zastosowanie u ludzi”, z</w:t>
      </w:r>
      <w:r w:rsidR="00584326">
        <w:t> </w:t>
      </w:r>
      <w:r w:rsidRPr="004B5235">
        <w:t>jednoczesnym oddzieleniem pod względem semantycznym obydwu pojęć i</w:t>
      </w:r>
      <w:r w:rsidR="00584326">
        <w:t> </w:t>
      </w:r>
      <w:r w:rsidRPr="004B5235">
        <w:t>doprecyzowaniem, czym od strony prawnej i od strony medycznej jest przeszczepianie, a czym jest zastosowanie u ludzi, a także</w:t>
      </w:r>
      <w:r w:rsidR="000316E3">
        <w:t>,</w:t>
      </w:r>
      <w:r w:rsidRPr="004B5235">
        <w:t xml:space="preserve"> jaki jest zakres owych pojęć.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>Je</w:t>
      </w:r>
      <w:r w:rsidR="000316E3">
        <w:t>ż</w:t>
      </w:r>
      <w:r w:rsidR="008C756B">
        <w:t>e</w:t>
      </w:r>
      <w:r w:rsidRPr="004B5235">
        <w:t>li chodzi o pojęcie „przeszczepianie”, to podstawę do zdefiniowania tego pojęcia</w:t>
      </w:r>
      <w:r>
        <w:t xml:space="preserve"> </w:t>
      </w:r>
      <w:r w:rsidRPr="004B5235">
        <w:t>stanowiła wiedza medyczna, a także brzmienie art. 3 pkt q dyrektywy Parlamentu Europejskiego i Rady 2010/53/UE z dnia 7 lipca 2010 r. w sprawie norm jakości i</w:t>
      </w:r>
      <w:r w:rsidR="00584326">
        <w:t> </w:t>
      </w:r>
      <w:r w:rsidRPr="004B5235">
        <w:t>bezpieczeństwa narządów ludzkich przeznaczonych do przeszczepienia (Dz. Urz</w:t>
      </w:r>
      <w:r w:rsidR="00584326">
        <w:t>. UE L 207 z 6.08.2010, str. 14–</w:t>
      </w:r>
      <w:r w:rsidRPr="004B5235">
        <w:t>29, z</w:t>
      </w:r>
      <w:r w:rsidR="000316E3">
        <w:t xml:space="preserve"> późn.</w:t>
      </w:r>
      <w:r w:rsidRPr="004B5235">
        <w:t xml:space="preserve"> zm.), zwanej dalej „dyrektywą 2010/53/UE”, który stanowi, iż: „przeszczepienie oznacza proces mający na celu przywrócenie niektórych funkcji ciała ludzkiego przez przeniesienie narządu dawcy do ciała biorcy” oraz „Global Glossary of Terms and Definitions on Donation and Transplantation” </w:t>
      </w:r>
      <w:r w:rsidRPr="004B5235">
        <w:lastRenderedPageBreak/>
        <w:t>opracowany przez Światową Organizację Zdrowia (WHO) w Genewie w listopadzie 2009 r., wedle którego: „transplantacja oznacza przeniesienie ludzkich komórek, tkanek lub narządów od dawcy do biorcy celem przywrócenia funkcji organizmu”.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>W związku z powyższym, biorąc pod uwagę wprowadzoną do art. 2 ust. 1 ustawy nową definicję „przeszczepiania” oraz mając na uwadze zmienioną treść definicji „zastosowanie u ludzi”</w:t>
      </w:r>
      <w:r w:rsidR="000316E3">
        <w:t>,</w:t>
      </w:r>
      <w:r w:rsidRPr="004B5235">
        <w:t xml:space="preserve"> wskazać należy, iż wyraźnie rozstrzygnięto, iż „zastosowanie u</w:t>
      </w:r>
      <w:r w:rsidR="00584326">
        <w:t> </w:t>
      </w:r>
      <w:r w:rsidRPr="004B5235">
        <w:t>ludzi” odnosi się tylko i wyłącznie do tkanek i komórek oraz do przetworzonych</w:t>
      </w:r>
      <w:r>
        <w:t>, bez istotnej manipulacji,</w:t>
      </w:r>
      <w:r w:rsidRPr="004B5235">
        <w:t xml:space="preserve"> tkanek i komórek; oraz że „zastosowanie u ludzi” nie jest tożsame z pojęciem „przeszczepianie”. „Przeszczepianie”</w:t>
      </w:r>
      <w:r w:rsidR="000316E3">
        <w:t>,</w:t>
      </w:r>
      <w:r w:rsidRPr="004B5235">
        <w:t xml:space="preserve"> zgodnie z dodaną do wspomnianego art. 2 ust. 1 ustawy definicją, jest procedurą leczniczą dokonywaną w celu przywrócenia niektórych upośledzonych lub utraconych w wyniku choroby funkcji organizmu na stałe aż do wyczerpania funkcji przeszczepu (np. przeszczep szpiku kostnego), natomiast zastosowanie jest pojęciem szerszym obejmującym </w:t>
      </w:r>
      <w:r>
        <w:t>wszelkie zastosowanie u ludzi, w</w:t>
      </w:r>
      <w:r w:rsidR="00584326">
        <w:t> </w:t>
      </w:r>
      <w:r>
        <w:t>tym</w:t>
      </w:r>
      <w:r w:rsidRPr="004B5235">
        <w:t xml:space="preserve"> czasowe uzupełnienie upośledzonej funkcji organizmu w wyniku procesu chorobowego (np. zastosowanie keratynocytów w procesie gojenia ran oparzeniowych, których celem jest zabezpieczenie rany i przyspieszenie jej gojenia przez odtworzenie uszkodzonej skóry).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 xml:space="preserve">Warto przy tym zwrócić uwagę, że w nowej definicji „zastosowania u ludzi” wskazano na formę użycia tkanek i komórek u biorcy, tzn. owo zastosowanie obejmuje zarówno umieszczenie, podanie tkanek i komórek do organizmu biorcy (np. limfocytów), jak </w:t>
      </w:r>
      <w:r w:rsidR="000316E3">
        <w:t xml:space="preserve">i </w:t>
      </w:r>
      <w:r w:rsidRPr="004B5235">
        <w:t>obejmuje użycie na organizmie biorcy (np. umieszczenie na powierzchni rany oparzeniowej biorcy wspomnianych keratynocytów).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>W zakresie definicji pojęcia „istotnego zdarzenia niepożądanego” dokonano zmiany jego brzmienia polegającej na dodaniu do katalogu skutków negatywnych zdarzeń mających miejsce przy wykonywaniu czynności związanych z komórkami, tkankami i</w:t>
      </w:r>
      <w:r w:rsidR="00584326">
        <w:t> </w:t>
      </w:r>
      <w:r w:rsidRPr="004B5235">
        <w:t>narządami: niepełnosprawności i niezdolności do pracy. Przy czym, gdy mowa jest w</w:t>
      </w:r>
      <w:r w:rsidR="00584326">
        <w:t> </w:t>
      </w:r>
      <w:r w:rsidRPr="004B5235">
        <w:t>projekcie o niepełnosprawności, to chodzi o niepełnosprawność w rozumieniu art. 2 pkt 10 ustawy z dnia 27 sierpnia 1997 r. o rehabilitacji zawodowej i społecznej oraz zatrudnianiu osób niepełnosprawnych (Dz. U. z 2011 r. poz. 721, z późn. zm.), zaś gdy mowa jest o niezdolności do pracy, to chodzi o niezdolność do pracy w rozumieniu ustawy z dnia 17 grudnia 1998 r. o emeryturach i rentach z Funduszu Ubezpieczeń Społecznych (Dz. U. z</w:t>
      </w:r>
      <w:r>
        <w:t xml:space="preserve"> </w:t>
      </w:r>
      <w:r w:rsidR="0091633D">
        <w:t>2016 r. poz. 887</w:t>
      </w:r>
      <w:r w:rsidR="00807FFD">
        <w:t>, z późn. zm.</w:t>
      </w:r>
      <w:r w:rsidRPr="004B5235">
        <w:t xml:space="preserve">). Zmiana ta wynika z konieczności </w:t>
      </w:r>
      <w:r w:rsidRPr="004B5235">
        <w:lastRenderedPageBreak/>
        <w:t>pełnej implementacji art. 2 pkt m dyrektywy 2004/23/WE, w której mowa jest o wspomnianej niepełnosprawności oraz o niezdolności do pracy (ang. disabling or incapacitating). Poza tym do definicji w zakresie ujemnych następstw powyższych zdarzeń niepożądanych dodano tryb przypuszczający („mogące prowadzić”, „mogące powodować”). Zmiana ta jest</w:t>
      </w:r>
      <w:r w:rsidRPr="0048252F">
        <w:t xml:space="preserve"> </w:t>
      </w:r>
      <w:r w:rsidRPr="004B5235">
        <w:t>uzasadniona koniecznością zapobiegania istotnym reakcjom niepożądanym wynikającym z istotnego zdarzenia niepożądanego, np. nie jest konieczne „czekanie” na wystąpienie sytuacji zagrożenia życia dla chorego w związku z</w:t>
      </w:r>
      <w:r w:rsidR="00584326">
        <w:t> </w:t>
      </w:r>
      <w:r w:rsidRPr="004B5235">
        <w:t>nastąpieniem istotnego zdarzenia niepożądanego w postaci przeprowadzonego w</w:t>
      </w:r>
      <w:r w:rsidR="00584326">
        <w:t> </w:t>
      </w:r>
      <w:r w:rsidRPr="004B5235">
        <w:t>nieprawidłowych warunkach transportu materiału biologicznego (komórek, tkanek lub narządu) do ośrodka, w którym ma on być przeszczepiony lub zastosowany.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>
        <w:t xml:space="preserve">W art. 2 </w:t>
      </w:r>
      <w:r w:rsidRPr="004B5235">
        <w:t>ust. 1 zmieniono definicję pojęcia „narząd” w ten sposób, że do dotychczasowej definicji dodano zdanie drugie, wedle którego: „przez narząd rozumie się również część narządu, jeżeli ma ona być wykorzystana w organizmie ludzkim w</w:t>
      </w:r>
      <w:r w:rsidR="00584326">
        <w:t> </w:t>
      </w:r>
      <w:r>
        <w:t>tym samym celu co cały narząd</w:t>
      </w:r>
      <w:r w:rsidRPr="004B5235">
        <w:t>”. Brzmienie tego przepisu zawiera normę odnoszącą się do zdefiniowania części narządu w art. 3 pkt h dyrektywy 2010/53/UE. Wskazać należy, że w dotychczas obowiązującym stanie prawnym brakowało wyraźnego rozróżnienia między tkanką a częścią narządu, zwłaszcza w kontekście przeszczepień narządowych, w których niekiedy przeszczepia się zamiast całego narządu jedynie tylko jego cz</w:t>
      </w:r>
      <w:r w:rsidR="000316E3">
        <w:t>ę</w:t>
      </w:r>
      <w:r w:rsidRPr="004B5235">
        <w:t>ść. Tak jest m.in. w przypadku przeszczepów rodzinnych wątroby, w których od dawcy spokrewnionego z biorcą pobiera się jedynie płat wątroby i następnie go implantuje do organizmu biorcy, gdzie w organizmie biorcy płat ten pełni taką samą funkcję jak cała niepodzielona wątroba (zob. m.in. Krawczyk Marek, Zaborowski Piotr, Pączek Leszek, Przeszczepianie wątroby, (w:) Pączek Leszek, Rowiński Wojciech, Wałaszewski Janusz (2004), Transplantologia kliniczna, wyd. 1, Warszawa: PZWL). Z</w:t>
      </w:r>
      <w:r w:rsidR="00584326">
        <w:t> </w:t>
      </w:r>
      <w:r w:rsidRPr="004B5235">
        <w:t>kolei, je</w:t>
      </w:r>
      <w:r w:rsidR="000316E3">
        <w:t>ż</w:t>
      </w:r>
      <w:r w:rsidR="00BC7CEC">
        <w:t>e</w:t>
      </w:r>
      <w:r w:rsidRPr="004B5235">
        <w:t xml:space="preserve">li chodzi o tkanki, to wskazać należy, iż wiele z tych tkanek, które zostały pobrane z narządów, stanowią </w:t>
      </w:r>
      <w:r w:rsidRPr="00BC7CEC">
        <w:rPr>
          <w:i/>
        </w:rPr>
        <w:t>de facto</w:t>
      </w:r>
      <w:r w:rsidRPr="004B5235">
        <w:t xml:space="preserve"> część narządu. Tkanki te mimo że pochodzą z</w:t>
      </w:r>
      <w:r w:rsidR="00584326">
        <w:t> </w:t>
      </w:r>
      <w:r w:rsidRPr="004B5235">
        <w:t>narządów (je</w:t>
      </w:r>
      <w:r w:rsidR="00654A93">
        <w:t>ż</w:t>
      </w:r>
      <w:r w:rsidR="00BC7CEC">
        <w:t>e</w:t>
      </w:r>
      <w:r w:rsidRPr="004B5235">
        <w:t>li zostały one pobrane z narządów), wciąż są tylko tkankami, a nie częściami narządu zdolnymi zastępować cały narząd. Mając więc na względzie wyżej wskazane wątpliwości natury prawnej i semantycznej obecne w dotychczasowym stanie prawnym, a jednocześnie mając na względzie funkcję prawa medycznego, jaką jest udzielanie wsparcia prawnego i podstaw prawnych dla działań medycznych – zmiana powyższa była niezbędna</w:t>
      </w:r>
      <w:r w:rsidR="00654A93">
        <w:t>,</w:t>
      </w:r>
      <w:r w:rsidRPr="004B5235">
        <w:t xml:space="preserve"> zwłaszcza biorąc pod uwagę implementację dyrektyw 2015/565 i 2015/566 dotyczących tkanek i komórek.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lastRenderedPageBreak/>
        <w:t>W art. 2 ust. 1 dodano definicję „przywozu”. Definicja ta została dodana w związku z</w:t>
      </w:r>
      <w:r w:rsidR="00584326">
        <w:t> </w:t>
      </w:r>
      <w:r w:rsidRPr="004B5235">
        <w:t xml:space="preserve">dodaniem do zmienianej ustawy definicji nowego pojęcia „jednorazowego przywozu”, a także definicji „działalności przywozowej”. Dodanie definicji „przywozu” ma na celu wykluczenie ewentualnych nieporozumień i problemów interpretacyjnych związanych zarówno z definicjami nowych pojęć, jak </w:t>
      </w:r>
      <w:r w:rsidR="00654A93">
        <w:t>i</w:t>
      </w:r>
      <w:r w:rsidR="00654A93" w:rsidRPr="004B5235">
        <w:t xml:space="preserve"> </w:t>
      </w:r>
      <w:r w:rsidRPr="004B5235">
        <w:t xml:space="preserve">wykładni art. 37a, który reguluje zarówno przywóz, jak i wywóz komórek, tkanek i narządów. Wskazać przy tym należy, iż odstąpiono od definiowania pojęcia „wywozu”, </w:t>
      </w:r>
      <w:r w:rsidR="00654A93">
        <w:t>gdyż</w:t>
      </w:r>
      <w:r w:rsidR="00654A93" w:rsidRPr="004B5235">
        <w:t xml:space="preserve"> </w:t>
      </w:r>
      <w:r w:rsidRPr="004B5235">
        <w:t xml:space="preserve">implementowane dyrektywy nie dotyczą wywozu komórek, tkanek i narządów, i co więcej, implementacja ww. dyrektyw nie zmienia zarówno dotychczas obowiązującej regulacji w zakresie wspomnianego wywozu, jak </w:t>
      </w:r>
      <w:r w:rsidR="00654A93">
        <w:t>i</w:t>
      </w:r>
      <w:r w:rsidR="00654A93" w:rsidRPr="004B5235">
        <w:t xml:space="preserve"> </w:t>
      </w:r>
      <w:r w:rsidRPr="004B5235">
        <w:t>nie ma wpływu na obecnie ugruntowaną praktykę stosowania art. 37a w zakresie wspomnianego wywozu.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>W art. 25 dokonano zmiany jego treści polegającej na dodaniu do zamkniętego katalogu czynności</w:t>
      </w:r>
      <w:r w:rsidR="0091633D">
        <w:t>,</w:t>
      </w:r>
      <w:r w:rsidRPr="004B5235">
        <w:t xml:space="preserve"> do wykonywania których tworzone są banki tkanek i komórek w postaci:</w:t>
      </w:r>
      <w:r>
        <w:t xml:space="preserve"> </w:t>
      </w:r>
      <w:r w:rsidR="00654A93">
        <w:t>„</w:t>
      </w:r>
      <w:r>
        <w:t>dopuszczenia do obiegu</w:t>
      </w:r>
      <w:r w:rsidR="00654A93">
        <w:t>”</w:t>
      </w:r>
      <w:r>
        <w:t xml:space="preserve"> i</w:t>
      </w:r>
      <w:r w:rsidRPr="004B5235">
        <w:t xml:space="preserve"> „prowadzenia działalności przywozowej”. Ponadto w</w:t>
      </w:r>
      <w:r w:rsidR="00584326">
        <w:t> </w:t>
      </w:r>
      <w:r w:rsidRPr="004B5235">
        <w:t>artykule tym poszerzono cel użycia tkanek i komórek, w związku z którym mają być dokonywane wymienione w art. 25 czynności. Dotychczas tkanki i komórki przeznaczone były do przeszczepienia. Zgod</w:t>
      </w:r>
      <w:r>
        <w:t>nie zaś z projektowanym art. 25</w:t>
      </w:r>
      <w:r w:rsidRPr="004B5235">
        <w:t xml:space="preserve"> tkanki i</w:t>
      </w:r>
      <w:r w:rsidR="00584326">
        <w:t> </w:t>
      </w:r>
      <w:r w:rsidRPr="004B5235">
        <w:t xml:space="preserve">komórki przeznaczone mają być nie tylko do przeszczepiania, ale także do zastosowania u ludzi. </w:t>
      </w:r>
      <w:r w:rsidRPr="00560736">
        <w:rPr>
          <w:i/>
        </w:rPr>
        <w:t>Ratio legis</w:t>
      </w:r>
      <w:r w:rsidRPr="004B5235">
        <w:t xml:space="preserve"> tej zmiany wynika z tego, iż przeszczep tkanek i</w:t>
      </w:r>
      <w:r w:rsidR="00584326">
        <w:t> </w:t>
      </w:r>
      <w:r w:rsidRPr="004B5235">
        <w:t>komórek, ale także narządów, oznacza nic innego jak przeniesienie ich od dawcy do biorcy, gdzie jednocześnie wypada podkreślić, iż w trakcie owego przenoszenia tkanki i</w:t>
      </w:r>
      <w:r w:rsidR="00584326">
        <w:t> </w:t>
      </w:r>
      <w:r w:rsidRPr="004B5235">
        <w:t>komórki, a także narządy (pojęcie przeszczepiania odnosi się zarówno do tkanek i</w:t>
      </w:r>
      <w:r w:rsidR="00584326">
        <w:t> </w:t>
      </w:r>
      <w:r w:rsidRPr="004B5235">
        <w:t>komórek, jak i do narządów oraz części narządów mogących pełnić funkcję narządu po przeszczepieniu) nie ulegają właściwie jakimkolwiek zmianom, czy to strukturalnym, czy morfologicznym. Wiele jednak przeniesień tkanek i komórek od dawcy do biorcy nazywanych w pewnym uproszczeniu „przeszczepianiem” dokonuje się w ten sposób, że tkanka i komórka zanim trafi do organizmu biorcy poddawana jest modyfikacjom powodującym zmianę struktury, morfologii lub też właściwości przenoszonej tkanki lub komórki z organizmu dawcy do organizmu biorcy (tzn. ulega przetworzeniu w rozumieniu art. 2 ust. 1 pkt 37 projektu). Co więcej, zgodnie z</w:t>
      </w:r>
      <w:r w:rsidR="00584326">
        <w:t> </w:t>
      </w:r>
      <w:r w:rsidRPr="004B5235">
        <w:t xml:space="preserve">wcześniej przywoływanym art. 3 pkt q dyrektywy 2010/53/UE, o ile przeszczep ma na celu przywrócenie funkcji organizmu upośledzonych w znacznym stopniu lub wręcz utraconych w wyniku procesu chorobowego toczącego się w organizmie biorcy, gdzie </w:t>
      </w:r>
      <w:r w:rsidRPr="004B5235">
        <w:lastRenderedPageBreak/>
        <w:t>jednocześnie owa przeniesiona tkanka i komórka pozostaje na trwałe w organizmie biorcy (np. przeszczepiona rogówka), o tyle zastosowanie u ludzi</w:t>
      </w:r>
      <w:r w:rsidR="00654A93">
        <w:t>,</w:t>
      </w:r>
      <w:r w:rsidRPr="004B5235">
        <w:t xml:space="preserve"> mając na względzie zarówno treść art. 3 pkt l dyrektywy 2004/23/WE, jak i praktykę medyczną, ma na celu tymczasowe uzupełnienie wybranej funkcji organizmu upośledzonej w wyniku toczącego się procesu chorobowego w organizmie biorcy i gdzie jednocześnie owa przeniesiona tkanka lub komórka obecna jest w organizmie biorcy wyłącznie przez czas trwania procesu terapeutycznego.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 xml:space="preserve">Mając na względzie dość obszerne zmiany w redakcji art. 26 postanowiono w związku z nimi nadać nowe brzmienie całemu art. 26. 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>Dotychczasowe przepisy zmienianego artykułu 26 zostały zmienione w ten sposób, że określono warunki</w:t>
      </w:r>
      <w:r w:rsidR="00643310">
        <w:t>,</w:t>
      </w:r>
      <w:r w:rsidRPr="004B5235">
        <w:t xml:space="preserve"> jakie winien spełniać wniosek obejmujący działa</w:t>
      </w:r>
      <w:r w:rsidR="00584326">
        <w:t>lność przywozową. Dodano ust. 9–</w:t>
      </w:r>
      <w:r w:rsidRPr="004B5235">
        <w:t>1</w:t>
      </w:r>
      <w:r>
        <w:t>3</w:t>
      </w:r>
      <w:r w:rsidRPr="004B5235">
        <w:t>, które dotyczą zasad przydzielania bankom tkanek i komórek niepowtarzalnego numeru na potrzeby jednolitego kodu europejskiego, przekazania danych tego banku do unijnego kompendium banków tkanek i komórek, wydawania na rzecz tych banków świadectw uzyskania pozwolenia przez ministra właściwego do spraw zdrowia na prowadzenie działalności przywozowej wraz ze składowymi tego świadectwa. W ust. 1</w:t>
      </w:r>
      <w:r>
        <w:t>3</w:t>
      </w:r>
      <w:r w:rsidRPr="004B5235">
        <w:t xml:space="preserve"> zawarto delegację dla ministra do spraw zdrowia do określenia</w:t>
      </w:r>
      <w:r w:rsidR="00643310">
        <w:t>,</w:t>
      </w:r>
      <w:r w:rsidRPr="004B5235">
        <w:t xml:space="preserve"> w</w:t>
      </w:r>
      <w:r w:rsidR="00584326">
        <w:t> </w:t>
      </w:r>
      <w:r w:rsidRPr="004B5235">
        <w:t>drodze rozporządzenia</w:t>
      </w:r>
      <w:r w:rsidR="00643310">
        <w:t>,</w:t>
      </w:r>
      <w:r w:rsidRPr="004B5235">
        <w:t xml:space="preserve"> wzoru ww. świadectwa.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 xml:space="preserve">W art. 27 nadano nowe brzmienie ust. 1, w którym </w:t>
      </w:r>
      <w:r w:rsidR="00584326">
        <w:t>postanowiono, iż banki tkanek i </w:t>
      </w:r>
      <w:r w:rsidRPr="004B5235">
        <w:t>komórek zobowiązane są do niezwłocznego informowania Krajowego Centrum Bankowania Tkanek i Komórek o wszelkich zm</w:t>
      </w:r>
      <w:r w:rsidR="00584326">
        <w:t>ianach danych, o których mowa w </w:t>
      </w:r>
      <w:r w:rsidRPr="004B5235">
        <w:t xml:space="preserve">projektowanym </w:t>
      </w:r>
      <w:r w:rsidRPr="00780DD4">
        <w:t>art. 26 ust. 4</w:t>
      </w:r>
      <w:r w:rsidR="00780DD4" w:rsidRPr="00C310D8">
        <w:t xml:space="preserve"> i 6</w:t>
      </w:r>
      <w:r w:rsidR="00643310">
        <w:t>,</w:t>
      </w:r>
      <w:r w:rsidR="00780DD4" w:rsidRPr="00C310D8">
        <w:t xml:space="preserve"> oraz do przedłożenia, w przypadku zmiany, dokumentów, o których mowa</w:t>
      </w:r>
      <w:r w:rsidR="00584326">
        <w:t xml:space="preserve"> </w:t>
      </w:r>
      <w:r w:rsidR="00780DD4" w:rsidRPr="00C310D8">
        <w:t xml:space="preserve">w </w:t>
      </w:r>
      <w:r w:rsidR="008D28D2">
        <w:t xml:space="preserve">art. 26 </w:t>
      </w:r>
      <w:r w:rsidR="00780DD4" w:rsidRPr="00C310D8">
        <w:t>ust. 5.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780DD4">
        <w:t>W art. 27 po ust. 1 dodano ust. 1a</w:t>
      </w:r>
      <w:r w:rsidR="00584326">
        <w:t>–</w:t>
      </w:r>
      <w:r w:rsidR="00780DD4">
        <w:t>1g. Ustęp 1a</w:t>
      </w:r>
      <w:r w:rsidRPr="00780DD4">
        <w:t xml:space="preserve"> stanowi, że banki tkanek i komórek </w:t>
      </w:r>
      <w:r w:rsidR="00780DD4">
        <w:t xml:space="preserve">informują niezwłocznie </w:t>
      </w:r>
      <w:r w:rsidRPr="00780DD4">
        <w:t>Krajowe Centrum Bankowania Tkanek i Komórek o</w:t>
      </w:r>
      <w:r w:rsidR="00780DD4">
        <w:t xml:space="preserve"> każdym całkowitym lub częściowym cofnięciu lub zawieszeniu uprawnień dostawcy z państwa trzeciego do wywozu tkanek lub komórek. W </w:t>
      </w:r>
      <w:r w:rsidRPr="00780DD4">
        <w:t>ustęp</w:t>
      </w:r>
      <w:r w:rsidR="005C4F09">
        <w:t>ach</w:t>
      </w:r>
      <w:r w:rsidRPr="00780DD4">
        <w:t xml:space="preserve"> 1</w:t>
      </w:r>
      <w:r w:rsidR="005C4F09">
        <w:t>e</w:t>
      </w:r>
      <w:r w:rsidR="00584326">
        <w:t>–</w:t>
      </w:r>
      <w:r w:rsidRPr="00780DD4">
        <w:t>1g zdefiniowano</w:t>
      </w:r>
      <w:r w:rsidR="00643310">
        <w:t>,</w:t>
      </w:r>
      <w:r w:rsidRPr="00780DD4">
        <w:t xml:space="preserve"> czym są „istotne zmiany” w odniesieniu do przywożonych tkanek i komórek oraz skutków dokonania przywozu jednorazowego tkanek i komórek z państwa trzeciego przez bank tkanek i komórek. 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lastRenderedPageBreak/>
        <w:t xml:space="preserve">Po art. 31 </w:t>
      </w:r>
      <w:r>
        <w:t xml:space="preserve">ustawy </w:t>
      </w:r>
      <w:r w:rsidRPr="004B5235">
        <w:t>dodano art. 31a zawierający minimalne wymogi dotyczące treści pisemnych umów zawieranych między bankami tkanek i komórek dokonującymi przywozu a dostawcami z państw trzecich.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 xml:space="preserve">Nadano nowe brzmienie art. 34 </w:t>
      </w:r>
      <w:r>
        <w:t xml:space="preserve">ustawy </w:t>
      </w:r>
      <w:r w:rsidRPr="004B5235">
        <w:t>w ten sposób, że banki tkanek i komórek zostały zobowiązane do przechowywania przez co najmniej 30 lat dokumentacji dotyczącej przechowywanych i wydawanych tkanek i komórek w celu przeszczepiania, w sposób umożliwiający identyfikację dawców i biorców wspomnianych tkanek i komórek.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 xml:space="preserve">W art. 35 </w:t>
      </w:r>
      <w:r>
        <w:t xml:space="preserve">ustawy </w:t>
      </w:r>
      <w:r w:rsidRPr="004B5235">
        <w:t>po ust. 1 dodano ust. 1a–1c dotyczące kontroli, o której mowa w</w:t>
      </w:r>
      <w:r w:rsidR="00584326">
        <w:t> </w:t>
      </w:r>
      <w:r w:rsidRPr="004B5235">
        <w:t>art.</w:t>
      </w:r>
      <w:r w:rsidR="00584326">
        <w:t> </w:t>
      </w:r>
      <w:r w:rsidRPr="004B5235">
        <w:t>35 ust. 1 ustawy,</w:t>
      </w:r>
      <w:r>
        <w:t xml:space="preserve"> </w:t>
      </w:r>
      <w:r w:rsidRPr="004B5235">
        <w:t>przeprowadzanej przez ministra właściwego do spraw zdrowia na uzasadniony wniosek złożony przez właściwy organ państwa członkowskiego Unii Europejskiej odpowiedzialny za organizowanie inspekcji i kontroli banków tkanek i</w:t>
      </w:r>
      <w:r w:rsidR="00584326">
        <w:t> </w:t>
      </w:r>
      <w:r w:rsidRPr="004B5235">
        <w:t>komórek w danym państwie członkowskim.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 xml:space="preserve">W art. 37a </w:t>
      </w:r>
      <w:r>
        <w:t xml:space="preserve">ustawy </w:t>
      </w:r>
      <w:r w:rsidRPr="004B5235">
        <w:t>po ust. 3 dodano ust. 3a dotyczący warunków formalnych dokonania jednorazowego przywozu tkanek lub komórek na terytorium Rzeczypospolitej Polskiej</w:t>
      </w:r>
      <w:r w:rsidR="007A24C3">
        <w:t>,</w:t>
      </w:r>
      <w:r w:rsidRPr="004B5235">
        <w:t xml:space="preserve"> przeznaczonych dla zamierzonego biorcy lub zamierzonych biorców, przez bank tkanek i komórek od dostawcy z państwa trzeciego za zgodą dyrektora Krajowego Centrum Bankowania Tkanek i Komórek.</w:t>
      </w:r>
    </w:p>
    <w:p w:rsidR="00EA0EB1" w:rsidRPr="004B5235" w:rsidRDefault="007A24C3" w:rsidP="00584326">
      <w:pPr>
        <w:pStyle w:val="NIEARTTEKSTtekstnieartykuowanynppodstprawnarozplubpreambua"/>
        <w:ind w:firstLine="0"/>
      </w:pPr>
      <w:r>
        <w:t>Art.</w:t>
      </w:r>
      <w:r w:rsidR="00EA0EB1" w:rsidRPr="004B5235">
        <w:t xml:space="preserve"> 37b nadano nowe brzmienie, dostosowując jego przepisy dotyczące oznaczania komórek i tkanek w sposób umożliwiający identyfikację ich dawcy – do wprowadzanego dyrektywą 2015/565 jednolitego kodu europejskiego.</w:t>
      </w:r>
      <w:r w:rsidR="00EA0EB1">
        <w:t xml:space="preserve"> Z konieczności stosowania jednolitego kodu europejskiego zwolnione zostały narządy</w:t>
      </w:r>
      <w:r w:rsidR="005C4F09">
        <w:t xml:space="preserve"> oraz</w:t>
      </w:r>
      <w:r w:rsidR="00584326">
        <w:t xml:space="preserve"> </w:t>
      </w:r>
      <w:r w:rsidR="00EA0EB1">
        <w:t>komórki i</w:t>
      </w:r>
      <w:r w:rsidR="00584326">
        <w:t> </w:t>
      </w:r>
      <w:r w:rsidR="00EA0EB1">
        <w:t xml:space="preserve">tkanki przywożone w ramach nagłego przypadku oraz te </w:t>
      </w:r>
      <w:r w:rsidR="00EA0EB1" w:rsidRPr="000748EC">
        <w:t>dystrybuowane bezpośrednio w celu natychmiastowego przeszczepienia lub zastosowania u ludzi</w:t>
      </w:r>
      <w:r w:rsidR="00EA0EB1">
        <w:t>, przez bank</w:t>
      </w:r>
      <w:r w:rsidR="00EA0EB1" w:rsidRPr="000748EC">
        <w:t xml:space="preserve"> tkanek i</w:t>
      </w:r>
      <w:r w:rsidR="00584326">
        <w:t> </w:t>
      </w:r>
      <w:r w:rsidR="00EA0EB1" w:rsidRPr="000748EC">
        <w:t>komórek, który posiada ważne pozwolenie</w:t>
      </w:r>
      <w:r w:rsidR="00EA0EB1">
        <w:t>.</w:t>
      </w:r>
    </w:p>
    <w:p w:rsidR="005C4F09" w:rsidRDefault="00EA0EB1" w:rsidP="00584326">
      <w:pPr>
        <w:pStyle w:val="NIEARTTEKSTtekstnieartykuowanynppodstprawnarozplubpreambua"/>
        <w:ind w:firstLine="0"/>
      </w:pPr>
      <w:r w:rsidRPr="004B5235">
        <w:t>Art</w:t>
      </w:r>
      <w:r>
        <w:t>.</w:t>
      </w:r>
      <w:r w:rsidRPr="004B5235">
        <w:t xml:space="preserve"> 37e </w:t>
      </w:r>
      <w:r>
        <w:t xml:space="preserve">ustawy </w:t>
      </w:r>
      <w:r w:rsidRPr="004B5235">
        <w:t>nadano nowe brzmienie w ten sposób, że ministra właściwego do spraw zdrowia upoważniono do wydania przepisów wykonawczych regulujących następujące kwestie: sposób tworzenia niepowtarzalnego oznakowania umożliwiającego identyfikację dawcy komórek i tkanek</w:t>
      </w:r>
      <w:r w:rsidR="00C5123F">
        <w:t>,</w:t>
      </w:r>
      <w:r w:rsidRPr="004B5235">
        <w:t xml:space="preserve"> oraz sposób oznaczania komórek i tkanek – w postaci zastosowania jednolitego kodu europejskiego; sposób tworzenia niepowtarzalnego oznakowania umożliwiającego identyfikację dawcy komórek i </w:t>
      </w:r>
      <w:r w:rsidR="005C4F09">
        <w:t>tkanek</w:t>
      </w:r>
      <w:r w:rsidRPr="004B5235">
        <w:t xml:space="preserve"> oraz sposób oznaczania komórek i tkanek – bez zastosowania jednolitego kodu europejskiego – w przypadkach, o których mowa w art. 37b ust. 2 pkt</w:t>
      </w:r>
      <w:r w:rsidR="00584326">
        <w:t> </w:t>
      </w:r>
      <w:r w:rsidRPr="004B5235">
        <w:t xml:space="preserve">2; sposób </w:t>
      </w:r>
      <w:r w:rsidRPr="004B5235">
        <w:lastRenderedPageBreak/>
        <w:t>tworzenia niepowtarzalnego oznakowania umożliwiającego identyfikację dawcy narządów oraz sposób oznaczania narządów, za pomocą tego oznakowania; szczegółowych wymagań w zakresie monitorowania, o którym mowa w art. 37c ust. 3, z uwzględnieniem konieczności zapewnienia bezpieczeństwa zdrowotnego biorców.</w:t>
      </w:r>
      <w:r>
        <w:t xml:space="preserve"> </w:t>
      </w:r>
    </w:p>
    <w:p w:rsidR="00EA0EB1" w:rsidRDefault="00EA0EB1" w:rsidP="00584326">
      <w:pPr>
        <w:pStyle w:val="NIEARTTEKSTtekstnieartykuowanynppodstprawnarozplubpreambua"/>
        <w:ind w:firstLine="0"/>
      </w:pPr>
      <w:r w:rsidRPr="004B5235">
        <w:t xml:space="preserve">W art. 39 w ust. 3 dodano pkt 8 dotyczący obowiązku monitorowania przez Krajowe Centrum Bankowania Tkanek i Komórek – danych dotyczących polskich banków tkanek i komórek gromadzonych w </w:t>
      </w:r>
      <w:r>
        <w:t xml:space="preserve">europejskim </w:t>
      </w:r>
      <w:r w:rsidRPr="004B5235">
        <w:t>kompendium banków tkanek i</w:t>
      </w:r>
      <w:r w:rsidR="00584326">
        <w:t> </w:t>
      </w:r>
      <w:r w:rsidRPr="004B5235">
        <w:t>komórek.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 xml:space="preserve">W art. 42 w ust. 3 </w:t>
      </w:r>
      <w:r>
        <w:t xml:space="preserve">ustawy </w:t>
      </w:r>
      <w:r w:rsidRPr="004B5235">
        <w:t>pkt 1a nadano nowe brzmienie, w którym zobowiązano ministra właściwego do spraw zdrowia do przedstawiania Komisji Europejskiej corocznie, w terminie do dnia 30 czerwca, sprawozdania rocznego dotyczącego powiadamiania o istotnych zdarzeniach niepożądanych i o istotnych niepożądanych reakcjach w zakresie pobierania, testowania, przetwarzania, sterylizacji, przechowywania, przywozu i wywozu, dystrybucji i przeszczepiania komórek i tkanek.</w:t>
      </w:r>
    </w:p>
    <w:p w:rsidR="00EA0EB1" w:rsidRDefault="00EA0EB1" w:rsidP="00584326">
      <w:pPr>
        <w:pStyle w:val="NIEARTTEKSTtekstnieartykuowanynppodstprawnarozplubpreambua"/>
        <w:ind w:firstLine="0"/>
      </w:pPr>
      <w:r w:rsidRPr="004B5235">
        <w:t xml:space="preserve">Mając na względzie wprowadzenie do zmienianej ustawy definicji „przeszczepiania”, a także w związku z dokonaniem redefinicji pojęcia „zastosowanie u ludzi” – dostosowano do tych zmian przepisy karne ustawy, a dokładnie dostosowano art. 43, art. 44 i art. 46. W przepisach tych poza ich dostosowaniem do wspomnianych definicji nie dokonano żadnych zmian z wyjątkiem </w:t>
      </w:r>
      <w:r>
        <w:t xml:space="preserve">art. 44 i </w:t>
      </w:r>
      <w:r w:rsidRPr="004B5235">
        <w:t xml:space="preserve">art. 46. </w:t>
      </w:r>
    </w:p>
    <w:p w:rsidR="00EA0EB1" w:rsidRPr="003A09D9" w:rsidRDefault="00EA0EB1" w:rsidP="00584326">
      <w:pPr>
        <w:pStyle w:val="ARTartustawynprozporzdzenia"/>
        <w:ind w:firstLine="0"/>
      </w:pPr>
      <w:r w:rsidRPr="005C4F09">
        <w:t>W projektowanym art. 44 ustawy zrezygnowano ze wskazania, iż przepis dotyczy „cudzej” komórki, tkanki lub narządu, rozszerzając tym samym zakres regulacji np.</w:t>
      </w:r>
      <w:r w:rsidR="00584326">
        <w:t> </w:t>
      </w:r>
      <w:r w:rsidRPr="005C4F09">
        <w:t>o</w:t>
      </w:r>
      <w:r w:rsidR="00584326">
        <w:t> </w:t>
      </w:r>
      <w:r w:rsidRPr="005C4F09">
        <w:t>osoby, które zaoferowały swoje komórki, tkanki czy narządy w celu osiągnięcia korzyści majątkowej. Uzasadnieniem tej zmiany jest powszechnie obowiązujący standard, zgodnie z którym wszelk</w:t>
      </w:r>
      <w:r w:rsidR="0032106A">
        <w:t>ie</w:t>
      </w:r>
      <w:r w:rsidRPr="005C4F09">
        <w:t xml:space="preserve"> donacj</w:t>
      </w:r>
      <w:r w:rsidR="0032106A">
        <w:t>e</w:t>
      </w:r>
      <w:r w:rsidRPr="005C4F09">
        <w:t xml:space="preserve"> powinn</w:t>
      </w:r>
      <w:r w:rsidR="0032106A">
        <w:t>y</w:t>
      </w:r>
      <w:r w:rsidRPr="005C4F09">
        <w:t xml:space="preserve"> być honorowe, altruistyczne i nie powinn</w:t>
      </w:r>
      <w:r w:rsidR="0032106A">
        <w:t>y</w:t>
      </w:r>
      <w:r w:rsidRPr="005C4F09">
        <w:t xml:space="preserve"> wiązać się żadną korzyścią majątkową czy osobistą.</w:t>
      </w:r>
      <w:r w:rsidR="005C4F09" w:rsidRPr="00C310D8">
        <w:t xml:space="preserve"> </w:t>
      </w:r>
      <w:r w:rsidR="00C310D8">
        <w:t>N</w:t>
      </w:r>
      <w:r w:rsidR="00B97483">
        <w:t>atomiast</w:t>
      </w:r>
      <w:r w:rsidR="00C310D8">
        <w:t xml:space="preserve"> </w:t>
      </w:r>
      <w:r w:rsidR="00F84E53">
        <w:t>w</w:t>
      </w:r>
      <w:r w:rsidR="005C4F09">
        <w:t xml:space="preserve"> przypadku osób, które działały w związku z krytycznym położeniem, ich samych lub osób im najbliższych, wprowadzono możliwość zastosowania przez sąd nadzwyczajnego złagodzenia kary lub odstąpienia od jej wymierzenia. W przypadku jednak gdy sprawca z popełnienia przestępstwa uczynił sobie stałe źródło dochodu, podlegać on będzie karze pozbawienia wolności od roku do 10 lat.</w:t>
      </w:r>
      <w:r w:rsidR="00584326">
        <w:t xml:space="preserve"> </w:t>
      </w:r>
    </w:p>
    <w:p w:rsidR="00EA0EB1" w:rsidRPr="003A09D9" w:rsidRDefault="00EA0EB1" w:rsidP="00584326">
      <w:pPr>
        <w:pStyle w:val="NIEARTTEKSTtekstnieartykuowanynppodstprawnarozplubpreambua"/>
        <w:ind w:firstLine="0"/>
      </w:pPr>
      <w:r>
        <w:t xml:space="preserve">W odniesieniu do art. 46, </w:t>
      </w:r>
      <w:r w:rsidR="003A0FE1">
        <w:t xml:space="preserve">który </w:t>
      </w:r>
      <w:r>
        <w:t>w</w:t>
      </w:r>
      <w:r w:rsidRPr="004B5235">
        <w:t xml:space="preserve"> dotychczasowym stanie prawnym stanowił: „Kto, bez wymaganego pozwolenia, pobiera komórkę, tkankę lub narząd w celu ich </w:t>
      </w:r>
      <w:r w:rsidRPr="004B5235">
        <w:lastRenderedPageBreak/>
        <w:t>przeszczepienia albo je przeszczepia, podlega grzywnie, karze ograniczenia wolności, albo pozbawienia wolności do lat 3”</w:t>
      </w:r>
      <w:r w:rsidR="00CF6D98">
        <w:t>,</w:t>
      </w:r>
      <w:r w:rsidRPr="004B5235">
        <w:t>wskazano</w:t>
      </w:r>
      <w:r>
        <w:t xml:space="preserve"> dodatkowo</w:t>
      </w:r>
      <w:r w:rsidRPr="004B5235">
        <w:t xml:space="preserve">, że odpowiedzialność w tym zakresie ponosi </w:t>
      </w:r>
      <w:r>
        <w:t xml:space="preserve">także </w:t>
      </w:r>
      <w:r w:rsidRPr="004B5235">
        <w:t>kierownik podmiotu leczniczego, wykreślono również sformułowanie „w celu ich przeszczepienia”, gdy mowa jest o pobraniu komórki, tkanki lub narządu bez pozwolenia. Mając na względzie istotę i cel przepisów karnych ustawy, a więc walkę i skuteczne przeciwdziałanie występowaniu niezwykle niebezpiecznego zjawiska</w:t>
      </w:r>
      <w:r w:rsidR="0032106A">
        <w:t>,</w:t>
      </w:r>
      <w:r w:rsidRPr="004B5235">
        <w:t xml:space="preserve"> jakim jest handel narządami, zasadne jest wykreślenia ww. celu odnoszącego się do pobierania komórek, tkanek lub narządów bez wymaganego pozwolenia. Nie jest wskazane, aby organy ścigania były zobowiązane w zakresie gromadzonego materiału dowodowego do udowodnienia sprawcy lub sprawcom tego przestępstwa pobrania tkanek, komórek lub narządu bez pozwolenia w celu przeszczepienia. Wystarczy bowiem sam fakt, iż owo pobranie zostanie popełnione bez wymaganego prawem pozwolenia. </w:t>
      </w:r>
      <w:r w:rsidR="0032106A">
        <w:t>Pona</w:t>
      </w:r>
      <w:r w:rsidRPr="004B5235">
        <w:t>dto, mając na względzie dobro chronione przez przepisy karne ustawy w</w:t>
      </w:r>
      <w:r w:rsidR="00584326">
        <w:t> </w:t>
      </w:r>
      <w:r w:rsidRPr="004B5235">
        <w:t>postaci zdrowia i życia ludzi, ich godności, oraz bezpieczeństwa publicznego w</w:t>
      </w:r>
      <w:r w:rsidR="00584326">
        <w:t> </w:t>
      </w:r>
      <w:r w:rsidRPr="004B5235">
        <w:t>żadnym przypadku czyny polegające na nielegalnym pobraniu tkanek, komórek lub narządów nie powinny pozostawać obojętne na gruncie prawa karnego.</w:t>
      </w:r>
      <w:r>
        <w:t xml:space="preserve"> Zgodnie z art. 3 </w:t>
      </w:r>
      <w:r w:rsidR="0032106A">
        <w:t xml:space="preserve">projektu ustawy, </w:t>
      </w:r>
      <w:r>
        <w:t>p</w:t>
      </w:r>
      <w:r w:rsidRPr="003A09D9">
        <w:t xml:space="preserve">ostępowania administracyjne w sprawach regulowanych ustawą zmienianą w art. 1, wszczęte i niezakończone przed dniem wejścia w życie ustawy, toczą się po tym dniu na podstawie przepisów dotychczasowych. </w:t>
      </w:r>
    </w:p>
    <w:p w:rsidR="00EA0EB1" w:rsidRDefault="00EA0EB1" w:rsidP="00584326">
      <w:pPr>
        <w:pStyle w:val="NIEARTTEKSTtekstnieartykuowanynppodstprawnarozplubpreambua"/>
        <w:ind w:firstLine="0"/>
      </w:pPr>
      <w:r>
        <w:t xml:space="preserve">Zgodnie z art. 4 </w:t>
      </w:r>
      <w:r w:rsidR="0032106A">
        <w:t xml:space="preserve">projektu ustawy, </w:t>
      </w:r>
      <w:r>
        <w:t>p</w:t>
      </w:r>
      <w:r w:rsidRPr="003A09D9">
        <w:t>ozwolenia wydane na podstawie art. 26 ust. 1 ustawy zmienianej w</w:t>
      </w:r>
      <w:r w:rsidR="00584326">
        <w:t> </w:t>
      </w:r>
      <w:r w:rsidRPr="003A09D9">
        <w:t>art. 1 zachowują moc przez okres, na jaki zostały wydane.</w:t>
      </w:r>
    </w:p>
    <w:p w:rsidR="005848A7" w:rsidRPr="005848A7" w:rsidRDefault="005848A7" w:rsidP="00584326">
      <w:pPr>
        <w:pStyle w:val="ARTartustawynprozporzdzenia"/>
        <w:ind w:firstLine="0"/>
      </w:pPr>
      <w:r>
        <w:t xml:space="preserve">Zgodnie z art. 5 </w:t>
      </w:r>
      <w:r w:rsidR="00F84E1E">
        <w:t xml:space="preserve">projektu ustawy, </w:t>
      </w:r>
      <w:r w:rsidR="00F858A1">
        <w:t>akty</w:t>
      </w:r>
      <w:r>
        <w:t xml:space="preserve"> wykonawcze pośrednio uchylane przez </w:t>
      </w:r>
      <w:r w:rsidR="00FA06B5">
        <w:t>projektowaną</w:t>
      </w:r>
      <w:r w:rsidR="002C5809">
        <w:t xml:space="preserve"> ustawę</w:t>
      </w:r>
      <w:r w:rsidR="00F71D1F">
        <w:t xml:space="preserve"> </w:t>
      </w:r>
      <w:r>
        <w:t>zachow</w:t>
      </w:r>
      <w:r w:rsidR="00EC45A6">
        <w:t>ają</w:t>
      </w:r>
      <w:r>
        <w:t xml:space="preserve"> moc obowiązującą do czasu wydania </w:t>
      </w:r>
      <w:r w:rsidR="00EE2DCE">
        <w:t xml:space="preserve">nowych </w:t>
      </w:r>
      <w:r w:rsidR="00A233F8">
        <w:t>przepisów</w:t>
      </w:r>
      <w:r>
        <w:t xml:space="preserve"> wykonawczych, jednak nie dłużej niż 18 miesięcy od </w:t>
      </w:r>
      <w:r w:rsidR="00A233F8">
        <w:t xml:space="preserve">dnia </w:t>
      </w:r>
      <w:r w:rsidR="00AD7B33">
        <w:t xml:space="preserve">jej </w:t>
      </w:r>
      <w:r>
        <w:t>wejścia w życie</w:t>
      </w:r>
      <w:r w:rsidR="00987194">
        <w:t>.</w:t>
      </w:r>
      <w:r>
        <w:t xml:space="preserve"> 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>Proponuje się, aby ustawa weszła w życie z dniem 29 kwietnia 2017 r., co wynika wprost z art. 2 dyrektywy 2015/565 i art. 9 ust. 1 dyrektywy 2015/566.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>Projekt regulacji nie wymaga notyfikacji w rozumieniu przepisów rozporządzenia Rady Ministrów z dnia 23 grudnia 2002 r. w sprawie sposobu funkcjonowania krajowego systemu notyfikacji norm i aktów prawnych (Dz. U. poz. 2039 oraz z 2004 r. poz. 597).</w:t>
      </w:r>
    </w:p>
    <w:p w:rsidR="00EA0EB1" w:rsidRPr="004B5235" w:rsidRDefault="00EA0EB1" w:rsidP="00584326">
      <w:pPr>
        <w:pStyle w:val="NIEARTTEKSTtekstnieartykuowanynppodstprawnarozplubpreambua"/>
        <w:ind w:firstLine="0"/>
      </w:pPr>
      <w:r w:rsidRPr="004B5235">
        <w:t>Przedmiotowy projekt jest zgodny z prawem Unii Europejskiej.</w:t>
      </w:r>
    </w:p>
    <w:p w:rsidR="00520206" w:rsidRPr="00584326" w:rsidRDefault="00520206" w:rsidP="00584326">
      <w:pPr>
        <w:spacing w:before="120" w:after="0" w:line="360" w:lineRule="auto"/>
        <w:rPr>
          <w:rFonts w:ascii="Times New Roman" w:hAnsi="Times New Roman" w:cs="Times New Roman"/>
          <w:sz w:val="20"/>
          <w:szCs w:val="20"/>
        </w:rPr>
      </w:pPr>
    </w:p>
    <w:sectPr w:rsidR="00520206" w:rsidRPr="00584326" w:rsidSect="00584326">
      <w:footerReference w:type="default" r:id="rId8"/>
      <w:footnotePr>
        <w:numRestart w:val="eachSect"/>
      </w:footnotePr>
      <w:pgSz w:w="11906" w:h="16838"/>
      <w:pgMar w:top="1588" w:right="1418" w:bottom="1418" w:left="1985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EE1" w:rsidRDefault="006F7EE1" w:rsidP="00EA0EB1">
      <w:pPr>
        <w:spacing w:after="0" w:line="240" w:lineRule="auto"/>
      </w:pPr>
      <w:r>
        <w:separator/>
      </w:r>
    </w:p>
  </w:endnote>
  <w:endnote w:type="continuationSeparator" w:id="0">
    <w:p w:rsidR="006F7EE1" w:rsidRDefault="006F7EE1" w:rsidP="00EA0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Open Sans">
    <w:altName w:val="Times New Roman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369813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584326" w:rsidRPr="00584326" w:rsidRDefault="00584326" w:rsidP="00584326">
        <w:pPr>
          <w:pStyle w:val="Stopka"/>
          <w:jc w:val="center"/>
          <w:rPr>
            <w:sz w:val="24"/>
            <w:szCs w:val="24"/>
          </w:rPr>
        </w:pPr>
        <w:r w:rsidRPr="00584326">
          <w:rPr>
            <w:sz w:val="24"/>
            <w:szCs w:val="24"/>
          </w:rPr>
          <w:fldChar w:fldCharType="begin"/>
        </w:r>
        <w:r w:rsidRPr="00584326">
          <w:rPr>
            <w:sz w:val="24"/>
            <w:szCs w:val="24"/>
          </w:rPr>
          <w:instrText>PAGE   \* MERGEFORMAT</w:instrText>
        </w:r>
        <w:r w:rsidRPr="00584326">
          <w:rPr>
            <w:sz w:val="24"/>
            <w:szCs w:val="24"/>
          </w:rPr>
          <w:fldChar w:fldCharType="separate"/>
        </w:r>
        <w:r w:rsidR="00E52E5C" w:rsidRPr="00E52E5C">
          <w:rPr>
            <w:noProof/>
            <w:sz w:val="24"/>
            <w:szCs w:val="24"/>
            <w:lang w:val="pl-PL"/>
          </w:rPr>
          <w:t>10</w:t>
        </w:r>
        <w:r w:rsidRPr="00584326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EE1" w:rsidRDefault="006F7EE1" w:rsidP="00EA0EB1">
      <w:pPr>
        <w:spacing w:after="0" w:line="240" w:lineRule="auto"/>
      </w:pPr>
      <w:r>
        <w:separator/>
      </w:r>
    </w:p>
  </w:footnote>
  <w:footnote w:type="continuationSeparator" w:id="0">
    <w:p w:rsidR="006F7EE1" w:rsidRDefault="006F7EE1" w:rsidP="00EA0E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E06F8"/>
    <w:multiLevelType w:val="hybridMultilevel"/>
    <w:tmpl w:val="86DE9706"/>
    <w:lvl w:ilvl="0" w:tplc="B4E08DDA">
      <w:start w:val="1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A4AB9"/>
    <w:multiLevelType w:val="hybridMultilevel"/>
    <w:tmpl w:val="D6A2975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trackRevisions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EB1"/>
    <w:rsid w:val="00004264"/>
    <w:rsid w:val="00004E99"/>
    <w:rsid w:val="00010244"/>
    <w:rsid w:val="00010726"/>
    <w:rsid w:val="00024A7F"/>
    <w:rsid w:val="000316E3"/>
    <w:rsid w:val="000413B6"/>
    <w:rsid w:val="00043781"/>
    <w:rsid w:val="00044C8E"/>
    <w:rsid w:val="000519D2"/>
    <w:rsid w:val="00055303"/>
    <w:rsid w:val="000567D3"/>
    <w:rsid w:val="00061501"/>
    <w:rsid w:val="00063D34"/>
    <w:rsid w:val="00067467"/>
    <w:rsid w:val="00081995"/>
    <w:rsid w:val="000823C5"/>
    <w:rsid w:val="000939A0"/>
    <w:rsid w:val="000A512D"/>
    <w:rsid w:val="000B5AB5"/>
    <w:rsid w:val="000C28DA"/>
    <w:rsid w:val="000C3739"/>
    <w:rsid w:val="000C6761"/>
    <w:rsid w:val="000F581A"/>
    <w:rsid w:val="000F7DDA"/>
    <w:rsid w:val="00122E75"/>
    <w:rsid w:val="001257B7"/>
    <w:rsid w:val="001361C7"/>
    <w:rsid w:val="0013624E"/>
    <w:rsid w:val="00136CAF"/>
    <w:rsid w:val="0013761A"/>
    <w:rsid w:val="00144ABD"/>
    <w:rsid w:val="00151BDA"/>
    <w:rsid w:val="0016094A"/>
    <w:rsid w:val="00160BE1"/>
    <w:rsid w:val="001611E8"/>
    <w:rsid w:val="00162B29"/>
    <w:rsid w:val="00167F55"/>
    <w:rsid w:val="001718EC"/>
    <w:rsid w:val="00183B53"/>
    <w:rsid w:val="001869D9"/>
    <w:rsid w:val="00192439"/>
    <w:rsid w:val="0019570B"/>
    <w:rsid w:val="001A58F4"/>
    <w:rsid w:val="001A62D4"/>
    <w:rsid w:val="001A7107"/>
    <w:rsid w:val="001A7A1A"/>
    <w:rsid w:val="001B5D5A"/>
    <w:rsid w:val="001C2A59"/>
    <w:rsid w:val="001C3997"/>
    <w:rsid w:val="001C53A1"/>
    <w:rsid w:val="001D380B"/>
    <w:rsid w:val="001E1C79"/>
    <w:rsid w:val="001E60A0"/>
    <w:rsid w:val="001F1D89"/>
    <w:rsid w:val="001F49A6"/>
    <w:rsid w:val="00200C33"/>
    <w:rsid w:val="002019F1"/>
    <w:rsid w:val="002045FA"/>
    <w:rsid w:val="00204769"/>
    <w:rsid w:val="00207D77"/>
    <w:rsid w:val="00210B02"/>
    <w:rsid w:val="0022692F"/>
    <w:rsid w:val="00235011"/>
    <w:rsid w:val="00244CDA"/>
    <w:rsid w:val="00244E30"/>
    <w:rsid w:val="00244EA1"/>
    <w:rsid w:val="00246D5D"/>
    <w:rsid w:val="002533E0"/>
    <w:rsid w:val="00262489"/>
    <w:rsid w:val="002654F2"/>
    <w:rsid w:val="00272203"/>
    <w:rsid w:val="00273411"/>
    <w:rsid w:val="00281309"/>
    <w:rsid w:val="002A2C29"/>
    <w:rsid w:val="002C0EF2"/>
    <w:rsid w:val="002C5809"/>
    <w:rsid w:val="002D2BDB"/>
    <w:rsid w:val="002D34B0"/>
    <w:rsid w:val="002E0A9A"/>
    <w:rsid w:val="002E0CD1"/>
    <w:rsid w:val="0030008D"/>
    <w:rsid w:val="003127F3"/>
    <w:rsid w:val="003155F3"/>
    <w:rsid w:val="0032106A"/>
    <w:rsid w:val="0032194B"/>
    <w:rsid w:val="00327743"/>
    <w:rsid w:val="00335015"/>
    <w:rsid w:val="00336844"/>
    <w:rsid w:val="00344B23"/>
    <w:rsid w:val="00346262"/>
    <w:rsid w:val="003476DE"/>
    <w:rsid w:val="00347CAC"/>
    <w:rsid w:val="0035090E"/>
    <w:rsid w:val="00352D8B"/>
    <w:rsid w:val="00354BED"/>
    <w:rsid w:val="003641D6"/>
    <w:rsid w:val="003718C4"/>
    <w:rsid w:val="003728E2"/>
    <w:rsid w:val="00376020"/>
    <w:rsid w:val="003828E3"/>
    <w:rsid w:val="00382CE6"/>
    <w:rsid w:val="00384B85"/>
    <w:rsid w:val="003A0FE1"/>
    <w:rsid w:val="003A11AB"/>
    <w:rsid w:val="003A6DC3"/>
    <w:rsid w:val="003B19EB"/>
    <w:rsid w:val="003C0D4F"/>
    <w:rsid w:val="003E25C9"/>
    <w:rsid w:val="003E4A48"/>
    <w:rsid w:val="003E6F2A"/>
    <w:rsid w:val="003F2889"/>
    <w:rsid w:val="0040078B"/>
    <w:rsid w:val="0041246B"/>
    <w:rsid w:val="00412912"/>
    <w:rsid w:val="00413C67"/>
    <w:rsid w:val="004316B6"/>
    <w:rsid w:val="00436A03"/>
    <w:rsid w:val="00451441"/>
    <w:rsid w:val="004527E1"/>
    <w:rsid w:val="00452FD6"/>
    <w:rsid w:val="00467309"/>
    <w:rsid w:val="004815EA"/>
    <w:rsid w:val="004829C6"/>
    <w:rsid w:val="00486C99"/>
    <w:rsid w:val="00487B4B"/>
    <w:rsid w:val="00490E2C"/>
    <w:rsid w:val="00492814"/>
    <w:rsid w:val="00493C09"/>
    <w:rsid w:val="00496FA5"/>
    <w:rsid w:val="004A230A"/>
    <w:rsid w:val="004A519D"/>
    <w:rsid w:val="004B1857"/>
    <w:rsid w:val="004C4EC2"/>
    <w:rsid w:val="004D2E7C"/>
    <w:rsid w:val="004E2C9C"/>
    <w:rsid w:val="004E53BB"/>
    <w:rsid w:val="004E5B6C"/>
    <w:rsid w:val="004F4B9C"/>
    <w:rsid w:val="00504576"/>
    <w:rsid w:val="00520206"/>
    <w:rsid w:val="00525CDD"/>
    <w:rsid w:val="0052613E"/>
    <w:rsid w:val="00526F96"/>
    <w:rsid w:val="005336AF"/>
    <w:rsid w:val="00537685"/>
    <w:rsid w:val="0054560E"/>
    <w:rsid w:val="005551CC"/>
    <w:rsid w:val="00560736"/>
    <w:rsid w:val="005739D3"/>
    <w:rsid w:val="00573DC7"/>
    <w:rsid w:val="005804B5"/>
    <w:rsid w:val="00584326"/>
    <w:rsid w:val="005848A7"/>
    <w:rsid w:val="0058534D"/>
    <w:rsid w:val="005A1DF3"/>
    <w:rsid w:val="005A26E0"/>
    <w:rsid w:val="005C4F09"/>
    <w:rsid w:val="005D4920"/>
    <w:rsid w:val="005D4A29"/>
    <w:rsid w:val="005E7A8D"/>
    <w:rsid w:val="005F22C7"/>
    <w:rsid w:val="006111B7"/>
    <w:rsid w:val="00617CE7"/>
    <w:rsid w:val="00623664"/>
    <w:rsid w:val="006243E2"/>
    <w:rsid w:val="00632923"/>
    <w:rsid w:val="00633C02"/>
    <w:rsid w:val="00634D1C"/>
    <w:rsid w:val="00643310"/>
    <w:rsid w:val="006438F5"/>
    <w:rsid w:val="0064708C"/>
    <w:rsid w:val="0065476F"/>
    <w:rsid w:val="00654A93"/>
    <w:rsid w:val="0065738C"/>
    <w:rsid w:val="00666FA4"/>
    <w:rsid w:val="006747F8"/>
    <w:rsid w:val="00674CA1"/>
    <w:rsid w:val="00684072"/>
    <w:rsid w:val="00684536"/>
    <w:rsid w:val="00685CDE"/>
    <w:rsid w:val="00690A18"/>
    <w:rsid w:val="006929D7"/>
    <w:rsid w:val="006952D3"/>
    <w:rsid w:val="006957B9"/>
    <w:rsid w:val="006A084F"/>
    <w:rsid w:val="006A2E7A"/>
    <w:rsid w:val="006A3BF5"/>
    <w:rsid w:val="006A41DA"/>
    <w:rsid w:val="006A55B4"/>
    <w:rsid w:val="006A696E"/>
    <w:rsid w:val="006B56BB"/>
    <w:rsid w:val="006C0B1E"/>
    <w:rsid w:val="006C5483"/>
    <w:rsid w:val="006D617A"/>
    <w:rsid w:val="006F4C19"/>
    <w:rsid w:val="006F6B2B"/>
    <w:rsid w:val="006F7EE1"/>
    <w:rsid w:val="00710CBE"/>
    <w:rsid w:val="00714977"/>
    <w:rsid w:val="007221CD"/>
    <w:rsid w:val="007432AF"/>
    <w:rsid w:val="0075312A"/>
    <w:rsid w:val="007640FF"/>
    <w:rsid w:val="007644C9"/>
    <w:rsid w:val="00780DD4"/>
    <w:rsid w:val="007878F9"/>
    <w:rsid w:val="00790F81"/>
    <w:rsid w:val="00796E4D"/>
    <w:rsid w:val="007973B9"/>
    <w:rsid w:val="007A24C3"/>
    <w:rsid w:val="007A6EBB"/>
    <w:rsid w:val="007A7E8F"/>
    <w:rsid w:val="007B2E97"/>
    <w:rsid w:val="007C14CC"/>
    <w:rsid w:val="007E017A"/>
    <w:rsid w:val="007E253C"/>
    <w:rsid w:val="007F0574"/>
    <w:rsid w:val="007F68F9"/>
    <w:rsid w:val="008007BF"/>
    <w:rsid w:val="008038B9"/>
    <w:rsid w:val="00804B02"/>
    <w:rsid w:val="0080616D"/>
    <w:rsid w:val="00807FFD"/>
    <w:rsid w:val="00815118"/>
    <w:rsid w:val="00825D0C"/>
    <w:rsid w:val="00827C90"/>
    <w:rsid w:val="008379A3"/>
    <w:rsid w:val="008570BC"/>
    <w:rsid w:val="00863763"/>
    <w:rsid w:val="0086386B"/>
    <w:rsid w:val="0086477B"/>
    <w:rsid w:val="0086546C"/>
    <w:rsid w:val="00872A2C"/>
    <w:rsid w:val="00876113"/>
    <w:rsid w:val="00885726"/>
    <w:rsid w:val="00886F60"/>
    <w:rsid w:val="0089697C"/>
    <w:rsid w:val="008A44B8"/>
    <w:rsid w:val="008B3FB8"/>
    <w:rsid w:val="008B4268"/>
    <w:rsid w:val="008B67F4"/>
    <w:rsid w:val="008C1737"/>
    <w:rsid w:val="008C756B"/>
    <w:rsid w:val="008D160A"/>
    <w:rsid w:val="008D28D2"/>
    <w:rsid w:val="008D6A9E"/>
    <w:rsid w:val="008E5206"/>
    <w:rsid w:val="008E5418"/>
    <w:rsid w:val="008F0400"/>
    <w:rsid w:val="008F0791"/>
    <w:rsid w:val="008F2F75"/>
    <w:rsid w:val="008F36AB"/>
    <w:rsid w:val="0090488A"/>
    <w:rsid w:val="00907B3C"/>
    <w:rsid w:val="00915087"/>
    <w:rsid w:val="0091633D"/>
    <w:rsid w:val="009167DE"/>
    <w:rsid w:val="0091708A"/>
    <w:rsid w:val="00926970"/>
    <w:rsid w:val="009330F9"/>
    <w:rsid w:val="0093537B"/>
    <w:rsid w:val="00957D65"/>
    <w:rsid w:val="009625C9"/>
    <w:rsid w:val="00964394"/>
    <w:rsid w:val="00974477"/>
    <w:rsid w:val="009767F1"/>
    <w:rsid w:val="00976963"/>
    <w:rsid w:val="0097792B"/>
    <w:rsid w:val="00986DFD"/>
    <w:rsid w:val="00987194"/>
    <w:rsid w:val="00994A97"/>
    <w:rsid w:val="0099562D"/>
    <w:rsid w:val="009B06F0"/>
    <w:rsid w:val="009B1CB5"/>
    <w:rsid w:val="009B6454"/>
    <w:rsid w:val="009D0AD2"/>
    <w:rsid w:val="009D12CE"/>
    <w:rsid w:val="009E280F"/>
    <w:rsid w:val="009E5D57"/>
    <w:rsid w:val="00A007E9"/>
    <w:rsid w:val="00A04B6C"/>
    <w:rsid w:val="00A233F8"/>
    <w:rsid w:val="00A33560"/>
    <w:rsid w:val="00A33FFC"/>
    <w:rsid w:val="00A36020"/>
    <w:rsid w:val="00A40977"/>
    <w:rsid w:val="00A46C6F"/>
    <w:rsid w:val="00A50AB0"/>
    <w:rsid w:val="00A603B8"/>
    <w:rsid w:val="00A61303"/>
    <w:rsid w:val="00A8222E"/>
    <w:rsid w:val="00A83114"/>
    <w:rsid w:val="00A8546B"/>
    <w:rsid w:val="00A8619C"/>
    <w:rsid w:val="00A923A5"/>
    <w:rsid w:val="00A93F3B"/>
    <w:rsid w:val="00AA1D28"/>
    <w:rsid w:val="00AA5F88"/>
    <w:rsid w:val="00AA639F"/>
    <w:rsid w:val="00AB0E69"/>
    <w:rsid w:val="00AB18ED"/>
    <w:rsid w:val="00AC5240"/>
    <w:rsid w:val="00AD7B33"/>
    <w:rsid w:val="00AE163B"/>
    <w:rsid w:val="00AE59C4"/>
    <w:rsid w:val="00AF1715"/>
    <w:rsid w:val="00AF36E5"/>
    <w:rsid w:val="00AF5987"/>
    <w:rsid w:val="00AF6F5C"/>
    <w:rsid w:val="00B007F1"/>
    <w:rsid w:val="00B05F4A"/>
    <w:rsid w:val="00B06F21"/>
    <w:rsid w:val="00B2079E"/>
    <w:rsid w:val="00B20D99"/>
    <w:rsid w:val="00B2589F"/>
    <w:rsid w:val="00B33576"/>
    <w:rsid w:val="00B354AA"/>
    <w:rsid w:val="00B37322"/>
    <w:rsid w:val="00B47E06"/>
    <w:rsid w:val="00B5692E"/>
    <w:rsid w:val="00B634F1"/>
    <w:rsid w:val="00B63802"/>
    <w:rsid w:val="00B6400E"/>
    <w:rsid w:val="00B66336"/>
    <w:rsid w:val="00B70DC9"/>
    <w:rsid w:val="00B82BF9"/>
    <w:rsid w:val="00B85402"/>
    <w:rsid w:val="00B873CE"/>
    <w:rsid w:val="00B87918"/>
    <w:rsid w:val="00B955CD"/>
    <w:rsid w:val="00B956FC"/>
    <w:rsid w:val="00B95E4B"/>
    <w:rsid w:val="00B96029"/>
    <w:rsid w:val="00B97483"/>
    <w:rsid w:val="00B978BF"/>
    <w:rsid w:val="00BA0009"/>
    <w:rsid w:val="00BA0198"/>
    <w:rsid w:val="00BB7C2D"/>
    <w:rsid w:val="00BC2F65"/>
    <w:rsid w:val="00BC7A92"/>
    <w:rsid w:val="00BC7CEC"/>
    <w:rsid w:val="00BD1800"/>
    <w:rsid w:val="00BD2197"/>
    <w:rsid w:val="00BD36FC"/>
    <w:rsid w:val="00BD603F"/>
    <w:rsid w:val="00BF021F"/>
    <w:rsid w:val="00C01ED4"/>
    <w:rsid w:val="00C037D9"/>
    <w:rsid w:val="00C17B2D"/>
    <w:rsid w:val="00C310D8"/>
    <w:rsid w:val="00C31DE2"/>
    <w:rsid w:val="00C34959"/>
    <w:rsid w:val="00C3553C"/>
    <w:rsid w:val="00C44D3F"/>
    <w:rsid w:val="00C459CD"/>
    <w:rsid w:val="00C5123F"/>
    <w:rsid w:val="00C553DA"/>
    <w:rsid w:val="00C57FDB"/>
    <w:rsid w:val="00C64384"/>
    <w:rsid w:val="00C64461"/>
    <w:rsid w:val="00C64C3B"/>
    <w:rsid w:val="00C8255C"/>
    <w:rsid w:val="00C87C08"/>
    <w:rsid w:val="00C90C2D"/>
    <w:rsid w:val="00CA1731"/>
    <w:rsid w:val="00CB1C99"/>
    <w:rsid w:val="00CB49A9"/>
    <w:rsid w:val="00CB4D0E"/>
    <w:rsid w:val="00CD693D"/>
    <w:rsid w:val="00CE0908"/>
    <w:rsid w:val="00CE3C05"/>
    <w:rsid w:val="00CE6979"/>
    <w:rsid w:val="00CF6D98"/>
    <w:rsid w:val="00D003E5"/>
    <w:rsid w:val="00D11364"/>
    <w:rsid w:val="00D23805"/>
    <w:rsid w:val="00D2473D"/>
    <w:rsid w:val="00D30047"/>
    <w:rsid w:val="00D3266D"/>
    <w:rsid w:val="00D34550"/>
    <w:rsid w:val="00D34F43"/>
    <w:rsid w:val="00D356AA"/>
    <w:rsid w:val="00D43B3F"/>
    <w:rsid w:val="00D4725F"/>
    <w:rsid w:val="00D47551"/>
    <w:rsid w:val="00D6142F"/>
    <w:rsid w:val="00D71FFE"/>
    <w:rsid w:val="00D73CDB"/>
    <w:rsid w:val="00D8608C"/>
    <w:rsid w:val="00D93990"/>
    <w:rsid w:val="00D949AC"/>
    <w:rsid w:val="00DB1465"/>
    <w:rsid w:val="00DC6B98"/>
    <w:rsid w:val="00DC7321"/>
    <w:rsid w:val="00DD05F5"/>
    <w:rsid w:val="00DD57F6"/>
    <w:rsid w:val="00DD7EC1"/>
    <w:rsid w:val="00DE2130"/>
    <w:rsid w:val="00DF49F6"/>
    <w:rsid w:val="00E20F7D"/>
    <w:rsid w:val="00E311C1"/>
    <w:rsid w:val="00E423A3"/>
    <w:rsid w:val="00E50888"/>
    <w:rsid w:val="00E524B6"/>
    <w:rsid w:val="00E52E5C"/>
    <w:rsid w:val="00E567FE"/>
    <w:rsid w:val="00E57B88"/>
    <w:rsid w:val="00E61342"/>
    <w:rsid w:val="00E61FD9"/>
    <w:rsid w:val="00E641F4"/>
    <w:rsid w:val="00E66F42"/>
    <w:rsid w:val="00E67D2C"/>
    <w:rsid w:val="00E7219F"/>
    <w:rsid w:val="00E751C2"/>
    <w:rsid w:val="00E75316"/>
    <w:rsid w:val="00E7647D"/>
    <w:rsid w:val="00E84513"/>
    <w:rsid w:val="00E90405"/>
    <w:rsid w:val="00EA0EB1"/>
    <w:rsid w:val="00EB01DE"/>
    <w:rsid w:val="00EB477D"/>
    <w:rsid w:val="00EC1E9B"/>
    <w:rsid w:val="00EC45A6"/>
    <w:rsid w:val="00EC4FFE"/>
    <w:rsid w:val="00ED6D86"/>
    <w:rsid w:val="00EE2DCE"/>
    <w:rsid w:val="00EE37E4"/>
    <w:rsid w:val="00EE6476"/>
    <w:rsid w:val="00EE7B70"/>
    <w:rsid w:val="00EF4830"/>
    <w:rsid w:val="00F10CF9"/>
    <w:rsid w:val="00F124CA"/>
    <w:rsid w:val="00F13713"/>
    <w:rsid w:val="00F22073"/>
    <w:rsid w:val="00F22D08"/>
    <w:rsid w:val="00F35415"/>
    <w:rsid w:val="00F427C5"/>
    <w:rsid w:val="00F53053"/>
    <w:rsid w:val="00F56B9F"/>
    <w:rsid w:val="00F6239A"/>
    <w:rsid w:val="00F66FD1"/>
    <w:rsid w:val="00F71D1F"/>
    <w:rsid w:val="00F84E1E"/>
    <w:rsid w:val="00F84E53"/>
    <w:rsid w:val="00F851F8"/>
    <w:rsid w:val="00F858A1"/>
    <w:rsid w:val="00F9225F"/>
    <w:rsid w:val="00FA06B5"/>
    <w:rsid w:val="00FA50F1"/>
    <w:rsid w:val="00FB5B7B"/>
    <w:rsid w:val="00FB6FF8"/>
    <w:rsid w:val="00FB73D6"/>
    <w:rsid w:val="00FC2146"/>
    <w:rsid w:val="00FC6A8F"/>
    <w:rsid w:val="00FD042B"/>
    <w:rsid w:val="00FD06E1"/>
    <w:rsid w:val="00FE45D2"/>
    <w:rsid w:val="00FE56F9"/>
    <w:rsid w:val="00FE7D1E"/>
    <w:rsid w:val="00FF034D"/>
    <w:rsid w:val="00FF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0E5583-A173-4AFE-BDC9-9DC095EAB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0EB1"/>
    <w:pPr>
      <w:spacing w:after="200" w:line="276" w:lineRule="auto"/>
    </w:pPr>
    <w:rPr>
      <w:rFonts w:ascii="Open Sans" w:eastAsia="Open Sans" w:hAnsi="Open Sans" w:cs="Open Sans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rsid w:val="00EA0EB1"/>
    <w:pPr>
      <w:keepNext/>
      <w:keepLines/>
      <w:suppressAutoHyphens/>
      <w:spacing w:before="480"/>
      <w:outlineLvl w:val="0"/>
    </w:pPr>
    <w:rPr>
      <w:rFonts w:ascii="Cambria" w:eastAsia="Times New Roman" w:hAnsi="Cambria" w:cs="Times New Roman"/>
      <w:b/>
      <w:bCs/>
      <w:color w:val="365F91"/>
      <w:kern w:val="1"/>
      <w:sz w:val="28"/>
      <w:szCs w:val="28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EA0EB1"/>
    <w:rPr>
      <w:rFonts w:ascii="Cambria" w:eastAsia="Times New Roman" w:hAnsi="Cambria" w:cs="Times New Roman"/>
      <w:b/>
      <w:bCs/>
      <w:color w:val="365F91"/>
      <w:kern w:val="1"/>
      <w:sz w:val="28"/>
      <w:szCs w:val="28"/>
      <w:lang w:val="x-none"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EA0EB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EA0EB1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EA0EB1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EA0EB1"/>
    <w:pPr>
      <w:ind w:left="1780"/>
    </w:pPr>
  </w:style>
  <w:style w:type="character" w:styleId="Odwoanieprzypisudolnego">
    <w:name w:val="footnote reference"/>
    <w:semiHidden/>
    <w:rsid w:val="00EA0EB1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EA0EB1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 w:val="20"/>
      <w:szCs w:val="20"/>
      <w:lang w:val="x-none"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A0EB1"/>
    <w:rPr>
      <w:rFonts w:ascii="Times" w:eastAsia="Times New Roman" w:hAnsi="Times" w:cs="Times New Roman"/>
      <w:kern w:val="1"/>
      <w:sz w:val="20"/>
      <w:szCs w:val="20"/>
      <w:lang w:val="x-none" w:eastAsia="ar-SA"/>
    </w:rPr>
  </w:style>
  <w:style w:type="paragraph" w:styleId="Stopka">
    <w:name w:val="footer"/>
    <w:basedOn w:val="Normalny"/>
    <w:link w:val="StopkaZnak"/>
    <w:uiPriority w:val="99"/>
    <w:rsid w:val="00EA0EB1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 w:val="20"/>
      <w:szCs w:val="20"/>
      <w:lang w:val="x-none"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EA0EB1"/>
    <w:rPr>
      <w:rFonts w:ascii="Times" w:eastAsia="Times New Roman" w:hAnsi="Times" w:cs="Times New Roman"/>
      <w:kern w:val="1"/>
      <w:sz w:val="20"/>
      <w:szCs w:val="20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EA0EB1"/>
    <w:pPr>
      <w:suppressAutoHyphens/>
    </w:pPr>
    <w:rPr>
      <w:rFonts w:ascii="Tahoma" w:eastAsia="Times New Roman" w:hAnsi="Tahoma" w:cs="Times New Roman"/>
      <w:kern w:val="1"/>
      <w:sz w:val="16"/>
      <w:szCs w:val="16"/>
      <w:lang w:val="x-none"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0EB1"/>
    <w:rPr>
      <w:rFonts w:ascii="Tahoma" w:eastAsia="Times New Roman" w:hAnsi="Tahoma" w:cs="Times New Roman"/>
      <w:kern w:val="1"/>
      <w:sz w:val="16"/>
      <w:szCs w:val="16"/>
      <w:lang w:val="x-none" w:eastAsia="ar-SA"/>
    </w:rPr>
  </w:style>
  <w:style w:type="paragraph" w:customStyle="1" w:styleId="ARTartustawynprozporzdzenia">
    <w:name w:val="ART(§) – art. ustawy (§ np. rozporządzenia)"/>
    <w:uiPriority w:val="11"/>
    <w:qFormat/>
    <w:rsid w:val="00EA0EB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EA0EB1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EA0EB1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EA0EB1"/>
  </w:style>
  <w:style w:type="paragraph" w:styleId="Bezodstpw">
    <w:name w:val="No Spacing"/>
    <w:uiPriority w:val="99"/>
    <w:rsid w:val="00EA0EB1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EA0EB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EA0EB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EA0EB1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EA0EB1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EA0EB1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99"/>
    <w:qFormat/>
    <w:rsid w:val="00EA0EB1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EA0EB1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EA0EB1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EA0EB1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EA0EB1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EA0EB1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EA0EB1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EA0EB1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EA0EB1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EA0EB1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EA0EB1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EA0EB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EA0EB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EA0EB1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EA0EB1"/>
    <w:pPr>
      <w:keepNext/>
      <w:spacing w:before="120" w:after="0" w:line="360" w:lineRule="auto"/>
      <w:jc w:val="center"/>
    </w:pPr>
    <w:rPr>
      <w:rFonts w:ascii="Times" w:eastAsia="Times New Roman" w:hAnsi="Times" w:cs="Arial"/>
      <w:bCs/>
      <w:caps/>
      <w:kern w:val="24"/>
      <w:sz w:val="24"/>
      <w:szCs w:val="24"/>
      <w:lang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EA0EB1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EA0EB1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EA0EB1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EA0EB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EA0EB1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EA0EB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EA0EB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EA0EB1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EA0EB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EA0EB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EA0EB1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EA0EB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EA0EB1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EA0EB1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EA0EB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EA0EB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EA0EB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EA0EB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EA0EB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EA0EB1"/>
    <w:rPr>
      <w:rFonts w:ascii="Times" w:eastAsia="Times New Roman" w:hAnsi="Times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0EB1"/>
    <w:rPr>
      <w:rFonts w:ascii="Times" w:eastAsia="Times New Roman" w:hAnsi="Times" w:cs="Times New Roman"/>
      <w:sz w:val="20"/>
      <w:szCs w:val="20"/>
      <w:lang w:val="x-none" w:eastAsia="x-none"/>
    </w:rPr>
  </w:style>
  <w:style w:type="paragraph" w:customStyle="1" w:styleId="ZTIRLITzmlittiret">
    <w:name w:val="Z_TIR/LIT – zm. lit. tiret"/>
    <w:basedOn w:val="LITlitera"/>
    <w:uiPriority w:val="57"/>
    <w:qFormat/>
    <w:rsid w:val="00EA0EB1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EA0EB1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EA0EB1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EA0EB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EA0EB1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EA0EB1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EA0EB1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EA0EB1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EA0EB1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EA0EB1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EA0EB1"/>
  </w:style>
  <w:style w:type="paragraph" w:customStyle="1" w:styleId="ZTIR2TIRzmpodwtirtiret">
    <w:name w:val="Z_TIR/2TIR – zm. podw. tir. tiret"/>
    <w:basedOn w:val="TIRtiret"/>
    <w:uiPriority w:val="78"/>
    <w:qFormat/>
    <w:rsid w:val="00EA0EB1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EA0EB1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EA0EB1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EA0EB1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EA0EB1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EA0EB1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EA0EB1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EA0EB1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EA0EB1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EA0EB1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EA0EB1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EA0EB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EA0EB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EA0EB1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EA0EB1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EA0EB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EA0EB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EA0EB1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EA0EB1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EA0EB1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EA0EB1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EA0EB1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EA0EB1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EA0E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A0EB1"/>
    <w:rPr>
      <w:rFonts w:ascii="Times" w:eastAsia="Times New Roman" w:hAnsi="Times"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0EB1"/>
    <w:rPr>
      <w:rFonts w:ascii="Times" w:eastAsia="Times New Roman" w:hAnsi="Times" w:cs="Times New Roman"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A0E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0EB1"/>
    <w:rPr>
      <w:rFonts w:ascii="Times" w:eastAsia="Times New Roman" w:hAnsi="Times" w:cs="Times New Roman"/>
      <w:b/>
      <w:bCs/>
      <w:sz w:val="20"/>
      <w:szCs w:val="20"/>
      <w:lang w:val="x-none" w:eastAsia="x-none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EA0EB1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EA0EB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EA0EB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EA0EB1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EA0EB1"/>
    <w:pPr>
      <w:ind w:left="2404"/>
    </w:pPr>
  </w:style>
  <w:style w:type="paragraph" w:customStyle="1" w:styleId="ODNONIKtreodnonika">
    <w:name w:val="ODNOŚNIK – treść odnośnika"/>
    <w:uiPriority w:val="99"/>
    <w:qFormat/>
    <w:rsid w:val="00EA0EB1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EA0EB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EA0EB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EA0EB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EA0EB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EA0EB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EA0EB1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EA0EB1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EA0EB1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EA0EB1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EA0EB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EA0EB1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EA0EB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EA0EB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EA0EB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EA0EB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EA0EB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EA0EB1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EA0EB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EA0EB1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EA0EB1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EA0EB1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EA0EB1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EA0EB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EA0EB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EA0EB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EA0EB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EA0EB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EA0EB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EA0EB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EA0EB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EA0EB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EA0EB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EA0EB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EA0EB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EA0EB1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EA0EB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EA0EB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EA0EB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EA0EB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EA0EB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EA0EB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EA0EB1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EA0EB1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EA0EB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EA0EB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EA0EB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A0EB1"/>
  </w:style>
  <w:style w:type="paragraph" w:customStyle="1" w:styleId="ZZUSTzmianazmust">
    <w:name w:val="ZZ/UST(§) – zmiana zm. ust. (§)"/>
    <w:basedOn w:val="ZZARTzmianazmart"/>
    <w:uiPriority w:val="65"/>
    <w:qFormat/>
    <w:rsid w:val="00EA0EB1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EA0EB1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EA0EB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EA0EB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EA0EB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EA0EB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EA0EB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EA0EB1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EA0EB1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EA0EB1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EA0EB1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EA0EB1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EA0EB1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EA0EB1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EA0EB1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EA0EB1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EA0EB1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EA0EB1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EA0EB1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EA0EB1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EA0EB1"/>
    <w:pPr>
      <w:spacing w:after="0" w:line="360" w:lineRule="auto"/>
    </w:pPr>
    <w:rPr>
      <w:rFonts w:ascii="Times New Roman" w:eastAsia="Times New Roman" w:hAnsi="Times New Roman" w:cs="Arial"/>
      <w:b/>
      <w:sz w:val="24"/>
      <w:szCs w:val="20"/>
      <w:lang w:eastAsia="pl-PL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EA0EB1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EA0EB1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EA0EB1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EA0EB1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EA0EB1"/>
  </w:style>
  <w:style w:type="paragraph" w:customStyle="1" w:styleId="TEKSTZacznikido">
    <w:name w:val="TEKST&quot;Załącznik(i) do ...&quot;"/>
    <w:uiPriority w:val="28"/>
    <w:qFormat/>
    <w:rsid w:val="00EA0EB1"/>
    <w:pPr>
      <w:keepNext/>
      <w:spacing w:after="240" w:line="240" w:lineRule="auto"/>
      <w:ind w:left="5670"/>
      <w:contextualSpacing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EA0EB1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EA0EB1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EA0EB1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EA0EB1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EA0EB1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A0EB1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EA0EB1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EA0EB1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EA0EB1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EA0EB1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EA0EB1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EA0EB1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EA0EB1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EA0EB1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EA0EB1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EA0EB1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EA0EB1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EA0EB1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EA0EB1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EA0EB1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EA0EB1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EA0EB1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EA0EB1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EA0EB1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EA0EB1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EA0EB1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EA0EB1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EA0EB1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EA0EB1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EA0EB1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EA0EB1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EA0EB1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EA0EB1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EA0EB1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EA0EB1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EA0EB1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EA0EB1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EA0EB1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EA0EB1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EA0EB1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EA0EB1"/>
    <w:pPr>
      <w:ind w:left="1780"/>
    </w:pPr>
  </w:style>
  <w:style w:type="character" w:customStyle="1" w:styleId="IGindeksgrny">
    <w:name w:val="_IG_ – indeks górny"/>
    <w:uiPriority w:val="2"/>
    <w:qFormat/>
    <w:rsid w:val="00EA0EB1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EA0EB1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EA0EB1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EA0EB1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EA0EB1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EA0EB1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EA0EB1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EA0EB1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EA0EB1"/>
    <w:rPr>
      <w:b/>
    </w:rPr>
  </w:style>
  <w:style w:type="character" w:customStyle="1" w:styleId="Kkursywa">
    <w:name w:val="_K_ – kursywa"/>
    <w:uiPriority w:val="1"/>
    <w:qFormat/>
    <w:rsid w:val="00EA0EB1"/>
    <w:rPr>
      <w:i/>
    </w:rPr>
  </w:style>
  <w:style w:type="character" w:customStyle="1" w:styleId="PKpogrubieniekursywa">
    <w:name w:val="_P_K_ – pogrubienie kursywa"/>
    <w:uiPriority w:val="1"/>
    <w:qFormat/>
    <w:rsid w:val="00EA0EB1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EA0EB1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EA0EB1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EA0EB1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EA0EB1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EA0EB1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EA0EB1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EA0EB1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EA0EB1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EA0EB1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EA0EB1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EA0EB1"/>
    <w:pPr>
      <w:spacing w:after="0" w:line="360" w:lineRule="auto"/>
      <w:jc w:val="center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EA0EB1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EA0EB1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EA0EB1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EA0EB1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EA0EB1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EA0EB1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EA0EB1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EA0EB1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EA0EB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EA0EB1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EA0EB1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EA0EB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EA0EB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EA0EB1"/>
    <w:pPr>
      <w:ind w:left="1780"/>
    </w:pPr>
  </w:style>
  <w:style w:type="table" w:styleId="Tabela-Siatka">
    <w:name w:val="Table Grid"/>
    <w:basedOn w:val="Standardowy"/>
    <w:rsid w:val="00EA0EB1"/>
    <w:pPr>
      <w:spacing w:after="0" w:line="240" w:lineRule="auto"/>
    </w:pPr>
    <w:rPr>
      <w:rFonts w:ascii="Times" w:eastAsia="Times New Roman" w:hAnsi="Times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EA0EB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" w:eastAsia="Times New Roman" w:hAnsi="Times" w:cs="Times New Roman"/>
      <w:sz w:val="20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EA0EB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EA0EB1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EA0EB1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EA0EB1"/>
    <w:rPr>
      <w:color w:val="808080"/>
    </w:rPr>
  </w:style>
  <w:style w:type="paragraph" w:styleId="Akapitzlist">
    <w:name w:val="List Paragraph"/>
    <w:basedOn w:val="Normalny"/>
    <w:uiPriority w:val="34"/>
    <w:qFormat/>
    <w:rsid w:val="00EA0E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Poprawka">
    <w:name w:val="Revision"/>
    <w:hidden/>
    <w:uiPriority w:val="99"/>
    <w:semiHidden/>
    <w:rsid w:val="00EA0EB1"/>
    <w:pPr>
      <w:spacing w:after="0" w:line="240" w:lineRule="auto"/>
    </w:pPr>
    <w:rPr>
      <w:rFonts w:ascii="Open Sans" w:eastAsia="Open Sans" w:hAnsi="Open Sans" w:cs="Open Sans"/>
      <w:sz w:val="24"/>
      <w:lang w:eastAsia="pl-PL"/>
    </w:rPr>
  </w:style>
  <w:style w:type="character" w:styleId="Hipercze">
    <w:name w:val="Hyperlink"/>
    <w:uiPriority w:val="99"/>
    <w:unhideWhenUsed/>
    <w:rsid w:val="00EA0EB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8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7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3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38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0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8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9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54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16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9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0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70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65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0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4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76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86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37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74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37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4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CF17E-CD28-46BE-8BD4-4C2CBF9F4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3478</Words>
  <Characters>20870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Kramska Magdalena</dc:creator>
  <cp:lastModifiedBy>Grażyna D. Grabowska</cp:lastModifiedBy>
  <cp:revision>2</cp:revision>
  <cp:lastPrinted>2017-02-23T11:32:00Z</cp:lastPrinted>
  <dcterms:created xsi:type="dcterms:W3CDTF">2017-03-06T14:55:00Z</dcterms:created>
  <dcterms:modified xsi:type="dcterms:W3CDTF">2017-03-06T14:55:00Z</dcterms:modified>
</cp:coreProperties>
</file>