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CE5" w:rsidRPr="00DF5A15" w:rsidRDefault="00DF5A15" w:rsidP="00DF5A15">
      <w:pPr>
        <w:jc w:val="right"/>
        <w:rPr>
          <w:rFonts w:ascii="Times New Roman" w:hAnsi="Times New Roman" w:cs="Times New Roman"/>
          <w:i/>
          <w:sz w:val="24"/>
        </w:rPr>
      </w:pPr>
      <w:bookmarkStart w:id="0" w:name="_GoBack"/>
      <w:bookmarkEnd w:id="0"/>
      <w:r w:rsidRPr="00DF5A15">
        <w:rPr>
          <w:rFonts w:ascii="Times New Roman" w:hAnsi="Times New Roman" w:cs="Times New Roman"/>
          <w:i/>
          <w:sz w:val="24"/>
        </w:rPr>
        <w:t>PROJEKT</w:t>
      </w:r>
    </w:p>
    <w:p w:rsidR="00DF5A15" w:rsidRDefault="00DF5A15" w:rsidP="00DF5A15">
      <w:pPr>
        <w:jc w:val="right"/>
      </w:pPr>
    </w:p>
    <w:p w:rsidR="00DF5A15" w:rsidRPr="00DF5A15" w:rsidRDefault="00DF5A15" w:rsidP="00DF5A15">
      <w:pPr>
        <w:jc w:val="right"/>
        <w:rPr>
          <w:rFonts w:ascii="Times New Roman" w:hAnsi="Times New Roman" w:cs="Times New Roman"/>
          <w:b/>
          <w:sz w:val="24"/>
        </w:rPr>
      </w:pPr>
    </w:p>
    <w:p w:rsidR="00DF5A15" w:rsidRPr="00DF5A15" w:rsidRDefault="00DF5A15" w:rsidP="00DF5A1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DF5A15">
        <w:rPr>
          <w:rFonts w:ascii="Times New Roman" w:hAnsi="Times New Roman" w:cs="Times New Roman"/>
          <w:b/>
          <w:sz w:val="24"/>
        </w:rPr>
        <w:t>USTAWA</w:t>
      </w:r>
    </w:p>
    <w:p w:rsidR="00DF5A15" w:rsidRPr="00DF5A15" w:rsidRDefault="00DF5A15" w:rsidP="00DF5A1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DF5A15">
        <w:rPr>
          <w:rFonts w:ascii="Times New Roman" w:hAnsi="Times New Roman" w:cs="Times New Roman"/>
          <w:b/>
          <w:sz w:val="24"/>
        </w:rPr>
        <w:t>z dnia …… 2017 r.</w:t>
      </w:r>
    </w:p>
    <w:p w:rsidR="00DF5A15" w:rsidRPr="00DF5A15" w:rsidRDefault="00DF5A15" w:rsidP="00DF5A1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DF5A15">
        <w:rPr>
          <w:rFonts w:ascii="Times New Roman" w:hAnsi="Times New Roman" w:cs="Times New Roman"/>
          <w:b/>
          <w:sz w:val="24"/>
        </w:rPr>
        <w:t>o zmianie ustawy  z dnia 15 grudnia 2016 r. o zmianie ustawy o grach hazardowych oraz niektórych innych ustaw</w:t>
      </w:r>
    </w:p>
    <w:p w:rsidR="00DF5A15" w:rsidRDefault="00DF5A15" w:rsidP="00DF5A15"/>
    <w:p w:rsidR="00DF5A15" w:rsidRDefault="00DF5A15" w:rsidP="00DF5A15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DF5A15">
        <w:rPr>
          <w:rFonts w:ascii="Times New Roman" w:hAnsi="Times New Roman" w:cs="Times New Roman"/>
          <w:b/>
          <w:sz w:val="24"/>
        </w:rPr>
        <w:t>Art. 1.</w:t>
      </w:r>
      <w:r w:rsidRPr="00DF5A15">
        <w:rPr>
          <w:rFonts w:ascii="Times New Roman" w:hAnsi="Times New Roman" w:cs="Times New Roman"/>
          <w:sz w:val="24"/>
        </w:rPr>
        <w:t xml:space="preserve"> W ustawie z dnia 15 grudnia 2016 r. o zmianie ustawy o grach hazardowych oraz niektórych innych ustaw (Dz.U. 2017 poz. 88) </w:t>
      </w:r>
      <w:r>
        <w:rPr>
          <w:rFonts w:ascii="Times New Roman" w:hAnsi="Times New Roman" w:cs="Times New Roman"/>
          <w:sz w:val="24"/>
        </w:rPr>
        <w:t>art. 12 otrzymuje następujące brzmienie:</w:t>
      </w:r>
    </w:p>
    <w:p w:rsidR="00DF5A15" w:rsidRDefault="00DF5A15" w:rsidP="00DF5A15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„Art. 12. </w:t>
      </w:r>
      <w:r w:rsidRPr="00DF5A15">
        <w:rPr>
          <w:rFonts w:ascii="Times New Roman" w:hAnsi="Times New Roman" w:cs="Times New Roman"/>
          <w:sz w:val="24"/>
        </w:rPr>
        <w:t xml:space="preserve">Ustawa wchodzi w życie z dniem 1 </w:t>
      </w:r>
      <w:r>
        <w:rPr>
          <w:rFonts w:ascii="Times New Roman" w:hAnsi="Times New Roman" w:cs="Times New Roman"/>
          <w:sz w:val="24"/>
        </w:rPr>
        <w:t xml:space="preserve">października </w:t>
      </w:r>
      <w:r w:rsidRPr="00DF5A15">
        <w:rPr>
          <w:rFonts w:ascii="Times New Roman" w:hAnsi="Times New Roman" w:cs="Times New Roman"/>
          <w:sz w:val="24"/>
        </w:rPr>
        <w:t xml:space="preserve">2017 </w:t>
      </w:r>
      <w:r w:rsidR="00277D22">
        <w:rPr>
          <w:rFonts w:ascii="Times New Roman" w:hAnsi="Times New Roman" w:cs="Times New Roman"/>
          <w:sz w:val="24"/>
        </w:rPr>
        <w:t>r., z wyjątkiem art. 1 pkt 17 w </w:t>
      </w:r>
      <w:r w:rsidRPr="00DF5A15">
        <w:rPr>
          <w:rFonts w:ascii="Times New Roman" w:hAnsi="Times New Roman" w:cs="Times New Roman"/>
          <w:sz w:val="24"/>
        </w:rPr>
        <w:t xml:space="preserve">zakresie art. 15f ust. 5 i art. 15g oraz pkt 67 w zakresie art. 89 ust. 1 pkt 5 i 7, które wchodzą w życie z dniem 1 </w:t>
      </w:r>
      <w:r>
        <w:rPr>
          <w:rFonts w:ascii="Times New Roman" w:hAnsi="Times New Roman" w:cs="Times New Roman"/>
          <w:sz w:val="24"/>
        </w:rPr>
        <w:t>stycznia 2018</w:t>
      </w:r>
      <w:r w:rsidRPr="00DF5A15">
        <w:rPr>
          <w:rFonts w:ascii="Times New Roman" w:hAnsi="Times New Roman" w:cs="Times New Roman"/>
          <w:sz w:val="24"/>
        </w:rPr>
        <w:t xml:space="preserve"> r.</w:t>
      </w:r>
      <w:r>
        <w:rPr>
          <w:rFonts w:ascii="Times New Roman" w:hAnsi="Times New Roman" w:cs="Times New Roman"/>
          <w:sz w:val="24"/>
        </w:rPr>
        <w:t>”</w:t>
      </w:r>
    </w:p>
    <w:p w:rsidR="00DF5A15" w:rsidRDefault="00DF5A15" w:rsidP="00DF5A15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A72F9">
        <w:rPr>
          <w:rFonts w:ascii="Times New Roman" w:hAnsi="Times New Roman" w:cs="Times New Roman"/>
          <w:b/>
          <w:sz w:val="24"/>
        </w:rPr>
        <w:t>Art.</w:t>
      </w:r>
      <w:r w:rsidR="004A72F9" w:rsidRPr="004A72F9">
        <w:rPr>
          <w:rFonts w:ascii="Times New Roman" w:hAnsi="Times New Roman" w:cs="Times New Roman"/>
          <w:b/>
          <w:sz w:val="24"/>
        </w:rPr>
        <w:t xml:space="preserve"> </w:t>
      </w:r>
      <w:r w:rsidRPr="004A72F9">
        <w:rPr>
          <w:rFonts w:ascii="Times New Roman" w:hAnsi="Times New Roman" w:cs="Times New Roman"/>
          <w:b/>
          <w:sz w:val="24"/>
        </w:rPr>
        <w:t>2.</w:t>
      </w:r>
      <w:r>
        <w:rPr>
          <w:rFonts w:ascii="Times New Roman" w:hAnsi="Times New Roman" w:cs="Times New Roman"/>
          <w:sz w:val="24"/>
        </w:rPr>
        <w:t xml:space="preserve"> Ustawa wchodzi w życie z </w:t>
      </w:r>
      <w:r w:rsidR="004A72F9">
        <w:rPr>
          <w:rFonts w:ascii="Times New Roman" w:hAnsi="Times New Roman" w:cs="Times New Roman"/>
          <w:sz w:val="24"/>
        </w:rPr>
        <w:t>dniem 24 marca 2017 r.</w:t>
      </w:r>
    </w:p>
    <w:p w:rsidR="004A72F9" w:rsidRDefault="004A72F9" w:rsidP="00DF5A15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4A72F9" w:rsidRDefault="004A72F9" w:rsidP="00DF5A15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4A72F9" w:rsidRDefault="004A72F9" w:rsidP="00DF5A15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4A72F9" w:rsidRDefault="004A72F9" w:rsidP="00DF5A15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4A72F9" w:rsidRDefault="004A72F9" w:rsidP="00DF5A15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4A72F9" w:rsidRDefault="004A72F9" w:rsidP="00DF5A15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4A72F9" w:rsidRDefault="004A72F9" w:rsidP="00DF5A15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4A72F9" w:rsidRDefault="004A72F9" w:rsidP="00DF5A15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4A72F9" w:rsidRDefault="004A72F9" w:rsidP="00DF5A15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4A72F9" w:rsidRDefault="004A72F9" w:rsidP="00DF5A15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4A72F9" w:rsidRDefault="004A72F9" w:rsidP="00DF5A15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4A72F9" w:rsidRDefault="004A72F9" w:rsidP="00DF5A15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4A72F9" w:rsidRDefault="004A72F9" w:rsidP="00DF5A15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4A72F9" w:rsidRDefault="004A72F9" w:rsidP="004A72F9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4A72F9">
        <w:rPr>
          <w:rFonts w:ascii="Times New Roman" w:hAnsi="Times New Roman" w:cs="Times New Roman"/>
          <w:b/>
          <w:sz w:val="24"/>
        </w:rPr>
        <w:lastRenderedPageBreak/>
        <w:t>UZASADNIENIE</w:t>
      </w:r>
    </w:p>
    <w:p w:rsidR="004A72F9" w:rsidRDefault="004A72F9" w:rsidP="004A72F9">
      <w:pPr>
        <w:spacing w:line="360" w:lineRule="auto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Projektowana ustawa ma na celu zmianę ustawy z dnia 15 grudnia 2016 r. o zmianie ustawy o grach hazardowych oraz niektórych innych ustaw w zakresie zmiany brzmienia art. 12 zmienianej ustawy dotyczącego jej </w:t>
      </w:r>
      <w:r>
        <w:rPr>
          <w:rFonts w:ascii="Times New Roman" w:hAnsi="Times New Roman" w:cs="Times New Roman"/>
          <w:i/>
          <w:sz w:val="24"/>
        </w:rPr>
        <w:t>vacatio legis.</w:t>
      </w:r>
    </w:p>
    <w:p w:rsidR="004A72F9" w:rsidRDefault="004A72F9" w:rsidP="00E70F9D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Ustawa z dnia 15 grudnia 2016 r. wprowadziła</w:t>
      </w:r>
      <w:r w:rsidRPr="004A72F9">
        <w:rPr>
          <w:rFonts w:ascii="Times New Roman" w:hAnsi="Times New Roman" w:cs="Times New Roman"/>
          <w:sz w:val="24"/>
        </w:rPr>
        <w:t xml:space="preserve"> istotne zmiany w obszarze rynku gier hazardowych</w:t>
      </w:r>
      <w:r w:rsidR="00E70F9D">
        <w:rPr>
          <w:rFonts w:ascii="Times New Roman" w:hAnsi="Times New Roman" w:cs="Times New Roman"/>
          <w:sz w:val="24"/>
        </w:rPr>
        <w:t xml:space="preserve"> wśród których znajdują się m.in. szerokie zmiany w zakresie praw i obowiązków przedsiębiorców działających w branży gier hazardowych oraz ich pracowników, </w:t>
      </w:r>
      <w:r w:rsidR="00E70F9D" w:rsidRPr="00E70F9D">
        <w:rPr>
          <w:rFonts w:ascii="Times New Roman" w:hAnsi="Times New Roman" w:cs="Times New Roman"/>
          <w:sz w:val="24"/>
        </w:rPr>
        <w:t>wprowadzenie dodatkowego mechanizmu kontrolnego dotyczącego przyznawania koncesji lub zezwolenia na prowadzenie działalności w zakresie gier hazardowych</w:t>
      </w:r>
      <w:r w:rsidR="00E70F9D">
        <w:rPr>
          <w:rFonts w:ascii="Times New Roman" w:hAnsi="Times New Roman" w:cs="Times New Roman"/>
          <w:sz w:val="24"/>
        </w:rPr>
        <w:t xml:space="preserve">, </w:t>
      </w:r>
      <w:r w:rsidR="00E70F9D" w:rsidRPr="00E70F9D">
        <w:rPr>
          <w:rFonts w:ascii="Times New Roman" w:hAnsi="Times New Roman" w:cs="Times New Roman"/>
          <w:sz w:val="24"/>
        </w:rPr>
        <w:t>rozszerzenie katalogu podmiotów po</w:t>
      </w:r>
      <w:r w:rsidR="00E70F9D">
        <w:rPr>
          <w:rFonts w:ascii="Times New Roman" w:hAnsi="Times New Roman" w:cs="Times New Roman"/>
          <w:sz w:val="24"/>
        </w:rPr>
        <w:t xml:space="preserve">dlegających karze pieniężnej za </w:t>
      </w:r>
      <w:r w:rsidR="00E70F9D" w:rsidRPr="00E70F9D">
        <w:rPr>
          <w:rFonts w:ascii="Times New Roman" w:hAnsi="Times New Roman" w:cs="Times New Roman"/>
          <w:sz w:val="24"/>
        </w:rPr>
        <w:t>naruszenie przepisów regulujących rynek gier hazardowych</w:t>
      </w:r>
      <w:r w:rsidR="0020258F">
        <w:rPr>
          <w:rFonts w:ascii="Times New Roman" w:hAnsi="Times New Roman" w:cs="Times New Roman"/>
          <w:sz w:val="24"/>
        </w:rPr>
        <w:t xml:space="preserve"> oraz </w:t>
      </w:r>
      <w:r w:rsidR="00E70F9D">
        <w:rPr>
          <w:rFonts w:ascii="Times New Roman" w:hAnsi="Times New Roman" w:cs="Times New Roman"/>
          <w:sz w:val="24"/>
        </w:rPr>
        <w:t xml:space="preserve">zmiany </w:t>
      </w:r>
      <w:r w:rsidR="00E70F9D" w:rsidRPr="00E70F9D">
        <w:rPr>
          <w:rFonts w:ascii="Times New Roman" w:hAnsi="Times New Roman" w:cs="Times New Roman"/>
          <w:sz w:val="24"/>
        </w:rPr>
        <w:t>przepisów odnoszących się do ograniczeń w reklamie gier hazardowych</w:t>
      </w:r>
      <w:r w:rsidR="0020258F">
        <w:rPr>
          <w:rFonts w:ascii="Times New Roman" w:hAnsi="Times New Roman" w:cs="Times New Roman"/>
          <w:sz w:val="24"/>
        </w:rPr>
        <w:t>.</w:t>
      </w:r>
    </w:p>
    <w:p w:rsidR="004A72F9" w:rsidRDefault="0020258F" w:rsidP="00277D22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 ocenie projektodawców, </w:t>
      </w:r>
      <w:r>
        <w:rPr>
          <w:rFonts w:ascii="Times New Roman" w:hAnsi="Times New Roman" w:cs="Times New Roman"/>
          <w:i/>
          <w:sz w:val="24"/>
        </w:rPr>
        <w:t xml:space="preserve">vacatio legis </w:t>
      </w:r>
      <w:r>
        <w:rPr>
          <w:rFonts w:ascii="Times New Roman" w:hAnsi="Times New Roman" w:cs="Times New Roman"/>
          <w:sz w:val="24"/>
        </w:rPr>
        <w:t xml:space="preserve">przewidziane </w:t>
      </w:r>
      <w:r>
        <w:rPr>
          <w:rFonts w:ascii="Times New Roman" w:hAnsi="Times New Roman" w:cs="Times New Roman"/>
          <w:i/>
          <w:sz w:val="24"/>
        </w:rPr>
        <w:t>de lege lata</w:t>
      </w:r>
      <w:r>
        <w:rPr>
          <w:rFonts w:ascii="Times New Roman" w:hAnsi="Times New Roman" w:cs="Times New Roman"/>
          <w:sz w:val="24"/>
        </w:rPr>
        <w:t xml:space="preserve"> na trzy miesiące jest zdecydowanie zbyt krótkie tym bardziej, że </w:t>
      </w:r>
      <w:r w:rsidR="002A0C09">
        <w:rPr>
          <w:rFonts w:ascii="Times New Roman" w:hAnsi="Times New Roman" w:cs="Times New Roman"/>
          <w:sz w:val="24"/>
        </w:rPr>
        <w:t xml:space="preserve">podczas prac nad projektem nie prowadzono konsultacji z zainteresowanymi podmiotami. Za wydłużeniem </w:t>
      </w:r>
      <w:r w:rsidR="002A0C09">
        <w:rPr>
          <w:rFonts w:ascii="Times New Roman" w:hAnsi="Times New Roman" w:cs="Times New Roman"/>
          <w:i/>
          <w:sz w:val="24"/>
        </w:rPr>
        <w:t xml:space="preserve">vacatio legis </w:t>
      </w:r>
      <w:r w:rsidR="002A0C09">
        <w:rPr>
          <w:rFonts w:ascii="Times New Roman" w:hAnsi="Times New Roman" w:cs="Times New Roman"/>
          <w:sz w:val="24"/>
        </w:rPr>
        <w:t xml:space="preserve">przemawia również fakt, że nowelizacja ta budzi wśród podmiotów, na które ma ona bezpośredni wpływ, wiele wątpliwości interpretacyjnych i prawnych, a także wymaga od nich właściwego przygotowania i dostosowania swojej działalności. Projektodawcy wskazują również, że za wydłużeniem okresu </w:t>
      </w:r>
      <w:r w:rsidR="002A0C09" w:rsidRPr="002A0C09">
        <w:rPr>
          <w:rFonts w:ascii="Times New Roman" w:hAnsi="Times New Roman" w:cs="Times New Roman"/>
          <w:sz w:val="24"/>
        </w:rPr>
        <w:t xml:space="preserve"> między publikacją aktu p</w:t>
      </w:r>
      <w:r w:rsidR="002A0C09">
        <w:rPr>
          <w:rFonts w:ascii="Times New Roman" w:hAnsi="Times New Roman" w:cs="Times New Roman"/>
          <w:sz w:val="24"/>
        </w:rPr>
        <w:t xml:space="preserve">rawnego a jego wejściem w życiem przemawiają </w:t>
      </w:r>
      <w:r w:rsidR="00277D22">
        <w:rPr>
          <w:rFonts w:ascii="Times New Roman" w:hAnsi="Times New Roman" w:cs="Times New Roman"/>
          <w:sz w:val="24"/>
        </w:rPr>
        <w:t>względy bezpieczeństwa państwa.</w:t>
      </w:r>
    </w:p>
    <w:p w:rsidR="004A72F9" w:rsidRDefault="00277D22" w:rsidP="00277D22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Projektowana ustawa pociągnie za sobą pozytywne skutki społeczne i prawne – wydłużenie okresu </w:t>
      </w:r>
      <w:r>
        <w:rPr>
          <w:rFonts w:ascii="Times New Roman" w:hAnsi="Times New Roman" w:cs="Times New Roman"/>
          <w:i/>
          <w:sz w:val="24"/>
        </w:rPr>
        <w:t xml:space="preserve">vacatio legis </w:t>
      </w:r>
      <w:r>
        <w:rPr>
          <w:rFonts w:ascii="Times New Roman" w:hAnsi="Times New Roman" w:cs="Times New Roman"/>
          <w:sz w:val="24"/>
        </w:rPr>
        <w:t xml:space="preserve">szerokiej zmiany dokonywanej na rynku gier hazardowych zapewni wykonanie celu, jaki w demokratycznym państwie prawa przypisuje się </w:t>
      </w:r>
      <w:r>
        <w:rPr>
          <w:rFonts w:ascii="Times New Roman" w:hAnsi="Times New Roman" w:cs="Times New Roman"/>
          <w:i/>
          <w:sz w:val="24"/>
        </w:rPr>
        <w:t xml:space="preserve">vacatio legis, </w:t>
      </w:r>
      <w:r>
        <w:rPr>
          <w:rFonts w:ascii="Times New Roman" w:hAnsi="Times New Roman" w:cs="Times New Roman"/>
          <w:sz w:val="24"/>
        </w:rPr>
        <w:t xml:space="preserve">tj. umożliwienie wszystkim zainteresowanym </w:t>
      </w:r>
      <w:r w:rsidRPr="00277D22">
        <w:rPr>
          <w:rFonts w:ascii="Times New Roman" w:hAnsi="Times New Roman" w:cs="Times New Roman"/>
          <w:sz w:val="24"/>
        </w:rPr>
        <w:t>zapoz</w:t>
      </w:r>
      <w:r>
        <w:rPr>
          <w:rFonts w:ascii="Times New Roman" w:hAnsi="Times New Roman" w:cs="Times New Roman"/>
          <w:sz w:val="24"/>
        </w:rPr>
        <w:t>nanie się z nowymi przepisami i </w:t>
      </w:r>
      <w:r w:rsidRPr="00277D22">
        <w:rPr>
          <w:rFonts w:ascii="Times New Roman" w:hAnsi="Times New Roman" w:cs="Times New Roman"/>
          <w:sz w:val="24"/>
        </w:rPr>
        <w:t>przygotowanie do ewentualnych zmian, jakie mogą wynikać z ich wejścia w życie.</w:t>
      </w:r>
    </w:p>
    <w:p w:rsidR="00277D22" w:rsidRDefault="00277D22" w:rsidP="00277D22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Projektowana ustawa nie pociąga za sobą obciążenia budżetu państwa ani budżetów jednostek samorządu terytorialnego. </w:t>
      </w:r>
    </w:p>
    <w:p w:rsidR="00277D22" w:rsidRDefault="00277D22" w:rsidP="00277D22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Projektowana ustawa nie przewiduje wydania żadnych aktów wykonawczych wobec czego nie ma konieczności przedstawiania ich podstawowych założeń.</w:t>
      </w:r>
    </w:p>
    <w:p w:rsidR="00277D22" w:rsidRPr="004A72F9" w:rsidRDefault="00277D22" w:rsidP="00277D22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Projektowana ustawa jest zgodna z prawem Unii Europejskiej. </w:t>
      </w:r>
    </w:p>
    <w:sectPr w:rsidR="00277D22" w:rsidRPr="004A7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A15"/>
    <w:rsid w:val="001060F6"/>
    <w:rsid w:val="001F3CE5"/>
    <w:rsid w:val="0020258F"/>
    <w:rsid w:val="002678CF"/>
    <w:rsid w:val="00277D22"/>
    <w:rsid w:val="002A0C09"/>
    <w:rsid w:val="004A72F9"/>
    <w:rsid w:val="004C46C9"/>
    <w:rsid w:val="00C013A7"/>
    <w:rsid w:val="00DF5A15"/>
    <w:rsid w:val="00E70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277D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277D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Cis</dc:creator>
  <cp:lastModifiedBy>Ewa A. Genert</cp:lastModifiedBy>
  <cp:revision>2</cp:revision>
  <dcterms:created xsi:type="dcterms:W3CDTF">2017-03-08T10:51:00Z</dcterms:created>
  <dcterms:modified xsi:type="dcterms:W3CDTF">2017-03-08T10:51:00Z</dcterms:modified>
</cp:coreProperties>
</file>