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5DB" w:rsidRDefault="00CF52F7" w:rsidP="009D35DB">
      <w:pPr>
        <w:autoSpaceDE w:val="0"/>
        <w:autoSpaceDN w:val="0"/>
        <w:adjustRightInd w:val="0"/>
        <w:spacing w:after="0" w:line="240" w:lineRule="auto"/>
        <w:rPr>
          <w:rFonts w:ascii="Tms Rmn" w:hAnsi="Tms Rmn"/>
          <w:sz w:val="24"/>
          <w:szCs w:val="24"/>
        </w:rPr>
      </w:pPr>
      <w:bookmarkStart w:id="0" w:name="_GoBack"/>
      <w:bookmarkEnd w:id="0"/>
      <w:r>
        <w:rPr>
          <w:rFonts w:ascii="Tms Rmn" w:hAnsi="Tms Rmn"/>
          <w:sz w:val="24"/>
          <w:szCs w:val="24"/>
        </w:rPr>
        <w:tab/>
      </w:r>
      <w:r>
        <w:rPr>
          <w:rFonts w:ascii="Tms Rmn" w:hAnsi="Tms Rmn"/>
          <w:sz w:val="24"/>
          <w:szCs w:val="24"/>
        </w:rPr>
        <w:tab/>
      </w:r>
      <w:r>
        <w:rPr>
          <w:rFonts w:ascii="Tms Rmn" w:hAnsi="Tms Rmn"/>
          <w:sz w:val="24"/>
          <w:szCs w:val="24"/>
        </w:rPr>
        <w:tab/>
      </w:r>
      <w:r>
        <w:rPr>
          <w:rFonts w:ascii="Tms Rmn" w:hAnsi="Tms Rmn"/>
          <w:sz w:val="24"/>
          <w:szCs w:val="24"/>
        </w:rPr>
        <w:tab/>
      </w:r>
      <w:r>
        <w:rPr>
          <w:rFonts w:ascii="Tms Rmn" w:hAnsi="Tms Rmn"/>
          <w:sz w:val="24"/>
          <w:szCs w:val="24"/>
        </w:rPr>
        <w:tab/>
      </w:r>
      <w:r>
        <w:rPr>
          <w:rFonts w:ascii="Tms Rmn" w:hAnsi="Tms Rmn"/>
          <w:sz w:val="24"/>
          <w:szCs w:val="24"/>
        </w:rPr>
        <w:tab/>
      </w:r>
      <w:r>
        <w:rPr>
          <w:rFonts w:ascii="Tms Rmn" w:hAnsi="Tms Rmn"/>
          <w:sz w:val="24"/>
          <w:szCs w:val="24"/>
        </w:rPr>
        <w:tab/>
      </w:r>
      <w:r>
        <w:rPr>
          <w:rFonts w:ascii="Tms Rmn" w:hAnsi="Tms Rmn"/>
          <w:sz w:val="24"/>
          <w:szCs w:val="24"/>
        </w:rPr>
        <w:tab/>
      </w:r>
      <w:r>
        <w:rPr>
          <w:rFonts w:ascii="Tms Rmn" w:hAnsi="Tms Rmn"/>
          <w:sz w:val="24"/>
          <w:szCs w:val="24"/>
        </w:rPr>
        <w:tab/>
        <w:t>Projekt z dnia …………….</w:t>
      </w:r>
    </w:p>
    <w:p w:rsidR="00CF52F7" w:rsidRDefault="00CF52F7" w:rsidP="009D35DB">
      <w:pPr>
        <w:autoSpaceDE w:val="0"/>
        <w:autoSpaceDN w:val="0"/>
        <w:adjustRightInd w:val="0"/>
        <w:spacing w:after="0" w:line="240" w:lineRule="auto"/>
        <w:rPr>
          <w:rFonts w:ascii="Tms Rmn" w:hAnsi="Tms Rmn"/>
          <w:sz w:val="24"/>
          <w:szCs w:val="24"/>
        </w:rPr>
      </w:pPr>
    </w:p>
    <w:p w:rsidR="009D35DB" w:rsidRDefault="009D35DB" w:rsidP="009D35DB">
      <w:pPr>
        <w:autoSpaceDE w:val="0"/>
        <w:autoSpaceDN w:val="0"/>
        <w:adjustRightInd w:val="0"/>
        <w:spacing w:after="0" w:line="360" w:lineRule="auto"/>
        <w:jc w:val="center"/>
        <w:rPr>
          <w:rFonts w:ascii="Times" w:hAnsi="Times" w:cs="Times"/>
          <w:b/>
          <w:bCs/>
          <w:color w:val="000000"/>
          <w:sz w:val="24"/>
          <w:szCs w:val="24"/>
        </w:rPr>
      </w:pPr>
      <w:r>
        <w:rPr>
          <w:rFonts w:ascii="Times" w:hAnsi="Times" w:cs="Times"/>
          <w:b/>
          <w:bCs/>
          <w:color w:val="000000"/>
          <w:sz w:val="24"/>
          <w:szCs w:val="24"/>
        </w:rPr>
        <w:t xml:space="preserve">USTAWA </w:t>
      </w:r>
    </w:p>
    <w:p w:rsidR="009D35DB" w:rsidRDefault="009D35DB" w:rsidP="009D35DB">
      <w:pPr>
        <w:autoSpaceDE w:val="0"/>
        <w:autoSpaceDN w:val="0"/>
        <w:adjustRightInd w:val="0"/>
        <w:spacing w:after="0" w:line="360" w:lineRule="auto"/>
        <w:jc w:val="center"/>
        <w:rPr>
          <w:rFonts w:ascii="Times" w:hAnsi="Times" w:cs="Times"/>
          <w:b/>
          <w:bCs/>
          <w:color w:val="000000"/>
          <w:sz w:val="24"/>
          <w:szCs w:val="24"/>
        </w:rPr>
      </w:pPr>
      <w:r>
        <w:rPr>
          <w:rFonts w:ascii="Times" w:hAnsi="Times" w:cs="Times"/>
          <w:b/>
          <w:bCs/>
          <w:color w:val="000000"/>
          <w:sz w:val="24"/>
          <w:szCs w:val="24"/>
        </w:rPr>
        <w:t xml:space="preserve">z dnia </w:t>
      </w:r>
      <w:r>
        <w:rPr>
          <w:rFonts w:ascii="Times New Roman" w:hAnsi="Times New Roman" w:cs="Times New Roman"/>
          <w:b/>
          <w:bCs/>
          <w:color w:val="000000"/>
          <w:sz w:val="24"/>
          <w:szCs w:val="24"/>
        </w:rPr>
        <w:t xml:space="preserve">……………………… </w:t>
      </w:r>
      <w:r>
        <w:rPr>
          <w:rFonts w:ascii="Times" w:hAnsi="Times" w:cs="Times"/>
          <w:b/>
          <w:bCs/>
          <w:color w:val="000000"/>
          <w:sz w:val="24"/>
          <w:szCs w:val="24"/>
        </w:rPr>
        <w:t xml:space="preserve">2017 r. </w:t>
      </w:r>
    </w:p>
    <w:p w:rsidR="009D35DB" w:rsidRDefault="009D35DB" w:rsidP="009D35DB">
      <w:pPr>
        <w:autoSpaceDE w:val="0"/>
        <w:autoSpaceDN w:val="0"/>
        <w:adjustRightInd w:val="0"/>
        <w:spacing w:after="0" w:line="360" w:lineRule="auto"/>
        <w:jc w:val="center"/>
        <w:rPr>
          <w:rFonts w:ascii="Times" w:hAnsi="Times" w:cs="Times"/>
          <w:b/>
          <w:bCs/>
          <w:color w:val="000000"/>
          <w:sz w:val="24"/>
          <w:szCs w:val="24"/>
        </w:rPr>
      </w:pPr>
      <w:r>
        <w:rPr>
          <w:rFonts w:ascii="Times" w:hAnsi="Times" w:cs="Times"/>
          <w:b/>
          <w:bCs/>
          <w:color w:val="000000"/>
          <w:sz w:val="24"/>
          <w:szCs w:val="24"/>
        </w:rPr>
        <w:t xml:space="preserve">o zmianie ustawy o funkcjonowaniu górnictwa węgla kamiennego </w:t>
      </w:r>
    </w:p>
    <w:p w:rsidR="009D35DB" w:rsidRDefault="009D35DB" w:rsidP="009D35DB">
      <w:pPr>
        <w:autoSpaceDE w:val="0"/>
        <w:autoSpaceDN w:val="0"/>
        <w:adjustRightInd w:val="0"/>
        <w:spacing w:after="0" w:line="360" w:lineRule="auto"/>
        <w:jc w:val="center"/>
        <w:rPr>
          <w:rFonts w:ascii="Times" w:hAnsi="Times" w:cs="Times"/>
          <w:b/>
          <w:bCs/>
          <w:color w:val="000000"/>
          <w:sz w:val="24"/>
          <w:szCs w:val="24"/>
        </w:rPr>
      </w:pPr>
    </w:p>
    <w:p w:rsidR="00F65CD7" w:rsidRDefault="009D35DB" w:rsidP="009D35DB">
      <w:pPr>
        <w:autoSpaceDE w:val="0"/>
        <w:autoSpaceDN w:val="0"/>
        <w:adjustRightInd w:val="0"/>
        <w:spacing w:after="0" w:line="360" w:lineRule="auto"/>
        <w:ind w:left="567" w:hanging="567"/>
        <w:jc w:val="both"/>
        <w:rPr>
          <w:rFonts w:ascii="Times" w:hAnsi="Times" w:cs="Times"/>
          <w:color w:val="000000"/>
          <w:sz w:val="24"/>
          <w:szCs w:val="24"/>
        </w:rPr>
      </w:pPr>
      <w:r>
        <w:rPr>
          <w:rFonts w:ascii="Times" w:hAnsi="Times" w:cs="Times"/>
          <w:b/>
          <w:bCs/>
          <w:color w:val="000000"/>
          <w:sz w:val="24"/>
          <w:szCs w:val="24"/>
        </w:rPr>
        <w:t xml:space="preserve">Art. 1. </w:t>
      </w:r>
      <w:r>
        <w:rPr>
          <w:rFonts w:ascii="Times" w:hAnsi="Times" w:cs="Times"/>
          <w:color w:val="000000"/>
          <w:sz w:val="24"/>
          <w:szCs w:val="24"/>
        </w:rPr>
        <w:t xml:space="preserve"> W ustawie z dnia 7 września 2007 r. o funkcjonowaniu górnictwa węgla kamiennego (Dz. U. z 2016 r. poz. 704, 1592, 1991 i 2260)</w:t>
      </w:r>
      <w:r w:rsidR="00F65CD7">
        <w:rPr>
          <w:rFonts w:ascii="Times" w:hAnsi="Times" w:cs="Times"/>
          <w:color w:val="000000"/>
          <w:sz w:val="24"/>
          <w:szCs w:val="24"/>
        </w:rPr>
        <w:t xml:space="preserve"> wprowadza się następujące zmiany:</w:t>
      </w:r>
    </w:p>
    <w:p w:rsidR="00F65CD7" w:rsidRDefault="00F65CD7" w:rsidP="009D35DB">
      <w:pPr>
        <w:autoSpaceDE w:val="0"/>
        <w:autoSpaceDN w:val="0"/>
        <w:adjustRightInd w:val="0"/>
        <w:spacing w:after="0" w:line="360" w:lineRule="auto"/>
        <w:ind w:left="567" w:hanging="567"/>
        <w:jc w:val="both"/>
        <w:rPr>
          <w:rFonts w:ascii="Times" w:hAnsi="Times" w:cs="Times"/>
          <w:color w:val="000000"/>
          <w:sz w:val="24"/>
          <w:szCs w:val="24"/>
        </w:rPr>
      </w:pPr>
    </w:p>
    <w:p w:rsidR="009D35DB" w:rsidRPr="008A0257" w:rsidRDefault="00F65CD7" w:rsidP="009D35DB">
      <w:pPr>
        <w:autoSpaceDE w:val="0"/>
        <w:autoSpaceDN w:val="0"/>
        <w:adjustRightInd w:val="0"/>
        <w:spacing w:after="0" w:line="360" w:lineRule="auto"/>
        <w:ind w:left="567" w:hanging="567"/>
        <w:jc w:val="both"/>
        <w:rPr>
          <w:rFonts w:ascii="Times New Roman" w:hAnsi="Times New Roman" w:cs="Times New Roman"/>
          <w:b/>
          <w:color w:val="000000"/>
          <w:sz w:val="24"/>
          <w:szCs w:val="24"/>
        </w:rPr>
      </w:pPr>
      <w:r w:rsidRPr="008A0257">
        <w:rPr>
          <w:rFonts w:ascii="Times" w:hAnsi="Times" w:cs="Times"/>
          <w:b/>
          <w:bCs/>
          <w:color w:val="000000"/>
          <w:sz w:val="24"/>
          <w:szCs w:val="24"/>
        </w:rPr>
        <w:t>1)</w:t>
      </w:r>
      <w:r w:rsidR="009D35DB" w:rsidRPr="008A0257">
        <w:rPr>
          <w:rFonts w:ascii="Times" w:hAnsi="Times" w:cs="Times"/>
          <w:b/>
          <w:color w:val="000000"/>
          <w:sz w:val="24"/>
          <w:szCs w:val="24"/>
        </w:rPr>
        <w:t xml:space="preserve"> </w:t>
      </w:r>
      <w:r w:rsidR="009D35DB" w:rsidRPr="008A0257">
        <w:rPr>
          <w:rFonts w:ascii="Times New Roman" w:hAnsi="Times New Roman" w:cs="Times New Roman"/>
          <w:b/>
          <w:color w:val="000000"/>
          <w:sz w:val="24"/>
          <w:szCs w:val="24"/>
        </w:rPr>
        <w:t xml:space="preserve">w art. 8e dotychczasową treść oznacza się jako ust. 1 i dodaje się ust. 2 </w:t>
      </w:r>
      <w:r w:rsidR="00D4678D" w:rsidRPr="008A0257">
        <w:rPr>
          <w:rFonts w:ascii="Times New Roman" w:hAnsi="Times New Roman" w:cs="Times New Roman"/>
          <w:b/>
          <w:color w:val="000000"/>
          <w:sz w:val="24"/>
          <w:szCs w:val="24"/>
        </w:rPr>
        <w:t xml:space="preserve">i 3 </w:t>
      </w:r>
      <w:r w:rsidR="009D35DB" w:rsidRPr="008A0257">
        <w:rPr>
          <w:rFonts w:ascii="Times New Roman" w:hAnsi="Times New Roman" w:cs="Times New Roman"/>
          <w:b/>
          <w:color w:val="000000"/>
          <w:sz w:val="24"/>
          <w:szCs w:val="24"/>
        </w:rPr>
        <w:t>w brzmieniu:</w:t>
      </w:r>
    </w:p>
    <w:p w:rsidR="009D35DB" w:rsidRDefault="009D35DB" w:rsidP="009D35DB">
      <w:pPr>
        <w:autoSpaceDE w:val="0"/>
        <w:autoSpaceDN w:val="0"/>
        <w:adjustRightInd w:val="0"/>
        <w:spacing w:after="0" w:line="360" w:lineRule="auto"/>
        <w:ind w:left="720"/>
        <w:jc w:val="both"/>
        <w:rPr>
          <w:rFonts w:ascii="Times New Roman" w:hAnsi="Times New Roman" w:cs="Times New Roman"/>
          <w:color w:val="000000"/>
          <w:sz w:val="24"/>
          <w:szCs w:val="24"/>
        </w:rPr>
      </w:pPr>
    </w:p>
    <w:p w:rsidR="00B62E11" w:rsidRDefault="009D35DB" w:rsidP="009D35DB">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 przypadku zbywania </w:t>
      </w:r>
      <w:r w:rsidR="00015F09">
        <w:rPr>
          <w:rFonts w:ascii="Times New Roman" w:hAnsi="Times New Roman" w:cs="Times New Roman"/>
          <w:color w:val="000000"/>
          <w:sz w:val="24"/>
          <w:szCs w:val="24"/>
        </w:rPr>
        <w:t>przez przedsiębiorstwo górnicze kopalni, zakładu górniczego albo jego oznaczonej części</w:t>
      </w:r>
      <w:r w:rsidR="008A025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015F09">
        <w:rPr>
          <w:rFonts w:ascii="Times New Roman" w:hAnsi="Times New Roman" w:cs="Times New Roman"/>
          <w:color w:val="000000"/>
          <w:sz w:val="24"/>
          <w:szCs w:val="24"/>
        </w:rPr>
        <w:t xml:space="preserve">w skład którego wchodzą nieruchomości rolne, </w:t>
      </w:r>
      <w:r>
        <w:rPr>
          <w:rFonts w:ascii="Times New Roman" w:hAnsi="Times New Roman" w:cs="Times New Roman"/>
          <w:color w:val="000000"/>
          <w:sz w:val="24"/>
          <w:szCs w:val="24"/>
        </w:rPr>
        <w:t>przepisów art. 2a ust. 1 i 4 oraz art. 4 ust. 1  ustawy z dnia 11 kwietnia 2003 r. o kształtowaniu ustroju rolnego (Dz. U. z 2016 r.  poz. 2052 oraz z 2017 r. poz. 60) nie stosuje się.</w:t>
      </w:r>
    </w:p>
    <w:p w:rsidR="00F65CD7" w:rsidRDefault="00B62E11" w:rsidP="009D35DB">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Przepis ust. 2 stosuje się odpowiednio do </w:t>
      </w:r>
      <w:r w:rsidR="00A62823">
        <w:rPr>
          <w:rFonts w:ascii="Times New Roman" w:hAnsi="Times New Roman" w:cs="Times New Roman"/>
          <w:color w:val="000000"/>
          <w:sz w:val="24"/>
          <w:szCs w:val="24"/>
        </w:rPr>
        <w:t>zbycia nieruchomości rolnych przez przedsiębiorstwo górnicze na podstawie zdarzeń prawnych określonych w art. 4 ust 1</w:t>
      </w:r>
      <w:r w:rsidR="00D4678D">
        <w:rPr>
          <w:rFonts w:ascii="Times New Roman" w:hAnsi="Times New Roman" w:cs="Times New Roman"/>
          <w:color w:val="000000"/>
          <w:sz w:val="24"/>
          <w:szCs w:val="24"/>
        </w:rPr>
        <w:t xml:space="preserve"> ustawy wskazanej w ust</w:t>
      </w:r>
      <w:r w:rsidR="00BF6EAD">
        <w:rPr>
          <w:rFonts w:ascii="Times New Roman" w:hAnsi="Times New Roman" w:cs="Times New Roman"/>
          <w:color w:val="000000"/>
          <w:sz w:val="24"/>
          <w:szCs w:val="24"/>
        </w:rPr>
        <w:t>.</w:t>
      </w:r>
      <w:r w:rsidR="00D4678D">
        <w:rPr>
          <w:rFonts w:ascii="Times New Roman" w:hAnsi="Times New Roman" w:cs="Times New Roman"/>
          <w:color w:val="000000"/>
          <w:sz w:val="24"/>
          <w:szCs w:val="24"/>
        </w:rPr>
        <w:t xml:space="preserve"> 2</w:t>
      </w:r>
      <w:r w:rsidR="00A62823">
        <w:rPr>
          <w:rFonts w:ascii="Times New Roman" w:hAnsi="Times New Roman" w:cs="Times New Roman"/>
          <w:color w:val="000000"/>
          <w:sz w:val="24"/>
          <w:szCs w:val="24"/>
        </w:rPr>
        <w:t xml:space="preserve">, jeżeli ich nabywcą jest </w:t>
      </w:r>
      <w:r>
        <w:rPr>
          <w:rFonts w:ascii="Times New Roman" w:hAnsi="Times New Roman" w:cs="Times New Roman"/>
          <w:color w:val="000000"/>
          <w:sz w:val="24"/>
          <w:szCs w:val="24"/>
        </w:rPr>
        <w:t>Skarb Państwa, państwowa osoba prawna lub przedsiębiorstwo górnicze.</w:t>
      </w:r>
      <w:r w:rsidR="008A0257">
        <w:rPr>
          <w:rFonts w:ascii="Times New Roman" w:hAnsi="Times New Roman" w:cs="Times New Roman"/>
          <w:color w:val="000000"/>
          <w:sz w:val="24"/>
          <w:szCs w:val="24"/>
        </w:rPr>
        <w:t>”;</w:t>
      </w:r>
    </w:p>
    <w:p w:rsidR="00F65CD7" w:rsidRPr="008A0257" w:rsidRDefault="00F65CD7" w:rsidP="009D35DB">
      <w:pPr>
        <w:autoSpaceDE w:val="0"/>
        <w:autoSpaceDN w:val="0"/>
        <w:adjustRightInd w:val="0"/>
        <w:spacing w:after="0" w:line="360" w:lineRule="auto"/>
        <w:jc w:val="both"/>
        <w:rPr>
          <w:rFonts w:ascii="Times New Roman" w:hAnsi="Times New Roman" w:cs="Times New Roman"/>
          <w:b/>
          <w:color w:val="000000"/>
          <w:sz w:val="24"/>
          <w:szCs w:val="24"/>
        </w:rPr>
      </w:pPr>
    </w:p>
    <w:p w:rsidR="008A0257" w:rsidRPr="008A0257" w:rsidRDefault="008A0257" w:rsidP="008A0257">
      <w:pPr>
        <w:pStyle w:val="USTustnpkodeksu"/>
        <w:ind w:firstLine="0"/>
        <w:rPr>
          <w:rFonts w:ascii="Times New Roman" w:hAnsi="Times New Roman" w:cs="Times New Roman"/>
          <w:b/>
        </w:rPr>
      </w:pPr>
      <w:r w:rsidRPr="008A0257">
        <w:rPr>
          <w:rFonts w:ascii="Times New Roman" w:hAnsi="Times New Roman" w:cs="Times New Roman"/>
          <w:b/>
        </w:rPr>
        <w:t xml:space="preserve">2) art. 11b ust. </w:t>
      </w:r>
      <w:r>
        <w:rPr>
          <w:rFonts w:ascii="Times New Roman" w:hAnsi="Times New Roman" w:cs="Times New Roman"/>
          <w:b/>
        </w:rPr>
        <w:t xml:space="preserve">1 </w:t>
      </w:r>
      <w:r w:rsidRPr="008A0257">
        <w:rPr>
          <w:rFonts w:ascii="Times New Roman" w:hAnsi="Times New Roman" w:cs="Times New Roman"/>
          <w:b/>
        </w:rPr>
        <w:t>otrzymuje brzmienie:</w:t>
      </w:r>
    </w:p>
    <w:p w:rsidR="00F65CD7" w:rsidRPr="00F65CD7" w:rsidRDefault="004C74EF" w:rsidP="008A0257">
      <w:pPr>
        <w:pStyle w:val="USTustnpkodeksu"/>
        <w:ind w:firstLine="0"/>
        <w:rPr>
          <w:rFonts w:ascii="Times New Roman" w:hAnsi="Times New Roman" w:cs="Times New Roman"/>
        </w:rPr>
      </w:pPr>
      <w:r>
        <w:rPr>
          <w:rFonts w:ascii="Times New Roman" w:hAnsi="Times New Roman" w:cs="Times New Roman"/>
        </w:rPr>
        <w:t xml:space="preserve"> </w:t>
      </w:r>
      <w:r w:rsidR="00F65CD7">
        <w:rPr>
          <w:rFonts w:ascii="Times New Roman" w:hAnsi="Times New Roman" w:cs="Times New Roman"/>
        </w:rPr>
        <w:t>„</w:t>
      </w:r>
      <w:r w:rsidR="00F65CD7" w:rsidRPr="00F65CD7">
        <w:rPr>
          <w:rFonts w:ascii="Times New Roman" w:hAnsi="Times New Roman" w:cs="Times New Roman"/>
        </w:rPr>
        <w:t>1. Urlop górniczy, o którym mowa w art. 11a ust. 1 pkt 1, przysługuje pracownikowi zatrudnionemu pod ziemią w kopalni, zakładzie górniczym lub jego oznaczonej części, nabytych po dniu 1 stycznia 2015 r. przez przedsiębiorstwo, o którym mowa w art. 8 ust. 1, któremu ze względu na wiek, łączny staż pracy, w tym staż pracy w okresie pełnienia z wyboru funkcji związkowej w organizacji związkowej, reprezentatywnej w rozumieniu ustawy o Radzie Dialogu Społecznego i innych instytucjach dialogu społecznego (Dz. U. poz. 1240), lub staż pracy pod ziemią wykonywanej stale i w pełnym wymiarze czasu pracy brakuje nie więcej niż cztery lata do nabycia prawa do emerytury - w wymiarze do czterech lat.".</w:t>
      </w:r>
    </w:p>
    <w:p w:rsidR="009D35DB" w:rsidRPr="00F65CD7" w:rsidRDefault="009D35DB" w:rsidP="009D35DB">
      <w:pPr>
        <w:autoSpaceDE w:val="0"/>
        <w:autoSpaceDN w:val="0"/>
        <w:adjustRightInd w:val="0"/>
        <w:spacing w:after="0" w:line="360" w:lineRule="auto"/>
        <w:jc w:val="both"/>
        <w:rPr>
          <w:rFonts w:ascii="Times New Roman" w:hAnsi="Times New Roman" w:cs="Times New Roman"/>
          <w:color w:val="000000"/>
          <w:sz w:val="24"/>
          <w:szCs w:val="24"/>
        </w:rPr>
      </w:pPr>
    </w:p>
    <w:p w:rsidR="00896DCA" w:rsidRPr="002F3540" w:rsidRDefault="009D35DB" w:rsidP="00896DCA">
      <w:pPr>
        <w:autoSpaceDE w:val="0"/>
        <w:autoSpaceDN w:val="0"/>
        <w:adjustRightInd w:val="0"/>
        <w:spacing w:after="0" w:line="360" w:lineRule="auto"/>
        <w:jc w:val="both"/>
        <w:rPr>
          <w:rFonts w:ascii="Times New Roman" w:hAnsi="Times New Roman" w:cs="Times New Roman"/>
          <w:color w:val="000000"/>
          <w:sz w:val="24"/>
          <w:szCs w:val="24"/>
        </w:rPr>
      </w:pPr>
      <w:r w:rsidRPr="00896DCA">
        <w:rPr>
          <w:rFonts w:ascii="Times New Roman" w:hAnsi="Times New Roman" w:cs="Times New Roman"/>
          <w:b/>
          <w:color w:val="000000"/>
          <w:sz w:val="24"/>
          <w:szCs w:val="24"/>
        </w:rPr>
        <w:t>Art. 2.</w:t>
      </w:r>
      <w:r w:rsidRPr="00F65CD7">
        <w:rPr>
          <w:rFonts w:ascii="Times New Roman" w:hAnsi="Times New Roman" w:cs="Times New Roman"/>
          <w:color w:val="000000"/>
          <w:sz w:val="24"/>
          <w:szCs w:val="24"/>
        </w:rPr>
        <w:t xml:space="preserve"> Ustawa wchodzi w życie z dniem następującym po dniu ogłoszenia</w:t>
      </w:r>
      <w:r w:rsidR="00590BD2">
        <w:rPr>
          <w:rFonts w:ascii="Times New Roman" w:hAnsi="Times New Roman" w:cs="Times New Roman"/>
          <w:color w:val="000000"/>
          <w:sz w:val="24"/>
          <w:szCs w:val="24"/>
        </w:rPr>
        <w:t>.</w:t>
      </w:r>
    </w:p>
    <w:p w:rsidR="009D35DB" w:rsidRPr="00F65CD7" w:rsidRDefault="009D35DB" w:rsidP="009D35DB">
      <w:pPr>
        <w:autoSpaceDE w:val="0"/>
        <w:autoSpaceDN w:val="0"/>
        <w:adjustRightInd w:val="0"/>
        <w:spacing w:after="0" w:line="360" w:lineRule="auto"/>
        <w:jc w:val="both"/>
        <w:rPr>
          <w:rFonts w:ascii="Times New Roman" w:hAnsi="Times New Roman" w:cs="Times New Roman"/>
          <w:color w:val="000000"/>
          <w:sz w:val="24"/>
          <w:szCs w:val="24"/>
        </w:rPr>
      </w:pPr>
      <w:r w:rsidRPr="00F65CD7">
        <w:rPr>
          <w:rFonts w:ascii="Times New Roman" w:hAnsi="Times New Roman" w:cs="Times New Roman"/>
          <w:color w:val="000000"/>
          <w:sz w:val="24"/>
          <w:szCs w:val="24"/>
        </w:rPr>
        <w:t>.</w:t>
      </w:r>
    </w:p>
    <w:p w:rsidR="00F65CD7" w:rsidRDefault="00F65CD7">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CF52F7" w:rsidRDefault="00CF52F7" w:rsidP="00CF52F7">
      <w:pPr>
        <w:pStyle w:val="ARTartustawynprozporzdzenia"/>
      </w:pPr>
    </w:p>
    <w:p w:rsidR="00CF52F7" w:rsidRPr="00FD070D" w:rsidRDefault="00CF52F7" w:rsidP="00CF52F7">
      <w:pPr>
        <w:pStyle w:val="OZNRODZAKTUtznustawalubrozporzdzenieiorganwydajcy"/>
      </w:pPr>
      <w:r w:rsidRPr="00FD070D">
        <w:t>UZASADNIENIE</w:t>
      </w:r>
    </w:p>
    <w:p w:rsidR="00CF52F7" w:rsidRPr="00FD070D" w:rsidRDefault="00CF52F7" w:rsidP="00CF52F7">
      <w:pPr>
        <w:pStyle w:val="NIEARTTEKSTtekstnieartykuowanynppodstprawnarozplubpreambua"/>
        <w:numPr>
          <w:ilvl w:val="0"/>
          <w:numId w:val="1"/>
        </w:numPr>
        <w:spacing w:line="276" w:lineRule="auto"/>
        <w:rPr>
          <w:rFonts w:ascii="Times New Roman" w:hAnsi="Times New Roman" w:cs="Times New Roman"/>
          <w:szCs w:val="24"/>
        </w:rPr>
      </w:pPr>
      <w:r w:rsidRPr="00FD070D">
        <w:rPr>
          <w:rFonts w:ascii="Times New Roman" w:hAnsi="Times New Roman" w:cs="Times New Roman"/>
          <w:szCs w:val="24"/>
        </w:rPr>
        <w:t>Potrzeba i cel uchwalenia ustawy oraz proponowane rozwiązania.</w:t>
      </w:r>
    </w:p>
    <w:p w:rsidR="00CF52F7" w:rsidRPr="00FD070D" w:rsidRDefault="00CF52F7" w:rsidP="00CF52F7">
      <w:pPr>
        <w:pStyle w:val="ARTartustawynprozporzdzenia"/>
        <w:rPr>
          <w:szCs w:val="24"/>
        </w:rPr>
      </w:pPr>
    </w:p>
    <w:p w:rsidR="00CF52F7" w:rsidRPr="00FD070D" w:rsidRDefault="00CF52F7" w:rsidP="00CF52F7">
      <w:pPr>
        <w:spacing w:line="360" w:lineRule="auto"/>
        <w:ind w:firstLine="510"/>
        <w:jc w:val="both"/>
        <w:rPr>
          <w:rFonts w:ascii="Times New Roman" w:hAnsi="Times New Roman" w:cs="Times New Roman"/>
          <w:sz w:val="24"/>
          <w:szCs w:val="24"/>
        </w:rPr>
      </w:pPr>
      <w:r w:rsidRPr="00FD070D">
        <w:rPr>
          <w:rFonts w:ascii="Times New Roman" w:hAnsi="Times New Roman" w:cs="Times New Roman"/>
          <w:sz w:val="24"/>
          <w:szCs w:val="24"/>
        </w:rPr>
        <w:t>Celem projektu jest zmiana przepisów ustawy z dnia 7 września 2007 r. o funkcjonowaniu górnictwa węgla kamiennego (Dz. U. z 2016 r. poz. 704, 1592, 1991 i 2260) w zakresie niezbędnym do porządkowania majątku przedsiębiorstw górniczych.</w:t>
      </w:r>
    </w:p>
    <w:p w:rsidR="00CF52F7" w:rsidRPr="00FD070D" w:rsidRDefault="00CF52F7" w:rsidP="00CF52F7">
      <w:pPr>
        <w:spacing w:line="360" w:lineRule="auto"/>
        <w:ind w:firstLine="510"/>
        <w:jc w:val="both"/>
        <w:rPr>
          <w:rFonts w:ascii="Times New Roman" w:hAnsi="Times New Roman" w:cs="Times New Roman"/>
          <w:sz w:val="24"/>
          <w:szCs w:val="24"/>
        </w:rPr>
      </w:pPr>
      <w:r w:rsidRPr="00FD070D">
        <w:rPr>
          <w:rFonts w:ascii="Times New Roman" w:hAnsi="Times New Roman" w:cs="Times New Roman"/>
          <w:sz w:val="24"/>
          <w:szCs w:val="24"/>
        </w:rPr>
        <w:t>Istotną część majątku przedsiębiorstw górniczych stanowią nieruchomości rolne, nie są one jednak  wykorzystywane do prowadzenia działalności rolniczej. Wyznaczone w koncesjach na wydobywanie kopalin tzw. tereny górnicze mogą obejmować różnego rodzaju nieruchomości, także grunty sklasyfikowane jako grunty rolne. W wielu przypadkach, ze względu na objęcie tych nieruchomości wpływami eksploatacji podziemnej, prowadzenie na nich działalności rolniczej nie jest możliwe (m.in. wskutek osiadania terenu, powstawania zapadlisk). Tereny dotknięte skutkami działalności górniczej wymagają najczęściej rekultywacji w celu przywróceni im jakichkolwiek innych funkcji.</w:t>
      </w:r>
    </w:p>
    <w:p w:rsidR="00CF52F7" w:rsidRPr="00FD070D" w:rsidRDefault="00CF52F7" w:rsidP="00CF52F7">
      <w:pPr>
        <w:spacing w:line="360" w:lineRule="auto"/>
        <w:ind w:firstLine="510"/>
        <w:jc w:val="both"/>
        <w:rPr>
          <w:rFonts w:ascii="Times New Roman" w:hAnsi="Times New Roman" w:cs="Times New Roman"/>
          <w:sz w:val="24"/>
          <w:szCs w:val="24"/>
        </w:rPr>
      </w:pPr>
      <w:r w:rsidRPr="00FD070D">
        <w:rPr>
          <w:rFonts w:ascii="Times New Roman" w:hAnsi="Times New Roman" w:cs="Times New Roman"/>
          <w:sz w:val="24"/>
          <w:szCs w:val="24"/>
        </w:rPr>
        <w:t xml:space="preserve">Przyjęte w 2016 r. rozwiązania legislacyjne, poprzez nowelizację ustawy z dnia 11 kwietnia 2003 r. o kształtowaniu ustroju rolnego (tj. z dnia 14 listopada 2016 r. (Dz. U. z 2016 r., poz. 2052) wprowadzają istotne obostrzenia w zakresie rozporządzania nieruchomościami rolnymi, ograniczając prawo do ich nabycia na rzecz rolników indywidualnych (art.  2 a ust. 1 ustawy), a wyjątkowo – za zgodą Prezesa Agencji Nieruchomości Rolnych – także na rzecz podmiotów nie posiadających takiego statusu (art. 2 ust. 4 ustawy),  z zastrzeżeniem spełnienia przesłanek określonych w tym przepisie (m. in. zapewnienie rękojmi należytego prowadzenia działalności rolniczej). Przedsiębiorstwa górnicze ze swej istoty  nie są w stanie spełnić tych przesłanek, jak również nie zostały objęte </w:t>
      </w:r>
      <w:proofErr w:type="spellStart"/>
      <w:r w:rsidRPr="00FD070D">
        <w:rPr>
          <w:rFonts w:ascii="Times New Roman" w:hAnsi="Times New Roman" w:cs="Times New Roman"/>
          <w:sz w:val="24"/>
          <w:szCs w:val="24"/>
        </w:rPr>
        <w:t>wyłączeniami</w:t>
      </w:r>
      <w:proofErr w:type="spellEnd"/>
      <w:r w:rsidRPr="00FD070D">
        <w:rPr>
          <w:rFonts w:ascii="Times New Roman" w:hAnsi="Times New Roman" w:cs="Times New Roman"/>
          <w:sz w:val="24"/>
          <w:szCs w:val="24"/>
        </w:rPr>
        <w:t xml:space="preserve"> określonymi w art. 2 a ust. 3 powołanej ustawy.</w:t>
      </w:r>
    </w:p>
    <w:p w:rsidR="00CF52F7" w:rsidRPr="00FD070D" w:rsidRDefault="00CF52F7" w:rsidP="00CF52F7">
      <w:pPr>
        <w:spacing w:line="360" w:lineRule="auto"/>
        <w:ind w:firstLine="510"/>
        <w:jc w:val="both"/>
        <w:rPr>
          <w:rFonts w:ascii="Times New Roman" w:hAnsi="Times New Roman" w:cs="Times New Roman"/>
          <w:sz w:val="24"/>
          <w:szCs w:val="24"/>
        </w:rPr>
      </w:pPr>
      <w:r w:rsidRPr="00FD070D">
        <w:rPr>
          <w:rFonts w:ascii="Times New Roman" w:hAnsi="Times New Roman" w:cs="Times New Roman"/>
          <w:sz w:val="24"/>
          <w:szCs w:val="24"/>
        </w:rPr>
        <w:t>Objęcie nieruchomości rolnych stanowiących własność przedsiębiorców górniczych zakresem regulacji ustawy o kształtowaniu ustroju rolnego, ze względu na przedmiot działalności tych podmiotów bardzo utrudnia, a w niektórych przypadkach uniemożliwia ich  zbycie  i stanowi istotną przeszkodę w procesie porządkowania majątku tych spółek. W tym stanie rzeczy zachodzi uzasadniona konieczność wprowadzenia odrębnej regulacji adresowanej do przedsiębiorców górniczych poprzez zastosowanie  wyłączania przepisów ustawy o kształtowaniu ustroju rolnego. Jednocześnie należy zauważyć, że ze względu na strukturę kapitałową przedsiębiorców górniczych, kontrolowanych bezpośrednio lub pośrednio przez Skarb Państwa, wprowadzenie odrębnej kategorii regulacji dla tych podmiotów nie prowadzi do naruszenia celów i interesów chronionych ustawą o kształtowaniu ustroju rolnego.</w:t>
      </w:r>
    </w:p>
    <w:p w:rsidR="00CF52F7" w:rsidRPr="00FD070D" w:rsidRDefault="00CF52F7" w:rsidP="00CF52F7">
      <w:pPr>
        <w:spacing w:line="360" w:lineRule="auto"/>
        <w:ind w:firstLine="510"/>
        <w:jc w:val="both"/>
        <w:rPr>
          <w:rFonts w:ascii="Times New Roman" w:hAnsi="Times New Roman" w:cs="Times New Roman"/>
          <w:sz w:val="24"/>
          <w:szCs w:val="24"/>
        </w:rPr>
      </w:pPr>
      <w:r w:rsidRPr="00FD070D">
        <w:rPr>
          <w:rFonts w:ascii="Times New Roman" w:hAnsi="Times New Roman" w:cs="Times New Roman"/>
          <w:sz w:val="24"/>
          <w:szCs w:val="24"/>
        </w:rPr>
        <w:t>Ze względu na wskazane wyżej okoliczności proponuje się wprowadzenie do art. 8e ustępu 2 i 3, jako norm rzeczowo powiązanych z obecnym zakresem regulacji art. 8 e w obecnym brzmieniu (przewidującego już odrębny reżim rozporządzania w odniesieniu do nieruchomości stanowiących własność przedsiębiorców górniczych), a nie odrębnej nowelizacji ustawy o kształtowaniu ustroju rolnego.</w:t>
      </w:r>
    </w:p>
    <w:p w:rsidR="00CF52F7" w:rsidRPr="00FD070D" w:rsidRDefault="00CF52F7" w:rsidP="00CF52F7">
      <w:pPr>
        <w:spacing w:line="360" w:lineRule="auto"/>
        <w:ind w:firstLine="510"/>
        <w:jc w:val="both"/>
        <w:rPr>
          <w:rFonts w:ascii="Times New Roman" w:hAnsi="Times New Roman" w:cs="Times New Roman"/>
          <w:sz w:val="24"/>
          <w:szCs w:val="24"/>
        </w:rPr>
      </w:pPr>
      <w:r w:rsidRPr="00FD070D">
        <w:rPr>
          <w:rFonts w:ascii="Times New Roman" w:hAnsi="Times New Roman" w:cs="Times New Roman"/>
          <w:sz w:val="24"/>
          <w:szCs w:val="24"/>
        </w:rPr>
        <w:t>Proponowane zmiany,  poprzez wyłączenie stosowania art. 2 a ust. 1 ustawy o kształtowaniu ustroju rolnego, umożliwiają zbywanie nieruchomości rolnych przez przedsiębiorstwa górnicze. W celu uniknięcia wątpliwości co do kwestii, czy zbycie nieruchomości rolnej wymaga odrębnej zgody Prezesa Agencji Nieruchomości Rolnych, wyłączono także stosowanie art. 2a ust. 4. Nadto, ze względu na fakt, iż rozporządzenia nieruchomościami rolnymi przez przedsiębiorstwa górnicze  z uwagi na szeroki zakres i podstawy prawne prowadzonych działań restrukturyzacyjnych dokonywane są w oparciu o czynności prawne inne niż sprzedaż, konieczne jest także wyłączenie stosowania art. 4 ust. 1 ustawy o kształtowaniu ustroju rolnego.</w:t>
      </w:r>
    </w:p>
    <w:p w:rsidR="00CF52F7" w:rsidRPr="00FD070D" w:rsidRDefault="00CF52F7" w:rsidP="00CF52F7">
      <w:pPr>
        <w:pStyle w:val="NIEARTTEKSTtekstnieartykuowanynppodstprawnarozplubpreambua"/>
        <w:rPr>
          <w:rFonts w:ascii="Times New Roman" w:hAnsi="Times New Roman" w:cs="Times New Roman"/>
          <w:szCs w:val="24"/>
        </w:rPr>
      </w:pPr>
      <w:r w:rsidRPr="00FD070D">
        <w:rPr>
          <w:rFonts w:ascii="Times New Roman" w:hAnsi="Times New Roman" w:cs="Times New Roman"/>
          <w:szCs w:val="24"/>
        </w:rPr>
        <w:t>Celem projektu jest również zmiana przepisów ustawy z dnia 7 września 2007 r. o funkcjonowaniu górnictwa węgla kamiennego w zakresie niezbędnym do tego, aby pracownicy zatrudnieni w kopalni, zakładzie górniczym lub jego oznaczonej części, nabytych po dniu 1 stycznia 2015 r. przez przedsiębiorstwo, o którym mowa w art. 8 ust. 1 wyżej wymienionej ustawy, którzy na dzień nabycia pełnią z wyboru funkcje związkowe w organizacji związkowej, reprezentatywnej w rozumieniu ustawy o Radzie Dialogu Społecznego i innych instytucjach dialogu społecznego, mogli skorzystać z urlopu górniczego, a także wypłacanych w okresie przebywania na urlopie górniczym świadczeń osłonowych. Pracownicy zatrudnieni pod ziemią w kopalni, przy spełnieniu wymagań określonych ustawą z dnia 17 grudnia 1998 r. o emeryturach i rentach z Funduszu Ubezpieczeń Społecznych (Dz. U. z 2016 r. poz. 887), nabywają uprawnienia do emerytury górniczej. W momencie podjęcia się pełnienia funkcji w organizacji związkowej pracownik i podjęcia się obowiązku reprezentowania interesu załogi w celu realizacji zadań musi zrezygnować z pracy, która pozwa</w:t>
      </w:r>
      <w:r w:rsidR="008A0257">
        <w:rPr>
          <w:rFonts w:ascii="Times New Roman" w:hAnsi="Times New Roman" w:cs="Times New Roman"/>
          <w:szCs w:val="24"/>
        </w:rPr>
        <w:t>l</w:t>
      </w:r>
      <w:r w:rsidRPr="00FD070D">
        <w:rPr>
          <w:rFonts w:ascii="Times New Roman" w:hAnsi="Times New Roman" w:cs="Times New Roman"/>
          <w:szCs w:val="24"/>
        </w:rPr>
        <w:t>a mu nabyć prawa do emerytury górniczej, do której nabyłby prawa pozostając na swoim stanowisku pracy. Tym samym wliczając okres pracy w organizacji związkowej do łącznego stażu pracy projektowana nowelizacja umożliwia skorzystanie tym pracownikom z urlopu górniczego w wymiarze do 4 lat.</w:t>
      </w:r>
    </w:p>
    <w:p w:rsidR="00CF52F7" w:rsidRPr="00FD070D" w:rsidRDefault="00CF52F7" w:rsidP="00CF52F7">
      <w:pPr>
        <w:pStyle w:val="NIEARTTEKSTtekstnieartykuowanynppodstprawnarozplubpreambua"/>
        <w:rPr>
          <w:rFonts w:ascii="Times New Roman" w:hAnsi="Times New Roman" w:cs="Times New Roman"/>
          <w:szCs w:val="24"/>
        </w:rPr>
      </w:pPr>
    </w:p>
    <w:p w:rsidR="00CF52F7" w:rsidRPr="00FD070D" w:rsidRDefault="00CF52F7" w:rsidP="00CF52F7">
      <w:pPr>
        <w:pStyle w:val="NIEARTTEKSTtekstnieartykuowanynppodstprawnarozplubpreambua"/>
        <w:rPr>
          <w:rFonts w:ascii="Times New Roman" w:hAnsi="Times New Roman" w:cs="Times New Roman"/>
          <w:szCs w:val="24"/>
        </w:rPr>
      </w:pPr>
    </w:p>
    <w:p w:rsidR="00CF52F7" w:rsidRPr="00FD070D" w:rsidRDefault="00CF52F7" w:rsidP="00CF52F7">
      <w:pPr>
        <w:pStyle w:val="NIEARTTEKSTtekstnieartykuowanynppodstprawnarozplubpreambua"/>
        <w:rPr>
          <w:rFonts w:ascii="Times New Roman" w:hAnsi="Times New Roman" w:cs="Times New Roman"/>
          <w:szCs w:val="24"/>
        </w:rPr>
      </w:pPr>
      <w:r w:rsidRPr="00FD070D">
        <w:rPr>
          <w:rFonts w:ascii="Times New Roman" w:hAnsi="Times New Roman" w:cs="Times New Roman"/>
          <w:szCs w:val="24"/>
        </w:rPr>
        <w:t>2. Ocena projektu.</w:t>
      </w:r>
    </w:p>
    <w:p w:rsidR="00CF52F7" w:rsidRPr="00FD070D" w:rsidRDefault="00CF52F7" w:rsidP="00CF52F7">
      <w:pPr>
        <w:pStyle w:val="NIEARTTEKSTtekstnieartykuowanynppodstprawnarozplubpreambua"/>
        <w:rPr>
          <w:rFonts w:ascii="Times New Roman" w:hAnsi="Times New Roman" w:cs="Times New Roman"/>
          <w:szCs w:val="24"/>
        </w:rPr>
      </w:pPr>
      <w:r w:rsidRPr="00FD070D">
        <w:rPr>
          <w:rFonts w:ascii="Times New Roman" w:hAnsi="Times New Roman" w:cs="Times New Roman"/>
          <w:szCs w:val="24"/>
        </w:rPr>
        <w:t>Przyjęcie proponowanych zmian w ustawie z dnia 7 września 2007 r. o funkcjonowaniu górnictwa węgla kamiennego (Dz. U. z 2016 r. poz. 704, 1592, 1991 i 2260)  umożliwi zbywanie nieruchomości rolnych oraz  pozwoli pracownikom pełniącym funkcje związkowe, na nabycie uprawnienia do skorzystania z urlopu górniczego.</w:t>
      </w:r>
    </w:p>
    <w:p w:rsidR="00CF52F7" w:rsidRPr="00FD070D" w:rsidRDefault="00CF52F7" w:rsidP="00CF52F7">
      <w:pPr>
        <w:pStyle w:val="NIEARTTEKSTtekstnieartykuowanynppodstprawnarozplubpreambua"/>
        <w:rPr>
          <w:rFonts w:ascii="Times New Roman" w:hAnsi="Times New Roman" w:cs="Times New Roman"/>
          <w:szCs w:val="24"/>
        </w:rPr>
      </w:pPr>
      <w:r w:rsidRPr="00FD070D">
        <w:rPr>
          <w:rFonts w:ascii="Times New Roman" w:hAnsi="Times New Roman" w:cs="Times New Roman"/>
          <w:szCs w:val="24"/>
        </w:rPr>
        <w:t>3. Źródła finansowania, jeżeli projekt ustawy pociąga za sobą obciążenie budżetu państwa lub budżetów jednostek samorządu terytorialnego.</w:t>
      </w:r>
    </w:p>
    <w:p w:rsidR="00CF52F7" w:rsidRPr="00FD070D" w:rsidRDefault="00CF52F7" w:rsidP="00CF52F7">
      <w:pPr>
        <w:pStyle w:val="NIEARTTEKSTtekstnieartykuowanynppodstprawnarozplubpreambua"/>
        <w:rPr>
          <w:rFonts w:ascii="Times New Roman" w:hAnsi="Times New Roman" w:cs="Times New Roman"/>
          <w:szCs w:val="24"/>
        </w:rPr>
      </w:pPr>
      <w:r w:rsidRPr="00FD070D">
        <w:rPr>
          <w:rFonts w:ascii="Times New Roman" w:hAnsi="Times New Roman" w:cs="Times New Roman"/>
          <w:szCs w:val="24"/>
        </w:rPr>
        <w:t xml:space="preserve">Zmiana w art. 1 pkt 1 nie powoduje obciążenia budżetu państwa ani </w:t>
      </w:r>
      <w:proofErr w:type="spellStart"/>
      <w:r w:rsidRPr="00FD070D">
        <w:rPr>
          <w:rFonts w:ascii="Times New Roman" w:hAnsi="Times New Roman" w:cs="Times New Roman"/>
          <w:szCs w:val="24"/>
        </w:rPr>
        <w:t>jst</w:t>
      </w:r>
      <w:proofErr w:type="spellEnd"/>
      <w:r w:rsidRPr="00FD070D">
        <w:rPr>
          <w:rFonts w:ascii="Times New Roman" w:hAnsi="Times New Roman" w:cs="Times New Roman"/>
          <w:szCs w:val="24"/>
        </w:rPr>
        <w:t xml:space="preserve">. Zmiany zawarte w art. 1 pkt 2 projektu zmiany ustawy z dnia 7 września 2007 r. o funkcjonowaniu górnictwa węgla kamiennego (Dz.U. z 2015 r. poz. 410, z </w:t>
      </w:r>
      <w:proofErr w:type="spellStart"/>
      <w:r w:rsidRPr="00FD070D">
        <w:rPr>
          <w:rFonts w:ascii="Times New Roman" w:hAnsi="Times New Roman" w:cs="Times New Roman"/>
          <w:szCs w:val="24"/>
        </w:rPr>
        <w:t>późn</w:t>
      </w:r>
      <w:proofErr w:type="spellEnd"/>
      <w:r w:rsidRPr="00FD070D">
        <w:rPr>
          <w:rFonts w:ascii="Times New Roman" w:hAnsi="Times New Roman" w:cs="Times New Roman"/>
          <w:szCs w:val="24"/>
        </w:rPr>
        <w:t>. zm.) będą finansowane w ramach limitu wydatków budżetowych, o którym mowa w art. 6 ustawy z dnia 22 stycznia 2015 r. o zmianie ustawy o funkcjonowaniu górnictwa węgla kamiennego (Dz. U. z 2015 r. poz. 143, z 2016 r. poz. 1592)</w:t>
      </w:r>
    </w:p>
    <w:p w:rsidR="00CF52F7" w:rsidRPr="00FD070D" w:rsidRDefault="00CF52F7" w:rsidP="00CF52F7">
      <w:pPr>
        <w:pStyle w:val="NIEARTTEKSTtekstnieartykuowanynppodstprawnarozplubpreambua"/>
        <w:rPr>
          <w:rFonts w:ascii="Times New Roman" w:hAnsi="Times New Roman" w:cs="Times New Roman"/>
          <w:szCs w:val="24"/>
        </w:rPr>
      </w:pPr>
      <w:r w:rsidRPr="00FD070D">
        <w:rPr>
          <w:rFonts w:ascii="Times New Roman" w:hAnsi="Times New Roman" w:cs="Times New Roman"/>
          <w:szCs w:val="24"/>
        </w:rPr>
        <w:t>4. Oświadczenie o zgodności projektu ustawy z prawem Unii Europejskiej albo oświadczenie, że przedmiot projektowanej regulacji nie jest objęty prawem Unii Europejskiej.</w:t>
      </w:r>
    </w:p>
    <w:p w:rsidR="00CF52F7" w:rsidRPr="00FD070D" w:rsidRDefault="00CF52F7" w:rsidP="00CF52F7">
      <w:pPr>
        <w:pStyle w:val="NIEARTTEKSTtekstnieartykuowanynppodstprawnarozplubpreambua"/>
        <w:rPr>
          <w:rFonts w:ascii="Times New Roman" w:hAnsi="Times New Roman" w:cs="Times New Roman"/>
          <w:szCs w:val="24"/>
        </w:rPr>
      </w:pPr>
      <w:r w:rsidRPr="00FD070D">
        <w:rPr>
          <w:rFonts w:ascii="Times New Roman" w:hAnsi="Times New Roman" w:cs="Times New Roman"/>
          <w:szCs w:val="24"/>
        </w:rPr>
        <w:t>Projekt ustawy z dnia 7 września 2007 r. o funkcjonowaniu górnictwa węgla kamiennego jest zgodny z prawem Unii Europejskiej. Działania wprowadzone projektowaną zmianą ustawy stanowią dozwoloną pomoc publiczną, której zakres jest określony w Decyzji Rady z dnia 10 grudnia 2010 r. w sprawie pomocy państwa ułatwiającej zamykanie niekonkurencyjnych kopalń.</w:t>
      </w:r>
    </w:p>
    <w:p w:rsidR="005167D0" w:rsidRPr="00CF52F7" w:rsidRDefault="005167D0" w:rsidP="00CF52F7">
      <w:pPr>
        <w:autoSpaceDE w:val="0"/>
        <w:autoSpaceDN w:val="0"/>
        <w:adjustRightInd w:val="0"/>
        <w:spacing w:after="0" w:line="240" w:lineRule="auto"/>
        <w:jc w:val="center"/>
        <w:rPr>
          <w:rFonts w:ascii="Times New Roman" w:hAnsi="Times New Roman" w:cs="Times New Roman"/>
        </w:rPr>
      </w:pPr>
    </w:p>
    <w:sectPr w:rsidR="005167D0" w:rsidRPr="00CF52F7" w:rsidSect="007D465F">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692568"/>
    <w:multiLevelType w:val="hybridMultilevel"/>
    <w:tmpl w:val="2AD47ACE"/>
    <w:lvl w:ilvl="0" w:tplc="45F41F6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202"/>
    <w:rsid w:val="00015F09"/>
    <w:rsid w:val="001041D7"/>
    <w:rsid w:val="0023296F"/>
    <w:rsid w:val="004218FD"/>
    <w:rsid w:val="004C74EF"/>
    <w:rsid w:val="005167D0"/>
    <w:rsid w:val="00590BD2"/>
    <w:rsid w:val="005D6202"/>
    <w:rsid w:val="00675216"/>
    <w:rsid w:val="00676D25"/>
    <w:rsid w:val="00723E00"/>
    <w:rsid w:val="007A20A4"/>
    <w:rsid w:val="00896DCA"/>
    <w:rsid w:val="008A0257"/>
    <w:rsid w:val="009C7533"/>
    <w:rsid w:val="009D35DB"/>
    <w:rsid w:val="00A10014"/>
    <w:rsid w:val="00A62823"/>
    <w:rsid w:val="00B47634"/>
    <w:rsid w:val="00B62E11"/>
    <w:rsid w:val="00BA6E70"/>
    <w:rsid w:val="00BB4133"/>
    <w:rsid w:val="00BD05C2"/>
    <w:rsid w:val="00BD24AC"/>
    <w:rsid w:val="00BF6EAD"/>
    <w:rsid w:val="00C17F5B"/>
    <w:rsid w:val="00CC0586"/>
    <w:rsid w:val="00CF52F7"/>
    <w:rsid w:val="00D4678D"/>
    <w:rsid w:val="00F65CD7"/>
    <w:rsid w:val="00FD07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D84803-9485-4026-BC79-BD5ADC3D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1001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0014"/>
    <w:rPr>
      <w:rFonts w:ascii="Segoe UI" w:hAnsi="Segoe UI" w:cs="Segoe UI"/>
      <w:sz w:val="18"/>
      <w:szCs w:val="18"/>
    </w:rPr>
  </w:style>
  <w:style w:type="paragraph" w:customStyle="1" w:styleId="ARTartustawynprozporzdzenia">
    <w:name w:val="ART(§) – art. ustawy (§ np. rozporządzenia)"/>
    <w:uiPriority w:val="11"/>
    <w:qFormat/>
    <w:rsid w:val="00F65CD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F65CD7"/>
    <w:pPr>
      <w:spacing w:before="0"/>
    </w:pPr>
    <w:rPr>
      <w:bC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90BD2"/>
    <w:rPr>
      <w:bCs/>
    </w:rPr>
  </w:style>
  <w:style w:type="character" w:styleId="Odwoaniedokomentarza">
    <w:name w:val="annotation reference"/>
    <w:basedOn w:val="Domylnaczcionkaakapitu"/>
    <w:uiPriority w:val="99"/>
    <w:semiHidden/>
    <w:unhideWhenUsed/>
    <w:rsid w:val="00B62E11"/>
    <w:rPr>
      <w:sz w:val="16"/>
      <w:szCs w:val="16"/>
    </w:rPr>
  </w:style>
  <w:style w:type="paragraph" w:styleId="Tekstkomentarza">
    <w:name w:val="annotation text"/>
    <w:basedOn w:val="Normalny"/>
    <w:link w:val="TekstkomentarzaZnak"/>
    <w:uiPriority w:val="99"/>
    <w:semiHidden/>
    <w:unhideWhenUsed/>
    <w:rsid w:val="00B62E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62E11"/>
    <w:rPr>
      <w:sz w:val="20"/>
      <w:szCs w:val="20"/>
    </w:rPr>
  </w:style>
  <w:style w:type="paragraph" w:customStyle="1" w:styleId="OZNRODZAKTUtznustawalubrozporzdzenieiorganwydajcy">
    <w:name w:val="OZN_RODZ_AKTU – tzn. ustawa lub rozporządzenie i organ wydający"/>
    <w:next w:val="Normalny"/>
    <w:uiPriority w:val="5"/>
    <w:qFormat/>
    <w:rsid w:val="00CF52F7"/>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7255</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2017-03-07T08:24:00Z</cp:lastPrinted>
  <dcterms:created xsi:type="dcterms:W3CDTF">2017-03-08T17:19:00Z</dcterms:created>
  <dcterms:modified xsi:type="dcterms:W3CDTF">2017-03-08T17:19:00Z</dcterms:modified>
</cp:coreProperties>
</file>