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A7C" w:rsidRPr="000C47B5" w:rsidRDefault="000C47B5">
      <w:pPr>
        <w:spacing w:before="120" w:after="120" w:line="340" w:lineRule="exact"/>
        <w:jc w:val="right"/>
        <w:rPr>
          <w:i/>
        </w:rPr>
      </w:pPr>
      <w:bookmarkStart w:id="0" w:name="_GoBack"/>
      <w:bookmarkEnd w:id="0"/>
      <w:r w:rsidRPr="000C47B5">
        <w:rPr>
          <w:rFonts w:ascii="Times New Roman" w:hAnsi="Times New Roman"/>
          <w:i/>
          <w:sz w:val="24"/>
          <w:szCs w:val="24"/>
        </w:rPr>
        <w:t>PROJEKT</w:t>
      </w:r>
    </w:p>
    <w:p w:rsidR="00735A7C" w:rsidRDefault="00735A7C">
      <w:pPr>
        <w:spacing w:before="120" w:after="120" w:line="34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735A7C" w:rsidRDefault="004F204C">
      <w:pPr>
        <w:spacing w:before="120" w:after="120" w:line="340" w:lineRule="exact"/>
        <w:jc w:val="center"/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  <w:lang w:val="en-US"/>
        </w:rPr>
        <w:t>USTAWA</w:t>
      </w:r>
    </w:p>
    <w:p w:rsidR="00735A7C" w:rsidRDefault="004F204C">
      <w:pPr>
        <w:spacing w:before="120" w:after="120" w:line="34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sz w:val="30"/>
          <w:szCs w:val="30"/>
        </w:rPr>
        <w:t>z dnia … 2017 r.</w:t>
      </w:r>
    </w:p>
    <w:p w:rsidR="00735A7C" w:rsidRDefault="00735A7C">
      <w:pPr>
        <w:spacing w:before="120" w:after="120" w:line="34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35A7C" w:rsidRDefault="004F204C">
      <w:pPr>
        <w:spacing w:before="120" w:after="120" w:line="340" w:lineRule="exact"/>
        <w:jc w:val="center"/>
        <w:rPr>
          <w:rFonts w:ascii="Times New Roman" w:eastAsia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  <w:sz w:val="30"/>
          <w:szCs w:val="30"/>
        </w:rPr>
        <w:t>o zmianie ustawy o podatku akcyzowym</w:t>
      </w:r>
    </w:p>
    <w:p w:rsidR="00735A7C" w:rsidRDefault="00735A7C">
      <w:pPr>
        <w:spacing w:before="120" w:after="120" w:line="340" w:lineRule="exac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35A7C" w:rsidRDefault="004F204C" w:rsidP="000C47B5">
      <w:pPr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Art. 1. </w:t>
      </w:r>
      <w:r>
        <w:rPr>
          <w:rFonts w:ascii="Times New Roman" w:hAnsi="Times New Roman"/>
          <w:sz w:val="24"/>
          <w:szCs w:val="24"/>
        </w:rPr>
        <w:t>W ustawie z dnia 6 grudnia 2008 r. o podatku akcyzowym (t.j.: Dz.U. z 2017 r. poz. 43) wprowadza się następujące zmiany: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art. 1 otrzymuje brzmienie: </w:t>
      </w:r>
    </w:p>
    <w:p w:rsidR="000C47B5" w:rsidRPr="000C47B5" w:rsidRDefault="004F204C">
      <w:pPr>
        <w:spacing w:before="120" w:after="120" w:line="340" w:lineRule="exac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  <w:t>„</w:t>
      </w:r>
      <w:r>
        <w:rPr>
          <w:rFonts w:ascii="Times New Roman" w:hAnsi="Times New Roman"/>
          <w:sz w:val="24"/>
          <w:szCs w:val="24"/>
        </w:rPr>
        <w:t>Ustawa określa opodatkowanie podatkiem akcyzowym, zwanym dalej "akcyzą", w</w:t>
      </w:r>
      <w:r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rob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akcyzowych, organizację obrotu wyrobami akcyzowymi, a także oznaczanie znakami akcyzy.”</w:t>
      </w:r>
      <w:r w:rsidR="000C47B5">
        <w:rPr>
          <w:rFonts w:ascii="Times New Roman" w:hAnsi="Times New Roman"/>
          <w:sz w:val="24"/>
          <w:szCs w:val="24"/>
        </w:rPr>
        <w:t>;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w art. 2 ust. 1: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>
        <w:rPr>
          <w:rFonts w:ascii="Times New Roman" w:hAnsi="Times New Roman"/>
          <w:sz w:val="24"/>
          <w:szCs w:val="24"/>
          <w:lang w:val="de-DE"/>
        </w:rPr>
        <w:t xml:space="preserve">pkt </w:t>
      </w:r>
      <w:r>
        <w:rPr>
          <w:rFonts w:ascii="Times New Roman" w:hAnsi="Times New Roman"/>
          <w:sz w:val="24"/>
          <w:szCs w:val="24"/>
        </w:rPr>
        <w:t xml:space="preserve">6 otrzymuje brzmienie: 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eksport – wyw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z wyrob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akcyzowych z terytorium kraju poza terytorium Unii Europe</w:t>
      </w:r>
      <w:r>
        <w:rPr>
          <w:rFonts w:ascii="Times New Roman" w:hAnsi="Times New Roman"/>
          <w:sz w:val="24"/>
          <w:szCs w:val="24"/>
        </w:rPr>
        <w:t>j</w:t>
      </w:r>
      <w:r>
        <w:rPr>
          <w:rFonts w:ascii="Times New Roman" w:hAnsi="Times New Roman"/>
          <w:sz w:val="24"/>
          <w:szCs w:val="24"/>
        </w:rPr>
        <w:t>skiej potwierdzony przez organ celny, o kt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rym mowa w art. 221 ust. 2 lub art. 332 ust. 3-4 rozporządzenia wykonawczego Komisji (UE) 2015/2447 z dnia 24 listopada 2015 r. ustan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wiającego szczegółowe zasady wykonania niekt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rych przepis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rozporządzenia Parlamentu Europejskiego i Rady (UE) nr 952/2013 ustanawiającego unijny kodeks celny (Dz. Urz. UE L 343 z 29.12.2015, str. 558, z późn. zm.), zwanego dalej "rozporządzeniem 2015/2447", na podstawie informacji uzyskanych od właściwego organu celnego stosownie do art. 329 tego rozporządzenia;”,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w pkt 7 uchyla si</w:t>
      </w:r>
      <w:r>
        <w:rPr>
          <w:rFonts w:ascii="Times New Roman" w:hAnsi="Times New Roman"/>
          <w:sz w:val="24"/>
          <w:szCs w:val="24"/>
        </w:rPr>
        <w:t>ę lit. a,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c) pkt 8 otrzymuje brzmienie: 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„dostawa wewnątrzwsp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lnotowa – przemieszczanie wyrob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akcyzowych z terytorium kraju na terytorium państwa członkowskiego;”,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d) pkt 9 otrzymuje brzmienie: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nabycie wewnątrzwsp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lnotowe – przemieszczenie wyrob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akcyzowych z terytorium pa</w:t>
      </w:r>
      <w:r>
        <w:rPr>
          <w:rFonts w:ascii="Times New Roman" w:hAnsi="Times New Roman"/>
          <w:sz w:val="24"/>
          <w:szCs w:val="24"/>
        </w:rPr>
        <w:t>ń</w:t>
      </w:r>
      <w:r>
        <w:rPr>
          <w:rFonts w:ascii="Times New Roman" w:hAnsi="Times New Roman"/>
          <w:sz w:val="24"/>
          <w:szCs w:val="24"/>
        </w:rPr>
        <w:t>stwa członkowskiego na terytorium kraju;”,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e) pkt 18 otrzymuje brzmienie: 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„</w:t>
      </w:r>
      <w:r>
        <w:rPr>
          <w:rFonts w:ascii="Times New Roman" w:hAnsi="Times New Roman"/>
          <w:sz w:val="24"/>
          <w:szCs w:val="24"/>
        </w:rPr>
        <w:t xml:space="preserve">faktura – </w:t>
      </w:r>
      <w:r>
        <w:rPr>
          <w:rFonts w:ascii="Times New Roman" w:hAnsi="Times New Roman"/>
          <w:sz w:val="24"/>
          <w:szCs w:val="24"/>
          <w:lang w:val="sv-SE"/>
        </w:rPr>
        <w:t>faktur</w:t>
      </w:r>
      <w:r>
        <w:rPr>
          <w:rFonts w:ascii="Times New Roman" w:hAnsi="Times New Roman"/>
          <w:sz w:val="24"/>
          <w:szCs w:val="24"/>
        </w:rPr>
        <w:t>ę w rozumieniu przepis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o podatku od towar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i usług zawierającą dane nabywcy i jego adres oraz dane dotyczą</w:t>
      </w:r>
      <w:r>
        <w:rPr>
          <w:rFonts w:ascii="Times New Roman" w:hAnsi="Times New Roman"/>
          <w:sz w:val="24"/>
          <w:szCs w:val="24"/>
          <w:lang w:val="it-IT"/>
        </w:rPr>
        <w:t>ce ilo</w:t>
      </w:r>
      <w:r>
        <w:rPr>
          <w:rFonts w:ascii="Times New Roman" w:hAnsi="Times New Roman"/>
          <w:sz w:val="24"/>
          <w:szCs w:val="24"/>
        </w:rPr>
        <w:t>ści (liczby) i miary nabywanych wyrob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akc</w:t>
      </w:r>
      <w:r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zowych;”,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3) w art. 3 ust. 2 otrzymuje brzmienie: 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Zmiany w Nomenklaturze Scalonej (CN) nie powodują zmian w opodatkowaniu akcyzą w</w:t>
      </w:r>
      <w:r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rob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akcyzowych, jeżeli nie zostały określone w niniejszej ustawie.”,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4) w art. 7d: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 ust. 1 otrzymuje brzmienie: 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WIA jest decyzją wydawaną na potrzeby opodatkowania wyrobu akcyzowego akcyzą, org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nizacji obrotu wyrobami akcyzowymi lub oznaczania znakami akcyzy tych wyrob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w, kt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 xml:space="preserve">ra określa: 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 klasyfikację wyrobu akcyzowego w układzie odpowiadającym Nomenklaturze Scalonej (CN) albo 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rodzaj wyrobu akcyzowego przez opis tego wyrobu w takim stopniu szczegółowości, kt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ry jest wystarczający do określenia opodatkowania wyrobu akcyzowego akcyzą, organizacji obrotu wyrobami akcyzowymi lub oznaczania znakami akcyzy tych wyrob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w.”,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ust. 3 otrzymuje brzmienie: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  <w:lang w:val="en-US"/>
        </w:rPr>
        <w:t>WIA wi</w:t>
      </w:r>
      <w:r>
        <w:rPr>
          <w:rFonts w:ascii="Times New Roman" w:hAnsi="Times New Roman"/>
          <w:sz w:val="24"/>
          <w:szCs w:val="24"/>
        </w:rPr>
        <w:t>ąże organy podatkowe wobec podmiotu, na rzecz kt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rego została wydana, w odni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sieniu do wyrob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akcyzowych, wobec kt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rych czynności podlegające opodatkowaniu akc</w:t>
      </w:r>
      <w:r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zą zostały dokonane po dniu, w kt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rym została wydana.”,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5) w art. 7e: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 ust. 1 otrzymuje brzmienie: 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„WIA jest wydawana na wniosek i obejmuje tylko jeden wyr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b akcyzowy.”,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w ust. 2 pkt 3 otrzymuje brzmienie: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 xml:space="preserve">szczegółowy opis wyrobu akcyzowego pozwalający na taką ich identyfikację, aby dokonać ich klasyfikacji zgodnej z Nomenklaturą </w:t>
      </w:r>
      <w:r>
        <w:rPr>
          <w:rFonts w:ascii="Times New Roman" w:hAnsi="Times New Roman"/>
          <w:sz w:val="24"/>
          <w:szCs w:val="24"/>
          <w:lang w:val="it-IT"/>
        </w:rPr>
        <w:t>Scalon</w:t>
      </w:r>
      <w:r>
        <w:rPr>
          <w:rFonts w:ascii="Times New Roman" w:hAnsi="Times New Roman"/>
          <w:sz w:val="24"/>
          <w:szCs w:val="24"/>
        </w:rPr>
        <w:t>ą (CN) lub określić rodzaj wyrobu akcyzow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z w:val="24"/>
          <w:szCs w:val="24"/>
        </w:rPr>
        <w:t>go;”,</w:t>
      </w:r>
    </w:p>
    <w:p w:rsidR="000C47B5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c) ust. 3 otrzymuje brzmienie: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/>
          <w:sz w:val="24"/>
          <w:szCs w:val="24"/>
        </w:rPr>
        <w:t>Do wniosku o wydanie WIA załącza się dokumenty odnoszące się do wyrob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akcyzowych w szczeg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lności pr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bki, fotografie, plany, schematy, katalogi, atesty, instrukcje, informacje od producenta, lub inne dostępne dokumenty umożliwiające organowi podatkowemu dokon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nie właściwej klasyfikacji wyrobu akcyzowego lub określenie rodzaju wyrobu akcyzowego.”,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6) w art. 7f: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a) ust. 1 otrzymuje brzmienie: 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„Wnioskodawca jest obowiązany do uiszczenia opłaty z tytułu przeprowadzonych badań lub analiz wyrob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akcyzowych, w przypadku gdy rozpatrzenie wniosku o wydanie WIA wym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ga przeprowadzenia badania lub analizy.”,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b) ust. 2 otrzymuje brzmienie: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„Badania lub analizy wyrob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akcyzowych mogą być wykonywane przez laboratoria celne lub inne akredytowane laboratoria, a także przez instytuty naukowe Polskiej Akademii Nauk, instytuty badawcze lub międzynarodowe instytuty naukowe utworzone na podstawie odrę</w:t>
      </w:r>
      <w:r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nych przepis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w, działające na terytorium kraju, dysponujące wyposażeniem niezbędnym dla danego rodzaju badań lub analiz.”,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7) art. 7h otrzymuje brzmienie: 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„1. WIA traci ważność w przypadku zmiany przepis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w prawa podatkowego w zakresie akc</w:t>
      </w:r>
      <w:r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zy odnoszących się do wyrobu akcyzowego, w wyniku kt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rej WIA staje się niezgodna z tymi przepisami.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Podmiot, na rzecz kt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rego wydano WIA, kt</w:t>
      </w:r>
      <w:r>
        <w:rPr>
          <w:rFonts w:ascii="Times New Roman" w:hAnsi="Times New Roman"/>
          <w:sz w:val="24"/>
          <w:szCs w:val="24"/>
          <w:lang w:val="es-ES_tradnl"/>
        </w:rPr>
        <w:t>ó</w:t>
      </w:r>
      <w:r>
        <w:rPr>
          <w:rFonts w:ascii="Times New Roman" w:hAnsi="Times New Roman"/>
          <w:sz w:val="24"/>
          <w:szCs w:val="24"/>
        </w:rPr>
        <w:t>ra traci ważność zgodnie z ust. 1, może ją st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sować nie dłużej niż przez okres sześciu miesięcy od daty utraty ważności, pod warunkiem że dotyczy ona wyrobu akcyzowego, będącego przedmiotem działalności gospodarczej posiad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cza WIA.”,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8) w art. 7i pkt 1 otrzymuje brzmienie: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„nie dotyczy wyrobu akcyzowego”,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9) uchyla si</w:t>
      </w:r>
      <w:r>
        <w:rPr>
          <w:rFonts w:ascii="Times New Roman" w:hAnsi="Times New Roman"/>
          <w:sz w:val="24"/>
          <w:szCs w:val="24"/>
        </w:rPr>
        <w:t>ę art. 100-113.</w:t>
      </w:r>
    </w:p>
    <w:p w:rsidR="00735A7C" w:rsidRDefault="004F204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Art. 2. </w:t>
      </w:r>
      <w:r>
        <w:rPr>
          <w:rFonts w:ascii="Times New Roman" w:hAnsi="Times New Roman"/>
          <w:sz w:val="24"/>
          <w:szCs w:val="24"/>
        </w:rPr>
        <w:t xml:space="preserve">Ustawa wchodzi w życie z dniem 1 stycznia 2018 r. </w:t>
      </w:r>
    </w:p>
    <w:p w:rsidR="00735A7C" w:rsidRDefault="00735A7C">
      <w:pPr>
        <w:spacing w:before="120" w:after="120" w:line="340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C47B5" w:rsidRDefault="000C47B5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center"/>
        <w:rPr>
          <w:b/>
          <w:bCs/>
        </w:rPr>
      </w:pPr>
    </w:p>
    <w:p w:rsidR="000C47B5" w:rsidRDefault="000C47B5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center"/>
        <w:rPr>
          <w:b/>
          <w:bCs/>
        </w:rPr>
      </w:pPr>
    </w:p>
    <w:p w:rsidR="000C47B5" w:rsidRDefault="000C47B5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center"/>
        <w:rPr>
          <w:b/>
          <w:bCs/>
        </w:rPr>
      </w:pPr>
    </w:p>
    <w:p w:rsidR="000C47B5" w:rsidRDefault="000C47B5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center"/>
        <w:rPr>
          <w:b/>
          <w:bCs/>
        </w:rPr>
      </w:pPr>
    </w:p>
    <w:p w:rsidR="000C47B5" w:rsidRDefault="000C47B5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center"/>
        <w:rPr>
          <w:b/>
          <w:bCs/>
        </w:rPr>
      </w:pPr>
    </w:p>
    <w:p w:rsidR="000C47B5" w:rsidRDefault="000C47B5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center"/>
        <w:rPr>
          <w:b/>
          <w:bCs/>
        </w:rPr>
      </w:pPr>
    </w:p>
    <w:p w:rsidR="000C47B5" w:rsidRDefault="000C47B5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center"/>
        <w:rPr>
          <w:b/>
          <w:bCs/>
        </w:rPr>
      </w:pPr>
    </w:p>
    <w:p w:rsidR="000C47B5" w:rsidRDefault="000C47B5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center"/>
        <w:rPr>
          <w:b/>
          <w:bCs/>
        </w:rPr>
      </w:pPr>
    </w:p>
    <w:p w:rsidR="000C47B5" w:rsidRDefault="000C47B5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center"/>
        <w:rPr>
          <w:b/>
          <w:bCs/>
        </w:rPr>
      </w:pPr>
    </w:p>
    <w:p w:rsidR="000C47B5" w:rsidRDefault="000C47B5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center"/>
        <w:rPr>
          <w:b/>
          <w:bCs/>
        </w:rPr>
      </w:pPr>
    </w:p>
    <w:p w:rsidR="000C47B5" w:rsidRDefault="000C47B5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center"/>
        <w:rPr>
          <w:b/>
          <w:bCs/>
        </w:rPr>
      </w:pP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center"/>
        <w:rPr>
          <w:b/>
          <w:bCs/>
        </w:rPr>
      </w:pPr>
      <w:r>
        <w:rPr>
          <w:b/>
          <w:bCs/>
        </w:rPr>
        <w:lastRenderedPageBreak/>
        <w:t>Uzasadnienie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t>Przedmiotem projektu ustawy jest likwidacja opodatkowania akcyzą samochodów osobowych. Celem projektu ustawy jest obniżenie całkowitego ciężaru opodatkowania nałożonego na Obywateli.</w:t>
      </w:r>
    </w:p>
    <w:p w:rsidR="00735A7C" w:rsidRDefault="00735A7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Polska to jedyny kraj stosujący akcyzę na samochody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t>Podatek akcyzowy jest podatkiem zharmonizowanym w ramach Unii Europejskiej. Oznacza to, że państwa członkowskie UE uchwalają przepisy o podatku akcyzowym zgodnie z dyrektywą o podatku akcyzowym</w:t>
      </w:r>
      <w:r>
        <w:rPr>
          <w:vertAlign w:val="superscript"/>
        </w:rPr>
        <w:footnoteReference w:id="2"/>
      </w:r>
      <w:r>
        <w:t>. Dyrektywa ta określa produkty, które państwa UE zobowiązane są do opodatkowania akcyzą. Są nimi:</w:t>
      </w:r>
    </w:p>
    <w:p w:rsidR="00735A7C" w:rsidRDefault="004F204C">
      <w:pPr>
        <w:pStyle w:val="TreA"/>
        <w:numPr>
          <w:ilvl w:val="0"/>
          <w:numId w:val="2"/>
        </w:numPr>
        <w:spacing w:before="120" w:after="120" w:line="360" w:lineRule="exact"/>
        <w:jc w:val="both"/>
      </w:pPr>
      <w:r>
        <w:t>produkty energetyczne i energia elektryczna,</w:t>
      </w:r>
    </w:p>
    <w:p w:rsidR="00735A7C" w:rsidRDefault="004F204C">
      <w:pPr>
        <w:pStyle w:val="TreA"/>
        <w:numPr>
          <w:ilvl w:val="0"/>
          <w:numId w:val="2"/>
        </w:numPr>
        <w:spacing w:before="120" w:after="120" w:line="360" w:lineRule="exact"/>
        <w:jc w:val="both"/>
      </w:pPr>
      <w:r>
        <w:t>alkohol i napoje alkoholowe oraz</w:t>
      </w:r>
    </w:p>
    <w:p w:rsidR="00735A7C" w:rsidRDefault="004F204C">
      <w:pPr>
        <w:pStyle w:val="TreA"/>
        <w:numPr>
          <w:ilvl w:val="0"/>
          <w:numId w:val="2"/>
        </w:numPr>
        <w:spacing w:before="120" w:after="120" w:line="360" w:lineRule="exact"/>
        <w:jc w:val="both"/>
      </w:pPr>
      <w:r>
        <w:t>wyroby tytoniowe.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t xml:space="preserve">Na liście wyrobów akcyzowych określonej w dyrektywie o podatku akcyzowym, a więc produktów które państwa członkowskie są zobowiązane objąć podatkiem akcyzowym, nie zostały wymienione samochody osobowe. W rzeczywistości, </w:t>
      </w:r>
      <w:r>
        <w:rPr>
          <w:b/>
          <w:bCs/>
        </w:rPr>
        <w:t>Polska jest jedynym państwem w Unii Europejskiej, które stosuje opodatkowanie akcyzą dla importu samochod</w:t>
      </w:r>
      <w:r>
        <w:rPr>
          <w:b/>
          <w:bCs/>
          <w:lang w:val="es-ES_tradnl"/>
        </w:rPr>
        <w:t>ó</w:t>
      </w:r>
      <w:r>
        <w:rPr>
          <w:b/>
          <w:bCs/>
        </w:rPr>
        <w:t>w osobowych</w:t>
      </w:r>
      <w:r>
        <w:t>.</w:t>
      </w:r>
    </w:p>
    <w:p w:rsidR="00735A7C" w:rsidRDefault="00735A7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Nadmierne opodatkowanie samochodów osobowych w Polsce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t xml:space="preserve">Według projektodawcy, opodatkowanie akcyzą samochodów osobowych jest nieuzasadnione i podatek ten powinien zostać zniesiony, ponieważ prowadzi on do nadmiernego opodatkowania samochodów osobowych w Polsce. </w:t>
      </w:r>
      <w:r>
        <w:rPr>
          <w:b/>
          <w:bCs/>
        </w:rPr>
        <w:t>Objęcie samochodów akcyzą przyczynia się do nałożenia na Obywateli ciężaru opodatkowania niewspółmiernego do panujących w Polsce uwarunkowań społeczno-gospodarczych</w:t>
      </w:r>
      <w:r>
        <w:t>.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t xml:space="preserve">Przede wszystkim jednak, objęcie podatkiem akcyzowym samochodów osobowych w praktyce prowadzi do </w:t>
      </w:r>
      <w:r>
        <w:rPr>
          <w:b/>
          <w:bCs/>
        </w:rPr>
        <w:t>podwójnego opodatkowania tego samego towaru</w:t>
      </w:r>
      <w:r>
        <w:t>. Obecnie bowiem ustawodawca opodatkowuje akcyzą samochody, najpierw w momencie ich nabycia, a następnie w trakcie ich używania, poprzez objęcie akcyzą paliwa do samochod</w:t>
      </w:r>
      <w:r>
        <w:rPr>
          <w:lang w:val="es-ES_tradnl"/>
        </w:rPr>
        <w:t>ó</w:t>
      </w:r>
      <w:r>
        <w:t>w osobowych.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lastRenderedPageBreak/>
        <w:t>Fakt podwójnego opodatkowania tego samego towaru, może budzić zastrzeżenia zwłaszcza w kontekście obecnego poziomu opodatkowania paliwa. Dziś bowiem ok. 50% ceny paliwa stanowią podatki: 19% ceny paliwa stanowi VAT, 29% akcyza i 2% opłata paliwowa (poziom ten ulega zmianie w zależności od ceny paliwa w związku z kwotowymi stawkami akcyzy). Jednocześnie, Polska stosuje dwie stawki akcyzy na auta osobowe: 3,1% oraz 18,6% wartości pojazdu, w zależności od pojemności silnika importowanego samochodu. Wysokość akcyzy na samochody osobowe (która w ocenie projektodawcy i tak, obiektywnie, została określona na bardzo wysokim poziomie), powinna być więc rozpatrywana w szczególności w kontekście ciężaru podatkowego nałożonego już na samo korzystanie z samochodu osobowego, a więc w kontekście szeregu podatków nałożonych na cenę paliwa.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t>Dlatego, zdaniem projektodawcy, podatek akcyzowy od samochodów osobowych należy postrzegać szerzej, jako jeden z elementów całkowitego ciężaru podatkowego nałożonego przez państwo na Obywateli w związku z używaniem przez nich samochodów osobowych. Według projektodawcy, na całkowity ciężar podatkowy występujący w związku z nabyciem i używaniem samochodu osobowego w Polsce składają się:</w:t>
      </w:r>
    </w:p>
    <w:p w:rsidR="00735A7C" w:rsidRDefault="004F204C">
      <w:pPr>
        <w:pStyle w:val="TreA"/>
        <w:numPr>
          <w:ilvl w:val="0"/>
          <w:numId w:val="2"/>
        </w:numPr>
        <w:spacing w:before="120" w:after="120" w:line="360" w:lineRule="exact"/>
        <w:jc w:val="both"/>
      </w:pPr>
      <w:r>
        <w:t>opodatkowanie nabycia samochodu osobowego akcyzą,</w:t>
      </w:r>
    </w:p>
    <w:p w:rsidR="00735A7C" w:rsidRDefault="004F204C">
      <w:pPr>
        <w:pStyle w:val="TreA"/>
        <w:numPr>
          <w:ilvl w:val="0"/>
          <w:numId w:val="2"/>
        </w:numPr>
        <w:spacing w:before="120" w:after="120" w:line="360" w:lineRule="exact"/>
        <w:jc w:val="both"/>
      </w:pPr>
      <w:r>
        <w:t>opodatkowanie używania samochodu osobowego (paliwa) podatkiem VAT,</w:t>
      </w:r>
    </w:p>
    <w:p w:rsidR="00735A7C" w:rsidRDefault="004F204C">
      <w:pPr>
        <w:pStyle w:val="TreA"/>
        <w:numPr>
          <w:ilvl w:val="0"/>
          <w:numId w:val="2"/>
        </w:numPr>
        <w:spacing w:before="120" w:after="120" w:line="360" w:lineRule="exact"/>
        <w:jc w:val="both"/>
      </w:pPr>
      <w:r>
        <w:t>opodatkowanie używania samochodu osobowego (paliwa) opłatą paliwową,</w:t>
      </w:r>
    </w:p>
    <w:p w:rsidR="00735A7C" w:rsidRDefault="004F204C">
      <w:pPr>
        <w:pStyle w:val="TreA"/>
        <w:numPr>
          <w:ilvl w:val="0"/>
          <w:numId w:val="2"/>
        </w:numPr>
        <w:spacing w:before="120" w:after="120" w:line="360" w:lineRule="exact"/>
        <w:jc w:val="both"/>
      </w:pPr>
      <w:r>
        <w:t>opodatkowanie używania samochodu osobowego (paliwa) akcyzą,</w:t>
      </w:r>
    </w:p>
    <w:p w:rsidR="00735A7C" w:rsidRDefault="004F204C">
      <w:pPr>
        <w:pStyle w:val="TreA"/>
        <w:numPr>
          <w:ilvl w:val="0"/>
          <w:numId w:val="2"/>
        </w:numPr>
        <w:spacing w:before="120" w:after="120" w:line="360" w:lineRule="exact"/>
        <w:jc w:val="both"/>
      </w:pPr>
      <w:r>
        <w:t>opodatkowanie ubezpieczenia samochodu osobowego podatkiem bankowym.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t>Konsekwencją takiego określenia ciężaru opodatkowania przez państwo jest to, że towar pierwszej potrzeby, jakim w dzisiejszych czasach jest samochód, dla wielu Obywateli staje się towarem luksusowym.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t>W ocenie projektodawcy, ciężar podatkowy nałożony na Obywateli w związku z nabyciem i używaniem przez nich samochodów osobowych jest nadmierny, natomiast zniesienie akcyzy od importu samochodów osobowych wymiernie przyczyniłoby się do obniżenia tego ciężaru podatkowego. Jednocześnie państwo nadal zachowałoby wpływy podatkowe w związku z (bardziej niż wystarczającym) poziomiem opodatkowania paliwa do samochodów osobowych.</w:t>
      </w:r>
    </w:p>
    <w:p w:rsidR="00735A7C" w:rsidRDefault="00735A7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</w:p>
    <w:p w:rsidR="00735A7C" w:rsidRDefault="00735A7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Wyłącznie fiskalny charakter akcyzy na samochody osobowe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t xml:space="preserve">Na podstawie obecnych przepisów nie sposób jest doszukać się innego niż fiskalne uzasadnienia dla opodatkowania akcyzą importu samochodów osobowych. W ocenie </w:t>
      </w:r>
      <w:r>
        <w:lastRenderedPageBreak/>
        <w:t>projektodawcy podatek ten ma wyłącznie cel fiskalny, a więc ma na celu zapewnienie dodatkowych wpływów budżetowych.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t>Nie można powiedzieć, że nałożenie akcyzy na import samochodów osobowych ma na celu zachęcić Obywateli do nabywania nowych samochodów w kraju, ponieważ różnica w cenie występującą między tymi dwom kategoriami towarów, czyni je wzajemnie niekonkurencyjnymi. Innymi słowy, ze względu na różnicę w cenie, nowe samochody do nabycia w kraju (z opłaconą przez dystrybutora akcyzą w kwocie brutto samochodu, opodatkowane 23% VAT) nie są towarami konkurencyjnymi wobec używanych samochodów z importu (zwolnionych z VAT, z obowiązkiem zapłaty akcyzy w wysokości 3,1% lub 18,6%).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t>Brak jest również innych uzasadnień dla obecnych przepisów o akcyzie od samochodów osobowych. W szczególności przepisy te nie mają na celu ochrony środowiska, ponieważ stawki akcyzy nie są uzależnione od stopnia „szkodliwości” danego pojazdu mechanicznego dla środowiska (np. od spełnianej przez pojazd normy środowiskowej), a jedynie od pojemności silnika.</w:t>
      </w:r>
    </w:p>
    <w:p w:rsidR="00735A7C" w:rsidRDefault="00735A7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Nieskuteczność przepisów o akcyzie na samochody osobowe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t>Dodatkowo projektodawca pragnie wskazać na faktyczną nieskuteczność obecnych przepisów o podatku akcyzowym na samochody osobowe.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t>W związku z zaporową wysokością opodatkowania samochodów osobowych akcyzą oraz faktem, że Polska jest jedynym państwem w UE obejmującym akcyzą auta osobowe, coraz częściej dochodzi do sytuacji, w której Polacy nabywając samochody osobowe w innych państwach UE, nie rejestrują ich w Polsce, ale dokonują rejestracji w państwach sąsiadujących z Polską (np. w Czechach). W ten sposób Polacy mogą uniknąć zapłaty w Polsce wysokiego podatku akcyzowego wynoszącego 18,6% wartości samochodu</w:t>
      </w:r>
      <w:r>
        <w:rPr>
          <w:vertAlign w:val="superscript"/>
        </w:rPr>
        <w:footnoteReference w:id="3"/>
      </w:r>
      <w:r>
        <w:t>. W konsekwencji już dziś wiele aut rejestrowanych jest w Czechach.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t>Likwidacja podatku akcyzowego przyczyniłaby się do eliminacji tego typu zjawisk, w związku ze zrównaniem zasad opodatkowania samochodów osobowych w Polsce z zasadami obowiązującymi u naszych sąsiadów.</w:t>
      </w:r>
    </w:p>
    <w:p w:rsidR="00735A7C" w:rsidRDefault="00735A7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  <w:rPr>
          <w:b/>
          <w:bCs/>
        </w:rPr>
      </w:pP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  <w:rPr>
          <w:b/>
          <w:bCs/>
          <w:i/>
          <w:iCs/>
        </w:rPr>
      </w:pPr>
      <w:r>
        <w:rPr>
          <w:b/>
          <w:bCs/>
          <w:i/>
          <w:iCs/>
        </w:rPr>
        <w:t>Pozytywne efekty likwidacji akcyzy od samochodów osobowych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lastRenderedPageBreak/>
        <w:t>Projektodawca przewiduje, że likwidacja akcyzy od samochodów osobowych przede wszystkim spowoduje obniżenie ceny nowych samochodów sprzedawanych w kraju. Na zmianie przepisów zyskają więc w największym zakresie Obywatele, dla których nabycie nowego samochodu będzie łatwiejsze.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t xml:space="preserve">Według projektodawcy, pozytywnym efektem zmian powinno być więc </w:t>
      </w:r>
      <w:r>
        <w:rPr>
          <w:b/>
          <w:bCs/>
        </w:rPr>
        <w:t>odmłodzenie parku samochodowego w Polsce</w:t>
      </w:r>
      <w:r>
        <w:t>.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t>Konsekwentnie, likwidacja akcyzy od samochodów osobowych może przyczynić się do większej ochrony środowiska i zwiększenia bezpieczeństwa na polskich drogach, w związku z łatwiejszym dostępem Obywateli do nowszych aut.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t>Projekt powinien również przyczynić się do likwidacji zjawiska polegającego na rejestracji samochodów osobowych przez Polaków poza Polską, czyli np. w Czechach, na Słowacji lub Niemczech.</w:t>
      </w:r>
    </w:p>
    <w:p w:rsidR="00735A7C" w:rsidRDefault="00735A7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  <w:rPr>
          <w:b/>
          <w:bCs/>
        </w:rPr>
      </w:pPr>
      <w:r>
        <w:rPr>
          <w:b/>
          <w:bCs/>
        </w:rPr>
        <w:t>Źr</w:t>
      </w:r>
      <w:r>
        <w:rPr>
          <w:b/>
          <w:bCs/>
          <w:lang w:val="es-ES_tradnl"/>
        </w:rPr>
        <w:t>ó</w:t>
      </w:r>
      <w:r>
        <w:rPr>
          <w:b/>
          <w:bCs/>
        </w:rPr>
        <w:t>dła finansowania, jeżeli projekt niesie obciążenia dla budżetu państwa lub jednostek samorządu terytorialnego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t>Projektowana ustawa nie rodzi skutk</w:t>
      </w:r>
      <w:r>
        <w:rPr>
          <w:lang w:val="es-ES_tradnl"/>
        </w:rPr>
        <w:t>ó</w:t>
      </w:r>
      <w:r>
        <w:t>w finansowych dla budżet</w:t>
      </w:r>
      <w:r>
        <w:rPr>
          <w:lang w:val="es-ES_tradnl"/>
        </w:rPr>
        <w:t>ó</w:t>
      </w:r>
      <w:r>
        <w:t>w jednostek samorządu terytorialnego.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t>Koszt likwidacji podatku akcyzowego od importu (w tym wewnątrzwspólnotowego nabycia) samochodów osobowych dla budżetu państwa wynosi 1,46 mld zł rocznie, od momentu wejścia w życie ustawy, tj. począwszy od 1 stycznia 2018 r. Koszt ten zostanie w całości sfinansowany z dodatkowych środków pozyskanych przez rząd w związku z zapowiedzianym uszczelnieniem systemu podatkowego VAT.</w:t>
      </w:r>
    </w:p>
    <w:p w:rsidR="00735A7C" w:rsidRDefault="00735A7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  <w:rPr>
          <w:b/>
          <w:bCs/>
        </w:rPr>
      </w:pP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  <w:rPr>
          <w:b/>
          <w:bCs/>
        </w:rPr>
      </w:pPr>
      <w:r>
        <w:rPr>
          <w:b/>
          <w:bCs/>
        </w:rPr>
        <w:t>Założenia projekt</w:t>
      </w:r>
      <w:r>
        <w:rPr>
          <w:b/>
          <w:bCs/>
          <w:lang w:val="es-ES_tradnl"/>
        </w:rPr>
        <w:t>ó</w:t>
      </w:r>
      <w:r>
        <w:rPr>
          <w:b/>
          <w:bCs/>
        </w:rPr>
        <w:t>w podstawowych akt</w:t>
      </w:r>
      <w:r>
        <w:rPr>
          <w:b/>
          <w:bCs/>
          <w:lang w:val="es-ES_tradnl"/>
        </w:rPr>
        <w:t>ó</w:t>
      </w:r>
      <w:r>
        <w:rPr>
          <w:b/>
          <w:bCs/>
        </w:rPr>
        <w:t>w wykonawczych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t>Nie dotyczy.</w:t>
      </w:r>
    </w:p>
    <w:p w:rsidR="00735A7C" w:rsidRDefault="00735A7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  <w:rPr>
          <w:b/>
          <w:bCs/>
        </w:rPr>
      </w:pPr>
      <w:r>
        <w:rPr>
          <w:b/>
          <w:bCs/>
        </w:rPr>
        <w:t>Ocena zgodności projektu z prawem Unii Europejskiej</w:t>
      </w:r>
    </w:p>
    <w:p w:rsidR="00735A7C" w:rsidRDefault="004F204C">
      <w:pPr>
        <w:pStyle w:val="TreA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spacing w:before="120" w:after="120" w:line="360" w:lineRule="exact"/>
        <w:jc w:val="both"/>
      </w:pPr>
      <w:r>
        <w:t>Przedkładany projekt ustawy jest zgodny z prawem Unii Europejskiej.</w:t>
      </w:r>
    </w:p>
    <w:sectPr w:rsidR="00735A7C">
      <w:headerReference w:type="default" r:id="rId8"/>
      <w:footerReference w:type="default" r:id="rId9"/>
      <w:pgSz w:w="11900" w:h="16840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F204C" w:rsidRDefault="004F204C">
      <w:pPr>
        <w:spacing w:after="0" w:line="240" w:lineRule="auto"/>
      </w:pPr>
      <w:r>
        <w:separator/>
      </w:r>
    </w:p>
  </w:endnote>
  <w:endnote w:type="continuationSeparator" w:id="0">
    <w:p w:rsidR="004F204C" w:rsidRDefault="004F2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A7C" w:rsidRDefault="00735A7C">
    <w:pPr>
      <w:pStyle w:val="Nagweki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F204C" w:rsidRDefault="004F204C">
      <w:r>
        <w:separator/>
      </w:r>
    </w:p>
  </w:footnote>
  <w:footnote w:type="continuationSeparator" w:id="0">
    <w:p w:rsidR="004F204C" w:rsidRDefault="004F204C">
      <w:r>
        <w:continuationSeparator/>
      </w:r>
    </w:p>
  </w:footnote>
  <w:footnote w:type="continuationNotice" w:id="1">
    <w:p w:rsidR="004F204C" w:rsidRDefault="004F204C"/>
  </w:footnote>
  <w:footnote w:id="2">
    <w:p w:rsidR="00735A7C" w:rsidRDefault="004F204C">
      <w:pPr>
        <w:pStyle w:val="Przypisdolny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Dyrektywa Rady</w:t>
      </w:r>
      <w:r>
        <w:rPr>
          <w:rFonts w:ascii="Times New Roman" w:hAnsi="Times New Roman"/>
          <w:lang w:val="de-DE"/>
        </w:rPr>
        <w:t xml:space="preserve"> 2008/118/WE</w:t>
      </w:r>
      <w:r>
        <w:rPr>
          <w:rFonts w:ascii="Times New Roman" w:hAnsi="Times New Roman"/>
        </w:rPr>
        <w:t xml:space="preserve"> z dnia 16 grudnia 2008 r. w sprawie og</w:t>
      </w:r>
      <w:r>
        <w:rPr>
          <w:rFonts w:ascii="Times New Roman" w:hAnsi="Times New Roman"/>
          <w:lang w:val="es-ES_tradnl"/>
        </w:rPr>
        <w:t>ó</w:t>
      </w:r>
      <w:r>
        <w:rPr>
          <w:rFonts w:ascii="Times New Roman" w:hAnsi="Times New Roman"/>
        </w:rPr>
        <w:t>lnych zasad dotyczących podatku akcyzowego;</w:t>
      </w:r>
    </w:p>
  </w:footnote>
  <w:footnote w:id="3">
    <w:p w:rsidR="00735A7C" w:rsidRDefault="004F204C">
      <w:pPr>
        <w:pStyle w:val="Przypisdolny"/>
      </w:pPr>
      <w:r>
        <w:rPr>
          <w:vertAlign w:val="superscript"/>
        </w:rPr>
        <w:footnoteRef/>
      </w:r>
      <w:r>
        <w:rPr>
          <w:rFonts w:ascii="Times New Roman" w:hAnsi="Times New Roman"/>
        </w:rPr>
        <w:t xml:space="preserve"> M. Sak, A. Włodarski, </w:t>
      </w:r>
      <w:r>
        <w:rPr>
          <w:rFonts w:ascii="Times New Roman" w:hAnsi="Times New Roman"/>
          <w:i/>
          <w:iCs/>
        </w:rPr>
        <w:t>Polak w Czechach, czyli jak nie pł</w:t>
      </w:r>
      <w:r>
        <w:rPr>
          <w:rFonts w:ascii="Times New Roman" w:hAnsi="Times New Roman"/>
          <w:i/>
          <w:iCs/>
          <w:lang w:val="es-ES_tradnl"/>
        </w:rPr>
        <w:t>aci</w:t>
      </w:r>
      <w:r>
        <w:rPr>
          <w:rFonts w:ascii="Times New Roman" w:hAnsi="Times New Roman"/>
          <w:i/>
          <w:iCs/>
        </w:rPr>
        <w:t>ć ZUS-u, VAT-u i akcyzy</w:t>
      </w:r>
      <w:r>
        <w:rPr>
          <w:rFonts w:ascii="Times New Roman" w:hAnsi="Times New Roman"/>
        </w:rPr>
        <w:t>, Gazeta W</w:t>
      </w:r>
      <w:r>
        <w:rPr>
          <w:rFonts w:ascii="Times New Roman" w:hAnsi="Times New Roman"/>
        </w:rPr>
        <w:t>y</w:t>
      </w:r>
      <w:r>
        <w:rPr>
          <w:rFonts w:ascii="Times New Roman" w:hAnsi="Times New Roman"/>
        </w:rPr>
        <w:t>borcza, 05.09.2016;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35A7C" w:rsidRDefault="00735A7C">
    <w:pPr>
      <w:pStyle w:val="Nagwekistop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7157C9"/>
    <w:multiLevelType w:val="hybridMultilevel"/>
    <w:tmpl w:val="A87E5C9E"/>
    <w:numStyleLink w:val="Punktory"/>
  </w:abstractNum>
  <w:abstractNum w:abstractNumId="1">
    <w:nsid w:val="4C7F645B"/>
    <w:multiLevelType w:val="hybridMultilevel"/>
    <w:tmpl w:val="A87E5C9E"/>
    <w:styleLink w:val="Punktory"/>
    <w:lvl w:ilvl="0" w:tplc="9FA4D548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567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53A1F08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DCE82A6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1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68C8EDC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1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1B6AEEE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25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CAD3A4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31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C60F2E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37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CC08B6A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</w:tabs>
        <w:ind w:left="43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C426790">
      <w:start w:val="1"/>
      <w:numFmt w:val="bullet"/>
      <w:lvlText w:val="•"/>
      <w:lvlJc w:val="left"/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5672"/>
          <w:tab w:val="left" w:pos="6381"/>
          <w:tab w:val="left" w:pos="7090"/>
          <w:tab w:val="left" w:pos="7799"/>
          <w:tab w:val="left" w:pos="8508"/>
        </w:tabs>
        <w:ind w:left="4989" w:hanging="18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5A7C"/>
    <w:rsid w:val="000C47B5"/>
    <w:rsid w:val="004F204C"/>
    <w:rsid w:val="00735A7C"/>
    <w:rsid w:val="00A15B54"/>
    <w:rsid w:val="00F05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TreA">
    <w:name w:val="Treść A"/>
    <w:pPr>
      <w:widowControl w:val="0"/>
      <w:suppressAutoHyphens/>
    </w:pPr>
    <w:rPr>
      <w:rFonts w:cs="Arial Unicode MS"/>
      <w:color w:val="000000"/>
      <w:kern w:val="1"/>
      <w:sz w:val="24"/>
      <w:szCs w:val="24"/>
      <w:u w:color="000000"/>
      <w:lang w:val="en-US"/>
    </w:rPr>
  </w:style>
  <w:style w:type="paragraph" w:customStyle="1" w:styleId="Przypisdolny">
    <w:name w:val="Przypis dolny"/>
    <w:rPr>
      <w:rFonts w:ascii="Helvetica" w:eastAsia="Helvetica" w:hAnsi="Helvetica" w:cs="Helvetica"/>
      <w:color w:val="000000"/>
      <w:sz w:val="22"/>
      <w:szCs w:val="22"/>
      <w:u w:color="000000"/>
    </w:rPr>
  </w:style>
  <w:style w:type="numbering" w:customStyle="1" w:styleId="Punktory">
    <w:name w:val="Punktory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agwekistopka">
    <w:name w:val="Nagłówek i stopka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TreA">
    <w:name w:val="Treść A"/>
    <w:pPr>
      <w:widowControl w:val="0"/>
      <w:suppressAutoHyphens/>
    </w:pPr>
    <w:rPr>
      <w:rFonts w:cs="Arial Unicode MS"/>
      <w:color w:val="000000"/>
      <w:kern w:val="1"/>
      <w:sz w:val="24"/>
      <w:szCs w:val="24"/>
      <w:u w:color="000000"/>
      <w:lang w:val="en-US"/>
    </w:rPr>
  </w:style>
  <w:style w:type="paragraph" w:customStyle="1" w:styleId="Przypisdolny">
    <w:name w:val="Przypis dolny"/>
    <w:rPr>
      <w:rFonts w:ascii="Helvetica" w:eastAsia="Helvetica" w:hAnsi="Helvetica" w:cs="Helvetica"/>
      <w:color w:val="000000"/>
      <w:sz w:val="22"/>
      <w:szCs w:val="22"/>
      <w:u w:color="000000"/>
    </w:rPr>
  </w:style>
  <w:style w:type="numbering" w:customStyle="1" w:styleId="Punktory">
    <w:name w:val="Punktory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1776</Words>
  <Characters>10660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Cis</dc:creator>
  <cp:lastModifiedBy>Ewa A. Genert</cp:lastModifiedBy>
  <cp:revision>2</cp:revision>
  <dcterms:created xsi:type="dcterms:W3CDTF">2017-02-28T13:32:00Z</dcterms:created>
  <dcterms:modified xsi:type="dcterms:W3CDTF">2017-02-28T13:32:00Z</dcterms:modified>
</cp:coreProperties>
</file>