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1B1" w:rsidRPr="0082440C" w:rsidRDefault="005F21B1" w:rsidP="0082440C">
      <w:pPr>
        <w:keepNext/>
        <w:spacing w:before="100" w:beforeAutospacing="1" w:after="0" w:line="360" w:lineRule="auto"/>
        <w:jc w:val="right"/>
        <w:rPr>
          <w:rFonts w:ascii="Tahoma" w:eastAsiaTheme="minorEastAsia" w:hAnsi="Tahoma" w:cs="Tahoma"/>
          <w:color w:val="000000" w:themeColor="text1"/>
          <w:sz w:val="24"/>
          <w:szCs w:val="24"/>
          <w:u w:val="single"/>
          <w:lang w:eastAsia="pl-PL"/>
        </w:rPr>
      </w:pPr>
      <w:bookmarkStart w:id="0" w:name="_GoBack"/>
      <w:bookmarkEnd w:id="0"/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u w:val="single"/>
          <w:lang w:eastAsia="pl-PL"/>
        </w:rPr>
        <w:t>Projekt</w:t>
      </w:r>
    </w:p>
    <w:p w:rsidR="005F21B1" w:rsidRPr="0082440C" w:rsidRDefault="005F21B1" w:rsidP="0082440C">
      <w:pPr>
        <w:keepNext/>
        <w:widowControl w:val="0"/>
        <w:suppressAutoHyphens/>
        <w:autoSpaceDE w:val="0"/>
        <w:autoSpaceDN w:val="0"/>
        <w:adjustRightInd w:val="0"/>
        <w:spacing w:before="100" w:beforeAutospacing="1" w:after="0" w:line="360" w:lineRule="auto"/>
        <w:jc w:val="center"/>
        <w:rPr>
          <w:rFonts w:ascii="Tahoma" w:eastAsia="Times New Roman" w:hAnsi="Tahoma" w:cs="Tahoma"/>
          <w:bCs/>
          <w:caps/>
          <w:color w:val="000000" w:themeColor="text1"/>
          <w:spacing w:val="54"/>
          <w:kern w:val="24"/>
          <w:sz w:val="24"/>
          <w:szCs w:val="24"/>
          <w:lang w:eastAsia="pl-PL"/>
        </w:rPr>
      </w:pPr>
      <w:r w:rsidRPr="0082440C">
        <w:rPr>
          <w:rFonts w:ascii="Tahoma" w:eastAsia="Times New Roman" w:hAnsi="Tahoma" w:cs="Tahoma"/>
          <w:bCs/>
          <w:caps/>
          <w:color w:val="000000" w:themeColor="text1"/>
          <w:spacing w:val="54"/>
          <w:kern w:val="24"/>
          <w:sz w:val="24"/>
          <w:szCs w:val="24"/>
          <w:lang w:eastAsia="pl-PL"/>
        </w:rPr>
        <w:t>ustawa</w:t>
      </w:r>
    </w:p>
    <w:p w:rsidR="005F21B1" w:rsidRPr="0082440C" w:rsidRDefault="00022F33" w:rsidP="0082440C">
      <w:pPr>
        <w:keepNext/>
        <w:suppressAutoHyphens/>
        <w:spacing w:before="100" w:beforeAutospacing="1" w:after="0" w:line="360" w:lineRule="auto"/>
        <w:jc w:val="center"/>
        <w:rPr>
          <w:rFonts w:ascii="Tahoma" w:eastAsiaTheme="minorEastAsia" w:hAnsi="Tahoma" w:cs="Tahoma"/>
          <w:bCs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bCs/>
          <w:color w:val="000000" w:themeColor="text1"/>
          <w:sz w:val="24"/>
          <w:szCs w:val="24"/>
          <w:lang w:eastAsia="pl-PL"/>
        </w:rPr>
        <w:t>z dnia …</w:t>
      </w:r>
      <w:r w:rsidR="00007F43" w:rsidRPr="0082440C">
        <w:rPr>
          <w:rFonts w:ascii="Tahoma" w:eastAsiaTheme="minorEastAsia" w:hAnsi="Tahoma" w:cs="Tahoma"/>
          <w:bCs/>
          <w:color w:val="000000" w:themeColor="text1"/>
          <w:sz w:val="24"/>
          <w:szCs w:val="24"/>
          <w:lang w:eastAsia="pl-PL"/>
        </w:rPr>
        <w:t>………</w:t>
      </w:r>
      <w:r w:rsidRPr="0082440C">
        <w:rPr>
          <w:rFonts w:ascii="Tahoma" w:eastAsiaTheme="minorEastAsia" w:hAnsi="Tahoma" w:cs="Tahoma"/>
          <w:bCs/>
          <w:color w:val="000000" w:themeColor="text1"/>
          <w:sz w:val="24"/>
          <w:szCs w:val="24"/>
          <w:lang w:eastAsia="pl-PL"/>
        </w:rPr>
        <w:t>…… 2017</w:t>
      </w:r>
      <w:r w:rsidR="005F21B1" w:rsidRPr="0082440C">
        <w:rPr>
          <w:rFonts w:ascii="Tahoma" w:eastAsiaTheme="minorEastAsia" w:hAnsi="Tahoma" w:cs="Tahoma"/>
          <w:bCs/>
          <w:color w:val="000000" w:themeColor="text1"/>
          <w:sz w:val="24"/>
          <w:szCs w:val="24"/>
          <w:lang w:eastAsia="pl-PL"/>
        </w:rPr>
        <w:t xml:space="preserve"> r.</w:t>
      </w:r>
    </w:p>
    <w:p w:rsidR="005F21B1" w:rsidRPr="0082440C" w:rsidRDefault="005F21B1" w:rsidP="0082440C">
      <w:pPr>
        <w:keepNext/>
        <w:suppressAutoHyphens/>
        <w:spacing w:before="100" w:beforeAutospacing="1" w:after="0" w:line="360" w:lineRule="auto"/>
        <w:jc w:val="center"/>
        <w:rPr>
          <w:rFonts w:ascii="Tahoma" w:eastAsiaTheme="minorEastAsia" w:hAnsi="Tahoma" w:cs="Tahoma"/>
          <w:bCs/>
          <w:color w:val="000000" w:themeColor="text1"/>
          <w:sz w:val="24"/>
          <w:szCs w:val="24"/>
          <w:vertAlign w:val="superscript"/>
          <w:lang w:eastAsia="pl-PL"/>
        </w:rPr>
      </w:pPr>
      <w:r w:rsidRPr="0082440C">
        <w:rPr>
          <w:rFonts w:ascii="Tahoma" w:eastAsiaTheme="minorEastAsia" w:hAnsi="Tahoma" w:cs="Tahoma"/>
          <w:bCs/>
          <w:color w:val="000000" w:themeColor="text1"/>
          <w:sz w:val="24"/>
          <w:szCs w:val="24"/>
          <w:lang w:eastAsia="pl-PL"/>
        </w:rPr>
        <w:t>o zmianie ustawy o Policji oraz niektórych innych ustaw</w:t>
      </w:r>
      <w:r w:rsidRPr="0082440C">
        <w:rPr>
          <w:rFonts w:ascii="Tahoma" w:eastAsiaTheme="minorEastAsia" w:hAnsi="Tahoma" w:cs="Tahoma"/>
          <w:bCs/>
          <w:color w:val="000000" w:themeColor="text1"/>
          <w:sz w:val="24"/>
          <w:szCs w:val="24"/>
          <w:vertAlign w:val="superscript"/>
          <w:lang w:eastAsia="pl-PL"/>
        </w:rPr>
        <w:footnoteReference w:id="1"/>
      </w:r>
      <w:r w:rsidRPr="0082440C">
        <w:rPr>
          <w:rFonts w:ascii="Tahoma" w:eastAsiaTheme="minorEastAsia" w:hAnsi="Tahoma" w:cs="Tahoma"/>
          <w:bCs/>
          <w:color w:val="000000" w:themeColor="text1"/>
          <w:sz w:val="24"/>
          <w:szCs w:val="24"/>
          <w:vertAlign w:val="superscript"/>
          <w:lang w:eastAsia="pl-PL"/>
        </w:rPr>
        <w:t>)</w:t>
      </w:r>
    </w:p>
    <w:p w:rsidR="005F21B1" w:rsidRPr="0082440C" w:rsidRDefault="005F21B1" w:rsidP="0082440C">
      <w:pPr>
        <w:suppressAutoHyphens/>
        <w:autoSpaceDE w:val="0"/>
        <w:autoSpaceDN w:val="0"/>
        <w:adjustRightInd w:val="0"/>
        <w:spacing w:before="100" w:beforeAutospacing="1" w:after="0" w:line="360" w:lineRule="auto"/>
        <w:ind w:firstLine="510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</w:p>
    <w:p w:rsidR="005F21B1" w:rsidRPr="0082440C" w:rsidRDefault="005F21B1" w:rsidP="0082440C">
      <w:pPr>
        <w:keepNext/>
        <w:suppressAutoHyphens/>
        <w:autoSpaceDE w:val="0"/>
        <w:autoSpaceDN w:val="0"/>
        <w:adjustRightInd w:val="0"/>
        <w:spacing w:before="100" w:beforeAutospacing="1" w:after="0" w:line="360" w:lineRule="auto"/>
        <w:ind w:firstLine="567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bookmarkStart w:id="1" w:name="Policja"/>
      <w:r w:rsidRPr="0082440C">
        <w:rPr>
          <w:rFonts w:ascii="Tahoma" w:eastAsiaTheme="minorEastAsia" w:hAnsi="Tahoma" w:cs="Tahoma"/>
          <w:b/>
          <w:color w:val="000000" w:themeColor="text1"/>
          <w:sz w:val="24"/>
          <w:szCs w:val="24"/>
          <w:lang w:eastAsia="pl-PL"/>
        </w:rPr>
        <w:t>Art. 1.</w:t>
      </w:r>
      <w:bookmarkEnd w:id="1"/>
      <w:r w:rsidRPr="0082440C">
        <w:rPr>
          <w:rFonts w:ascii="Tahoma" w:eastAsiaTheme="minorEastAsia" w:hAnsi="Tahoma" w:cs="Tahoma"/>
          <w:b/>
          <w:color w:val="000000" w:themeColor="text1"/>
          <w:sz w:val="24"/>
          <w:szCs w:val="24"/>
          <w:lang w:eastAsia="pl-PL"/>
        </w:rPr>
        <w:t xml:space="preserve"> </w:t>
      </w: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W ustawie z dnia 6 kwietnia 1990 r. o Policji (Dz. U. z 2016 r. poz. 1782</w:t>
      </w:r>
      <w:r w:rsidR="004D3DD9"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 xml:space="preserve"> i</w:t>
      </w:r>
      <w:r w:rsidR="004D3DD9" w:rsidRPr="0082440C">
        <w:rPr>
          <w:rFonts w:ascii="Tahoma" w:hAnsi="Tahoma" w:cs="Tahoma"/>
          <w:sz w:val="24"/>
          <w:szCs w:val="24"/>
        </w:rPr>
        <w:t xml:space="preserve"> 1955</w:t>
      </w:r>
      <w:r w:rsidR="00F94CA7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) w art. 19</w:t>
      </w: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 xml:space="preserve"> po ust. 16d dodaje się ust. 16e i 16f w brzmieniu:</w:t>
      </w:r>
    </w:p>
    <w:p w:rsidR="005F21B1" w:rsidRPr="0082440C" w:rsidRDefault="005F21B1" w:rsidP="0082440C">
      <w:pPr>
        <w:widowControl w:val="0"/>
        <w:autoSpaceDE w:val="0"/>
        <w:autoSpaceDN w:val="0"/>
        <w:adjustRightInd w:val="0"/>
        <w:spacing w:before="100" w:beforeAutospacing="1" w:after="0" w:line="360" w:lineRule="auto"/>
        <w:ind w:left="284" w:firstLine="586"/>
        <w:contextualSpacing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„16e. Osoba wobec której kontrola operacyjna była stosowana, jest informowana przez organ zarządzający kontrolę o fakcie jej zastosowania nie później niż 6 miesięcy po jej zakończeniu, z zastrzeżeniem przepisów ust.</w:t>
      </w:r>
      <w:r w:rsid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 xml:space="preserve"> </w:t>
      </w: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16f.</w:t>
      </w:r>
    </w:p>
    <w:p w:rsidR="005F21B1" w:rsidRPr="0082440C" w:rsidRDefault="005F21B1" w:rsidP="0082440C">
      <w:pPr>
        <w:widowControl w:val="0"/>
        <w:autoSpaceDE w:val="0"/>
        <w:autoSpaceDN w:val="0"/>
        <w:adjustRightInd w:val="0"/>
        <w:spacing w:before="100" w:beforeAutospacing="1" w:after="0" w:line="360" w:lineRule="auto"/>
        <w:ind w:left="284" w:firstLine="709"/>
        <w:contextualSpacing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16f. Organ zarządzający kontrolę, jeśli ujawnienie informacji o jej stosowaniu narażałoby lub mogło narazić ważny interes publiczny, może wystąpić do sądu okręgowego z wnioskiem o zarządzenie utrzymania tej informacji w tajemnicy na okres nie dłuższy niż 10 lat.”.</w:t>
      </w:r>
    </w:p>
    <w:p w:rsidR="005F21B1" w:rsidRPr="0082440C" w:rsidRDefault="005F21B1" w:rsidP="0082440C">
      <w:pPr>
        <w:keepNext/>
        <w:suppressAutoHyphens/>
        <w:autoSpaceDE w:val="0"/>
        <w:autoSpaceDN w:val="0"/>
        <w:adjustRightInd w:val="0"/>
        <w:spacing w:before="100" w:beforeAutospacing="1" w:after="0" w:line="360" w:lineRule="auto"/>
        <w:ind w:firstLine="567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bookmarkStart w:id="2" w:name="SG"/>
      <w:r w:rsidRPr="0082440C">
        <w:rPr>
          <w:rFonts w:ascii="Tahoma" w:eastAsiaTheme="minorEastAsia" w:hAnsi="Tahoma" w:cs="Tahoma"/>
          <w:b/>
          <w:color w:val="000000" w:themeColor="text1"/>
          <w:sz w:val="24"/>
          <w:szCs w:val="24"/>
          <w:lang w:eastAsia="pl-PL"/>
        </w:rPr>
        <w:t>Art. 2.</w:t>
      </w:r>
      <w:bookmarkEnd w:id="2"/>
      <w:r w:rsidRPr="0082440C">
        <w:rPr>
          <w:rFonts w:ascii="Tahoma" w:eastAsiaTheme="minorEastAsia" w:hAnsi="Tahoma" w:cs="Tahoma"/>
          <w:b/>
          <w:color w:val="000000" w:themeColor="text1"/>
          <w:sz w:val="24"/>
          <w:szCs w:val="24"/>
          <w:lang w:eastAsia="pl-PL"/>
        </w:rPr>
        <w:t xml:space="preserve"> </w:t>
      </w: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 xml:space="preserve">W ustawie z dnia 12 października 1990 r. o Straży Granicznej </w:t>
      </w:r>
      <w:r w:rsidR="0082440C"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br/>
      </w: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Dz. U. z 2016 r. poz. 1643</w:t>
      </w:r>
      <w:r w:rsidRPr="0082440C">
        <w:rPr>
          <w:rFonts w:ascii="Tahoma" w:eastAsiaTheme="minorEastAsia" w:hAnsi="Tahoma" w:cs="Tahoma"/>
          <w:sz w:val="24"/>
          <w:szCs w:val="24"/>
          <w:lang w:eastAsia="pl-PL"/>
        </w:rPr>
        <w:t xml:space="preserve"> i 1955</w:t>
      </w: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 xml:space="preserve">) w art. 9e po ust. 17a dodaje się ust. 17b i 17c </w:t>
      </w:r>
      <w:r w:rsidR="0082440C"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br/>
      </w: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w brzmieniu:</w:t>
      </w:r>
    </w:p>
    <w:p w:rsidR="005F21B1" w:rsidRPr="0082440C" w:rsidRDefault="005F21B1" w:rsidP="0082440C">
      <w:pPr>
        <w:widowControl w:val="0"/>
        <w:autoSpaceDE w:val="0"/>
        <w:autoSpaceDN w:val="0"/>
        <w:adjustRightInd w:val="0"/>
        <w:spacing w:before="100" w:beforeAutospacing="1" w:after="0" w:line="360" w:lineRule="auto"/>
        <w:ind w:left="284" w:firstLine="586"/>
        <w:contextualSpacing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„17b. Osoba wobec której kontrola operacyjna była stosowana, jest informowana przez organ zarządzający kontrolę o fakcie jej zastosowania nie później niż 6 miesięcy po jej zakończeniu, z zastrzeżeniem przepisów ust. 16c.</w:t>
      </w:r>
    </w:p>
    <w:p w:rsidR="005F21B1" w:rsidRPr="0082440C" w:rsidRDefault="005F21B1" w:rsidP="0082440C">
      <w:pPr>
        <w:widowControl w:val="0"/>
        <w:autoSpaceDE w:val="0"/>
        <w:autoSpaceDN w:val="0"/>
        <w:adjustRightInd w:val="0"/>
        <w:spacing w:before="100" w:beforeAutospacing="1" w:after="0" w:line="360" w:lineRule="auto"/>
        <w:ind w:left="284" w:firstLine="586"/>
        <w:contextualSpacing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 xml:space="preserve">17c. Organ zarządzający kontrolę, jeśli ujawnienie informacji o jej stosowaniu narażałoby lub mogło narazić ważny interes publiczny, może wystąpić do sądu okręgowego z wnioskiem o zarządzenie utrzymania tej informacji w </w:t>
      </w: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lastRenderedPageBreak/>
        <w:t>tajemnicy na okres nie dłuższy niż 10 lat.”.</w:t>
      </w:r>
    </w:p>
    <w:p w:rsidR="005F21B1" w:rsidRPr="0082440C" w:rsidRDefault="005F21B1" w:rsidP="0082440C">
      <w:pPr>
        <w:keepNext/>
        <w:suppressAutoHyphens/>
        <w:autoSpaceDE w:val="0"/>
        <w:autoSpaceDN w:val="0"/>
        <w:adjustRightInd w:val="0"/>
        <w:spacing w:before="100" w:beforeAutospacing="1" w:after="0" w:line="360" w:lineRule="auto"/>
        <w:ind w:firstLine="567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bookmarkStart w:id="3" w:name="ŻW"/>
      <w:bookmarkStart w:id="4" w:name="KS"/>
      <w:r w:rsidRPr="0082440C">
        <w:rPr>
          <w:rFonts w:ascii="Tahoma" w:eastAsiaTheme="minorEastAsia" w:hAnsi="Tahoma" w:cs="Tahoma"/>
          <w:b/>
          <w:color w:val="000000" w:themeColor="text1"/>
          <w:sz w:val="24"/>
          <w:szCs w:val="24"/>
          <w:lang w:eastAsia="pl-PL"/>
        </w:rPr>
        <w:t>Art. 3.</w:t>
      </w:r>
      <w:bookmarkEnd w:id="3"/>
      <w:bookmarkEnd w:id="4"/>
      <w:r w:rsidRPr="0082440C">
        <w:rPr>
          <w:rFonts w:ascii="Tahoma" w:eastAsiaTheme="minorEastAsia" w:hAnsi="Tahoma" w:cs="Tahoma"/>
          <w:b/>
          <w:color w:val="000000" w:themeColor="text1"/>
          <w:sz w:val="24"/>
          <w:szCs w:val="24"/>
          <w:lang w:eastAsia="pl-PL"/>
        </w:rPr>
        <w:t xml:space="preserve"> </w:t>
      </w: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 xml:space="preserve">W ustawie z dnia 24 sierpnia 2001 r. o Żandarmerii Wojskowej </w:t>
      </w:r>
      <w:r w:rsidR="0082440C"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br/>
      </w: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 xml:space="preserve">i wojskowych organach porządkowych (Dz. U. z 2016 r. poz. 1483) w art. 31 </w:t>
      </w:r>
      <w:r w:rsidR="0082440C"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br/>
      </w: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po ust. 20 dodaje się ust. 20a i 20b w brzmieniu:</w:t>
      </w:r>
    </w:p>
    <w:p w:rsidR="005F21B1" w:rsidRPr="0082440C" w:rsidRDefault="005F21B1" w:rsidP="0082440C">
      <w:pPr>
        <w:keepNext/>
        <w:suppressAutoHyphens/>
        <w:autoSpaceDE w:val="0"/>
        <w:autoSpaceDN w:val="0"/>
        <w:adjustRightInd w:val="0"/>
        <w:spacing w:before="100" w:beforeAutospacing="1" w:after="0" w:line="360" w:lineRule="auto"/>
        <w:ind w:left="284" w:firstLine="567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„20a. Osoba wobec której kontrola operacyjna była stosowana, jest informowana przez organ zarządzający kontrolę o fakcie jej zastosowania nie później niż 6 miesięcy po jej zakończeniu, z zastrzeżeniem przepisów ust. 20b.</w:t>
      </w:r>
    </w:p>
    <w:p w:rsidR="005F21B1" w:rsidRPr="0082440C" w:rsidRDefault="005F21B1" w:rsidP="0082440C">
      <w:pPr>
        <w:widowControl w:val="0"/>
        <w:autoSpaceDE w:val="0"/>
        <w:autoSpaceDN w:val="0"/>
        <w:adjustRightInd w:val="0"/>
        <w:spacing w:before="100" w:beforeAutospacing="1" w:after="0" w:line="360" w:lineRule="auto"/>
        <w:ind w:left="284" w:firstLine="567"/>
        <w:contextualSpacing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20b. Organ zarządzający kontrolę, jeśli ujawnienie informacji o jej stosowaniu narażałoby lub mogło narazić ważny interes publiczny, może wystąpić do sądu okręgowego z wnioskiem o zarządzenie utrzymania tej informacji w tajemnicy na okres nie dłuższy niż 10 lat.”.</w:t>
      </w:r>
    </w:p>
    <w:p w:rsidR="005F21B1" w:rsidRPr="0082440C" w:rsidRDefault="005F21B1" w:rsidP="0082440C">
      <w:pPr>
        <w:tabs>
          <w:tab w:val="left" w:pos="0"/>
        </w:tabs>
        <w:suppressAutoHyphens/>
        <w:autoSpaceDE w:val="0"/>
        <w:autoSpaceDN w:val="0"/>
        <w:adjustRightInd w:val="0"/>
        <w:spacing w:before="100" w:beforeAutospacing="1" w:after="0" w:line="360" w:lineRule="auto"/>
        <w:ind w:firstLine="567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bookmarkStart w:id="5" w:name="ABW"/>
      <w:r w:rsidRPr="0082440C">
        <w:rPr>
          <w:rFonts w:ascii="Tahoma" w:eastAsiaTheme="minorEastAsia" w:hAnsi="Tahoma" w:cs="Tahoma"/>
          <w:b/>
          <w:color w:val="000000" w:themeColor="text1"/>
          <w:sz w:val="24"/>
          <w:szCs w:val="24"/>
          <w:lang w:eastAsia="pl-PL"/>
        </w:rPr>
        <w:t xml:space="preserve">Art. 4. </w:t>
      </w:r>
      <w:bookmarkEnd w:id="5"/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W ustawie z dnia 24 maja 2002 r. o Agencji Bezpieczeństwa Wewnętrznego oraz Agencji Wywiadu (</w:t>
      </w:r>
      <w:r w:rsidRPr="0082440C">
        <w:rPr>
          <w:rFonts w:ascii="Tahoma" w:eastAsiaTheme="minorEastAsia" w:hAnsi="Tahoma" w:cs="Tahoma"/>
          <w:bCs/>
          <w:color w:val="000000"/>
          <w:sz w:val="24"/>
          <w:szCs w:val="24"/>
          <w:lang w:eastAsia="pl-PL"/>
        </w:rPr>
        <w:t>Dz.U. z 2016 r. poz. 1897</w:t>
      </w:r>
      <w:r w:rsidR="0085418A" w:rsidRPr="0082440C">
        <w:rPr>
          <w:rFonts w:ascii="Tahoma" w:eastAsiaTheme="minorEastAsia" w:hAnsi="Tahoma" w:cs="Tahoma"/>
          <w:bCs/>
          <w:color w:val="000000"/>
          <w:sz w:val="24"/>
          <w:szCs w:val="24"/>
          <w:lang w:eastAsia="pl-PL"/>
        </w:rPr>
        <w:t xml:space="preserve"> i </w:t>
      </w:r>
      <w:r w:rsidR="0085418A" w:rsidRPr="0082440C">
        <w:rPr>
          <w:rFonts w:ascii="Tahoma" w:hAnsi="Tahoma" w:cs="Tahoma"/>
          <w:sz w:val="24"/>
          <w:szCs w:val="24"/>
        </w:rPr>
        <w:t>1955</w:t>
      </w:r>
      <w:r w:rsidRPr="0082440C">
        <w:rPr>
          <w:rFonts w:ascii="Tahoma" w:eastAsiaTheme="minorEastAsia" w:hAnsi="Tahoma" w:cs="Tahoma"/>
          <w:color w:val="000000"/>
          <w:sz w:val="24"/>
          <w:szCs w:val="24"/>
          <w:lang w:eastAsia="pl-PL"/>
        </w:rPr>
        <w:t>)</w:t>
      </w: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 xml:space="preserve"> w art. 27 dodaje się ust. 16e – 16h w brzmieniu:</w:t>
      </w:r>
    </w:p>
    <w:p w:rsidR="005F21B1" w:rsidRPr="0082440C" w:rsidRDefault="005F21B1" w:rsidP="0082440C">
      <w:pPr>
        <w:autoSpaceDE w:val="0"/>
        <w:autoSpaceDN w:val="0"/>
        <w:adjustRightInd w:val="0"/>
        <w:spacing w:before="100" w:beforeAutospacing="1" w:after="0" w:line="360" w:lineRule="auto"/>
        <w:ind w:left="284" w:firstLine="567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„16e. Osoba wobec której kontrola operacyjna była stosowana w celu realizacji zadań określonych w art. 5 ust. 1 pkt 2 lit. a i d, nie jest informowana o fakcie jej zastosowania, także po jej zakończeniu, z zastrzeżeniem przepisów ust. 16f.</w:t>
      </w:r>
    </w:p>
    <w:p w:rsidR="005F21B1" w:rsidRPr="0082440C" w:rsidRDefault="005F21B1" w:rsidP="0082440C">
      <w:pPr>
        <w:widowControl w:val="0"/>
        <w:autoSpaceDE w:val="0"/>
        <w:autoSpaceDN w:val="0"/>
        <w:adjustRightInd w:val="0"/>
        <w:spacing w:before="100" w:beforeAutospacing="1" w:after="0" w:line="360" w:lineRule="auto"/>
        <w:ind w:left="284" w:firstLine="567"/>
        <w:contextualSpacing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16f. Organ zarządzający kontrolę, jeśli ujawnienie informacji o jej stosowaniu mogłoby być przydatne w działaniach prowadzonych w związku z bezpieczeństwem państwa, może wystąpić do sądu okręgowego z wnioskiem o wyrażenie zgody na ujawnienie tej informacji, w sposób zachowujący w tajemnicy organ zarządzający kontrolę.</w:t>
      </w:r>
    </w:p>
    <w:p w:rsidR="005F21B1" w:rsidRPr="0082440C" w:rsidRDefault="005F21B1" w:rsidP="0082440C">
      <w:pPr>
        <w:autoSpaceDE w:val="0"/>
        <w:autoSpaceDN w:val="0"/>
        <w:adjustRightInd w:val="0"/>
        <w:spacing w:before="100" w:beforeAutospacing="1" w:after="0" w:line="360" w:lineRule="auto"/>
        <w:ind w:left="284" w:firstLine="567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16g. Osoba wobec której kontrola operacyjna była stosowana w celu realizacji zadań określonych w art. 5 ust. 1 pkt 2 lit. b, c lub e, jest informowana przez organ zarządzający kontrolę o fakcie jej zastosowania nie później niż 6 miesięcy po jej zakończeniu, z zastrzeżeniem przepisów ust. 16h.</w:t>
      </w:r>
    </w:p>
    <w:p w:rsidR="005F21B1" w:rsidRPr="0082440C" w:rsidRDefault="005F21B1" w:rsidP="0082440C">
      <w:pPr>
        <w:widowControl w:val="0"/>
        <w:autoSpaceDE w:val="0"/>
        <w:autoSpaceDN w:val="0"/>
        <w:adjustRightInd w:val="0"/>
        <w:spacing w:before="100" w:beforeAutospacing="1" w:after="0" w:line="360" w:lineRule="auto"/>
        <w:ind w:left="284" w:firstLine="567"/>
        <w:contextualSpacing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 xml:space="preserve">16h. Organ zarządzający kontrolę, jeśli ujawnienie informacji o jej stosowaniu narażałoby lub mogło narazić ważny interes publiczny, może wystąpić </w:t>
      </w: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lastRenderedPageBreak/>
        <w:t>do sądu okręgowego z wnioskiem o zarządzenie utrzymania tej informacji w tajemnicy na okres nie dłuższy niż 10 lat.”.</w:t>
      </w:r>
    </w:p>
    <w:p w:rsidR="005F21B1" w:rsidRPr="0082440C" w:rsidRDefault="005F21B1" w:rsidP="0082440C">
      <w:pPr>
        <w:suppressAutoHyphens/>
        <w:autoSpaceDE w:val="0"/>
        <w:autoSpaceDN w:val="0"/>
        <w:adjustRightInd w:val="0"/>
        <w:spacing w:before="100" w:beforeAutospacing="1" w:after="0" w:line="360" w:lineRule="auto"/>
        <w:ind w:firstLine="567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bookmarkStart w:id="6" w:name="SKW"/>
      <w:r w:rsidRPr="0082440C">
        <w:rPr>
          <w:rFonts w:ascii="Tahoma" w:eastAsiaTheme="minorEastAsia" w:hAnsi="Tahoma" w:cs="Tahoma"/>
          <w:b/>
          <w:color w:val="000000" w:themeColor="text1"/>
          <w:sz w:val="24"/>
          <w:szCs w:val="24"/>
          <w:lang w:eastAsia="pl-PL"/>
        </w:rPr>
        <w:t>Art. 5.</w:t>
      </w:r>
      <w:bookmarkEnd w:id="6"/>
      <w:r w:rsidRPr="0082440C">
        <w:rPr>
          <w:rFonts w:ascii="Tahoma" w:eastAsiaTheme="minorEastAsia" w:hAnsi="Tahoma" w:cs="Tahoma"/>
          <w:b/>
          <w:color w:val="000000" w:themeColor="text1"/>
          <w:sz w:val="24"/>
          <w:szCs w:val="24"/>
          <w:lang w:eastAsia="pl-PL"/>
        </w:rPr>
        <w:t xml:space="preserve"> </w:t>
      </w: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W ustawie z dnia 9 czerwca 2006 r. o Służbie Kontrwywiadu Wojskowego oraz Służbie Wywiadu Wojskowego (Dz. U. z 2016 r. poz. 1318</w:t>
      </w:r>
      <w:r w:rsidR="0085418A"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 xml:space="preserve"> i </w:t>
      </w:r>
      <w:r w:rsidR="0085418A" w:rsidRPr="0082440C">
        <w:rPr>
          <w:rFonts w:ascii="Tahoma" w:hAnsi="Tahoma" w:cs="Tahoma"/>
          <w:sz w:val="24"/>
          <w:szCs w:val="24"/>
        </w:rPr>
        <w:t>2138</w:t>
      </w: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) w art. 31 dodaje się ust. 15c – 15f w brzmieniu:</w:t>
      </w:r>
    </w:p>
    <w:p w:rsidR="005F21B1" w:rsidRPr="0082440C" w:rsidRDefault="005F21B1" w:rsidP="0082440C">
      <w:pPr>
        <w:widowControl w:val="0"/>
        <w:autoSpaceDE w:val="0"/>
        <w:autoSpaceDN w:val="0"/>
        <w:adjustRightInd w:val="0"/>
        <w:spacing w:before="100" w:beforeAutospacing="1" w:after="0" w:line="360" w:lineRule="auto"/>
        <w:ind w:left="284" w:firstLine="567"/>
        <w:contextualSpacing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 xml:space="preserve">„15c. Osoba wobec której kontrola operacyjna była stosowana w celu realizacji zadań </w:t>
      </w:r>
      <w:r w:rsidR="007F3814"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określonych w art. 5 ust. 1 pkt</w:t>
      </w: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 xml:space="preserve"> 1 lit. a, b oraz f, nie jest informowana o fakcie jej zastosowania, także po jej zakończeniu, z zastrzeżeniem przepisów ust. 15d.</w:t>
      </w:r>
    </w:p>
    <w:p w:rsidR="005F21B1" w:rsidRPr="0082440C" w:rsidRDefault="005F21B1" w:rsidP="0082440C">
      <w:pPr>
        <w:widowControl w:val="0"/>
        <w:autoSpaceDE w:val="0"/>
        <w:autoSpaceDN w:val="0"/>
        <w:adjustRightInd w:val="0"/>
        <w:spacing w:before="100" w:beforeAutospacing="1" w:after="0" w:line="360" w:lineRule="auto"/>
        <w:ind w:left="284" w:firstLine="567"/>
        <w:contextualSpacing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15d. Organ zarządzający kontrolę, jeśli ujawnienie informacji o jej stosowaniu mogłoby być przydatne w działaniach prowadzonych w związku z bezpieczeństwem państwa, może wystąpić do sądu okręgowego z wnioskiem o wyrażenie zgody na ujawnienie tej informacji, w sposób zachowujący w tajemnicy organ zarządzający kontrolę.</w:t>
      </w:r>
    </w:p>
    <w:p w:rsidR="005F21B1" w:rsidRPr="0082440C" w:rsidRDefault="005F21B1" w:rsidP="0082440C">
      <w:pPr>
        <w:autoSpaceDE w:val="0"/>
        <w:autoSpaceDN w:val="0"/>
        <w:adjustRightInd w:val="0"/>
        <w:spacing w:before="100" w:beforeAutospacing="1" w:after="0" w:line="360" w:lineRule="auto"/>
        <w:ind w:left="284" w:firstLine="567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15e. Osoba wobec której kontrola operacyjna była stosowana w celu realizacji zadań określonych w art. 5 ust. 1 pkt 1 lit. c, d, e lub g, jest informowana przez organ zarządzający kontrolę o fakcie jej zastosowania nie później niż 6 miesięcy po jej zakończeniu, z zastrzeżeniem przepisów ust. 15f.</w:t>
      </w:r>
    </w:p>
    <w:p w:rsidR="005F21B1" w:rsidRPr="0082440C" w:rsidRDefault="005F21B1" w:rsidP="0082440C">
      <w:pPr>
        <w:widowControl w:val="0"/>
        <w:autoSpaceDE w:val="0"/>
        <w:autoSpaceDN w:val="0"/>
        <w:adjustRightInd w:val="0"/>
        <w:spacing w:before="100" w:beforeAutospacing="1" w:after="0" w:line="360" w:lineRule="auto"/>
        <w:ind w:left="284" w:firstLine="567"/>
        <w:contextualSpacing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15f. Organ zarządzający kontrolę, jeśli ujawnienie informacji o jej stosowaniu narażałoby lub mogło narazić ważny interes publiczny, może wystąpić do sądu okręgowego z wnioskiem o zarządzenie utrzymania tej informacji w tajemnicy na okres nie dłuższy niż 10 lat.”.</w:t>
      </w:r>
    </w:p>
    <w:p w:rsidR="005F21B1" w:rsidRPr="0082440C" w:rsidRDefault="005F21B1" w:rsidP="0082440C">
      <w:pPr>
        <w:keepNext/>
        <w:suppressAutoHyphens/>
        <w:autoSpaceDE w:val="0"/>
        <w:autoSpaceDN w:val="0"/>
        <w:adjustRightInd w:val="0"/>
        <w:spacing w:before="100" w:beforeAutospacing="1" w:after="0" w:line="360" w:lineRule="auto"/>
        <w:ind w:firstLine="567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bookmarkStart w:id="7" w:name="CBA"/>
      <w:r w:rsidRPr="0082440C">
        <w:rPr>
          <w:rFonts w:ascii="Tahoma" w:eastAsiaTheme="minorEastAsia" w:hAnsi="Tahoma" w:cs="Tahoma"/>
          <w:b/>
          <w:color w:val="000000" w:themeColor="text1"/>
          <w:sz w:val="24"/>
          <w:szCs w:val="24"/>
          <w:lang w:eastAsia="pl-PL"/>
        </w:rPr>
        <w:t>Art. 6.</w:t>
      </w:r>
      <w:bookmarkEnd w:id="7"/>
      <w:r w:rsidRPr="0082440C">
        <w:rPr>
          <w:rFonts w:ascii="Tahoma" w:eastAsiaTheme="minorEastAsia" w:hAnsi="Tahoma" w:cs="Tahoma"/>
          <w:b/>
          <w:color w:val="000000" w:themeColor="text1"/>
          <w:sz w:val="24"/>
          <w:szCs w:val="24"/>
          <w:lang w:eastAsia="pl-PL"/>
        </w:rPr>
        <w:t xml:space="preserve"> </w:t>
      </w: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W ustawie z dnia 9 czerwca 2006 r. o Centralnym Biurze Antykorupcyjnym (Dz. U. z 2016 r. poz. 1310</w:t>
      </w:r>
      <w:r w:rsidR="007F3814"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, 1955 i</w:t>
      </w:r>
      <w:r w:rsidR="00660442"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 xml:space="preserve"> 2255</w:t>
      </w: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 xml:space="preserve">) w art. 17 po ust. 17a dodaje się ust. 17b </w:t>
      </w:r>
      <w:r w:rsid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br/>
      </w: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i 17c w brzmieniu:</w:t>
      </w:r>
    </w:p>
    <w:p w:rsidR="005F21B1" w:rsidRPr="0082440C" w:rsidRDefault="005F21B1" w:rsidP="0082440C">
      <w:pPr>
        <w:keepNext/>
        <w:suppressAutoHyphens/>
        <w:autoSpaceDE w:val="0"/>
        <w:autoSpaceDN w:val="0"/>
        <w:adjustRightInd w:val="0"/>
        <w:spacing w:before="100" w:beforeAutospacing="1" w:after="0" w:line="360" w:lineRule="auto"/>
        <w:ind w:left="284" w:firstLine="567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„17b. Osoba wobec której kontrola operacyjna była stosowana, jest informowana przez organ zarządzający kontrolę o fakcie jej zastosowania nie później niż 6 miesięcy po jej zakończeniu, z zastrzeżeniem przepisów ust. 17c.</w:t>
      </w:r>
    </w:p>
    <w:p w:rsidR="005F21B1" w:rsidRPr="0082440C" w:rsidRDefault="005F21B1" w:rsidP="0082440C">
      <w:pPr>
        <w:widowControl w:val="0"/>
        <w:autoSpaceDE w:val="0"/>
        <w:autoSpaceDN w:val="0"/>
        <w:adjustRightInd w:val="0"/>
        <w:spacing w:before="100" w:beforeAutospacing="1" w:after="0" w:line="360" w:lineRule="auto"/>
        <w:ind w:left="284" w:firstLine="567"/>
        <w:contextualSpacing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17c. Organ zarządzający kontrolę, jeśli ujawnienie informacji o jej stosowaniu narażałoby lub mogło narazić ważny interes publiczny, może wystąpić do sądu okręgowego z wnioskiem o zarządzenie utrzymania tej informacji w tajemnicy na okres nie dłuższy niż 10 lat.”.</w:t>
      </w:r>
    </w:p>
    <w:p w:rsidR="005F21B1" w:rsidRPr="0082440C" w:rsidRDefault="005F21B1" w:rsidP="0082440C">
      <w:pPr>
        <w:autoSpaceDE w:val="0"/>
        <w:autoSpaceDN w:val="0"/>
        <w:adjustRightInd w:val="0"/>
        <w:spacing w:before="100" w:beforeAutospacing="1" w:after="0" w:line="360" w:lineRule="auto"/>
        <w:ind w:firstLine="567"/>
        <w:jc w:val="both"/>
        <w:rPr>
          <w:rFonts w:ascii="Tahoma" w:eastAsia="Times New Roman" w:hAnsi="Tahoma" w:cs="Tahoma"/>
          <w:bCs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b/>
          <w:color w:val="000000" w:themeColor="text1"/>
          <w:sz w:val="24"/>
          <w:szCs w:val="24"/>
          <w:lang w:eastAsia="pl-PL"/>
        </w:rPr>
        <w:t xml:space="preserve">Art. 7. </w:t>
      </w: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 xml:space="preserve">W ustawie </w:t>
      </w:r>
      <w:r w:rsidRPr="0082440C">
        <w:rPr>
          <w:rFonts w:ascii="Tahoma" w:eastAsia="Times New Roman" w:hAnsi="Tahoma" w:cs="Tahoma"/>
          <w:sz w:val="24"/>
          <w:szCs w:val="24"/>
          <w:lang w:eastAsia="pl-PL"/>
        </w:rPr>
        <w:t xml:space="preserve">16 listopada 2016 r. </w:t>
      </w:r>
      <w:r w:rsidRPr="0082440C">
        <w:rPr>
          <w:rFonts w:ascii="Tahoma" w:eastAsia="Times New Roman" w:hAnsi="Tahoma" w:cs="Tahoma"/>
          <w:bCs/>
          <w:sz w:val="24"/>
          <w:szCs w:val="24"/>
          <w:lang w:eastAsia="pl-PL"/>
        </w:rPr>
        <w:t xml:space="preserve">o Krajowej Administracji Skarbowej </w:t>
      </w:r>
      <w:r w:rsidR="0082440C" w:rsidRPr="0082440C">
        <w:rPr>
          <w:rFonts w:ascii="Tahoma" w:eastAsia="Times New Roman" w:hAnsi="Tahoma" w:cs="Tahoma"/>
          <w:bCs/>
          <w:sz w:val="24"/>
          <w:szCs w:val="24"/>
          <w:lang w:eastAsia="pl-PL"/>
        </w:rPr>
        <w:br/>
      </w:r>
      <w:r w:rsidRPr="0082440C">
        <w:rPr>
          <w:rFonts w:ascii="Tahoma" w:eastAsia="Times New Roman" w:hAnsi="Tahoma" w:cs="Tahoma"/>
          <w:bCs/>
          <w:sz w:val="24"/>
          <w:szCs w:val="24"/>
          <w:lang w:eastAsia="pl-PL"/>
        </w:rPr>
        <w:t xml:space="preserve">(Dz. U. z </w:t>
      </w:r>
      <w:r w:rsidRPr="0082440C">
        <w:rPr>
          <w:rFonts w:ascii="Tahoma" w:eastAsiaTheme="minorEastAsia" w:hAnsi="Tahoma" w:cs="Tahoma"/>
          <w:sz w:val="24"/>
          <w:szCs w:val="24"/>
          <w:lang w:eastAsia="pl-PL"/>
        </w:rPr>
        <w:t xml:space="preserve">2016 r. poz. </w:t>
      </w:r>
      <w:r w:rsidRPr="0082440C">
        <w:rPr>
          <w:rFonts w:ascii="Tahoma" w:eastAsia="Times New Roman" w:hAnsi="Tahoma" w:cs="Tahoma"/>
          <w:bCs/>
          <w:sz w:val="24"/>
          <w:szCs w:val="24"/>
          <w:lang w:eastAsia="pl-PL"/>
        </w:rPr>
        <w:t>1947) w art. 119 po u</w:t>
      </w:r>
      <w:r w:rsidR="0082440C" w:rsidRPr="0082440C">
        <w:rPr>
          <w:rFonts w:ascii="Tahoma" w:eastAsia="Times New Roman" w:hAnsi="Tahoma" w:cs="Tahoma"/>
          <w:bCs/>
          <w:sz w:val="24"/>
          <w:szCs w:val="24"/>
          <w:lang w:eastAsia="pl-PL"/>
        </w:rPr>
        <w:t>st. 10 dodaje się ust. 10a i 10</w:t>
      </w:r>
      <w:r w:rsidRPr="0082440C">
        <w:rPr>
          <w:rFonts w:ascii="Tahoma" w:eastAsia="Times New Roman" w:hAnsi="Tahoma" w:cs="Tahoma"/>
          <w:bCs/>
          <w:sz w:val="24"/>
          <w:szCs w:val="24"/>
          <w:lang w:eastAsia="pl-PL"/>
        </w:rPr>
        <w:t>b w brzmieniu:</w:t>
      </w:r>
    </w:p>
    <w:p w:rsidR="005F21B1" w:rsidRPr="0082440C" w:rsidRDefault="005F21B1" w:rsidP="0082440C">
      <w:pPr>
        <w:keepNext/>
        <w:suppressAutoHyphens/>
        <w:autoSpaceDE w:val="0"/>
        <w:autoSpaceDN w:val="0"/>
        <w:adjustRightInd w:val="0"/>
        <w:spacing w:before="100" w:beforeAutospacing="1" w:after="0" w:line="360" w:lineRule="auto"/>
        <w:ind w:left="284" w:firstLine="567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„10a. Osoba wobec której kontrola operacyjna była stosowana, jest informowana przez organ zarządzający kontrolę o fakcie jej zastosowania nie później niż 6 miesięcy po jej zakończeniu,</w:t>
      </w:r>
      <w:r w:rsidR="0082440C"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 xml:space="preserve"> z zastrzeżeniem przepisów ust. </w:t>
      </w: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17c.</w:t>
      </w:r>
    </w:p>
    <w:p w:rsidR="005F21B1" w:rsidRPr="0082440C" w:rsidRDefault="005F21B1" w:rsidP="0082440C">
      <w:pPr>
        <w:widowControl w:val="0"/>
        <w:autoSpaceDE w:val="0"/>
        <w:autoSpaceDN w:val="0"/>
        <w:adjustRightInd w:val="0"/>
        <w:spacing w:before="100" w:beforeAutospacing="1" w:after="0" w:line="360" w:lineRule="auto"/>
        <w:ind w:left="284" w:firstLine="567"/>
        <w:contextualSpacing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10b. Organ zarządzający kontrolę, jeśli ujawnienie informacji o jej stosowaniu narażałoby lub mogło narazić ważny interes publiczny, może wystąpić do sądu okręgowego z wnioskiem o zarządzenie utrzymania tej informacji w tajemnicy na okres nie dłuższy niż 10 lat.”.</w:t>
      </w:r>
    </w:p>
    <w:p w:rsidR="005F21B1" w:rsidRPr="0082440C" w:rsidRDefault="005F21B1" w:rsidP="0082440C">
      <w:pPr>
        <w:suppressAutoHyphens/>
        <w:autoSpaceDE w:val="0"/>
        <w:autoSpaceDN w:val="0"/>
        <w:adjustRightInd w:val="0"/>
        <w:spacing w:before="100" w:beforeAutospacing="1" w:after="0" w:line="360" w:lineRule="auto"/>
        <w:ind w:firstLine="567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b/>
          <w:color w:val="000000" w:themeColor="text1"/>
          <w:sz w:val="24"/>
          <w:szCs w:val="24"/>
          <w:lang w:eastAsia="pl-PL"/>
        </w:rPr>
        <w:t xml:space="preserve">Art. 8. </w:t>
      </w: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 xml:space="preserve">Do kontroli operacyjnej, która była prowadzona przed dniem wejścia </w:t>
      </w:r>
      <w:r w:rsidR="0082440C"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br/>
      </w: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w życie ustawy i nie została zakończona do tego czasu, stosuje się przepisy dotychczasowe.</w:t>
      </w:r>
    </w:p>
    <w:p w:rsidR="005F21B1" w:rsidRPr="0082440C" w:rsidRDefault="005F21B1" w:rsidP="0082440C">
      <w:pPr>
        <w:suppressAutoHyphens/>
        <w:autoSpaceDE w:val="0"/>
        <w:autoSpaceDN w:val="0"/>
        <w:adjustRightInd w:val="0"/>
        <w:spacing w:before="100" w:beforeAutospacing="1" w:after="0" w:line="360" w:lineRule="auto"/>
        <w:ind w:firstLine="567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b/>
          <w:color w:val="000000" w:themeColor="text1"/>
          <w:sz w:val="24"/>
          <w:szCs w:val="24"/>
          <w:lang w:eastAsia="pl-PL"/>
        </w:rPr>
        <w:t xml:space="preserve">Art. 9. </w:t>
      </w: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 xml:space="preserve">Ustawa wchodzi w życie z </w:t>
      </w:r>
      <w:r w:rsidRPr="0082440C">
        <w:rPr>
          <w:rFonts w:ascii="Tahoma" w:eastAsiaTheme="minorEastAsia" w:hAnsi="Tahoma" w:cs="Tahoma"/>
          <w:sz w:val="24"/>
          <w:szCs w:val="24"/>
          <w:lang w:eastAsia="pl-PL"/>
        </w:rPr>
        <w:t xml:space="preserve">dniem 1 czerwca 2017 </w:t>
      </w: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r.</w:t>
      </w: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br w:type="page"/>
      </w:r>
    </w:p>
    <w:p w:rsidR="005F21B1" w:rsidRPr="0082440C" w:rsidRDefault="005F21B1" w:rsidP="0082440C">
      <w:pPr>
        <w:suppressAutoHyphens/>
        <w:autoSpaceDE w:val="0"/>
        <w:autoSpaceDN w:val="0"/>
        <w:adjustRightInd w:val="0"/>
        <w:spacing w:before="100" w:beforeAutospacing="1" w:after="0" w:line="360" w:lineRule="auto"/>
        <w:jc w:val="center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UZASADNIENIE</w:t>
      </w:r>
    </w:p>
    <w:p w:rsidR="005F21B1" w:rsidRPr="0082440C" w:rsidRDefault="005F21B1" w:rsidP="0082440C">
      <w:pPr>
        <w:widowControl w:val="0"/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 xml:space="preserve">Projektowana ustawa o zmianie ustawy o Policji oraz niektórych innych ustaw ma na celu dalsze dostosowanie systemu prawa do wyroku Trybunału Konstytucyjnego z dnia 30 lipca 2014 r. (sygn. akt K 23/11), stwierdzającego niezgodność szeregu przepisów prawa z Konstytucją Rzeczypospolitej Polskiej. Sentencja rozstrzygnięcia została ogłoszona dnia 6 sierpnia 2014 r. w Dz. U. poz. 1055. </w:t>
      </w:r>
    </w:p>
    <w:p w:rsidR="005F21B1" w:rsidRPr="0082440C" w:rsidRDefault="005F21B1" w:rsidP="0082440C">
      <w:pPr>
        <w:widowControl w:val="0"/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 xml:space="preserve">Sejm RP uchwalając 15 stycznia 2016 r. ustawę o zmianie ustawy o Policji oraz niektórych innych ustaw (Dz. U. z 2016 r. poz. 147) deklarował chęć wykonania wskazanego wyżej wyroku, jednak w ocenie wielu środowisk poselski projekt, który stał się podstawą uchwalonego prawa, w wielu punktach nie usuwa wątpliwości Trybunału, co więcej szereg rozwiązań wydaje się nadal być sprzeczna z Konstytucją. </w:t>
      </w:r>
    </w:p>
    <w:p w:rsidR="005F21B1" w:rsidRPr="0082440C" w:rsidRDefault="005F21B1" w:rsidP="0082440C">
      <w:pPr>
        <w:widowControl w:val="0"/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 xml:space="preserve">Zapewne stanie się to przedmiotem kolejnych rozważań Trybunału w ramach kontroli nad stanowionym prawem. </w:t>
      </w:r>
    </w:p>
    <w:p w:rsidR="005F21B1" w:rsidRPr="0082440C" w:rsidRDefault="005F21B1" w:rsidP="0082440C">
      <w:pPr>
        <w:widowControl w:val="0"/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 xml:space="preserve">Z całą pewnością można jednak stwierdzić, że ustawa z 15 stycznia 2016 r. całkowicie pozostawiła na uboczu, sygnalizowany przez TK zresztą także i wcześniej, problem informowania osób będących przedmiotem czynności operacyjno-rozpoznawczych </w:t>
      </w:r>
      <w:r w:rsidR="0082440C"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br/>
      </w: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 xml:space="preserve">o podjęciu przed uprawnione organy takich czynności. </w:t>
      </w:r>
    </w:p>
    <w:p w:rsidR="005F21B1" w:rsidRPr="0082440C" w:rsidRDefault="005F21B1" w:rsidP="0082440C">
      <w:pPr>
        <w:widowControl w:val="0"/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 xml:space="preserve">Wydając 25 stycznia 2006 r. niewykonane do dziś postanowienie sygnalizacyjne sygn. S 2/06, Trybunał zwrócił Sejmowi uwagę na konieczność zagwarantowania ochrony konstytucyjnych praw osób poddanych kontroli operacyjnej. Ma to polegać na wprowadzeniu obowiązku informowania osób, wobec których prowadzono kontrolę operacyjną i zakończono ją, o samym fakcie pozyskania danych. </w:t>
      </w:r>
    </w:p>
    <w:p w:rsidR="005F21B1" w:rsidRPr="0082440C" w:rsidRDefault="005F21B1" w:rsidP="0082440C">
      <w:pPr>
        <w:widowControl w:val="0"/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Gwoli sprawiedliwości – przypomnieć wypada, że procedowany w Sejmie poprzedniej kadencji projekt senacki (druk nr 3765) również zdawał się nie zauważać, iż Trybunał zajął bardzo konkretne stanowisko w tej sprawie.</w:t>
      </w:r>
    </w:p>
    <w:p w:rsidR="005F21B1" w:rsidRPr="0082440C" w:rsidRDefault="005F21B1" w:rsidP="0082440C">
      <w:pPr>
        <w:widowControl w:val="0"/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Wydaje się konieczne podjęcie choćby próby uregulowania tego problemu, biorąc pod uwagę zgłaszane i przez Trybunał wątpliwości związane z immanentną cechą czynności operacyjno-rozpoznawczych jaka jest ich poufność.</w:t>
      </w:r>
    </w:p>
    <w:p w:rsidR="005F21B1" w:rsidRPr="0082440C" w:rsidRDefault="005F21B1" w:rsidP="0082440C">
      <w:pPr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 xml:space="preserve">Jednocześnie warto wspomnieć doświadczenia niemieckie, gdzie po wyroku Europejskiego Trybunału Praw Człowieka w sprawie </w:t>
      </w:r>
      <w:proofErr w:type="spellStart"/>
      <w:r w:rsidRPr="0082440C">
        <w:rPr>
          <w:rFonts w:ascii="Tahoma" w:eastAsiaTheme="minorEastAsia" w:hAnsi="Tahoma" w:cs="Tahoma"/>
          <w:i/>
          <w:color w:val="000000" w:themeColor="text1"/>
          <w:sz w:val="24"/>
          <w:szCs w:val="24"/>
          <w:lang w:eastAsia="pl-PL"/>
        </w:rPr>
        <w:t>Klass</w:t>
      </w:r>
      <w:proofErr w:type="spellEnd"/>
      <w:r w:rsidRPr="0082440C">
        <w:rPr>
          <w:rFonts w:ascii="Tahoma" w:eastAsiaTheme="minorEastAsia" w:hAnsi="Tahoma" w:cs="Tahoma"/>
          <w:i/>
          <w:color w:val="000000" w:themeColor="text1"/>
          <w:sz w:val="24"/>
          <w:szCs w:val="24"/>
          <w:lang w:eastAsia="pl-PL"/>
        </w:rPr>
        <w:t xml:space="preserve"> i Inni przeciwko Niemcom</w:t>
      </w: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 xml:space="preserve"> w 1977 zmieniono ustawodawstwo, wprowadzając obowiązek informowania </w:t>
      </w:r>
      <w:r w:rsidRPr="0082440C">
        <w:rPr>
          <w:rFonts w:ascii="Tahoma" w:eastAsiaTheme="minorEastAsia" w:hAnsi="Tahoma" w:cs="Tahoma"/>
          <w:i/>
          <w:color w:val="000000" w:themeColor="text1"/>
          <w:sz w:val="24"/>
          <w:szCs w:val="24"/>
          <w:lang w:eastAsia="pl-PL"/>
        </w:rPr>
        <w:t xml:space="preserve">ex post </w:t>
      </w: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jednostki o prowadzonym podsłuchu. Skutkiem tych zmian było m.in. stworzenie możliwości znacznie skuteczniejszego infiltrowania działań służb specjalnych Republiki Federalnej Niemiec przez STASI.</w:t>
      </w:r>
    </w:p>
    <w:p w:rsidR="005F21B1" w:rsidRPr="0082440C" w:rsidRDefault="005F21B1" w:rsidP="0082440C">
      <w:pPr>
        <w:widowControl w:val="0"/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 xml:space="preserve">Powiadomienie jednostki na etapie wykonywania działań operacyjno-rozpoznawczych i gromadzenia informacji, co oczywiste, narażałoby je na nieskuteczność. </w:t>
      </w:r>
    </w:p>
    <w:p w:rsidR="005F21B1" w:rsidRPr="0082440C" w:rsidRDefault="005F21B1" w:rsidP="0082440C">
      <w:pPr>
        <w:widowControl w:val="0"/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 xml:space="preserve">Dlatego ustawodawca powinien co do zasady zagwarantować późniejsze poinformowanie o tym fakcie. Obowiązek informacyjny w powyższym zakresie ma eliminować ryzyko niekontrolowanego tworzenia oraz utrzymywania zbiorów danych nieprzydatnych dla postępowań prowadzonych przez organy państwa, lecz potencjalnie wartościowych z punktu widzenia przyszłych, bliżej nieokreślonych czynności. </w:t>
      </w:r>
    </w:p>
    <w:p w:rsidR="005F21B1" w:rsidRPr="0082440C" w:rsidRDefault="005F21B1" w:rsidP="0082440C">
      <w:pPr>
        <w:widowControl w:val="0"/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 xml:space="preserve">Co oczywiste, w pewnych sytuacjach może być również uzasadnione odstąpienie od wspomnianego obowiązku informacyjnego. </w:t>
      </w:r>
    </w:p>
    <w:p w:rsidR="005F21B1" w:rsidRPr="0082440C" w:rsidRDefault="005F21B1" w:rsidP="0082440C">
      <w:pPr>
        <w:widowControl w:val="0"/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 xml:space="preserve">Niejako z definicji obowiązek ten nie może dotyczyć danych pozyskanych przypadkowo, które nigdy nie były poddawane analizie oraz tych dostępnych w publicznych rejestrach. </w:t>
      </w:r>
    </w:p>
    <w:p w:rsidR="005F21B1" w:rsidRPr="0082440C" w:rsidRDefault="005F21B1" w:rsidP="0082440C">
      <w:pPr>
        <w:widowControl w:val="0"/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Niezwykle istotne z punktu widzenia bezpieczeństwa państwa jest odstąpienie od obowiązku informacyjnego w przypadkach działań podejmowanych przede wszystkim przez służby specjalne, oraz inne uprawnione służby w przypadkach niektórych rodzajów przestępstw – choć w tym drugim przypadku decyzja o zachowaniu informacji w tajemnicy przez określony czas powinna należeć do kompetencji właściwego sądu.</w:t>
      </w:r>
    </w:p>
    <w:p w:rsidR="005F21B1" w:rsidRPr="0082440C" w:rsidRDefault="005F21B1" w:rsidP="0082440C">
      <w:pPr>
        <w:widowControl w:val="0"/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Proponowane rozwiązania sprowadzają się do nałożenia na Policję, Straż Graniczną, Żandarmerię Wojskową</w:t>
      </w:r>
      <w:r w:rsidRPr="0082440C">
        <w:rPr>
          <w:rFonts w:ascii="Tahoma" w:eastAsia="Times New Roman" w:hAnsi="Tahoma" w:cs="Tahoma"/>
          <w:color w:val="000000" w:themeColor="text1"/>
          <w:sz w:val="24"/>
          <w:szCs w:val="24"/>
          <w:lang w:eastAsia="pl-PL"/>
        </w:rPr>
        <w:t>,</w:t>
      </w: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 xml:space="preserve"> Centralne Biuro Antykorupcyjne</w:t>
      </w:r>
      <w:r w:rsidRPr="0082440C">
        <w:rPr>
          <w:rFonts w:ascii="Tahoma" w:eastAsia="Times New Roman" w:hAnsi="Tahoma" w:cs="Tahoma"/>
          <w:color w:val="000000" w:themeColor="text1"/>
          <w:sz w:val="24"/>
          <w:szCs w:val="24"/>
          <w:lang w:eastAsia="pl-PL"/>
        </w:rPr>
        <w:t xml:space="preserve"> oraz Krajową Administracje Skarbową</w:t>
      </w: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 xml:space="preserve"> obowiązku informowania osób o prowadzonych wobec nich w przeszłości czynnościach operacyjno-rozpoznawczych, przy jednoczesnym wskazaniu, </w:t>
      </w:r>
      <w:r w:rsidR="0082440C"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br/>
      </w: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że w przypadkach, w których ujawnienie takich informacji może narazić na szwank ważny interes publiczny – w tym przypadku w oczywisty sposób związany z zakresem działania wymienionych służb - tzn. z bezpieczeństwem publicznym, można zachować przez określony czas taką informację w tajemnicy przed osobą wobec której czynności prowadzono.</w:t>
      </w:r>
    </w:p>
    <w:p w:rsidR="005F21B1" w:rsidRPr="0082440C" w:rsidRDefault="005F21B1" w:rsidP="0082440C">
      <w:pPr>
        <w:widowControl w:val="0"/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ahoma" w:eastAsia="Times New Roman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Pojęcie ważnego interesu publicznego, z definicji niedookreślone, choć powszechnie stosowane przez ustawodawcę, każdorazowo będzie przedmiotem rozważań właściwego sądu.</w:t>
      </w:r>
    </w:p>
    <w:p w:rsidR="005F21B1" w:rsidRPr="0082440C" w:rsidRDefault="005F21B1" w:rsidP="0082440C">
      <w:pPr>
        <w:widowControl w:val="0"/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 xml:space="preserve">Odmiennie potraktowano Agencję Bezpieczeństwa Wewnętrznego i Służbę Kontrwywiadu Wojskowego. </w:t>
      </w:r>
    </w:p>
    <w:p w:rsidR="005F21B1" w:rsidRPr="0082440C" w:rsidRDefault="005F21B1" w:rsidP="0082440C">
      <w:pPr>
        <w:widowControl w:val="0"/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 xml:space="preserve">Uznano, że służby odpowiedzialne za bezpieczeństwo państwa przynajmniej częściowo operują w obszarze, w którym każda informacja o ich zainteresowaniu określonymi osobami może mieć katastrofalne skutki. Zatem w przypadku tych dwóch służb zasadą jest zachowanie w tajemnicy wszelkich informacji o czynnościach operacyjno-rozpoznawczych. </w:t>
      </w:r>
    </w:p>
    <w:p w:rsidR="005F21B1" w:rsidRPr="0082440C" w:rsidRDefault="005F21B1" w:rsidP="0082440C">
      <w:pPr>
        <w:widowControl w:val="0"/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 xml:space="preserve">Co więcej dopuszczono możliwość, by w ramach kombinacji operacyjnej możliwe było przekazanie określonym figurantom informacji o zainteresowaniu służb państwowych – jednak bez wskazania, że chodzi o służby specjalne. </w:t>
      </w:r>
    </w:p>
    <w:p w:rsidR="005F21B1" w:rsidRPr="0082440C" w:rsidRDefault="005F21B1" w:rsidP="0082440C">
      <w:pPr>
        <w:widowControl w:val="0"/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 xml:space="preserve">Z drugiej strony w katalogu zadań tych służb znajdują się te, które są praktycznie tożsame z zadaniami innych służb, zatem nie ma podstaw by traktować je odmiennie. </w:t>
      </w:r>
    </w:p>
    <w:p w:rsidR="005F21B1" w:rsidRPr="0082440C" w:rsidRDefault="005F21B1" w:rsidP="0082440C">
      <w:pPr>
        <w:widowControl w:val="0"/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W tej sytuacji podzielono czynności operacyjno-rozpoznawcze na te, które bezwzględnie musza pozostać w tajemnicy i te, które traktowane są analogicznie jak w przypadku pozostałych służb.</w:t>
      </w:r>
    </w:p>
    <w:p w:rsidR="005F21B1" w:rsidRPr="0082440C" w:rsidRDefault="005F21B1" w:rsidP="0082440C">
      <w:pPr>
        <w:suppressAutoHyphens/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Wprowadzenie w życie rozwiązań przewidzianych w projekcie nie będzie miało bezpośredniego wpływu na stosunki społeczne i gospodarcze oraz nie spowoduje skutków finansowych dla budżetu państwa i jednostek samorządu terytorialnego.</w:t>
      </w:r>
    </w:p>
    <w:p w:rsidR="00157D51" w:rsidRPr="0082440C" w:rsidRDefault="005F21B1" w:rsidP="0082440C">
      <w:pPr>
        <w:suppressAutoHyphens/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</w:pPr>
      <w:r w:rsidRPr="0082440C">
        <w:rPr>
          <w:rFonts w:ascii="Tahoma" w:eastAsiaTheme="minorEastAsia" w:hAnsi="Tahoma" w:cs="Tahoma"/>
          <w:color w:val="000000" w:themeColor="text1"/>
          <w:sz w:val="24"/>
          <w:szCs w:val="24"/>
          <w:lang w:eastAsia="pl-PL"/>
        </w:rPr>
        <w:t>Projekt ustawy nie jest objęty prawem Unii Europejskiej.</w:t>
      </w:r>
    </w:p>
    <w:sectPr w:rsidR="00157D51" w:rsidRPr="0082440C" w:rsidSect="008D1D31">
      <w:headerReference w:type="default" r:id="rId6"/>
      <w:footerReference w:type="default" r:id="rId7"/>
      <w:pgSz w:w="11906" w:h="16838"/>
      <w:pgMar w:top="1417" w:right="1417" w:bottom="1417" w:left="1417" w:header="709" w:footer="709" w:gutter="0"/>
      <w:pgNumType w:start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06CC" w:rsidRDefault="009306CC" w:rsidP="005F21B1">
      <w:pPr>
        <w:spacing w:after="0" w:line="240" w:lineRule="auto"/>
      </w:pPr>
      <w:r>
        <w:separator/>
      </w:r>
    </w:p>
  </w:endnote>
  <w:endnote w:type="continuationSeparator" w:id="0">
    <w:p w:rsidR="009306CC" w:rsidRDefault="009306CC" w:rsidP="005F2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1D31" w:rsidRDefault="00F640B2" w:rsidP="00387C0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06CC" w:rsidRDefault="009306CC" w:rsidP="005F21B1">
      <w:pPr>
        <w:spacing w:after="0" w:line="240" w:lineRule="auto"/>
      </w:pPr>
      <w:r>
        <w:separator/>
      </w:r>
    </w:p>
  </w:footnote>
  <w:footnote w:type="continuationSeparator" w:id="0">
    <w:p w:rsidR="009306CC" w:rsidRDefault="009306CC" w:rsidP="005F21B1">
      <w:pPr>
        <w:spacing w:after="0" w:line="240" w:lineRule="auto"/>
      </w:pPr>
      <w:r>
        <w:continuationSeparator/>
      </w:r>
    </w:p>
  </w:footnote>
  <w:footnote w:id="1">
    <w:p w:rsidR="005F21B1" w:rsidRPr="0082440C" w:rsidRDefault="005F21B1" w:rsidP="00007F43">
      <w:pPr>
        <w:spacing w:line="240" w:lineRule="auto"/>
        <w:jc w:val="both"/>
        <w:rPr>
          <w:rFonts w:ascii="Tahoma" w:hAnsi="Tahoma" w:cs="Tahoma"/>
        </w:rPr>
      </w:pPr>
      <w:r w:rsidRPr="00387C0A">
        <w:rPr>
          <w:rStyle w:val="IGindeksgrny"/>
          <w:sz w:val="26"/>
        </w:rPr>
        <w:footnoteRef/>
      </w:r>
      <w:r w:rsidRPr="00387C0A">
        <w:rPr>
          <w:rStyle w:val="IGindeksgrny"/>
          <w:sz w:val="26"/>
        </w:rPr>
        <w:t>)</w:t>
      </w:r>
      <w:r w:rsidRPr="00387C0A">
        <w:rPr>
          <w:sz w:val="26"/>
        </w:rPr>
        <w:t xml:space="preserve"> </w:t>
      </w:r>
      <w:r w:rsidRPr="0082440C">
        <w:rPr>
          <w:rFonts w:ascii="Tahoma" w:hAnsi="Tahoma" w:cs="Tahoma"/>
        </w:rPr>
        <w:t xml:space="preserve">Niniejszą ustawą zmienia się ustawy: ustawę z dnia 6 kwietnia 1990 r. o Policji, ustawę </w:t>
      </w:r>
      <w:r w:rsidR="0082440C">
        <w:rPr>
          <w:rFonts w:ascii="Tahoma" w:hAnsi="Tahoma" w:cs="Tahoma"/>
        </w:rPr>
        <w:br/>
      </w:r>
      <w:r w:rsidRPr="0082440C">
        <w:rPr>
          <w:rFonts w:ascii="Tahoma" w:hAnsi="Tahoma" w:cs="Tahoma"/>
        </w:rPr>
        <w:t xml:space="preserve">z dnia 12 października 1990 r. o Straży Granicznej, ustawę z dnia 24 sierpnia 2001 r. </w:t>
      </w:r>
      <w:r w:rsidR="0082440C">
        <w:rPr>
          <w:rFonts w:ascii="Tahoma" w:hAnsi="Tahoma" w:cs="Tahoma"/>
        </w:rPr>
        <w:br/>
      </w:r>
      <w:r w:rsidRPr="0082440C">
        <w:rPr>
          <w:rFonts w:ascii="Tahoma" w:hAnsi="Tahoma" w:cs="Tahoma"/>
        </w:rPr>
        <w:t xml:space="preserve">o Żandarmerii Wojskowej i wojskowych organach porządkowych, ustawę z dnia 24 maja </w:t>
      </w:r>
      <w:r w:rsidR="0082440C">
        <w:rPr>
          <w:rFonts w:ascii="Tahoma" w:hAnsi="Tahoma" w:cs="Tahoma"/>
        </w:rPr>
        <w:br/>
      </w:r>
      <w:r w:rsidRPr="0082440C">
        <w:rPr>
          <w:rFonts w:ascii="Tahoma" w:hAnsi="Tahoma" w:cs="Tahoma"/>
        </w:rPr>
        <w:t xml:space="preserve">2002 r. o Agencji Bezpieczeństwa Wewnętrznego oraz Agencji Wywiadu, ustawę z dnia </w:t>
      </w:r>
      <w:r w:rsidR="0082440C">
        <w:rPr>
          <w:rFonts w:ascii="Tahoma" w:hAnsi="Tahoma" w:cs="Tahoma"/>
        </w:rPr>
        <w:br/>
      </w:r>
      <w:r w:rsidRPr="0082440C">
        <w:rPr>
          <w:rFonts w:ascii="Tahoma" w:hAnsi="Tahoma" w:cs="Tahoma"/>
        </w:rPr>
        <w:t xml:space="preserve">9 czerwca 2006 r. o Służbie Kontrwywiadu Wojskowego oraz Służbie Wywiadu Wojskowego, ustawę z dnia 9 czerwca 2006 r. o Centralnym Biurze Antykorupcyjnym oraz ustawę z dnia </w:t>
      </w:r>
      <w:r w:rsidR="0082440C">
        <w:rPr>
          <w:rFonts w:ascii="Tahoma" w:hAnsi="Tahoma" w:cs="Tahoma"/>
        </w:rPr>
        <w:br/>
      </w:r>
      <w:r w:rsidRPr="0082440C">
        <w:rPr>
          <w:rFonts w:ascii="Tahoma" w:eastAsia="Times New Roman" w:hAnsi="Tahoma" w:cs="Tahoma"/>
        </w:rPr>
        <w:t xml:space="preserve">16 listopada 2016 r. </w:t>
      </w:r>
      <w:r w:rsidRPr="0082440C">
        <w:rPr>
          <w:rFonts w:ascii="Tahoma" w:eastAsia="Times New Roman" w:hAnsi="Tahoma" w:cs="Tahoma"/>
          <w:bCs/>
        </w:rPr>
        <w:t>o Krajowej Administracji Skarbowej</w:t>
      </w:r>
      <w:r w:rsidRPr="0082440C">
        <w:rPr>
          <w:rFonts w:ascii="Tahoma" w:hAnsi="Tahoma" w:cs="Tahoma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9712473"/>
      <w:docPartObj>
        <w:docPartGallery w:val="Page Numbers (Top of Page)"/>
        <w:docPartUnique/>
      </w:docPartObj>
    </w:sdtPr>
    <w:sdtEndPr>
      <w:rPr>
        <w:noProof/>
      </w:rPr>
    </w:sdtEndPr>
    <w:sdtContent>
      <w:p w:rsidR="0088350F" w:rsidRDefault="009306CC">
        <w:pPr>
          <w:pStyle w:val="Nagwek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40B2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88350F" w:rsidRPr="0088350F" w:rsidRDefault="00F640B2" w:rsidP="00387C0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1B1"/>
    <w:rsid w:val="00007F43"/>
    <w:rsid w:val="00022F33"/>
    <w:rsid w:val="00157D51"/>
    <w:rsid w:val="00282920"/>
    <w:rsid w:val="00380BB1"/>
    <w:rsid w:val="00387C0A"/>
    <w:rsid w:val="004D3DD9"/>
    <w:rsid w:val="005F21B1"/>
    <w:rsid w:val="00660442"/>
    <w:rsid w:val="007F3814"/>
    <w:rsid w:val="0082440C"/>
    <w:rsid w:val="0085418A"/>
    <w:rsid w:val="008645DB"/>
    <w:rsid w:val="009306CC"/>
    <w:rsid w:val="00C433DF"/>
    <w:rsid w:val="00F640B2"/>
    <w:rsid w:val="00F94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7208B0-05A2-4E18-9163-C50993057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5F21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F21B1"/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5F21B1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1"/>
    <w:locked/>
    <w:rsid w:val="005F21B1"/>
    <w:rPr>
      <w:rFonts w:ascii="Times" w:eastAsiaTheme="minorEastAsia" w:hAnsi="Times" w:cs="Arial"/>
      <w:sz w:val="24"/>
      <w:szCs w:val="20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5F21B1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5F21B1"/>
    <w:rPr>
      <w:b/>
    </w:rPr>
  </w:style>
  <w:style w:type="paragraph" w:styleId="Akapitzlist">
    <w:name w:val="List Paragraph"/>
    <w:basedOn w:val="Normalny"/>
    <w:uiPriority w:val="34"/>
    <w:qFormat/>
    <w:rsid w:val="005F21B1"/>
    <w:pPr>
      <w:widowControl w:val="0"/>
      <w:autoSpaceDE w:val="0"/>
      <w:autoSpaceDN w:val="0"/>
      <w:adjustRightInd w:val="0"/>
      <w:spacing w:after="0" w:line="360" w:lineRule="auto"/>
      <w:ind w:left="720"/>
      <w:contextualSpacing/>
      <w:jc w:val="both"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customStyle="1" w:styleId="ODNONIKtreodnonika">
    <w:name w:val="ODNOŚNIK – treść odnośnika"/>
    <w:basedOn w:val="Tekstprzypisudolnego"/>
    <w:uiPriority w:val="19"/>
    <w:qFormat/>
    <w:rsid w:val="005F21B1"/>
    <w:pPr>
      <w:autoSpaceDE w:val="0"/>
      <w:autoSpaceDN w:val="0"/>
      <w:adjustRightInd w:val="0"/>
      <w:spacing w:line="360" w:lineRule="auto"/>
      <w:ind w:left="284" w:hanging="284"/>
      <w:jc w:val="both"/>
    </w:pPr>
    <w:rPr>
      <w:rFonts w:ascii="Times New Roman" w:eastAsiaTheme="minorEastAsia" w:hAnsi="Times New Roman" w:cs="Arial"/>
      <w:sz w:val="24"/>
      <w:lang w:eastAsia="pl-PL"/>
    </w:rPr>
  </w:style>
  <w:style w:type="character" w:styleId="Odwoanieprzypisudolnego">
    <w:name w:val="footnote reference"/>
    <w:uiPriority w:val="99"/>
    <w:semiHidden/>
    <w:unhideWhenUsed/>
    <w:rsid w:val="005F21B1"/>
    <w:rPr>
      <w:rFonts w:ascii="Times New Roman" w:hAnsi="Times New Roman" w:cs="Times New Roman" w:hint="default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21B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Segoe UI" w:eastAsiaTheme="minorEastAsia" w:hAnsi="Segoe UI" w:cs="Segoe UI"/>
      <w:sz w:val="18"/>
      <w:szCs w:val="18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21B1"/>
    <w:rPr>
      <w:rFonts w:ascii="Segoe UI" w:eastAsiaTheme="minorEastAsia" w:hAnsi="Segoe UI" w:cs="Segoe UI"/>
      <w:sz w:val="18"/>
      <w:szCs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F21B1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5F21B1"/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21B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21B1"/>
    <w:rPr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4D3D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1712</Words>
  <Characters>10278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A. Genert</dc:creator>
  <cp:lastModifiedBy>Grażyna D. Grabowska</cp:lastModifiedBy>
  <cp:revision>2</cp:revision>
  <cp:lastPrinted>2017-02-21T15:19:00Z</cp:lastPrinted>
  <dcterms:created xsi:type="dcterms:W3CDTF">2017-03-10T13:04:00Z</dcterms:created>
  <dcterms:modified xsi:type="dcterms:W3CDTF">2017-03-10T13:04:00Z</dcterms:modified>
</cp:coreProperties>
</file>