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FE5" w:rsidRDefault="00E91209" w:rsidP="00C874E4">
      <w:pPr>
        <w:jc w:val="center"/>
        <w:rPr>
          <w:rFonts w:ascii="Times New Roman" w:hAnsi="Times New Roman"/>
          <w:spacing w:val="20"/>
          <w:sz w:val="24"/>
          <w:szCs w:val="24"/>
        </w:rPr>
      </w:pPr>
      <w:bookmarkStart w:id="0" w:name="_GoBack"/>
      <w:bookmarkEnd w:id="0"/>
      <w:r w:rsidRPr="00E91209">
        <w:rPr>
          <w:rFonts w:ascii="Times New Roman" w:hAnsi="Times New Roman"/>
          <w:spacing w:val="20"/>
          <w:sz w:val="24"/>
          <w:szCs w:val="24"/>
        </w:rPr>
        <w:t>UZASADNIENIE</w:t>
      </w:r>
    </w:p>
    <w:p w:rsidR="00091101" w:rsidRDefault="00091101" w:rsidP="00C874E4">
      <w:pPr>
        <w:jc w:val="center"/>
        <w:rPr>
          <w:rFonts w:ascii="Times New Roman" w:hAnsi="Times New Roman"/>
          <w:spacing w:val="20"/>
          <w:sz w:val="24"/>
          <w:szCs w:val="24"/>
        </w:rPr>
      </w:pPr>
    </w:p>
    <w:p w:rsidR="002C1FE5" w:rsidRPr="00E91209" w:rsidRDefault="002C1FE5" w:rsidP="00091101">
      <w:pPr>
        <w:spacing w:after="0" w:line="360" w:lineRule="auto"/>
        <w:jc w:val="both"/>
        <w:rPr>
          <w:rFonts w:ascii="Times New Roman" w:hAnsi="Times New Roman"/>
          <w:sz w:val="24"/>
          <w:szCs w:val="24"/>
        </w:rPr>
      </w:pPr>
      <w:r w:rsidRPr="00E91209">
        <w:rPr>
          <w:rFonts w:ascii="Times New Roman" w:hAnsi="Times New Roman"/>
          <w:sz w:val="24"/>
          <w:szCs w:val="24"/>
        </w:rPr>
        <w:t>Projektowana ustawa jest nowelizacją ustawy z dnia 23 lipca 2003 r. o ochronie zabytków i opiece nad zabytkami (Dz.</w:t>
      </w:r>
      <w:r w:rsidR="00E91209">
        <w:rPr>
          <w:rFonts w:ascii="Times New Roman" w:hAnsi="Times New Roman"/>
          <w:sz w:val="24"/>
          <w:szCs w:val="24"/>
        </w:rPr>
        <w:t xml:space="preserve"> </w:t>
      </w:r>
      <w:r w:rsidRPr="00E91209">
        <w:rPr>
          <w:rFonts w:ascii="Times New Roman" w:hAnsi="Times New Roman"/>
          <w:sz w:val="24"/>
          <w:szCs w:val="24"/>
        </w:rPr>
        <w:t>U. z 2014 r. poz. 1446, z późn. zm.), zwanej dalej „ustawą o</w:t>
      </w:r>
      <w:r w:rsidR="00E91209">
        <w:rPr>
          <w:rFonts w:ascii="Times New Roman" w:hAnsi="Times New Roman"/>
          <w:sz w:val="24"/>
          <w:szCs w:val="24"/>
        </w:rPr>
        <w:t xml:space="preserve"> </w:t>
      </w:r>
      <w:r w:rsidRPr="00E91209">
        <w:rPr>
          <w:rFonts w:ascii="Times New Roman" w:hAnsi="Times New Roman"/>
          <w:sz w:val="24"/>
          <w:szCs w:val="24"/>
        </w:rPr>
        <w:t xml:space="preserve">ochronie zabytków”, ustawy z dnia 17 maja 1989 r. </w:t>
      </w:r>
      <w:r w:rsidR="00A53EEC">
        <w:rPr>
          <w:rFonts w:ascii="Times New Roman" w:hAnsi="Times New Roman"/>
          <w:sz w:val="24"/>
          <w:szCs w:val="24"/>
        </w:rPr>
        <w:t>–</w:t>
      </w:r>
      <w:r w:rsidR="00043AD1" w:rsidRPr="00E91209">
        <w:rPr>
          <w:rFonts w:ascii="Times New Roman" w:hAnsi="Times New Roman"/>
          <w:sz w:val="24"/>
          <w:szCs w:val="24"/>
        </w:rPr>
        <w:t xml:space="preserve"> </w:t>
      </w:r>
      <w:r w:rsidRPr="00E91209">
        <w:rPr>
          <w:rFonts w:ascii="Times New Roman" w:hAnsi="Times New Roman"/>
          <w:bCs/>
          <w:sz w:val="24"/>
          <w:szCs w:val="24"/>
        </w:rPr>
        <w:t>Prawo geodezyjne i</w:t>
      </w:r>
      <w:r w:rsidR="00E91209">
        <w:rPr>
          <w:rFonts w:ascii="Times New Roman" w:hAnsi="Times New Roman"/>
          <w:bCs/>
          <w:sz w:val="24"/>
          <w:szCs w:val="24"/>
        </w:rPr>
        <w:t xml:space="preserve"> </w:t>
      </w:r>
      <w:r w:rsidRPr="00E91209">
        <w:rPr>
          <w:rFonts w:ascii="Times New Roman" w:hAnsi="Times New Roman"/>
          <w:bCs/>
          <w:sz w:val="24"/>
          <w:szCs w:val="24"/>
        </w:rPr>
        <w:t>kartograficzne</w:t>
      </w:r>
      <w:r w:rsidRPr="00E91209">
        <w:rPr>
          <w:rFonts w:ascii="Times New Roman" w:hAnsi="Times New Roman"/>
          <w:sz w:val="24"/>
          <w:szCs w:val="24"/>
        </w:rPr>
        <w:t xml:space="preserve"> (Dz. U. z </w:t>
      </w:r>
      <w:r w:rsidRPr="00E91209">
        <w:rPr>
          <w:rFonts w:ascii="Times New Roman" w:hAnsi="Times New Roman"/>
          <w:bCs/>
          <w:sz w:val="24"/>
          <w:szCs w:val="24"/>
        </w:rPr>
        <w:t>2016</w:t>
      </w:r>
      <w:r w:rsidR="007C350E" w:rsidRPr="00E91209">
        <w:rPr>
          <w:rFonts w:ascii="Times New Roman" w:hAnsi="Times New Roman"/>
          <w:bCs/>
          <w:sz w:val="24"/>
          <w:szCs w:val="24"/>
        </w:rPr>
        <w:t xml:space="preserve"> r.</w:t>
      </w:r>
      <w:r w:rsidRPr="00E91209">
        <w:rPr>
          <w:rFonts w:ascii="Times New Roman" w:hAnsi="Times New Roman"/>
          <w:bCs/>
          <w:sz w:val="24"/>
          <w:szCs w:val="24"/>
        </w:rPr>
        <w:t xml:space="preserve"> poz.</w:t>
      </w:r>
      <w:r w:rsidR="00043AD1" w:rsidRPr="00E91209">
        <w:rPr>
          <w:rFonts w:ascii="Times New Roman" w:hAnsi="Times New Roman"/>
          <w:bCs/>
          <w:sz w:val="24"/>
          <w:szCs w:val="24"/>
        </w:rPr>
        <w:t xml:space="preserve"> </w:t>
      </w:r>
      <w:r w:rsidRPr="00E91209">
        <w:rPr>
          <w:rFonts w:ascii="Times New Roman" w:hAnsi="Times New Roman"/>
          <w:bCs/>
          <w:sz w:val="24"/>
          <w:szCs w:val="24"/>
        </w:rPr>
        <w:t>1629</w:t>
      </w:r>
      <w:r w:rsidR="002710E9" w:rsidRPr="00E91209">
        <w:rPr>
          <w:rFonts w:ascii="Times New Roman" w:hAnsi="Times New Roman"/>
          <w:bCs/>
          <w:sz w:val="24"/>
          <w:szCs w:val="24"/>
        </w:rPr>
        <w:t>, z późn. zm.</w:t>
      </w:r>
      <w:r w:rsidRPr="00E91209">
        <w:rPr>
          <w:rFonts w:ascii="Times New Roman" w:hAnsi="Times New Roman"/>
          <w:bCs/>
          <w:sz w:val="24"/>
          <w:szCs w:val="24"/>
        </w:rPr>
        <w:t>)</w:t>
      </w:r>
      <w:r w:rsidR="000E3472">
        <w:rPr>
          <w:rFonts w:ascii="Times New Roman" w:hAnsi="Times New Roman"/>
          <w:bCs/>
          <w:sz w:val="24"/>
          <w:szCs w:val="24"/>
        </w:rPr>
        <w:t xml:space="preserve">, </w:t>
      </w:r>
      <w:r w:rsidRPr="00E91209">
        <w:rPr>
          <w:rFonts w:ascii="Times New Roman" w:hAnsi="Times New Roman"/>
          <w:sz w:val="24"/>
          <w:szCs w:val="24"/>
        </w:rPr>
        <w:t xml:space="preserve">ustawy z dnia </w:t>
      </w:r>
      <w:r w:rsidRPr="00E91209">
        <w:rPr>
          <w:rFonts w:ascii="Times New Roman" w:hAnsi="Times New Roman"/>
          <w:bCs/>
          <w:sz w:val="24"/>
          <w:szCs w:val="24"/>
        </w:rPr>
        <w:t>21 sierpnia 1997 r. o</w:t>
      </w:r>
      <w:r w:rsidR="00E91209">
        <w:rPr>
          <w:rFonts w:ascii="Times New Roman" w:hAnsi="Times New Roman"/>
          <w:bCs/>
          <w:sz w:val="24"/>
          <w:szCs w:val="24"/>
        </w:rPr>
        <w:t xml:space="preserve"> </w:t>
      </w:r>
      <w:r w:rsidRPr="00E91209">
        <w:rPr>
          <w:rFonts w:ascii="Times New Roman" w:hAnsi="Times New Roman"/>
          <w:bCs/>
          <w:sz w:val="24"/>
          <w:szCs w:val="24"/>
        </w:rPr>
        <w:t>gospodarce nieruchomościami (Dz. U. z 201</w:t>
      </w:r>
      <w:r w:rsidR="002710E9" w:rsidRPr="00E91209">
        <w:rPr>
          <w:rFonts w:ascii="Times New Roman" w:hAnsi="Times New Roman"/>
          <w:bCs/>
          <w:sz w:val="24"/>
          <w:szCs w:val="24"/>
        </w:rPr>
        <w:t>6</w:t>
      </w:r>
      <w:r w:rsidRPr="00E91209">
        <w:rPr>
          <w:rFonts w:ascii="Times New Roman" w:hAnsi="Times New Roman"/>
          <w:bCs/>
          <w:sz w:val="24"/>
          <w:szCs w:val="24"/>
        </w:rPr>
        <w:t xml:space="preserve"> r. poz.</w:t>
      </w:r>
      <w:r w:rsidR="002710E9" w:rsidRPr="00E91209">
        <w:rPr>
          <w:rFonts w:ascii="Times New Roman" w:hAnsi="Times New Roman"/>
          <w:bCs/>
          <w:sz w:val="24"/>
          <w:szCs w:val="24"/>
        </w:rPr>
        <w:t xml:space="preserve"> 2147 i 226</w:t>
      </w:r>
      <w:r w:rsidR="007650F1" w:rsidRPr="00E91209">
        <w:rPr>
          <w:rFonts w:ascii="Times New Roman" w:hAnsi="Times New Roman"/>
          <w:bCs/>
          <w:sz w:val="24"/>
          <w:szCs w:val="24"/>
        </w:rPr>
        <w:t>0</w:t>
      </w:r>
      <w:r w:rsidRPr="00EA72A3">
        <w:rPr>
          <w:rFonts w:ascii="Times New Roman" w:hAnsi="Times New Roman"/>
          <w:bCs/>
          <w:sz w:val="24"/>
          <w:szCs w:val="24"/>
        </w:rPr>
        <w:t>)</w:t>
      </w:r>
      <w:r w:rsidR="000E3472">
        <w:rPr>
          <w:rFonts w:ascii="Times New Roman" w:hAnsi="Times New Roman"/>
          <w:bCs/>
          <w:sz w:val="24"/>
          <w:szCs w:val="24"/>
        </w:rPr>
        <w:t xml:space="preserve"> oraz </w:t>
      </w:r>
      <w:r w:rsidR="000E3472" w:rsidRPr="00E91209">
        <w:rPr>
          <w:rFonts w:ascii="Times New Roman" w:hAnsi="Times New Roman"/>
          <w:bCs/>
          <w:sz w:val="24"/>
          <w:szCs w:val="24"/>
        </w:rPr>
        <w:t>ustawy z dnia 16 kwietnia 2004 r. o</w:t>
      </w:r>
      <w:r w:rsidR="00091101">
        <w:rPr>
          <w:rFonts w:ascii="Times New Roman" w:hAnsi="Times New Roman"/>
          <w:bCs/>
          <w:sz w:val="24"/>
          <w:szCs w:val="24"/>
        </w:rPr>
        <w:t xml:space="preserve"> </w:t>
      </w:r>
      <w:r w:rsidR="000E3472" w:rsidRPr="00E91209">
        <w:rPr>
          <w:rFonts w:ascii="Times New Roman" w:hAnsi="Times New Roman"/>
          <w:bCs/>
          <w:sz w:val="24"/>
          <w:szCs w:val="24"/>
        </w:rPr>
        <w:t>ochronie przyrody</w:t>
      </w:r>
      <w:r w:rsidR="000E3472">
        <w:rPr>
          <w:rFonts w:ascii="Times New Roman" w:hAnsi="Times New Roman"/>
          <w:bCs/>
          <w:sz w:val="24"/>
          <w:szCs w:val="24"/>
        </w:rPr>
        <w:t xml:space="preserve"> (Dz. U. z 2016 r. poz. 2134, z</w:t>
      </w:r>
      <w:r w:rsidR="00091101">
        <w:rPr>
          <w:rFonts w:ascii="Times New Roman" w:hAnsi="Times New Roman"/>
          <w:bCs/>
          <w:sz w:val="24"/>
          <w:szCs w:val="24"/>
        </w:rPr>
        <w:t> poźn. </w:t>
      </w:r>
      <w:r w:rsidR="000E3472">
        <w:rPr>
          <w:rFonts w:ascii="Times New Roman" w:hAnsi="Times New Roman"/>
          <w:bCs/>
          <w:sz w:val="24"/>
          <w:szCs w:val="24"/>
        </w:rPr>
        <w:t>zm.)</w:t>
      </w:r>
      <w:r w:rsidR="00091101">
        <w:rPr>
          <w:rFonts w:ascii="Times New Roman" w:hAnsi="Times New Roman"/>
          <w:bCs/>
          <w:sz w:val="24"/>
          <w:szCs w:val="24"/>
        </w:rPr>
        <w:t>.</w:t>
      </w:r>
      <w:r w:rsidR="000E3472">
        <w:rPr>
          <w:rFonts w:ascii="Times New Roman" w:hAnsi="Times New Roman"/>
          <w:bCs/>
          <w:sz w:val="24"/>
          <w:szCs w:val="24"/>
        </w:rPr>
        <w:t xml:space="preserve"> </w:t>
      </w:r>
      <w:r w:rsidRPr="00EA72A3">
        <w:rPr>
          <w:rFonts w:ascii="Times New Roman" w:hAnsi="Times New Roman"/>
          <w:sz w:val="24"/>
          <w:szCs w:val="24"/>
        </w:rPr>
        <w:t>Celem regulacji jest zopty</w:t>
      </w:r>
      <w:r w:rsidRPr="00E91209">
        <w:rPr>
          <w:rFonts w:ascii="Times New Roman" w:hAnsi="Times New Roman"/>
          <w:sz w:val="24"/>
          <w:szCs w:val="24"/>
        </w:rPr>
        <w:t xml:space="preserve">malizowanie instytucjonalnych podstaw realizacji polityki </w:t>
      </w:r>
      <w:r w:rsidR="00EA72A3">
        <w:rPr>
          <w:rFonts w:ascii="Times New Roman" w:hAnsi="Times New Roman"/>
          <w:sz w:val="24"/>
          <w:szCs w:val="24"/>
        </w:rPr>
        <w:t>p</w:t>
      </w:r>
      <w:r w:rsidRPr="00E91209">
        <w:rPr>
          <w:rFonts w:ascii="Times New Roman" w:hAnsi="Times New Roman"/>
          <w:sz w:val="24"/>
          <w:szCs w:val="24"/>
        </w:rPr>
        <w:t>aństwa w obszarze ochrony zabytków określonej w Krajowym Programie Ochrony Zabytków i</w:t>
      </w:r>
      <w:r w:rsidR="00E91209">
        <w:rPr>
          <w:rFonts w:ascii="Times New Roman" w:hAnsi="Times New Roman"/>
          <w:sz w:val="24"/>
          <w:szCs w:val="24"/>
        </w:rPr>
        <w:t> </w:t>
      </w:r>
      <w:r w:rsidRPr="00E91209">
        <w:rPr>
          <w:rFonts w:ascii="Times New Roman" w:hAnsi="Times New Roman"/>
          <w:sz w:val="24"/>
          <w:szCs w:val="24"/>
        </w:rPr>
        <w:t>Opieki nad Zabytkami (KPOZiOZ) przyjętym uchwałą nr 125/2014 Rady Ministrów z</w:t>
      </w:r>
      <w:r w:rsidR="00E91209">
        <w:rPr>
          <w:rFonts w:ascii="Times New Roman" w:hAnsi="Times New Roman"/>
          <w:sz w:val="24"/>
          <w:szCs w:val="24"/>
        </w:rPr>
        <w:t> </w:t>
      </w:r>
      <w:r w:rsidRPr="00E91209">
        <w:rPr>
          <w:rFonts w:ascii="Times New Roman" w:hAnsi="Times New Roman"/>
          <w:sz w:val="24"/>
          <w:szCs w:val="24"/>
        </w:rPr>
        <w:t>dnia 24 czerwca 2014 r. w</w:t>
      </w:r>
      <w:r w:rsidR="00E91209">
        <w:rPr>
          <w:rFonts w:ascii="Times New Roman" w:hAnsi="Times New Roman"/>
          <w:sz w:val="24"/>
          <w:szCs w:val="24"/>
        </w:rPr>
        <w:t xml:space="preserve"> </w:t>
      </w:r>
      <w:r w:rsidRPr="00E91209">
        <w:rPr>
          <w:rFonts w:ascii="Times New Roman" w:hAnsi="Times New Roman"/>
          <w:sz w:val="24"/>
          <w:szCs w:val="24"/>
        </w:rPr>
        <w:t>sprawie „Krajowego programu ochrony zabytków i</w:t>
      </w:r>
      <w:r w:rsidR="00E91209">
        <w:rPr>
          <w:rFonts w:ascii="Times New Roman" w:hAnsi="Times New Roman"/>
          <w:sz w:val="24"/>
          <w:szCs w:val="24"/>
        </w:rPr>
        <w:t xml:space="preserve"> </w:t>
      </w:r>
      <w:r w:rsidRPr="00E91209">
        <w:rPr>
          <w:rFonts w:ascii="Times New Roman" w:hAnsi="Times New Roman"/>
          <w:sz w:val="24"/>
          <w:szCs w:val="24"/>
        </w:rPr>
        <w:t>opieki nad zabytkami” przez zwiększenie kompetencji Generalnego Konserwatora Zabytków w zakresie kształtowania obsady personalnej terenowych organów ochrony zabytków oraz</w:t>
      </w:r>
      <w:r w:rsidR="007A1CB2">
        <w:rPr>
          <w:rFonts w:ascii="Times New Roman" w:hAnsi="Times New Roman"/>
          <w:sz w:val="24"/>
          <w:szCs w:val="24"/>
        </w:rPr>
        <w:t xml:space="preserve"> rozszerzenie środków nadzoru i </w:t>
      </w:r>
      <w:r w:rsidRPr="00E91209">
        <w:rPr>
          <w:rFonts w:ascii="Times New Roman" w:hAnsi="Times New Roman"/>
          <w:sz w:val="24"/>
          <w:szCs w:val="24"/>
        </w:rPr>
        <w:t>koordynacji przysługujących naczelnemu organowi ochrony zabytków w stosunku do organów, dla których jest organem nadrzędnym. Zapewni to jednolite wykonywanie polityki administracyjnej określonej w</w:t>
      </w:r>
      <w:r w:rsidR="00E91209">
        <w:rPr>
          <w:rFonts w:ascii="Times New Roman" w:hAnsi="Times New Roman"/>
          <w:sz w:val="24"/>
          <w:szCs w:val="24"/>
        </w:rPr>
        <w:t> </w:t>
      </w:r>
      <w:r w:rsidRPr="00E91209">
        <w:rPr>
          <w:rFonts w:ascii="Times New Roman" w:hAnsi="Times New Roman"/>
          <w:sz w:val="24"/>
          <w:szCs w:val="24"/>
        </w:rPr>
        <w:t>KPOZiOZ oraz zbieżność rozstrzygnięć organów. Minister właściwy do spraw kultury i oc</w:t>
      </w:r>
      <w:r w:rsidR="007A1CB2">
        <w:rPr>
          <w:rFonts w:ascii="Times New Roman" w:hAnsi="Times New Roman"/>
          <w:sz w:val="24"/>
          <w:szCs w:val="24"/>
        </w:rPr>
        <w:t>hrony dziedzictwa narodowego, w </w:t>
      </w:r>
      <w:r w:rsidRPr="00E91209">
        <w:rPr>
          <w:rFonts w:ascii="Times New Roman" w:hAnsi="Times New Roman"/>
          <w:sz w:val="24"/>
          <w:szCs w:val="24"/>
        </w:rPr>
        <w:t>imieniu którego zadania i</w:t>
      </w:r>
      <w:r w:rsidR="00E91209">
        <w:rPr>
          <w:rFonts w:ascii="Times New Roman" w:hAnsi="Times New Roman"/>
          <w:sz w:val="24"/>
          <w:szCs w:val="24"/>
        </w:rPr>
        <w:t xml:space="preserve"> </w:t>
      </w:r>
      <w:r w:rsidRPr="00E91209">
        <w:rPr>
          <w:rFonts w:ascii="Times New Roman" w:hAnsi="Times New Roman"/>
          <w:sz w:val="24"/>
          <w:szCs w:val="24"/>
        </w:rPr>
        <w:t>kompetencje wykonuje Generalny Konserwator Zabytków</w:t>
      </w:r>
      <w:r w:rsidR="00EA72A3">
        <w:rPr>
          <w:rFonts w:ascii="Times New Roman" w:hAnsi="Times New Roman"/>
          <w:sz w:val="24"/>
          <w:szCs w:val="24"/>
        </w:rPr>
        <w:t>,</w:t>
      </w:r>
      <w:r w:rsidRPr="00E91209">
        <w:rPr>
          <w:rFonts w:ascii="Times New Roman" w:hAnsi="Times New Roman"/>
          <w:sz w:val="24"/>
          <w:szCs w:val="24"/>
        </w:rPr>
        <w:t xml:space="preserve"> ponosi indywidulaną odpowiedzialność polityczną przed Sejmem za</w:t>
      </w:r>
      <w:r w:rsidR="007A1CB2">
        <w:rPr>
          <w:rFonts w:ascii="Times New Roman" w:hAnsi="Times New Roman"/>
          <w:sz w:val="24"/>
          <w:szCs w:val="24"/>
        </w:rPr>
        <w:t xml:space="preserve"> stan spraw w </w:t>
      </w:r>
      <w:r w:rsidRPr="00E91209">
        <w:rPr>
          <w:rFonts w:ascii="Times New Roman" w:hAnsi="Times New Roman"/>
          <w:sz w:val="24"/>
          <w:szCs w:val="24"/>
        </w:rPr>
        <w:t>dziedzinie ochrony zabytków, tymczasem rzeczywiste środki oddziaływania ministra w tej sferze są niedostateczne. Przyznanie ministrow</w:t>
      </w:r>
      <w:r w:rsidR="007A1CB2">
        <w:rPr>
          <w:rFonts w:ascii="Times New Roman" w:hAnsi="Times New Roman"/>
          <w:sz w:val="24"/>
          <w:szCs w:val="24"/>
        </w:rPr>
        <w:t>i właściwemu do spraw kultury i </w:t>
      </w:r>
      <w:r w:rsidRPr="00E91209">
        <w:rPr>
          <w:rFonts w:ascii="Times New Roman" w:hAnsi="Times New Roman"/>
          <w:sz w:val="24"/>
          <w:szCs w:val="24"/>
        </w:rPr>
        <w:t xml:space="preserve">ochrony dziedzictwa narodowego środków oddziaływania na wojewódzkich konserwatorów zabytków odpowiada treści art. 147 ust. </w:t>
      </w:r>
      <w:smartTag w:uri="urn:schemas-microsoft-com:office:smarttags" w:element="metricconverter">
        <w:smartTagPr>
          <w:attr w:name="ProductID" w:val="1 in"/>
        </w:smartTagPr>
        <w:r w:rsidRPr="00E91209">
          <w:rPr>
            <w:rFonts w:ascii="Times New Roman" w:hAnsi="Times New Roman"/>
            <w:sz w:val="24"/>
            <w:szCs w:val="24"/>
          </w:rPr>
          <w:t xml:space="preserve">1 </w:t>
        </w:r>
        <w:r w:rsidRPr="00E91209">
          <w:rPr>
            <w:rFonts w:ascii="Times New Roman" w:hAnsi="Times New Roman"/>
            <w:i/>
            <w:sz w:val="24"/>
            <w:szCs w:val="24"/>
          </w:rPr>
          <w:t>in</w:t>
        </w:r>
      </w:smartTag>
      <w:r w:rsidRPr="00E91209">
        <w:rPr>
          <w:rFonts w:ascii="Times New Roman" w:hAnsi="Times New Roman"/>
          <w:i/>
          <w:sz w:val="24"/>
          <w:szCs w:val="24"/>
        </w:rPr>
        <w:t xml:space="preserve"> princ.</w:t>
      </w:r>
      <w:r w:rsidRPr="00E91209">
        <w:rPr>
          <w:rFonts w:ascii="Times New Roman" w:hAnsi="Times New Roman"/>
          <w:sz w:val="24"/>
          <w:szCs w:val="24"/>
        </w:rPr>
        <w:t xml:space="preserve"> Konstytucji Rzeczypospolitej Polskiej</w:t>
      </w:r>
      <w:r w:rsidR="00043AD1" w:rsidRPr="00E91209">
        <w:rPr>
          <w:rFonts w:ascii="Times New Roman" w:hAnsi="Times New Roman"/>
          <w:sz w:val="24"/>
          <w:szCs w:val="24"/>
        </w:rPr>
        <w:t>,</w:t>
      </w:r>
      <w:r w:rsidRPr="00E91209">
        <w:rPr>
          <w:rFonts w:ascii="Times New Roman" w:hAnsi="Times New Roman"/>
          <w:sz w:val="24"/>
          <w:szCs w:val="24"/>
        </w:rPr>
        <w:t xml:space="preserve"> zgodnie z</w:t>
      </w:r>
      <w:r w:rsidR="00043AD1" w:rsidRPr="00E91209">
        <w:rPr>
          <w:rFonts w:ascii="Times New Roman" w:hAnsi="Times New Roman"/>
          <w:sz w:val="24"/>
          <w:szCs w:val="24"/>
        </w:rPr>
        <w:t xml:space="preserve"> </w:t>
      </w:r>
      <w:r w:rsidRPr="00E91209">
        <w:rPr>
          <w:rFonts w:ascii="Times New Roman" w:hAnsi="Times New Roman"/>
          <w:sz w:val="24"/>
          <w:szCs w:val="24"/>
        </w:rPr>
        <w:t xml:space="preserve">którym minister kieruje działem administracji. Wojewódzcy konserwatorzy zabytków funkcjonują w układzie podwójnego podporządkowania: pionowego (hierarchicznego) oraz poziomego </w:t>
      </w:r>
      <w:r w:rsidR="007A1CB2">
        <w:rPr>
          <w:rFonts w:ascii="Times New Roman" w:hAnsi="Times New Roman"/>
          <w:sz w:val="24"/>
          <w:szCs w:val="24"/>
        </w:rPr>
        <w:t>wynikającego z </w:t>
      </w:r>
      <w:r w:rsidRPr="00E91209">
        <w:rPr>
          <w:rFonts w:ascii="Times New Roman" w:hAnsi="Times New Roman"/>
          <w:sz w:val="24"/>
          <w:szCs w:val="24"/>
        </w:rPr>
        <w:t>zasady zespolenia i zwierzchnictwa wojewody nad organami administracji zespolonej. Z</w:t>
      </w:r>
      <w:r w:rsidR="00E91209">
        <w:rPr>
          <w:rFonts w:ascii="Times New Roman" w:hAnsi="Times New Roman"/>
          <w:sz w:val="24"/>
          <w:szCs w:val="24"/>
        </w:rPr>
        <w:t xml:space="preserve"> </w:t>
      </w:r>
      <w:r w:rsidRPr="00E91209">
        <w:rPr>
          <w:rFonts w:ascii="Times New Roman" w:hAnsi="Times New Roman"/>
          <w:sz w:val="24"/>
          <w:szCs w:val="24"/>
        </w:rPr>
        <w:t>podwójnym systemem podporządkowania wiąże się podwójny system środków oddziaływania</w:t>
      </w:r>
      <w:r w:rsidR="007650F1" w:rsidRPr="00E91209">
        <w:rPr>
          <w:rFonts w:ascii="Times New Roman" w:hAnsi="Times New Roman"/>
          <w:sz w:val="24"/>
          <w:szCs w:val="24"/>
        </w:rPr>
        <w:t>,</w:t>
      </w:r>
      <w:r w:rsidRPr="00E91209">
        <w:rPr>
          <w:rFonts w:ascii="Times New Roman" w:hAnsi="Times New Roman"/>
          <w:sz w:val="24"/>
          <w:szCs w:val="24"/>
        </w:rPr>
        <w:t xml:space="preserve"> </w:t>
      </w:r>
      <w:r w:rsidR="007650F1" w:rsidRPr="00E91209">
        <w:rPr>
          <w:rFonts w:ascii="Times New Roman" w:hAnsi="Times New Roman"/>
          <w:sz w:val="24"/>
          <w:szCs w:val="24"/>
        </w:rPr>
        <w:t>p</w:t>
      </w:r>
      <w:r w:rsidRPr="00E91209">
        <w:rPr>
          <w:rFonts w:ascii="Times New Roman" w:hAnsi="Times New Roman"/>
          <w:sz w:val="24"/>
          <w:szCs w:val="24"/>
        </w:rPr>
        <w:t>rzy czym w obecnym stanie prawnym węzeł organizacyjny łączący wojewódzkich konserwatorów zabytków z wojewodami jest silniejszy od relacji zachodzącej w układzie pionowym z</w:t>
      </w:r>
      <w:r w:rsidR="00E91209">
        <w:rPr>
          <w:rFonts w:ascii="Times New Roman" w:hAnsi="Times New Roman"/>
          <w:sz w:val="24"/>
          <w:szCs w:val="24"/>
        </w:rPr>
        <w:t xml:space="preserve"> </w:t>
      </w:r>
      <w:r w:rsidRPr="00E91209">
        <w:rPr>
          <w:rFonts w:ascii="Times New Roman" w:hAnsi="Times New Roman"/>
          <w:sz w:val="24"/>
          <w:szCs w:val="24"/>
        </w:rPr>
        <w:t xml:space="preserve">Generalnym Konserwatorem Zabytków. </w:t>
      </w:r>
    </w:p>
    <w:p w:rsidR="002C1FE5" w:rsidRPr="00E91209" w:rsidRDefault="002C1FE5" w:rsidP="00E91209">
      <w:pPr>
        <w:spacing w:before="120" w:after="0" w:line="360" w:lineRule="auto"/>
        <w:jc w:val="both"/>
        <w:rPr>
          <w:rFonts w:ascii="Times New Roman" w:hAnsi="Times New Roman"/>
          <w:sz w:val="24"/>
          <w:szCs w:val="24"/>
        </w:rPr>
      </w:pPr>
      <w:r w:rsidRPr="00E91209">
        <w:rPr>
          <w:rFonts w:ascii="Times New Roman" w:hAnsi="Times New Roman"/>
          <w:sz w:val="24"/>
          <w:szCs w:val="24"/>
        </w:rPr>
        <w:lastRenderedPageBreak/>
        <w:t>Celem projektu jest także wprowadzenie powołania jako podstawy nawiązania stosunku pracy z kierownikami delegatur wojewódzkich urzędów ochrony zabytków, z uwagi na przypisany im ustawowo zakres obowiązków i umiejscowienie organizacyjne. Kierownicy delegatur są organami administracji publicznej w znaczeniu funkcjonalnym, wy</w:t>
      </w:r>
      <w:r w:rsidR="008F2BEB" w:rsidRPr="00E91209">
        <w:rPr>
          <w:rFonts w:ascii="Times New Roman" w:hAnsi="Times New Roman"/>
          <w:sz w:val="24"/>
          <w:szCs w:val="24"/>
        </w:rPr>
        <w:t>dającymi decyzje</w:t>
      </w:r>
      <w:r w:rsidRPr="00E91209">
        <w:rPr>
          <w:rFonts w:ascii="Times New Roman" w:hAnsi="Times New Roman"/>
          <w:sz w:val="24"/>
          <w:szCs w:val="24"/>
        </w:rPr>
        <w:t xml:space="preserve"> administracyjne. </w:t>
      </w:r>
    </w:p>
    <w:p w:rsidR="002C1FE5" w:rsidRPr="00E91209" w:rsidRDefault="002C1FE5" w:rsidP="00E91209">
      <w:pPr>
        <w:spacing w:before="120" w:after="0" w:line="360" w:lineRule="auto"/>
        <w:jc w:val="both"/>
        <w:rPr>
          <w:rFonts w:ascii="Times New Roman" w:hAnsi="Times New Roman"/>
          <w:sz w:val="24"/>
          <w:szCs w:val="24"/>
        </w:rPr>
      </w:pPr>
      <w:r w:rsidRPr="00E91209">
        <w:rPr>
          <w:rFonts w:ascii="Times New Roman" w:hAnsi="Times New Roman"/>
          <w:sz w:val="24"/>
          <w:szCs w:val="24"/>
        </w:rPr>
        <w:t>Celem projektowanej ustawy jest ponadto udzielenie tymczasowej ochrony zabytkom nieruchomym w toku postępowania o wpis do rejestru zabytków. Regulacja ma na celu wyeliminowanie stosunkowo częstych sytuacji, gdy po wszczęciu postępowania w</w:t>
      </w:r>
      <w:r w:rsidR="00E91209">
        <w:rPr>
          <w:rFonts w:ascii="Times New Roman" w:hAnsi="Times New Roman"/>
          <w:sz w:val="24"/>
          <w:szCs w:val="24"/>
        </w:rPr>
        <w:t> </w:t>
      </w:r>
      <w:r w:rsidRPr="00E91209">
        <w:rPr>
          <w:rFonts w:ascii="Times New Roman" w:hAnsi="Times New Roman"/>
          <w:sz w:val="24"/>
          <w:szCs w:val="24"/>
        </w:rPr>
        <w:t xml:space="preserve">sprawie wpisania zabytku do rejestru właściciel tego zabytku dokonuje jego zniszczenia, czym udaremnia cel postępowania. </w:t>
      </w:r>
    </w:p>
    <w:p w:rsidR="002C1FE5" w:rsidRPr="00E91209" w:rsidRDefault="002C1FE5" w:rsidP="00E91209">
      <w:pPr>
        <w:spacing w:before="120" w:after="0" w:line="360" w:lineRule="auto"/>
        <w:jc w:val="both"/>
        <w:rPr>
          <w:rFonts w:ascii="Times New Roman" w:hAnsi="Times New Roman"/>
          <w:bCs/>
          <w:sz w:val="24"/>
          <w:szCs w:val="24"/>
        </w:rPr>
      </w:pPr>
      <w:r w:rsidRPr="00E91209">
        <w:rPr>
          <w:rFonts w:ascii="Times New Roman" w:hAnsi="Times New Roman"/>
          <w:sz w:val="24"/>
          <w:szCs w:val="24"/>
        </w:rPr>
        <w:t>W dodawanym art. 10a ustawy o ochronie zabytków zastrzeżono</w:t>
      </w:r>
      <w:r w:rsidR="00043AD1" w:rsidRPr="00E91209">
        <w:rPr>
          <w:rFonts w:ascii="Times New Roman" w:hAnsi="Times New Roman"/>
          <w:sz w:val="24"/>
          <w:szCs w:val="24"/>
        </w:rPr>
        <w:t>, że</w:t>
      </w:r>
      <w:r w:rsidRPr="00E91209">
        <w:rPr>
          <w:rFonts w:ascii="Times New Roman" w:hAnsi="Times New Roman"/>
          <w:sz w:val="24"/>
          <w:szCs w:val="24"/>
        </w:rPr>
        <w:t xml:space="preserve"> od dnia wszczęcia postępowania w</w:t>
      </w:r>
      <w:r w:rsidR="00E91209">
        <w:rPr>
          <w:rFonts w:ascii="Times New Roman" w:hAnsi="Times New Roman"/>
          <w:sz w:val="24"/>
          <w:szCs w:val="24"/>
        </w:rPr>
        <w:t xml:space="preserve"> </w:t>
      </w:r>
      <w:r w:rsidRPr="00E91209">
        <w:rPr>
          <w:rFonts w:ascii="Times New Roman" w:hAnsi="Times New Roman"/>
          <w:sz w:val="24"/>
          <w:szCs w:val="24"/>
        </w:rPr>
        <w:t>sprawie wpisu zabytku do rejestru do dnia, w którym decyzja w tej sprawie stanie się ostateczna, przy zabytku, którego dotyczy post</w:t>
      </w:r>
      <w:r w:rsidR="00043AD1" w:rsidRPr="00E91209">
        <w:rPr>
          <w:rFonts w:ascii="Times New Roman" w:hAnsi="Times New Roman"/>
          <w:sz w:val="24"/>
          <w:szCs w:val="24"/>
        </w:rPr>
        <w:t>ę</w:t>
      </w:r>
      <w:r w:rsidRPr="00E91209">
        <w:rPr>
          <w:rFonts w:ascii="Times New Roman" w:hAnsi="Times New Roman"/>
          <w:sz w:val="24"/>
          <w:szCs w:val="24"/>
        </w:rPr>
        <w:t>powanie</w:t>
      </w:r>
      <w:r w:rsidR="00EA72A3">
        <w:rPr>
          <w:rFonts w:ascii="Times New Roman" w:hAnsi="Times New Roman"/>
          <w:sz w:val="24"/>
          <w:szCs w:val="24"/>
        </w:rPr>
        <w:t>,</w:t>
      </w:r>
      <w:r w:rsidRPr="00E91209">
        <w:rPr>
          <w:rFonts w:ascii="Times New Roman" w:hAnsi="Times New Roman"/>
          <w:sz w:val="24"/>
          <w:szCs w:val="24"/>
        </w:rPr>
        <w:t xml:space="preserve"> zabrania się prowadzenia prac konserwatorskich, restauratorskich, robót budowlanych i</w:t>
      </w:r>
      <w:r w:rsidR="00E91209">
        <w:rPr>
          <w:rFonts w:ascii="Times New Roman" w:hAnsi="Times New Roman"/>
          <w:sz w:val="24"/>
          <w:szCs w:val="24"/>
        </w:rPr>
        <w:t> </w:t>
      </w:r>
      <w:r w:rsidRPr="00E91209">
        <w:rPr>
          <w:rFonts w:ascii="Times New Roman" w:hAnsi="Times New Roman"/>
          <w:sz w:val="24"/>
          <w:szCs w:val="24"/>
        </w:rPr>
        <w:t>podejmowani</w:t>
      </w:r>
      <w:r w:rsidR="007650F1" w:rsidRPr="00E91209">
        <w:rPr>
          <w:rFonts w:ascii="Times New Roman" w:hAnsi="Times New Roman"/>
          <w:sz w:val="24"/>
          <w:szCs w:val="24"/>
        </w:rPr>
        <w:t>a</w:t>
      </w:r>
      <w:r w:rsidRPr="00E91209">
        <w:rPr>
          <w:rFonts w:ascii="Times New Roman" w:hAnsi="Times New Roman"/>
          <w:sz w:val="24"/>
          <w:szCs w:val="24"/>
        </w:rPr>
        <w:t xml:space="preserve"> innych działań, które mogłyby prowadzić do naruszenia substancji lub zmiany wyglądu zabytku. W obecnym stanie prawnym organy ochrony zabytków nie mają do dyspozycji skutecznego instrumentu, którym mogłyby zapobiegać niszczeniu zabytków, w stosunku do których zostało wszczęte postępowanie o wpis do rejestru zabytków. Wyższość proponowanego rozwiązania od decyzji o wstrzymaniu prac konserwatorskich, restauratorskich lub robót budowlanych przy zabytku niewpisanym do rejestru</w:t>
      </w:r>
      <w:r w:rsidR="00043AD1" w:rsidRPr="00E91209">
        <w:rPr>
          <w:rFonts w:ascii="Times New Roman" w:hAnsi="Times New Roman"/>
          <w:sz w:val="24"/>
          <w:szCs w:val="24"/>
        </w:rPr>
        <w:t xml:space="preserve"> zabytków</w:t>
      </w:r>
      <w:r w:rsidRPr="00E91209">
        <w:rPr>
          <w:rFonts w:ascii="Times New Roman" w:hAnsi="Times New Roman"/>
          <w:sz w:val="24"/>
          <w:szCs w:val="24"/>
        </w:rPr>
        <w:t>, wydawanej na podstawie art. 46 ust. 1 ustawy o ochronie zabytków, jest jego automatyzm i</w:t>
      </w:r>
      <w:r w:rsidR="00E91209">
        <w:rPr>
          <w:rFonts w:ascii="Times New Roman" w:hAnsi="Times New Roman"/>
          <w:sz w:val="24"/>
          <w:szCs w:val="24"/>
        </w:rPr>
        <w:t xml:space="preserve"> </w:t>
      </w:r>
      <w:r w:rsidRPr="00E91209">
        <w:rPr>
          <w:rFonts w:ascii="Times New Roman" w:hAnsi="Times New Roman"/>
          <w:sz w:val="24"/>
          <w:szCs w:val="24"/>
        </w:rPr>
        <w:t>bezwarunkowość oraz brak konieczności podejmowania przez wojewódzkiego konserwatora zabytków czasochłonnych czynności postępowania administracyjnego. Analogiczne rozwiązanie zastosowano w</w:t>
      </w:r>
      <w:r w:rsidR="00E91209">
        <w:rPr>
          <w:rFonts w:ascii="Times New Roman" w:hAnsi="Times New Roman"/>
          <w:sz w:val="24"/>
          <w:szCs w:val="24"/>
        </w:rPr>
        <w:t> </w:t>
      </w:r>
      <w:r w:rsidRPr="00E91209">
        <w:rPr>
          <w:rFonts w:ascii="Times New Roman" w:hAnsi="Times New Roman"/>
          <w:sz w:val="24"/>
          <w:szCs w:val="24"/>
        </w:rPr>
        <w:t xml:space="preserve">dodawanym art. 14aa w odniesieniu do postępowania o wpis na Listę Skarbów Dziedzictwa, z tym że zakaz nie będzie dotyczył zabytków </w:t>
      </w:r>
      <w:r w:rsidRPr="00E91209">
        <w:rPr>
          <w:rFonts w:ascii="Times New Roman" w:hAnsi="Times New Roman"/>
          <w:bCs/>
          <w:sz w:val="24"/>
          <w:szCs w:val="24"/>
        </w:rPr>
        <w:t xml:space="preserve">wpisanych do rejestru zabytków, wpisanych do inwentarza muzeum albo </w:t>
      </w:r>
      <w:r w:rsidRPr="00E91209">
        <w:rPr>
          <w:rFonts w:ascii="Times New Roman" w:hAnsi="Times New Roman"/>
          <w:sz w:val="24"/>
          <w:szCs w:val="24"/>
        </w:rPr>
        <w:t>wchodzących w skład narodowego zasobu bibliotecznego. Przepis nie będzie miał zastosowania do zabytku służącego obronności i</w:t>
      </w:r>
      <w:r w:rsidR="00E91209">
        <w:rPr>
          <w:rFonts w:ascii="Times New Roman" w:hAnsi="Times New Roman"/>
          <w:sz w:val="24"/>
          <w:szCs w:val="24"/>
        </w:rPr>
        <w:t xml:space="preserve"> </w:t>
      </w:r>
      <w:r w:rsidRPr="00E91209">
        <w:rPr>
          <w:rFonts w:ascii="Times New Roman" w:hAnsi="Times New Roman"/>
          <w:sz w:val="24"/>
          <w:szCs w:val="24"/>
        </w:rPr>
        <w:t>bezpieczeństwu państwa.</w:t>
      </w:r>
    </w:p>
    <w:p w:rsidR="002C1FE5" w:rsidRDefault="002C1FE5" w:rsidP="00E91209">
      <w:pPr>
        <w:spacing w:before="120" w:after="0" w:line="360" w:lineRule="auto"/>
        <w:jc w:val="both"/>
        <w:rPr>
          <w:rFonts w:ascii="Times New Roman" w:hAnsi="Times New Roman"/>
          <w:sz w:val="24"/>
          <w:szCs w:val="24"/>
        </w:rPr>
      </w:pPr>
      <w:r w:rsidRPr="00E91209">
        <w:rPr>
          <w:rFonts w:ascii="Times New Roman" w:hAnsi="Times New Roman"/>
          <w:sz w:val="24"/>
          <w:szCs w:val="24"/>
        </w:rPr>
        <w:t>W art.</w:t>
      </w:r>
      <w:r w:rsidR="00E91209">
        <w:rPr>
          <w:rFonts w:ascii="Times New Roman" w:hAnsi="Times New Roman"/>
          <w:sz w:val="24"/>
          <w:szCs w:val="24"/>
        </w:rPr>
        <w:t xml:space="preserve"> </w:t>
      </w:r>
      <w:r w:rsidRPr="00E91209">
        <w:rPr>
          <w:rFonts w:ascii="Times New Roman" w:hAnsi="Times New Roman"/>
          <w:sz w:val="24"/>
          <w:szCs w:val="24"/>
        </w:rPr>
        <w:t>31 w</w:t>
      </w:r>
      <w:r w:rsidR="00E91209">
        <w:rPr>
          <w:rFonts w:ascii="Times New Roman" w:hAnsi="Times New Roman"/>
          <w:sz w:val="24"/>
          <w:szCs w:val="24"/>
        </w:rPr>
        <w:t xml:space="preserve"> </w:t>
      </w:r>
      <w:r w:rsidRPr="00E91209">
        <w:rPr>
          <w:rFonts w:ascii="Times New Roman" w:hAnsi="Times New Roman"/>
          <w:sz w:val="24"/>
          <w:szCs w:val="24"/>
        </w:rPr>
        <w:t>ust.</w:t>
      </w:r>
      <w:r w:rsidR="00E91209">
        <w:rPr>
          <w:rFonts w:ascii="Times New Roman" w:hAnsi="Times New Roman"/>
          <w:sz w:val="24"/>
          <w:szCs w:val="24"/>
        </w:rPr>
        <w:t xml:space="preserve"> </w:t>
      </w:r>
      <w:r w:rsidRPr="00E91209">
        <w:rPr>
          <w:rFonts w:ascii="Times New Roman" w:hAnsi="Times New Roman"/>
          <w:sz w:val="24"/>
          <w:szCs w:val="24"/>
        </w:rPr>
        <w:t>3</w:t>
      </w:r>
      <w:r w:rsidR="00E91209">
        <w:rPr>
          <w:rFonts w:ascii="Times New Roman" w:hAnsi="Times New Roman"/>
          <w:sz w:val="24"/>
          <w:szCs w:val="24"/>
        </w:rPr>
        <w:t xml:space="preserve"> </w:t>
      </w:r>
      <w:r w:rsidRPr="00E91209">
        <w:rPr>
          <w:rFonts w:ascii="Times New Roman" w:hAnsi="Times New Roman"/>
          <w:sz w:val="24"/>
          <w:szCs w:val="24"/>
        </w:rPr>
        <w:t>ustawy o ochronie zabytków skorygowano wadliwe odesłanie do ust.</w:t>
      </w:r>
      <w:r w:rsidR="00E91209">
        <w:rPr>
          <w:rFonts w:ascii="Times New Roman" w:hAnsi="Times New Roman"/>
          <w:sz w:val="24"/>
          <w:szCs w:val="24"/>
        </w:rPr>
        <w:t> </w:t>
      </w:r>
      <w:r w:rsidRPr="00E91209">
        <w:rPr>
          <w:rFonts w:ascii="Times New Roman" w:hAnsi="Times New Roman"/>
          <w:sz w:val="24"/>
          <w:szCs w:val="24"/>
        </w:rPr>
        <w:t xml:space="preserve">1, który utracił moc. </w:t>
      </w:r>
    </w:p>
    <w:p w:rsidR="00F4315F" w:rsidRPr="00E91209" w:rsidRDefault="00F4315F" w:rsidP="00966E36">
      <w:pPr>
        <w:spacing w:after="0" w:line="360" w:lineRule="auto"/>
        <w:jc w:val="both"/>
        <w:rPr>
          <w:rFonts w:ascii="Times New Roman" w:hAnsi="Times New Roman"/>
          <w:sz w:val="24"/>
          <w:szCs w:val="24"/>
        </w:rPr>
      </w:pPr>
      <w:r>
        <w:rPr>
          <w:rFonts w:ascii="Times New Roman" w:hAnsi="Times New Roman"/>
          <w:sz w:val="24"/>
          <w:szCs w:val="24"/>
        </w:rPr>
        <w:lastRenderedPageBreak/>
        <w:t>W art. 36 ust. 1 ustawy o ochronie zabytków zmieniony został pkt 11, w którym doprecyzowano, że działaniem wymagającym pozwolenia wojewódzkiego konserwatora zabytków jest usunięcie drzewa lub krzewu z terenu nieruchomości wpisanej do rejestru zabytków</w:t>
      </w:r>
      <w:r w:rsidR="00EA72A3">
        <w:rPr>
          <w:rFonts w:ascii="Times New Roman" w:hAnsi="Times New Roman"/>
          <w:sz w:val="24"/>
          <w:szCs w:val="24"/>
        </w:rPr>
        <w:t>, z</w:t>
      </w:r>
      <w:r w:rsidR="00966E36">
        <w:rPr>
          <w:rFonts w:ascii="Times New Roman" w:hAnsi="Times New Roman"/>
          <w:sz w:val="24"/>
          <w:szCs w:val="24"/>
        </w:rPr>
        <w:t>a</w:t>
      </w:r>
      <w:r>
        <w:rPr>
          <w:rFonts w:ascii="Times New Roman" w:hAnsi="Times New Roman"/>
          <w:sz w:val="24"/>
          <w:szCs w:val="24"/>
        </w:rPr>
        <w:t xml:space="preserve"> wyjątkiem przypadków prowadzenia akcji ratowniczej przez jednostki ochrony przeciwpożarowej lub inne właściwe służby ustawowo powołane do niesienia pomocy osobom w stanie nagłego zagrożenia życia lub zdrowia. </w:t>
      </w:r>
    </w:p>
    <w:p w:rsidR="002C1FE5" w:rsidRPr="00E91209" w:rsidRDefault="002C1FE5" w:rsidP="00966E36">
      <w:pPr>
        <w:pStyle w:val="ZUSTzmustartykuempunktem"/>
        <w:spacing w:before="60"/>
        <w:ind w:left="0" w:firstLine="0"/>
        <w:rPr>
          <w:rFonts w:ascii="Times New Roman" w:hAnsi="Times New Roman" w:cs="Times New Roman"/>
          <w:szCs w:val="24"/>
        </w:rPr>
      </w:pPr>
      <w:r w:rsidRPr="00E91209">
        <w:rPr>
          <w:rFonts w:ascii="Times New Roman" w:hAnsi="Times New Roman" w:cs="Times New Roman"/>
          <w:szCs w:val="24"/>
        </w:rPr>
        <w:t xml:space="preserve">W art. 46 ustawy o ochronie zabytków uchyla </w:t>
      </w:r>
      <w:r w:rsidR="00EA72A3">
        <w:rPr>
          <w:rFonts w:ascii="Times New Roman" w:hAnsi="Times New Roman" w:cs="Times New Roman"/>
          <w:szCs w:val="24"/>
        </w:rPr>
        <w:t xml:space="preserve">się </w:t>
      </w:r>
      <w:r w:rsidRPr="00E91209">
        <w:rPr>
          <w:rFonts w:ascii="Times New Roman" w:hAnsi="Times New Roman" w:cs="Times New Roman"/>
          <w:szCs w:val="24"/>
        </w:rPr>
        <w:t>ust. 4, który stanowi,</w:t>
      </w:r>
      <w:r w:rsidR="00043AD1" w:rsidRPr="00E91209">
        <w:rPr>
          <w:rFonts w:ascii="Times New Roman" w:hAnsi="Times New Roman" w:cs="Times New Roman"/>
          <w:szCs w:val="24"/>
        </w:rPr>
        <w:t xml:space="preserve"> że</w:t>
      </w:r>
      <w:r w:rsidRPr="00E91209">
        <w:rPr>
          <w:rFonts w:ascii="Times New Roman" w:hAnsi="Times New Roman" w:cs="Times New Roman"/>
          <w:szCs w:val="24"/>
        </w:rPr>
        <w:t xml:space="preserve"> prace konserwatorskie, restauratorskie lub roboty budowlane przy zabytku wstrzymane decyzją </w:t>
      </w:r>
      <w:r w:rsidR="00043AD1" w:rsidRPr="00E91209">
        <w:rPr>
          <w:rFonts w:ascii="Times New Roman" w:hAnsi="Times New Roman" w:cs="Times New Roman"/>
          <w:szCs w:val="24"/>
        </w:rPr>
        <w:t xml:space="preserve">o </w:t>
      </w:r>
      <w:r w:rsidRPr="00E91209">
        <w:rPr>
          <w:rFonts w:ascii="Times New Roman" w:hAnsi="Times New Roman" w:cs="Times New Roman"/>
          <w:szCs w:val="24"/>
        </w:rPr>
        <w:t xml:space="preserve">ich </w:t>
      </w:r>
      <w:r w:rsidRPr="00E91209">
        <w:rPr>
          <w:rFonts w:ascii="Times New Roman" w:hAnsi="Times New Roman" w:cs="Times New Roman"/>
        </w:rPr>
        <w:t xml:space="preserve">wstrzymaniu przy zabytku niewpisanym do rejestru </w:t>
      </w:r>
      <w:r w:rsidR="00043AD1" w:rsidRPr="00E91209">
        <w:rPr>
          <w:rFonts w:ascii="Times New Roman" w:hAnsi="Times New Roman" w:cs="Times New Roman"/>
        </w:rPr>
        <w:t xml:space="preserve">zabytków </w:t>
      </w:r>
      <w:r w:rsidRPr="00E91209">
        <w:rPr>
          <w:rStyle w:val="txt-new"/>
          <w:rFonts w:ascii="Times New Roman" w:hAnsi="Times New Roman"/>
        </w:rPr>
        <w:t>albo na Listę Skarbów Dziedzictw</w:t>
      </w:r>
      <w:r w:rsidR="00043AD1" w:rsidRPr="00E91209">
        <w:rPr>
          <w:rStyle w:val="txt-new"/>
          <w:rFonts w:ascii="Times New Roman" w:hAnsi="Times New Roman"/>
        </w:rPr>
        <w:t>a</w:t>
      </w:r>
      <w:r w:rsidRPr="00E91209">
        <w:rPr>
          <w:rStyle w:val="txt-new"/>
          <w:rFonts w:ascii="Times New Roman" w:hAnsi="Times New Roman"/>
        </w:rPr>
        <w:t xml:space="preserve"> </w:t>
      </w:r>
      <w:r w:rsidRPr="00E91209">
        <w:rPr>
          <w:rFonts w:ascii="Times New Roman" w:hAnsi="Times New Roman" w:cs="Times New Roman"/>
          <w:szCs w:val="24"/>
        </w:rPr>
        <w:t xml:space="preserve">mogą być podjęte, jeżeli w terminie 2 miesięcy od dnia doręczenia tej decyzji, odpowiednio wojewódzki konserwator zabytków nie wpisze tego zabytku do rejestru </w:t>
      </w:r>
      <w:r w:rsidR="00043AD1" w:rsidRPr="00E91209">
        <w:rPr>
          <w:rFonts w:ascii="Times New Roman" w:hAnsi="Times New Roman" w:cs="Times New Roman"/>
          <w:szCs w:val="24"/>
        </w:rPr>
        <w:t xml:space="preserve">zabytków </w:t>
      </w:r>
      <w:r w:rsidRPr="00E91209">
        <w:rPr>
          <w:rFonts w:ascii="Times New Roman" w:hAnsi="Times New Roman" w:cs="Times New Roman"/>
          <w:szCs w:val="24"/>
        </w:rPr>
        <w:t>albo minister właściwy do spraw kultury i ochrony dziedzictwa narodowego nie wpisze tego zabytku na Listę Skarbów Dziedzictwa. Ponieważ ochronę zabytków w toku postępowania w sprawie ich wpisania na Listę Skarbów Dziedzictwa albo do rejestru zabytków kształtować będą zakazy określone w</w:t>
      </w:r>
      <w:r w:rsidR="00E91209">
        <w:rPr>
          <w:rFonts w:ascii="Times New Roman" w:hAnsi="Times New Roman" w:cs="Times New Roman"/>
          <w:szCs w:val="24"/>
        </w:rPr>
        <w:t> </w:t>
      </w:r>
      <w:r w:rsidRPr="00E91209">
        <w:rPr>
          <w:rFonts w:ascii="Times New Roman" w:hAnsi="Times New Roman" w:cs="Times New Roman"/>
          <w:szCs w:val="24"/>
        </w:rPr>
        <w:t>dodawanych art. 10a i art. 14aa, przepis ust. 4 w art. 46 staje się zbędny.</w:t>
      </w:r>
    </w:p>
    <w:p w:rsidR="002C1FE5" w:rsidRPr="00E91209" w:rsidRDefault="002C1FE5" w:rsidP="00966E36">
      <w:pPr>
        <w:pStyle w:val="ZUSTzmustartykuempunktem"/>
        <w:spacing w:before="60"/>
        <w:ind w:left="0" w:firstLine="0"/>
        <w:rPr>
          <w:rFonts w:ascii="Times New Roman" w:hAnsi="Times New Roman" w:cs="Times New Roman"/>
          <w:szCs w:val="24"/>
        </w:rPr>
      </w:pPr>
      <w:r w:rsidRPr="00E91209">
        <w:rPr>
          <w:rFonts w:ascii="Times New Roman" w:hAnsi="Times New Roman" w:cs="Times New Roman"/>
          <w:szCs w:val="24"/>
        </w:rPr>
        <w:t>W dodawanym w ustawie o ochronie zabytków art. 47a Generalny Konserwator Zabytków otrzyma kompetencje do wzruszania (uchylania lub zmieniania) ostatecznych pozwoleń wydawanych na podstawie art. 36 ustawy o ochronie zabytków. Środek będzie miał charakter nadzwyczajny i będzie uruchamiany jedynie z urzędu. Podstawą zastosowania tego środka będzie wadliwość pozwolenia polegająca na otwarciu drogi do realizacj</w:t>
      </w:r>
      <w:r w:rsidR="00043AD1" w:rsidRPr="00E91209">
        <w:rPr>
          <w:rFonts w:ascii="Times New Roman" w:hAnsi="Times New Roman" w:cs="Times New Roman"/>
          <w:szCs w:val="24"/>
        </w:rPr>
        <w:t>i</w:t>
      </w:r>
      <w:r w:rsidRPr="00E91209">
        <w:rPr>
          <w:rFonts w:ascii="Times New Roman" w:hAnsi="Times New Roman" w:cs="Times New Roman"/>
          <w:szCs w:val="24"/>
        </w:rPr>
        <w:t xml:space="preserve"> działań, które spowodował</w:t>
      </w:r>
      <w:r w:rsidR="007650F1" w:rsidRPr="00E91209">
        <w:rPr>
          <w:rFonts w:ascii="Times New Roman" w:hAnsi="Times New Roman" w:cs="Times New Roman"/>
          <w:szCs w:val="24"/>
        </w:rPr>
        <w:t>y</w:t>
      </w:r>
      <w:r w:rsidRPr="00E91209">
        <w:rPr>
          <w:rFonts w:ascii="Times New Roman" w:hAnsi="Times New Roman" w:cs="Times New Roman"/>
          <w:szCs w:val="24"/>
        </w:rPr>
        <w:t>by</w:t>
      </w:r>
      <w:r w:rsidRPr="00E91209">
        <w:rPr>
          <w:rFonts w:ascii="Times New Roman" w:hAnsi="Times New Roman" w:cs="Times New Roman"/>
          <w:bCs/>
          <w:szCs w:val="24"/>
        </w:rPr>
        <w:t xml:space="preserve"> uszczerbek dla wartości zabytku lub uszkodzenie</w:t>
      </w:r>
      <w:r w:rsidR="007650F1" w:rsidRPr="00E91209">
        <w:rPr>
          <w:rFonts w:ascii="Times New Roman" w:hAnsi="Times New Roman" w:cs="Times New Roman"/>
          <w:bCs/>
          <w:szCs w:val="24"/>
        </w:rPr>
        <w:t>,</w:t>
      </w:r>
      <w:r w:rsidRPr="00E91209">
        <w:rPr>
          <w:rFonts w:ascii="Times New Roman" w:hAnsi="Times New Roman" w:cs="Times New Roman"/>
          <w:bCs/>
          <w:szCs w:val="24"/>
        </w:rPr>
        <w:t xml:space="preserve"> lub zniszczenie zabytku</w:t>
      </w:r>
      <w:r w:rsidR="007650F1" w:rsidRPr="00E91209">
        <w:rPr>
          <w:rFonts w:ascii="Times New Roman" w:hAnsi="Times New Roman" w:cs="Times New Roman"/>
          <w:bCs/>
          <w:szCs w:val="24"/>
        </w:rPr>
        <w:t>,</w:t>
      </w:r>
      <w:r w:rsidRPr="00E91209">
        <w:rPr>
          <w:rFonts w:ascii="Times New Roman" w:hAnsi="Times New Roman" w:cs="Times New Roman"/>
          <w:bCs/>
          <w:szCs w:val="24"/>
        </w:rPr>
        <w:t xml:space="preserve"> lub </w:t>
      </w:r>
      <w:r w:rsidRPr="00E91209">
        <w:rPr>
          <w:rFonts w:ascii="Times New Roman" w:hAnsi="Times New Roman" w:cs="Times New Roman"/>
          <w:szCs w:val="24"/>
        </w:rPr>
        <w:t>niewłaściwe korzystanie z</w:t>
      </w:r>
      <w:r w:rsidR="00E91209">
        <w:rPr>
          <w:rFonts w:ascii="Times New Roman" w:hAnsi="Times New Roman" w:cs="Times New Roman"/>
          <w:szCs w:val="24"/>
        </w:rPr>
        <w:t xml:space="preserve"> </w:t>
      </w:r>
      <w:r w:rsidRPr="00E91209">
        <w:rPr>
          <w:rFonts w:ascii="Times New Roman" w:hAnsi="Times New Roman" w:cs="Times New Roman"/>
          <w:szCs w:val="24"/>
        </w:rPr>
        <w:t>zabytku. Projektowany przepis wprowadza pozakodeksową podstawę uchylenia lub zmiany decyzji, co znajduje umocowanie w treści art. 163 Kodeksu postępowania administracyjnego, który stanowi, że</w:t>
      </w:r>
      <w:r w:rsidR="007650F1" w:rsidRPr="00E91209">
        <w:rPr>
          <w:rFonts w:ascii="Times New Roman" w:hAnsi="Times New Roman" w:cs="Times New Roman"/>
          <w:bCs/>
          <w:szCs w:val="24"/>
        </w:rPr>
        <w:t xml:space="preserve"> „</w:t>
      </w:r>
      <w:r w:rsidRPr="00E91209">
        <w:rPr>
          <w:rFonts w:ascii="Times New Roman" w:hAnsi="Times New Roman" w:cs="Times New Roman"/>
          <w:szCs w:val="24"/>
        </w:rPr>
        <w:t>organ administracji publicznej może uchylić lub zmienić decyzję, na mocy której strona nabyła prawo, także w</w:t>
      </w:r>
      <w:r w:rsidR="00E91209">
        <w:rPr>
          <w:rFonts w:ascii="Times New Roman" w:hAnsi="Times New Roman" w:cs="Times New Roman"/>
          <w:szCs w:val="24"/>
        </w:rPr>
        <w:t xml:space="preserve"> </w:t>
      </w:r>
      <w:r w:rsidRPr="00E91209">
        <w:rPr>
          <w:rFonts w:ascii="Times New Roman" w:hAnsi="Times New Roman" w:cs="Times New Roman"/>
          <w:szCs w:val="24"/>
        </w:rPr>
        <w:t>innych przypadkach oraz na innych zasadach niż określone w niniejszym rozdziale, o ile przewidują to przepisy szczególne</w:t>
      </w:r>
      <w:r w:rsidR="007650F1" w:rsidRPr="00E91209">
        <w:rPr>
          <w:rFonts w:ascii="Times New Roman" w:hAnsi="Times New Roman" w:cs="Times New Roman"/>
          <w:szCs w:val="24"/>
        </w:rPr>
        <w:t>”</w:t>
      </w:r>
      <w:r w:rsidRPr="00E91209">
        <w:rPr>
          <w:rFonts w:ascii="Times New Roman" w:hAnsi="Times New Roman" w:cs="Times New Roman"/>
          <w:szCs w:val="24"/>
        </w:rPr>
        <w:t>. Postępowanie w</w:t>
      </w:r>
      <w:r w:rsidR="00E91209">
        <w:rPr>
          <w:rFonts w:ascii="Times New Roman" w:hAnsi="Times New Roman" w:cs="Times New Roman"/>
          <w:szCs w:val="24"/>
        </w:rPr>
        <w:t xml:space="preserve"> </w:t>
      </w:r>
      <w:r w:rsidRPr="00E91209">
        <w:rPr>
          <w:rFonts w:ascii="Times New Roman" w:hAnsi="Times New Roman" w:cs="Times New Roman"/>
          <w:szCs w:val="24"/>
        </w:rPr>
        <w:t>sprawie uchylenia lub zmiany pozwolenia nie może być wszczęte po upływie 2</w:t>
      </w:r>
      <w:r w:rsidR="00E91209">
        <w:rPr>
          <w:rFonts w:ascii="Times New Roman" w:hAnsi="Times New Roman" w:cs="Times New Roman"/>
          <w:szCs w:val="24"/>
        </w:rPr>
        <w:t xml:space="preserve"> </w:t>
      </w:r>
      <w:r w:rsidRPr="00E91209">
        <w:rPr>
          <w:rFonts w:ascii="Times New Roman" w:hAnsi="Times New Roman" w:cs="Times New Roman"/>
          <w:szCs w:val="24"/>
        </w:rPr>
        <w:t>lat od dnia, w</w:t>
      </w:r>
      <w:r w:rsidR="00E91209">
        <w:rPr>
          <w:rFonts w:ascii="Times New Roman" w:hAnsi="Times New Roman" w:cs="Times New Roman"/>
          <w:szCs w:val="24"/>
        </w:rPr>
        <w:t xml:space="preserve"> </w:t>
      </w:r>
      <w:r w:rsidRPr="00E91209">
        <w:rPr>
          <w:rFonts w:ascii="Times New Roman" w:hAnsi="Times New Roman" w:cs="Times New Roman"/>
          <w:szCs w:val="24"/>
        </w:rPr>
        <w:t>którym pozwolenie stało się ostateczne. Minister właściwy do spraw kultury i</w:t>
      </w:r>
      <w:r w:rsidR="00E91209">
        <w:rPr>
          <w:rFonts w:ascii="Times New Roman" w:hAnsi="Times New Roman" w:cs="Times New Roman"/>
          <w:szCs w:val="24"/>
        </w:rPr>
        <w:t xml:space="preserve"> </w:t>
      </w:r>
      <w:r w:rsidRPr="00E91209">
        <w:rPr>
          <w:rFonts w:ascii="Times New Roman" w:hAnsi="Times New Roman" w:cs="Times New Roman"/>
          <w:szCs w:val="24"/>
        </w:rPr>
        <w:t xml:space="preserve">ochrony dziedzictwa narodowego może wstrzymać wykonanie pozwolenia, jeżeli zachodzi prawdopodobieństwo uchylenia lub zmiany tego </w:t>
      </w:r>
      <w:r w:rsidRPr="00E91209">
        <w:rPr>
          <w:rFonts w:ascii="Times New Roman" w:hAnsi="Times New Roman" w:cs="Times New Roman"/>
          <w:szCs w:val="24"/>
        </w:rPr>
        <w:lastRenderedPageBreak/>
        <w:t>pozwolenia</w:t>
      </w:r>
      <w:r w:rsidR="007650F1" w:rsidRPr="00E91209">
        <w:rPr>
          <w:rFonts w:ascii="Times New Roman" w:hAnsi="Times New Roman" w:cs="Times New Roman"/>
          <w:szCs w:val="24"/>
        </w:rPr>
        <w:t>,</w:t>
      </w:r>
      <w:r w:rsidRPr="00E91209">
        <w:rPr>
          <w:rFonts w:ascii="Times New Roman" w:hAnsi="Times New Roman" w:cs="Times New Roman"/>
          <w:szCs w:val="24"/>
        </w:rPr>
        <w:t xml:space="preserve"> </w:t>
      </w:r>
      <w:r w:rsidR="007650F1" w:rsidRPr="00E91209">
        <w:rPr>
          <w:rFonts w:ascii="Times New Roman" w:hAnsi="Times New Roman" w:cs="Times New Roman"/>
          <w:szCs w:val="24"/>
        </w:rPr>
        <w:t>p</w:t>
      </w:r>
      <w:r w:rsidRPr="00E91209">
        <w:rPr>
          <w:rFonts w:ascii="Times New Roman" w:hAnsi="Times New Roman" w:cs="Times New Roman"/>
          <w:szCs w:val="24"/>
        </w:rPr>
        <w:t>rzy czym postanowienie o</w:t>
      </w:r>
      <w:r w:rsidR="00E91209">
        <w:rPr>
          <w:rFonts w:ascii="Times New Roman" w:hAnsi="Times New Roman" w:cs="Times New Roman"/>
          <w:szCs w:val="24"/>
        </w:rPr>
        <w:t xml:space="preserve"> </w:t>
      </w:r>
      <w:r w:rsidRPr="00E91209">
        <w:rPr>
          <w:rFonts w:ascii="Times New Roman" w:hAnsi="Times New Roman" w:cs="Times New Roman"/>
          <w:szCs w:val="24"/>
        </w:rPr>
        <w:t xml:space="preserve">wstrzymaniu </w:t>
      </w:r>
      <w:r w:rsidR="007650F1" w:rsidRPr="00E91209">
        <w:rPr>
          <w:rFonts w:ascii="Times New Roman" w:hAnsi="Times New Roman" w:cs="Times New Roman"/>
          <w:szCs w:val="24"/>
        </w:rPr>
        <w:t xml:space="preserve">wykonania </w:t>
      </w:r>
      <w:r w:rsidRPr="00E91209">
        <w:rPr>
          <w:rFonts w:ascii="Times New Roman" w:hAnsi="Times New Roman" w:cs="Times New Roman"/>
          <w:szCs w:val="24"/>
        </w:rPr>
        <w:t>pozwolenia wygasa po upływie 3</w:t>
      </w:r>
      <w:r w:rsidR="00E91209">
        <w:rPr>
          <w:rFonts w:ascii="Times New Roman" w:hAnsi="Times New Roman" w:cs="Times New Roman"/>
          <w:szCs w:val="24"/>
        </w:rPr>
        <w:t xml:space="preserve"> </w:t>
      </w:r>
      <w:r w:rsidRPr="00E91209">
        <w:rPr>
          <w:rFonts w:ascii="Times New Roman" w:hAnsi="Times New Roman" w:cs="Times New Roman"/>
          <w:szCs w:val="24"/>
        </w:rPr>
        <w:t>miesięcy od dnia jego doręczenia, jeżeli w</w:t>
      </w:r>
      <w:r w:rsidR="00E91209">
        <w:rPr>
          <w:rFonts w:ascii="Times New Roman" w:hAnsi="Times New Roman" w:cs="Times New Roman"/>
          <w:szCs w:val="24"/>
        </w:rPr>
        <w:t xml:space="preserve"> </w:t>
      </w:r>
      <w:r w:rsidRPr="00E91209">
        <w:rPr>
          <w:rFonts w:ascii="Times New Roman" w:hAnsi="Times New Roman" w:cs="Times New Roman"/>
          <w:szCs w:val="24"/>
        </w:rPr>
        <w:t>tym terminie minister właściwy do spraw kultury i</w:t>
      </w:r>
      <w:r w:rsidR="00E91209">
        <w:rPr>
          <w:rFonts w:ascii="Times New Roman" w:hAnsi="Times New Roman" w:cs="Times New Roman"/>
          <w:szCs w:val="24"/>
        </w:rPr>
        <w:t xml:space="preserve"> </w:t>
      </w:r>
      <w:r w:rsidRPr="00E91209">
        <w:rPr>
          <w:rFonts w:ascii="Times New Roman" w:hAnsi="Times New Roman" w:cs="Times New Roman"/>
          <w:szCs w:val="24"/>
        </w:rPr>
        <w:t>ochrony dziedzictwa narodowego nie wyda decyzji o</w:t>
      </w:r>
      <w:r w:rsidR="00E91209">
        <w:rPr>
          <w:rFonts w:ascii="Times New Roman" w:hAnsi="Times New Roman" w:cs="Times New Roman"/>
          <w:szCs w:val="24"/>
        </w:rPr>
        <w:t xml:space="preserve"> </w:t>
      </w:r>
      <w:r w:rsidRPr="00E91209">
        <w:rPr>
          <w:rFonts w:ascii="Times New Roman" w:hAnsi="Times New Roman" w:cs="Times New Roman"/>
          <w:szCs w:val="24"/>
        </w:rPr>
        <w:t>uchyleniu lub zmianie pozwolenia, o</w:t>
      </w:r>
      <w:r w:rsidR="00E91209">
        <w:rPr>
          <w:rFonts w:ascii="Times New Roman" w:hAnsi="Times New Roman" w:cs="Times New Roman"/>
          <w:szCs w:val="24"/>
        </w:rPr>
        <w:t xml:space="preserve"> </w:t>
      </w:r>
      <w:r w:rsidRPr="00E91209">
        <w:rPr>
          <w:rFonts w:ascii="Times New Roman" w:hAnsi="Times New Roman" w:cs="Times New Roman"/>
          <w:szCs w:val="24"/>
        </w:rPr>
        <w:t>którym mowa w</w:t>
      </w:r>
      <w:r w:rsidR="00E91209">
        <w:rPr>
          <w:rFonts w:ascii="Times New Roman" w:hAnsi="Times New Roman" w:cs="Times New Roman"/>
          <w:szCs w:val="24"/>
        </w:rPr>
        <w:t xml:space="preserve"> </w:t>
      </w:r>
      <w:r w:rsidRPr="00E91209">
        <w:rPr>
          <w:rFonts w:ascii="Times New Roman" w:hAnsi="Times New Roman" w:cs="Times New Roman"/>
          <w:szCs w:val="24"/>
        </w:rPr>
        <w:t>art.</w:t>
      </w:r>
      <w:r w:rsidR="00E91209">
        <w:rPr>
          <w:rFonts w:ascii="Times New Roman" w:hAnsi="Times New Roman" w:cs="Times New Roman"/>
          <w:szCs w:val="24"/>
        </w:rPr>
        <w:t xml:space="preserve"> </w:t>
      </w:r>
      <w:r w:rsidRPr="00E91209">
        <w:rPr>
          <w:rFonts w:ascii="Times New Roman" w:hAnsi="Times New Roman" w:cs="Times New Roman"/>
          <w:szCs w:val="24"/>
        </w:rPr>
        <w:t>36 ust.</w:t>
      </w:r>
      <w:r w:rsidR="00E91209">
        <w:rPr>
          <w:rFonts w:ascii="Times New Roman" w:hAnsi="Times New Roman" w:cs="Times New Roman"/>
          <w:szCs w:val="24"/>
        </w:rPr>
        <w:t xml:space="preserve"> </w:t>
      </w:r>
      <w:r w:rsidRPr="00E91209">
        <w:rPr>
          <w:rFonts w:ascii="Times New Roman" w:hAnsi="Times New Roman" w:cs="Times New Roman"/>
          <w:szCs w:val="24"/>
        </w:rPr>
        <w:t>1. Możliwość wzruszania ostatecznych pozwoleń stanowić będzie usprawiedliwiony wyjątek od zasady trwałości decyzji administracyjnych. Pozostawienie w</w:t>
      </w:r>
      <w:r w:rsidR="00E91209">
        <w:rPr>
          <w:rFonts w:ascii="Times New Roman" w:hAnsi="Times New Roman" w:cs="Times New Roman"/>
          <w:szCs w:val="24"/>
        </w:rPr>
        <w:t xml:space="preserve"> </w:t>
      </w:r>
      <w:r w:rsidRPr="00E91209">
        <w:rPr>
          <w:rFonts w:ascii="Times New Roman" w:hAnsi="Times New Roman" w:cs="Times New Roman"/>
          <w:szCs w:val="24"/>
        </w:rPr>
        <w:t>obrocie prawnym pozwoleń konserwatorskich dotkniętych poważnymi wadami merytorycznymi jest nie do pogodzenia z interesem ochrony zabytków.</w:t>
      </w:r>
    </w:p>
    <w:p w:rsidR="002C1FE5" w:rsidRPr="00E91209" w:rsidRDefault="002C1FE5" w:rsidP="00E91209">
      <w:pPr>
        <w:spacing w:before="120" w:after="0" w:line="360" w:lineRule="auto"/>
        <w:jc w:val="both"/>
        <w:rPr>
          <w:rFonts w:ascii="Times New Roman" w:hAnsi="Times New Roman"/>
          <w:sz w:val="24"/>
          <w:szCs w:val="24"/>
        </w:rPr>
      </w:pPr>
      <w:r w:rsidRPr="00E91209">
        <w:rPr>
          <w:rFonts w:ascii="Times New Roman" w:hAnsi="Times New Roman"/>
          <w:sz w:val="24"/>
          <w:szCs w:val="24"/>
        </w:rPr>
        <w:t>W zmienianym art. 90 ust. 2 ustawy o ochronie zabytków wyznaczającym zakres zadań wykonywanych przez Generalnego Konserwatora Zabytków dodano koordynowanie i</w:t>
      </w:r>
      <w:r w:rsidR="00E91209">
        <w:rPr>
          <w:rFonts w:ascii="Times New Roman" w:hAnsi="Times New Roman"/>
          <w:sz w:val="24"/>
          <w:szCs w:val="24"/>
        </w:rPr>
        <w:t> </w:t>
      </w:r>
      <w:r w:rsidRPr="00E91209">
        <w:rPr>
          <w:rFonts w:ascii="Times New Roman" w:hAnsi="Times New Roman"/>
          <w:sz w:val="24"/>
          <w:szCs w:val="24"/>
        </w:rPr>
        <w:t>kontrolowanie działalności wojewódzkich konserwatorów zabytków oraz ustalanie ogólnych kierunków działania wojewódzkich konserwatorów zabytków i</w:t>
      </w:r>
      <w:r w:rsidR="00E91209">
        <w:rPr>
          <w:rFonts w:ascii="Times New Roman" w:hAnsi="Times New Roman"/>
          <w:sz w:val="24"/>
          <w:szCs w:val="24"/>
        </w:rPr>
        <w:t xml:space="preserve"> </w:t>
      </w:r>
      <w:r w:rsidRPr="00E91209">
        <w:rPr>
          <w:rFonts w:ascii="Times New Roman" w:hAnsi="Times New Roman"/>
          <w:sz w:val="24"/>
          <w:szCs w:val="24"/>
        </w:rPr>
        <w:t>wydawanie instrukcji i</w:t>
      </w:r>
      <w:r w:rsidR="00E91209">
        <w:rPr>
          <w:rFonts w:ascii="Times New Roman" w:hAnsi="Times New Roman"/>
          <w:sz w:val="24"/>
          <w:szCs w:val="24"/>
        </w:rPr>
        <w:t xml:space="preserve"> </w:t>
      </w:r>
      <w:r w:rsidRPr="00E91209">
        <w:rPr>
          <w:rFonts w:ascii="Times New Roman" w:hAnsi="Times New Roman"/>
          <w:sz w:val="24"/>
          <w:szCs w:val="24"/>
        </w:rPr>
        <w:t>wytycznych określających sposób ich postępowania oraz żądanie od nich sprawozdań z</w:t>
      </w:r>
      <w:r w:rsidR="00E91209">
        <w:rPr>
          <w:rFonts w:ascii="Times New Roman" w:hAnsi="Times New Roman"/>
          <w:sz w:val="24"/>
          <w:szCs w:val="24"/>
        </w:rPr>
        <w:t xml:space="preserve"> </w:t>
      </w:r>
      <w:r w:rsidRPr="00E91209">
        <w:rPr>
          <w:rFonts w:ascii="Times New Roman" w:hAnsi="Times New Roman"/>
          <w:sz w:val="24"/>
          <w:szCs w:val="24"/>
        </w:rPr>
        <w:t xml:space="preserve">działalności. Projektowane regulacje wzmacniają kompetencje Generalnego </w:t>
      </w:r>
      <w:r w:rsidR="00043AD1" w:rsidRPr="00E91209">
        <w:rPr>
          <w:rFonts w:ascii="Times New Roman" w:hAnsi="Times New Roman"/>
          <w:sz w:val="24"/>
          <w:szCs w:val="24"/>
        </w:rPr>
        <w:t xml:space="preserve">Konserwatora </w:t>
      </w:r>
      <w:r w:rsidRPr="00E91209">
        <w:rPr>
          <w:rFonts w:ascii="Times New Roman" w:hAnsi="Times New Roman"/>
          <w:sz w:val="24"/>
          <w:szCs w:val="24"/>
        </w:rPr>
        <w:t>Zabytków w stosunku do organów terenowych. W</w:t>
      </w:r>
      <w:r w:rsidR="00E91209">
        <w:rPr>
          <w:rFonts w:ascii="Times New Roman" w:hAnsi="Times New Roman"/>
          <w:sz w:val="24"/>
          <w:szCs w:val="24"/>
        </w:rPr>
        <w:t> </w:t>
      </w:r>
      <w:r w:rsidRPr="00E91209">
        <w:rPr>
          <w:rFonts w:ascii="Times New Roman" w:hAnsi="Times New Roman"/>
          <w:sz w:val="24"/>
          <w:szCs w:val="24"/>
        </w:rPr>
        <w:t>dodawanym</w:t>
      </w:r>
      <w:r w:rsidR="00043AD1" w:rsidRPr="00E91209">
        <w:rPr>
          <w:rFonts w:ascii="Times New Roman" w:hAnsi="Times New Roman"/>
          <w:sz w:val="24"/>
          <w:szCs w:val="24"/>
        </w:rPr>
        <w:t xml:space="preserve"> w art. 90</w:t>
      </w:r>
      <w:r w:rsidRPr="00E91209">
        <w:rPr>
          <w:rFonts w:ascii="Times New Roman" w:hAnsi="Times New Roman"/>
          <w:sz w:val="24"/>
          <w:szCs w:val="24"/>
        </w:rPr>
        <w:t xml:space="preserve"> ust. 3 wskazano, że w</w:t>
      </w:r>
      <w:r w:rsidR="00E91209">
        <w:rPr>
          <w:rFonts w:ascii="Times New Roman" w:hAnsi="Times New Roman"/>
          <w:sz w:val="24"/>
          <w:szCs w:val="24"/>
        </w:rPr>
        <w:t xml:space="preserve"> </w:t>
      </w:r>
      <w:r w:rsidRPr="00E91209">
        <w:rPr>
          <w:rFonts w:ascii="Times New Roman" w:hAnsi="Times New Roman"/>
          <w:sz w:val="24"/>
          <w:szCs w:val="24"/>
        </w:rPr>
        <w:t>ramach koordynowania działalności wojewódzkich konserwatorów zabytków Generalny Konserwator Zabytków może ustalać ogólne kierunki ich działania, wydawać instrukcje i</w:t>
      </w:r>
      <w:r w:rsidR="00E91209">
        <w:rPr>
          <w:rFonts w:ascii="Times New Roman" w:hAnsi="Times New Roman"/>
          <w:sz w:val="24"/>
          <w:szCs w:val="24"/>
        </w:rPr>
        <w:t xml:space="preserve"> </w:t>
      </w:r>
      <w:r w:rsidRPr="00E91209">
        <w:rPr>
          <w:rFonts w:ascii="Times New Roman" w:hAnsi="Times New Roman"/>
          <w:sz w:val="24"/>
          <w:szCs w:val="24"/>
        </w:rPr>
        <w:t>wytyczne określające sposób ich postępowania oraz żądać od nich sprawozdań z</w:t>
      </w:r>
      <w:r w:rsidR="00E91209">
        <w:rPr>
          <w:rFonts w:ascii="Times New Roman" w:hAnsi="Times New Roman"/>
          <w:sz w:val="24"/>
          <w:szCs w:val="24"/>
        </w:rPr>
        <w:t xml:space="preserve"> </w:t>
      </w:r>
      <w:r w:rsidRPr="00E91209">
        <w:rPr>
          <w:rFonts w:ascii="Times New Roman" w:hAnsi="Times New Roman"/>
          <w:sz w:val="24"/>
          <w:szCs w:val="24"/>
        </w:rPr>
        <w:t xml:space="preserve">działalności. </w:t>
      </w:r>
      <w:r w:rsidR="00043AD1" w:rsidRPr="00E91209">
        <w:rPr>
          <w:rFonts w:ascii="Times New Roman" w:hAnsi="Times New Roman"/>
          <w:sz w:val="24"/>
          <w:szCs w:val="24"/>
        </w:rPr>
        <w:t>Z kolei w</w:t>
      </w:r>
      <w:r w:rsidR="00E91209">
        <w:rPr>
          <w:rFonts w:ascii="Times New Roman" w:hAnsi="Times New Roman"/>
          <w:sz w:val="24"/>
          <w:szCs w:val="24"/>
        </w:rPr>
        <w:t> </w:t>
      </w:r>
      <w:r w:rsidR="00043AD1" w:rsidRPr="00E91209">
        <w:rPr>
          <w:rFonts w:ascii="Times New Roman" w:hAnsi="Times New Roman"/>
          <w:sz w:val="24"/>
          <w:szCs w:val="24"/>
        </w:rPr>
        <w:t xml:space="preserve">dodawanym w art. 90 </w:t>
      </w:r>
      <w:r w:rsidRPr="00E91209">
        <w:rPr>
          <w:rFonts w:ascii="Times New Roman" w:hAnsi="Times New Roman"/>
          <w:sz w:val="24"/>
          <w:szCs w:val="24"/>
        </w:rPr>
        <w:t>ust. 4 ustalono, że instrukcje i</w:t>
      </w:r>
      <w:r w:rsidR="00E91209">
        <w:rPr>
          <w:rFonts w:ascii="Times New Roman" w:hAnsi="Times New Roman"/>
          <w:sz w:val="24"/>
          <w:szCs w:val="24"/>
        </w:rPr>
        <w:t xml:space="preserve"> </w:t>
      </w:r>
      <w:r w:rsidRPr="00E91209">
        <w:rPr>
          <w:rFonts w:ascii="Times New Roman" w:hAnsi="Times New Roman"/>
          <w:sz w:val="24"/>
          <w:szCs w:val="24"/>
        </w:rPr>
        <w:t>wytyczne nie mogą dotyczyć rozstrzygnięć co do istoty sprawy załatwianej w</w:t>
      </w:r>
      <w:r w:rsidR="00E91209">
        <w:rPr>
          <w:rFonts w:ascii="Times New Roman" w:hAnsi="Times New Roman"/>
          <w:sz w:val="24"/>
          <w:szCs w:val="24"/>
        </w:rPr>
        <w:t xml:space="preserve"> </w:t>
      </w:r>
      <w:r w:rsidRPr="00E91209">
        <w:rPr>
          <w:rFonts w:ascii="Times New Roman" w:hAnsi="Times New Roman"/>
          <w:sz w:val="24"/>
          <w:szCs w:val="24"/>
        </w:rPr>
        <w:t>drodze decyzji administracyjnej.</w:t>
      </w:r>
    </w:p>
    <w:p w:rsidR="002C1FE5" w:rsidRPr="00E91209" w:rsidRDefault="002C1FE5" w:rsidP="00E91209">
      <w:pPr>
        <w:spacing w:before="120" w:after="0" w:line="360" w:lineRule="auto"/>
        <w:jc w:val="both"/>
        <w:rPr>
          <w:rFonts w:ascii="Times New Roman" w:hAnsi="Times New Roman"/>
          <w:sz w:val="24"/>
          <w:szCs w:val="24"/>
        </w:rPr>
      </w:pPr>
      <w:r w:rsidRPr="00E91209">
        <w:rPr>
          <w:rFonts w:ascii="Times New Roman" w:hAnsi="Times New Roman"/>
          <w:sz w:val="24"/>
          <w:szCs w:val="24"/>
        </w:rPr>
        <w:t>W zmienianym art. 91 ust. 1 ustawy o ochronie zabytków ustalono, że wojewódzkiego konserwatora zabytków powołuje wojewoda na wniosek Generalnego Konserwatora Zabytków wskazujący kandydata na to stanowisko. Stosownie zaś do treści dodawanego w art. 91 ust. 1a wojewódzki konserwator zabytków będzie odwoływany przez wojewodę na wniosek Generalnego Konserwatora Zabytków albo za jego zgodą. Projektowany przepis wzmacnia współuczestnictwo Generalnego Konserwatora Zabytków w procedurze powoływania i</w:t>
      </w:r>
      <w:r w:rsidR="00E91209">
        <w:rPr>
          <w:rFonts w:ascii="Times New Roman" w:hAnsi="Times New Roman"/>
          <w:sz w:val="24"/>
          <w:szCs w:val="24"/>
        </w:rPr>
        <w:t xml:space="preserve"> </w:t>
      </w:r>
      <w:r w:rsidRPr="00E91209">
        <w:rPr>
          <w:rFonts w:ascii="Times New Roman" w:hAnsi="Times New Roman"/>
          <w:sz w:val="24"/>
          <w:szCs w:val="24"/>
        </w:rPr>
        <w:t>odwoływania wojewódzkich konserwatorów zabytków. Obecnie wojewódzkiego konserwatora zabytków powołuje i odwołuje wojewoda, za zgodą Generalnego Konserwatora Zabytków. Projektowana regulacja przyznaje prawo inicjowania zmian w zakresie obsady personalnej stanowisk wojewódzkich konserwatorów zabytków wraz z uprawnieniem do wskazywania kandydatów na tę funkcję</w:t>
      </w:r>
      <w:r w:rsidR="00EA72A3">
        <w:rPr>
          <w:rFonts w:ascii="Times New Roman" w:hAnsi="Times New Roman"/>
          <w:sz w:val="24"/>
          <w:szCs w:val="24"/>
        </w:rPr>
        <w:t xml:space="preserve">. </w:t>
      </w:r>
      <w:r w:rsidRPr="00E91209">
        <w:rPr>
          <w:rFonts w:ascii="Times New Roman" w:hAnsi="Times New Roman"/>
          <w:sz w:val="24"/>
          <w:szCs w:val="24"/>
        </w:rPr>
        <w:t xml:space="preserve">Sam akt powołania zgodnie z zasadą zespolenia osobowego </w:t>
      </w:r>
      <w:r w:rsidRPr="00E91209">
        <w:rPr>
          <w:rFonts w:ascii="Times New Roman" w:hAnsi="Times New Roman"/>
          <w:sz w:val="24"/>
          <w:szCs w:val="24"/>
        </w:rPr>
        <w:lastRenderedPageBreak/>
        <w:t>wojewódzkich konserwatorów zabytków z terenowym organem właściwości ogólnej wykonywany będzie przez wojewodę.</w:t>
      </w:r>
    </w:p>
    <w:p w:rsidR="002C1FE5" w:rsidRPr="00E91209" w:rsidRDefault="002C1FE5" w:rsidP="00E91209">
      <w:pPr>
        <w:spacing w:before="120" w:after="0" w:line="360" w:lineRule="auto"/>
        <w:jc w:val="both"/>
        <w:rPr>
          <w:rFonts w:ascii="Times New Roman" w:hAnsi="Times New Roman"/>
          <w:bCs/>
          <w:sz w:val="24"/>
          <w:szCs w:val="24"/>
        </w:rPr>
      </w:pPr>
      <w:r w:rsidRPr="00E91209">
        <w:rPr>
          <w:rFonts w:ascii="Times New Roman" w:hAnsi="Times New Roman"/>
          <w:bCs/>
          <w:sz w:val="24"/>
          <w:szCs w:val="24"/>
        </w:rPr>
        <w:t xml:space="preserve">W zmienianym art. 91 w ust. 4 pkt 9 </w:t>
      </w:r>
      <w:r w:rsidRPr="00E91209">
        <w:rPr>
          <w:rFonts w:ascii="Times New Roman" w:hAnsi="Times New Roman"/>
          <w:sz w:val="24"/>
          <w:szCs w:val="24"/>
        </w:rPr>
        <w:t>ustawy o ochronie zabytków</w:t>
      </w:r>
      <w:r w:rsidRPr="00E91209">
        <w:rPr>
          <w:rFonts w:ascii="Times New Roman" w:hAnsi="Times New Roman"/>
          <w:bCs/>
          <w:sz w:val="24"/>
          <w:szCs w:val="24"/>
        </w:rPr>
        <w:t xml:space="preserve"> doprecyzowano treść zadania wojewódzkich konserwatorów zabytków w zakresie współpracy z innymi podmiotami w sprawach ochrony zabytków. Zaakcentowano konieczność współpracy z</w:t>
      </w:r>
      <w:r w:rsidR="00E91209">
        <w:rPr>
          <w:rFonts w:ascii="Times New Roman" w:hAnsi="Times New Roman"/>
          <w:bCs/>
          <w:sz w:val="24"/>
          <w:szCs w:val="24"/>
        </w:rPr>
        <w:t> </w:t>
      </w:r>
      <w:r w:rsidRPr="00E91209">
        <w:rPr>
          <w:rFonts w:ascii="Times New Roman" w:hAnsi="Times New Roman"/>
          <w:bCs/>
          <w:sz w:val="24"/>
          <w:szCs w:val="24"/>
        </w:rPr>
        <w:t xml:space="preserve">organami samorządu terytorialnego oraz organizacjami pozarządowymi. </w:t>
      </w:r>
    </w:p>
    <w:p w:rsidR="002C1FE5" w:rsidRPr="00E91209" w:rsidRDefault="002C1FE5" w:rsidP="00E91209">
      <w:pPr>
        <w:spacing w:before="120" w:after="0" w:line="360" w:lineRule="auto"/>
        <w:jc w:val="both"/>
        <w:rPr>
          <w:rFonts w:ascii="Times New Roman" w:hAnsi="Times New Roman"/>
          <w:bCs/>
          <w:sz w:val="24"/>
          <w:szCs w:val="24"/>
        </w:rPr>
      </w:pPr>
      <w:r w:rsidRPr="00E91209">
        <w:rPr>
          <w:rFonts w:ascii="Times New Roman" w:hAnsi="Times New Roman"/>
          <w:bCs/>
          <w:sz w:val="24"/>
          <w:szCs w:val="24"/>
        </w:rPr>
        <w:t xml:space="preserve">W dodawanym w art. 92 ust. 5a </w:t>
      </w:r>
      <w:r w:rsidRPr="00E91209">
        <w:rPr>
          <w:rFonts w:ascii="Times New Roman" w:hAnsi="Times New Roman"/>
          <w:sz w:val="24"/>
          <w:szCs w:val="24"/>
        </w:rPr>
        <w:t>ustawy o ochronie zabytków</w:t>
      </w:r>
      <w:r w:rsidRPr="00E91209">
        <w:rPr>
          <w:rFonts w:ascii="Times New Roman" w:hAnsi="Times New Roman"/>
          <w:bCs/>
          <w:sz w:val="24"/>
          <w:szCs w:val="24"/>
        </w:rPr>
        <w:t xml:space="preserve"> ustalono, że kierownika delegatury wojewódzkiego urzędu ochrony zabytków będzie powoływać i</w:t>
      </w:r>
      <w:r w:rsidR="00E91209">
        <w:rPr>
          <w:rFonts w:ascii="Times New Roman" w:hAnsi="Times New Roman"/>
          <w:bCs/>
          <w:sz w:val="24"/>
          <w:szCs w:val="24"/>
        </w:rPr>
        <w:t xml:space="preserve"> </w:t>
      </w:r>
      <w:r w:rsidRPr="00E91209">
        <w:rPr>
          <w:rFonts w:ascii="Times New Roman" w:hAnsi="Times New Roman"/>
          <w:bCs/>
          <w:sz w:val="24"/>
          <w:szCs w:val="24"/>
        </w:rPr>
        <w:t xml:space="preserve">odwoływać wojewódzki konserwator zabytków na wniosek Generalnego Konserwatora Zabytków albo za jego zgodą. Obecnie stosunek pracy kierownika delegatury wojewódzkiego urzędu ochrony zabytków powstaje na podstawie umowy o pracę. </w:t>
      </w:r>
    </w:p>
    <w:p w:rsidR="002C1FE5" w:rsidRPr="00E91209" w:rsidRDefault="002C1FE5" w:rsidP="00E91209">
      <w:pPr>
        <w:spacing w:before="120" w:after="0" w:line="360" w:lineRule="auto"/>
        <w:jc w:val="both"/>
        <w:rPr>
          <w:rFonts w:ascii="Times New Roman" w:hAnsi="Times New Roman"/>
          <w:bCs/>
          <w:sz w:val="24"/>
          <w:szCs w:val="24"/>
        </w:rPr>
      </w:pPr>
      <w:r w:rsidRPr="00E91209">
        <w:rPr>
          <w:rFonts w:ascii="Times New Roman" w:hAnsi="Times New Roman"/>
          <w:bCs/>
          <w:sz w:val="24"/>
          <w:szCs w:val="24"/>
        </w:rPr>
        <w:t>W art. 96 ust. 2 doprecyzowano kwest</w:t>
      </w:r>
      <w:r w:rsidR="00EA72A3">
        <w:rPr>
          <w:rFonts w:ascii="Times New Roman" w:hAnsi="Times New Roman"/>
          <w:bCs/>
          <w:sz w:val="24"/>
          <w:szCs w:val="24"/>
        </w:rPr>
        <w:t>i</w:t>
      </w:r>
      <w:r w:rsidRPr="00E91209">
        <w:rPr>
          <w:rFonts w:ascii="Times New Roman" w:hAnsi="Times New Roman"/>
          <w:bCs/>
          <w:sz w:val="24"/>
          <w:szCs w:val="24"/>
        </w:rPr>
        <w:t>ę porozumień administracyjnych o</w:t>
      </w:r>
      <w:r w:rsidR="00E91209">
        <w:rPr>
          <w:rFonts w:ascii="Times New Roman" w:hAnsi="Times New Roman"/>
          <w:bCs/>
          <w:sz w:val="24"/>
          <w:szCs w:val="24"/>
        </w:rPr>
        <w:t xml:space="preserve"> </w:t>
      </w:r>
      <w:r w:rsidRPr="00E91209">
        <w:rPr>
          <w:rFonts w:ascii="Times New Roman" w:hAnsi="Times New Roman"/>
          <w:bCs/>
          <w:sz w:val="24"/>
          <w:szCs w:val="24"/>
        </w:rPr>
        <w:t>przekazaniu do prowadzenia jednostkom samorządu terytorialnego spraw z zakresu właściwości wojewódzkich konserwatorów zabytków. W przepisie uwzględniono, że od dnia 1</w:t>
      </w:r>
      <w:r w:rsidR="00E91209">
        <w:rPr>
          <w:rFonts w:ascii="Times New Roman" w:hAnsi="Times New Roman"/>
          <w:bCs/>
          <w:sz w:val="24"/>
          <w:szCs w:val="24"/>
        </w:rPr>
        <w:t> </w:t>
      </w:r>
      <w:r w:rsidRPr="00E91209">
        <w:rPr>
          <w:rFonts w:ascii="Times New Roman" w:hAnsi="Times New Roman"/>
          <w:bCs/>
          <w:sz w:val="24"/>
          <w:szCs w:val="24"/>
        </w:rPr>
        <w:t>stycznia 2016 r. możliwe jest tworzenie związków metropolita</w:t>
      </w:r>
      <w:r w:rsidR="00EA72A3">
        <w:rPr>
          <w:rFonts w:ascii="Times New Roman" w:hAnsi="Times New Roman"/>
          <w:bCs/>
          <w:sz w:val="24"/>
          <w:szCs w:val="24"/>
        </w:rPr>
        <w:t>l</w:t>
      </w:r>
      <w:r w:rsidRPr="00E91209">
        <w:rPr>
          <w:rFonts w:ascii="Times New Roman" w:hAnsi="Times New Roman"/>
          <w:bCs/>
          <w:sz w:val="24"/>
          <w:szCs w:val="24"/>
        </w:rPr>
        <w:t>nych. Związki tego rodzaju</w:t>
      </w:r>
      <w:r w:rsidR="00EA72A3">
        <w:rPr>
          <w:rFonts w:ascii="Times New Roman" w:hAnsi="Times New Roman"/>
          <w:bCs/>
          <w:sz w:val="24"/>
          <w:szCs w:val="24"/>
        </w:rPr>
        <w:t>,</w:t>
      </w:r>
      <w:r w:rsidRPr="00E91209">
        <w:rPr>
          <w:rFonts w:ascii="Times New Roman" w:hAnsi="Times New Roman"/>
          <w:bCs/>
          <w:sz w:val="24"/>
          <w:szCs w:val="24"/>
        </w:rPr>
        <w:t xml:space="preserve"> podobnie jak jednostki samorządu terytorialnego i ich związki, będą mogły na zasadzie porozumienia wykonywać kompetencje wojewódzkich konserwatorów zabytków.</w:t>
      </w:r>
    </w:p>
    <w:p w:rsidR="002C1FE5" w:rsidRPr="00E91209" w:rsidRDefault="002C1FE5" w:rsidP="00E91209">
      <w:pPr>
        <w:spacing w:before="120" w:after="0" w:line="360" w:lineRule="auto"/>
        <w:jc w:val="both"/>
        <w:rPr>
          <w:rFonts w:ascii="Times New Roman" w:hAnsi="Times New Roman"/>
          <w:bCs/>
          <w:sz w:val="24"/>
          <w:szCs w:val="24"/>
        </w:rPr>
      </w:pPr>
      <w:r w:rsidRPr="00E91209">
        <w:rPr>
          <w:rFonts w:ascii="Times New Roman" w:hAnsi="Times New Roman"/>
          <w:bCs/>
          <w:sz w:val="24"/>
          <w:szCs w:val="24"/>
        </w:rPr>
        <w:t>W dodawanym do art. 96 ustawy o ochronie zabytków ust. 2a sformułowano obowiązek utworzenia w</w:t>
      </w:r>
      <w:r w:rsidR="00E91209">
        <w:rPr>
          <w:rFonts w:ascii="Times New Roman" w:hAnsi="Times New Roman"/>
          <w:bCs/>
          <w:sz w:val="24"/>
          <w:szCs w:val="24"/>
        </w:rPr>
        <w:t xml:space="preserve"> </w:t>
      </w:r>
      <w:r w:rsidRPr="00E91209">
        <w:rPr>
          <w:rFonts w:ascii="Times New Roman" w:hAnsi="Times New Roman"/>
          <w:bCs/>
          <w:sz w:val="24"/>
          <w:szCs w:val="24"/>
        </w:rPr>
        <w:t xml:space="preserve">strukturze administracyjnej samorządu stanowiska gminnego (miejskiego) albo powiatowego konserwatora zabytków w przypadku, gdy jednostka samorządu terytorialnego zawarła porozumienie w sprawie </w:t>
      </w:r>
      <w:r w:rsidR="00043AD1" w:rsidRPr="00E91209">
        <w:rPr>
          <w:rFonts w:ascii="Times New Roman" w:hAnsi="Times New Roman"/>
          <w:bCs/>
          <w:sz w:val="24"/>
          <w:szCs w:val="24"/>
        </w:rPr>
        <w:t xml:space="preserve">prowadzenia </w:t>
      </w:r>
      <w:r w:rsidRPr="00E91209">
        <w:rPr>
          <w:rFonts w:ascii="Times New Roman" w:hAnsi="Times New Roman"/>
          <w:bCs/>
          <w:sz w:val="24"/>
          <w:szCs w:val="24"/>
        </w:rPr>
        <w:t>niektórych spraw z</w:t>
      </w:r>
      <w:r w:rsidR="00E91209">
        <w:rPr>
          <w:rFonts w:ascii="Times New Roman" w:hAnsi="Times New Roman"/>
          <w:bCs/>
          <w:sz w:val="24"/>
          <w:szCs w:val="24"/>
        </w:rPr>
        <w:t> </w:t>
      </w:r>
      <w:r w:rsidRPr="00E91209">
        <w:rPr>
          <w:rFonts w:ascii="Times New Roman" w:hAnsi="Times New Roman"/>
          <w:bCs/>
          <w:sz w:val="24"/>
          <w:szCs w:val="24"/>
        </w:rPr>
        <w:t>zakresu wojewódzkiego konserwatora z</w:t>
      </w:r>
      <w:r w:rsidR="00EA72A3">
        <w:rPr>
          <w:rFonts w:ascii="Times New Roman" w:hAnsi="Times New Roman"/>
          <w:bCs/>
          <w:sz w:val="24"/>
          <w:szCs w:val="24"/>
        </w:rPr>
        <w:t>a</w:t>
      </w:r>
      <w:r w:rsidRPr="00E91209">
        <w:rPr>
          <w:rFonts w:ascii="Times New Roman" w:hAnsi="Times New Roman"/>
          <w:bCs/>
          <w:sz w:val="24"/>
          <w:szCs w:val="24"/>
        </w:rPr>
        <w:t xml:space="preserve">bytków. Obecnie takiego wymogu nie ma, co przekłada się na niską jakość wykonywania przyjętych zadań przez niektóre samorządy. </w:t>
      </w:r>
    </w:p>
    <w:p w:rsidR="002C1FE5" w:rsidRPr="00E91209" w:rsidRDefault="002C1FE5" w:rsidP="00E91209">
      <w:pPr>
        <w:spacing w:before="120" w:after="0" w:line="360" w:lineRule="auto"/>
        <w:jc w:val="both"/>
        <w:rPr>
          <w:rFonts w:ascii="Times New Roman" w:hAnsi="Times New Roman"/>
          <w:bCs/>
          <w:sz w:val="24"/>
          <w:szCs w:val="24"/>
        </w:rPr>
      </w:pPr>
      <w:r w:rsidRPr="00E91209">
        <w:rPr>
          <w:rFonts w:ascii="Times New Roman" w:hAnsi="Times New Roman"/>
          <w:bCs/>
          <w:sz w:val="24"/>
          <w:szCs w:val="24"/>
        </w:rPr>
        <w:t xml:space="preserve">W zmienianym art. 97 ust. 3 ustawy o ochronie zabytków wydłużono kadencję członków Rady Ochrony Zabytków z 4 do 5 lat. </w:t>
      </w:r>
    </w:p>
    <w:p w:rsidR="002C1FE5" w:rsidRPr="00E91209" w:rsidRDefault="002C1FE5" w:rsidP="00E91209">
      <w:pPr>
        <w:spacing w:before="120" w:after="0" w:line="360" w:lineRule="auto"/>
        <w:jc w:val="both"/>
        <w:rPr>
          <w:rFonts w:ascii="Times New Roman" w:hAnsi="Times New Roman"/>
          <w:bCs/>
          <w:sz w:val="24"/>
          <w:szCs w:val="24"/>
        </w:rPr>
      </w:pPr>
      <w:r w:rsidRPr="00E91209">
        <w:rPr>
          <w:rFonts w:ascii="Times New Roman" w:hAnsi="Times New Roman"/>
          <w:bCs/>
          <w:sz w:val="24"/>
          <w:szCs w:val="24"/>
        </w:rPr>
        <w:t xml:space="preserve">W zmienianym art. 98 ust. 3 ustawy o ochronie zabytków wprowadzono zasadę </w:t>
      </w:r>
      <w:r w:rsidR="00043AD1" w:rsidRPr="00E91209">
        <w:rPr>
          <w:rFonts w:ascii="Times New Roman" w:hAnsi="Times New Roman"/>
          <w:bCs/>
          <w:sz w:val="24"/>
          <w:szCs w:val="24"/>
        </w:rPr>
        <w:t xml:space="preserve">kadencyjności </w:t>
      </w:r>
      <w:r w:rsidRPr="00E91209">
        <w:rPr>
          <w:rFonts w:ascii="Times New Roman" w:hAnsi="Times New Roman"/>
          <w:bCs/>
          <w:sz w:val="24"/>
          <w:szCs w:val="24"/>
        </w:rPr>
        <w:t xml:space="preserve">Głównej Komisji Konserwatorskiej (5 lat) oraz określono liczbę jej członków. Obecnie kwestie te są uregulowane aktem prawa wewnętrznego – zarządzeniem nr 2 Ministra Kultury z dnia 15 stycznia 2004 r. w sprawie nadania regulaminu Głównej Komisji Konserwatorskiej. </w:t>
      </w:r>
    </w:p>
    <w:p w:rsidR="002C1FE5" w:rsidRPr="00E91209" w:rsidRDefault="002C1FE5" w:rsidP="00E91209">
      <w:pPr>
        <w:spacing w:before="120" w:after="0" w:line="360" w:lineRule="auto"/>
        <w:jc w:val="both"/>
        <w:rPr>
          <w:rFonts w:ascii="Times New Roman" w:hAnsi="Times New Roman"/>
          <w:bCs/>
          <w:sz w:val="24"/>
          <w:szCs w:val="24"/>
        </w:rPr>
      </w:pPr>
      <w:r w:rsidRPr="00E91209">
        <w:rPr>
          <w:rFonts w:ascii="Times New Roman" w:hAnsi="Times New Roman"/>
          <w:bCs/>
          <w:sz w:val="24"/>
          <w:szCs w:val="24"/>
        </w:rPr>
        <w:lastRenderedPageBreak/>
        <w:t>W zmienianym art. 99 ust. 2 ustawy o ochronie zabytków wydłużono kadencję Wojewódzkich Rad Ochrony Zabytków z 4 do 5 lat i</w:t>
      </w:r>
      <w:r w:rsidR="00E91209">
        <w:rPr>
          <w:rFonts w:ascii="Times New Roman" w:hAnsi="Times New Roman"/>
          <w:bCs/>
          <w:sz w:val="24"/>
          <w:szCs w:val="24"/>
        </w:rPr>
        <w:t xml:space="preserve"> </w:t>
      </w:r>
      <w:r w:rsidRPr="00E91209">
        <w:rPr>
          <w:rFonts w:ascii="Times New Roman" w:hAnsi="Times New Roman"/>
          <w:bCs/>
          <w:sz w:val="24"/>
          <w:szCs w:val="24"/>
        </w:rPr>
        <w:t xml:space="preserve">umocowano do powoływania ich członków wojewódzkiego konserwatora zabytków, po uzyskaniu pozytywnej opinii Generalnego Konserwatora Zabytków. W ust. 3 </w:t>
      </w:r>
      <w:r w:rsidR="00043AD1" w:rsidRPr="00E91209">
        <w:rPr>
          <w:rFonts w:ascii="Times New Roman" w:hAnsi="Times New Roman"/>
          <w:bCs/>
          <w:sz w:val="24"/>
          <w:szCs w:val="24"/>
        </w:rPr>
        <w:t xml:space="preserve">tego przepisu </w:t>
      </w:r>
      <w:r w:rsidRPr="00E91209">
        <w:rPr>
          <w:rFonts w:ascii="Times New Roman" w:hAnsi="Times New Roman"/>
          <w:bCs/>
          <w:sz w:val="24"/>
          <w:szCs w:val="24"/>
        </w:rPr>
        <w:t xml:space="preserve">zmieniono organ nadający regulamin Wojewódzkiej Radzie Ochrony Zabytków z wojewody na wojewódzkiego konserwatora zabytków. </w:t>
      </w:r>
    </w:p>
    <w:p w:rsidR="002C1FE5" w:rsidRPr="00E91209" w:rsidRDefault="002C1FE5" w:rsidP="00E91209">
      <w:pPr>
        <w:spacing w:before="120" w:after="0" w:line="360" w:lineRule="auto"/>
        <w:jc w:val="both"/>
        <w:rPr>
          <w:rFonts w:ascii="Times New Roman" w:hAnsi="Times New Roman"/>
          <w:bCs/>
          <w:sz w:val="24"/>
          <w:szCs w:val="24"/>
        </w:rPr>
      </w:pPr>
      <w:r w:rsidRPr="00E91209">
        <w:rPr>
          <w:rFonts w:ascii="Times New Roman" w:hAnsi="Times New Roman"/>
          <w:bCs/>
          <w:sz w:val="24"/>
          <w:szCs w:val="24"/>
        </w:rPr>
        <w:t xml:space="preserve">W zmienianym art. 100 ustawy o ochronie zabytków doprecyzowano kwestie związane z prowadzeniem </w:t>
      </w:r>
      <w:r w:rsidR="007650F1" w:rsidRPr="00E91209">
        <w:rPr>
          <w:rFonts w:ascii="Times New Roman" w:hAnsi="Times New Roman"/>
          <w:bCs/>
          <w:sz w:val="24"/>
          <w:szCs w:val="24"/>
        </w:rPr>
        <w:t xml:space="preserve">listy </w:t>
      </w:r>
      <w:r w:rsidRPr="00E91209">
        <w:rPr>
          <w:rFonts w:ascii="Times New Roman" w:hAnsi="Times New Roman"/>
          <w:bCs/>
          <w:sz w:val="24"/>
          <w:szCs w:val="24"/>
        </w:rPr>
        <w:t>rzeczoznawców. Określono zakres gromadzonych danych osobowych dotyczących rzeczoznawców, zasady udostępniania tych danych oraz okres ich przechowywania. Regulacja ma na celu dostosowanie przepisu do wymogów art. 26 ustawy z</w:t>
      </w:r>
      <w:r w:rsidR="00E91209">
        <w:rPr>
          <w:rFonts w:ascii="Times New Roman" w:hAnsi="Times New Roman"/>
          <w:bCs/>
          <w:sz w:val="24"/>
          <w:szCs w:val="24"/>
        </w:rPr>
        <w:t xml:space="preserve"> </w:t>
      </w:r>
      <w:r w:rsidRPr="00E91209">
        <w:rPr>
          <w:rFonts w:ascii="Times New Roman" w:hAnsi="Times New Roman"/>
          <w:bCs/>
          <w:sz w:val="24"/>
          <w:szCs w:val="24"/>
        </w:rPr>
        <w:t>dnia 29 sierpnia 1997 r. o ochronie danych osobowych (Dz. U. z 2016</w:t>
      </w:r>
      <w:r w:rsidR="007C350E" w:rsidRPr="00E91209">
        <w:rPr>
          <w:rFonts w:ascii="Times New Roman" w:hAnsi="Times New Roman"/>
          <w:bCs/>
          <w:sz w:val="24"/>
          <w:szCs w:val="24"/>
        </w:rPr>
        <w:t xml:space="preserve"> r.</w:t>
      </w:r>
      <w:r w:rsidRPr="00E91209">
        <w:rPr>
          <w:rFonts w:ascii="Times New Roman" w:hAnsi="Times New Roman"/>
          <w:bCs/>
          <w:sz w:val="24"/>
          <w:szCs w:val="24"/>
        </w:rPr>
        <w:t xml:space="preserve"> poz.</w:t>
      </w:r>
      <w:r w:rsidR="00E91209">
        <w:rPr>
          <w:rFonts w:ascii="Times New Roman" w:hAnsi="Times New Roman"/>
          <w:bCs/>
          <w:sz w:val="24"/>
          <w:szCs w:val="24"/>
        </w:rPr>
        <w:t> </w:t>
      </w:r>
      <w:r w:rsidRPr="00E91209">
        <w:rPr>
          <w:rFonts w:ascii="Times New Roman" w:hAnsi="Times New Roman"/>
          <w:bCs/>
          <w:sz w:val="24"/>
          <w:szCs w:val="24"/>
        </w:rPr>
        <w:t>922).</w:t>
      </w:r>
    </w:p>
    <w:p w:rsidR="002C1FE5" w:rsidRPr="00E91209" w:rsidRDefault="002C1FE5" w:rsidP="00E91209">
      <w:pPr>
        <w:spacing w:before="120" w:after="0" w:line="360" w:lineRule="auto"/>
        <w:jc w:val="both"/>
        <w:rPr>
          <w:rFonts w:ascii="Times New Roman" w:hAnsi="Times New Roman"/>
          <w:bCs/>
          <w:sz w:val="24"/>
          <w:szCs w:val="24"/>
        </w:rPr>
      </w:pPr>
      <w:r w:rsidRPr="00E91209">
        <w:rPr>
          <w:rFonts w:ascii="Times New Roman" w:hAnsi="Times New Roman"/>
          <w:bCs/>
          <w:sz w:val="24"/>
          <w:szCs w:val="24"/>
        </w:rPr>
        <w:t>W zmienionym art. 108 ust. 1 ustawy o ochronie zabytków podwyższono ustawowy wymiar kary pozbawiania wolności za umyślne przestępstwo zniszczenia lub uszkodzenia zabytku.</w:t>
      </w:r>
    </w:p>
    <w:p w:rsidR="002C1FE5" w:rsidRPr="00E91209" w:rsidRDefault="002C1FE5" w:rsidP="00E91209">
      <w:pPr>
        <w:spacing w:before="120" w:after="0" w:line="360" w:lineRule="auto"/>
        <w:jc w:val="both"/>
        <w:rPr>
          <w:rFonts w:ascii="Times New Roman" w:hAnsi="Times New Roman"/>
          <w:bCs/>
          <w:sz w:val="24"/>
          <w:szCs w:val="24"/>
        </w:rPr>
      </w:pPr>
      <w:r w:rsidRPr="00E91209">
        <w:rPr>
          <w:rFonts w:ascii="Times New Roman" w:hAnsi="Times New Roman"/>
          <w:bCs/>
          <w:sz w:val="24"/>
          <w:szCs w:val="24"/>
        </w:rPr>
        <w:t xml:space="preserve">W art. 2 projektu ustawy zmieniono art. 20 i </w:t>
      </w:r>
      <w:r w:rsidR="00EA72A3">
        <w:rPr>
          <w:rFonts w:ascii="Times New Roman" w:hAnsi="Times New Roman"/>
          <w:bCs/>
          <w:sz w:val="24"/>
          <w:szCs w:val="24"/>
        </w:rPr>
        <w:t xml:space="preserve">art. </w:t>
      </w:r>
      <w:r w:rsidRPr="00E91209">
        <w:rPr>
          <w:rFonts w:ascii="Times New Roman" w:hAnsi="Times New Roman"/>
          <w:bCs/>
          <w:sz w:val="24"/>
          <w:szCs w:val="24"/>
        </w:rPr>
        <w:t xml:space="preserve">23 ustawy z dnia 17 maja 1989 r. </w:t>
      </w:r>
      <w:r w:rsidR="00EA72A3">
        <w:rPr>
          <w:rFonts w:ascii="Times New Roman" w:hAnsi="Times New Roman"/>
          <w:bCs/>
          <w:sz w:val="24"/>
          <w:szCs w:val="24"/>
        </w:rPr>
        <w:t>–</w:t>
      </w:r>
      <w:r w:rsidRPr="00E91209">
        <w:rPr>
          <w:rFonts w:ascii="Times New Roman" w:hAnsi="Times New Roman"/>
          <w:bCs/>
          <w:sz w:val="24"/>
          <w:szCs w:val="24"/>
        </w:rPr>
        <w:t>Prawo geodezyjne i kartograficzne w celu objęcia ewidencją gruntów i budynków informacji o</w:t>
      </w:r>
      <w:r w:rsidR="00E91209">
        <w:rPr>
          <w:rFonts w:ascii="Times New Roman" w:hAnsi="Times New Roman"/>
          <w:bCs/>
          <w:sz w:val="24"/>
          <w:szCs w:val="24"/>
        </w:rPr>
        <w:t> </w:t>
      </w:r>
      <w:r w:rsidRPr="00E91209">
        <w:rPr>
          <w:rFonts w:ascii="Times New Roman" w:hAnsi="Times New Roman"/>
          <w:bCs/>
          <w:sz w:val="24"/>
          <w:szCs w:val="24"/>
        </w:rPr>
        <w:t>wszczęciu postępowania w sprawie wpisu zabytku nieruchomego do rejestru zabytków.</w:t>
      </w:r>
    </w:p>
    <w:p w:rsidR="002C1FE5" w:rsidRPr="00E91209" w:rsidRDefault="002C1FE5" w:rsidP="00E91209">
      <w:pPr>
        <w:spacing w:before="120" w:after="0" w:line="360" w:lineRule="auto"/>
        <w:jc w:val="both"/>
        <w:rPr>
          <w:rFonts w:ascii="Times New Roman" w:hAnsi="Times New Roman"/>
          <w:bCs/>
          <w:sz w:val="24"/>
          <w:szCs w:val="24"/>
        </w:rPr>
      </w:pPr>
      <w:r w:rsidRPr="00E91209">
        <w:rPr>
          <w:rFonts w:ascii="Times New Roman" w:hAnsi="Times New Roman"/>
          <w:bCs/>
          <w:sz w:val="24"/>
          <w:szCs w:val="24"/>
        </w:rPr>
        <w:t>W art. 3 projektu ustawy dodano ust. 5 w art. 13 ustawy z dnia 21 sierpnia 1997 r. o</w:t>
      </w:r>
      <w:r w:rsidR="00E91209">
        <w:rPr>
          <w:rFonts w:ascii="Times New Roman" w:hAnsi="Times New Roman"/>
          <w:bCs/>
          <w:sz w:val="24"/>
          <w:szCs w:val="24"/>
        </w:rPr>
        <w:t> </w:t>
      </w:r>
      <w:r w:rsidRPr="00E91209">
        <w:rPr>
          <w:rFonts w:ascii="Times New Roman" w:hAnsi="Times New Roman"/>
          <w:bCs/>
          <w:sz w:val="24"/>
          <w:szCs w:val="24"/>
        </w:rPr>
        <w:t xml:space="preserve">gospodarce nieruchomościami. Przepis wprowadza wymóg uzyskania pozwolenia wojewódzkiego konserwatora zabytków na </w:t>
      </w:r>
      <w:r w:rsidR="00043AD1" w:rsidRPr="00E91209">
        <w:rPr>
          <w:rFonts w:ascii="Times New Roman" w:hAnsi="Times New Roman"/>
          <w:bCs/>
          <w:sz w:val="24"/>
          <w:szCs w:val="24"/>
        </w:rPr>
        <w:t xml:space="preserve">rozporządzanie </w:t>
      </w:r>
      <w:r w:rsidRPr="00E91209">
        <w:rPr>
          <w:rFonts w:ascii="Times New Roman" w:hAnsi="Times New Roman"/>
          <w:bCs/>
          <w:sz w:val="24"/>
          <w:szCs w:val="24"/>
        </w:rPr>
        <w:t xml:space="preserve">nieruchomością stanowiącą zabytkowy cmentarz będący własnością Skarbu Państwa albo jednostki samorządu terytorialnego. Przeniesienie własności albo posiadania cmentarza wiąże się zazwyczaj z zamiarem nabywcy zmiany sposobu zagospodarowania albo przeznaczenia tego gruntu. W przypadku gdy zmiana sposobu zagospodarowania albo przeznaczenia cmentarza okazałaby się niedopuszczalna ze względów konserwatorskich, organ ochrony zabytków wydawać będzie decyzję odmowną. Celem projektowanej zmiany jest wyeliminowanie na przyszłość stanów faktycznych, analogicznych do tego, który był przedmiotem orzeczenia Europejskiego Trybunału Praw Człowieka z dnia 29 marca 2011 r. (wniosek nr 33949/05) </w:t>
      </w:r>
      <w:r w:rsidRPr="00E91209">
        <w:rPr>
          <w:rFonts w:ascii="Times New Roman" w:hAnsi="Times New Roman"/>
          <w:bCs/>
          <w:i/>
          <w:sz w:val="24"/>
          <w:szCs w:val="24"/>
        </w:rPr>
        <w:t>Potomska i</w:t>
      </w:r>
      <w:r w:rsidR="00E91209">
        <w:rPr>
          <w:rFonts w:ascii="Times New Roman" w:hAnsi="Times New Roman"/>
          <w:bCs/>
          <w:i/>
          <w:sz w:val="24"/>
          <w:szCs w:val="24"/>
        </w:rPr>
        <w:t> </w:t>
      </w:r>
      <w:r w:rsidRPr="00E91209">
        <w:rPr>
          <w:rFonts w:ascii="Times New Roman" w:hAnsi="Times New Roman"/>
          <w:bCs/>
          <w:i/>
          <w:sz w:val="24"/>
          <w:szCs w:val="24"/>
        </w:rPr>
        <w:t>Potomski przeciwko Polsce</w:t>
      </w:r>
      <w:r w:rsidRPr="00E91209">
        <w:rPr>
          <w:rFonts w:ascii="Times New Roman" w:hAnsi="Times New Roman"/>
          <w:bCs/>
          <w:sz w:val="24"/>
          <w:szCs w:val="24"/>
        </w:rPr>
        <w:t>.</w:t>
      </w:r>
    </w:p>
    <w:p w:rsidR="00F4315F" w:rsidRDefault="00485491" w:rsidP="00E91209">
      <w:pPr>
        <w:spacing w:before="120" w:after="0" w:line="360" w:lineRule="auto"/>
        <w:jc w:val="both"/>
        <w:rPr>
          <w:rFonts w:ascii="Times New Roman" w:hAnsi="Times New Roman"/>
          <w:bCs/>
          <w:sz w:val="24"/>
          <w:szCs w:val="24"/>
        </w:rPr>
      </w:pPr>
      <w:r w:rsidRPr="00E91209">
        <w:rPr>
          <w:rFonts w:ascii="Times New Roman" w:hAnsi="Times New Roman"/>
          <w:bCs/>
          <w:sz w:val="24"/>
          <w:szCs w:val="24"/>
        </w:rPr>
        <w:lastRenderedPageBreak/>
        <w:t>W art. 4 projektowanej ustawy</w:t>
      </w:r>
      <w:r w:rsidR="00564FEB" w:rsidRPr="00E91209">
        <w:rPr>
          <w:rFonts w:ascii="Times New Roman" w:hAnsi="Times New Roman"/>
          <w:bCs/>
          <w:sz w:val="24"/>
          <w:szCs w:val="24"/>
        </w:rPr>
        <w:t xml:space="preserve"> </w:t>
      </w:r>
      <w:r w:rsidR="00302C63">
        <w:rPr>
          <w:rFonts w:ascii="Times New Roman" w:hAnsi="Times New Roman"/>
          <w:bCs/>
          <w:sz w:val="24"/>
          <w:szCs w:val="24"/>
        </w:rPr>
        <w:t xml:space="preserve">zmieniono przepisy </w:t>
      </w:r>
      <w:r w:rsidR="00564FEB" w:rsidRPr="00E91209">
        <w:rPr>
          <w:rFonts w:ascii="Times New Roman" w:hAnsi="Times New Roman"/>
          <w:bCs/>
          <w:sz w:val="24"/>
          <w:szCs w:val="24"/>
        </w:rPr>
        <w:t>art. 83</w:t>
      </w:r>
      <w:r w:rsidR="00302C63">
        <w:rPr>
          <w:rFonts w:ascii="Times New Roman" w:hAnsi="Times New Roman"/>
          <w:bCs/>
          <w:sz w:val="24"/>
          <w:szCs w:val="24"/>
        </w:rPr>
        <w:t xml:space="preserve"> oraz art. 83a</w:t>
      </w:r>
      <w:r w:rsidR="00564FEB" w:rsidRPr="00E91209">
        <w:rPr>
          <w:rFonts w:ascii="Times New Roman" w:hAnsi="Times New Roman"/>
          <w:bCs/>
          <w:sz w:val="24"/>
          <w:szCs w:val="24"/>
        </w:rPr>
        <w:t xml:space="preserve"> ustawy z dnia 16 kwietnia 2004 r. o</w:t>
      </w:r>
      <w:r w:rsidR="00E91209">
        <w:rPr>
          <w:rFonts w:ascii="Times New Roman" w:hAnsi="Times New Roman"/>
          <w:bCs/>
          <w:sz w:val="24"/>
          <w:szCs w:val="24"/>
        </w:rPr>
        <w:t> </w:t>
      </w:r>
      <w:r w:rsidR="00564FEB" w:rsidRPr="00E91209">
        <w:rPr>
          <w:rFonts w:ascii="Times New Roman" w:hAnsi="Times New Roman"/>
          <w:bCs/>
          <w:sz w:val="24"/>
          <w:szCs w:val="24"/>
        </w:rPr>
        <w:t>ochronie przyrody</w:t>
      </w:r>
      <w:r w:rsidR="00966E36">
        <w:rPr>
          <w:rFonts w:ascii="Times New Roman" w:hAnsi="Times New Roman"/>
          <w:bCs/>
          <w:sz w:val="24"/>
          <w:szCs w:val="24"/>
        </w:rPr>
        <w:t xml:space="preserve"> </w:t>
      </w:r>
      <w:r w:rsidR="00F4315F">
        <w:rPr>
          <w:rFonts w:ascii="Times New Roman" w:hAnsi="Times New Roman"/>
          <w:bCs/>
          <w:sz w:val="24"/>
          <w:szCs w:val="24"/>
        </w:rPr>
        <w:t xml:space="preserve">regulujące wydawanie zezwoleń na usunięcie drzew lub krzewów </w:t>
      </w:r>
      <w:r w:rsidR="00302C63">
        <w:rPr>
          <w:rFonts w:ascii="Times New Roman" w:hAnsi="Times New Roman"/>
          <w:bCs/>
          <w:sz w:val="24"/>
          <w:szCs w:val="24"/>
        </w:rPr>
        <w:t xml:space="preserve">z </w:t>
      </w:r>
      <w:r w:rsidR="00F4315F">
        <w:rPr>
          <w:rFonts w:ascii="Times New Roman" w:hAnsi="Times New Roman"/>
          <w:bCs/>
          <w:sz w:val="24"/>
          <w:szCs w:val="24"/>
        </w:rPr>
        <w:t xml:space="preserve">nieruchomości. </w:t>
      </w:r>
    </w:p>
    <w:p w:rsidR="00F4315F" w:rsidRDefault="00F4315F" w:rsidP="00E91209">
      <w:pPr>
        <w:spacing w:before="120" w:after="0" w:line="360" w:lineRule="auto"/>
        <w:jc w:val="both"/>
        <w:rPr>
          <w:rFonts w:ascii="Times New Roman" w:hAnsi="Times New Roman"/>
          <w:bCs/>
          <w:sz w:val="24"/>
          <w:szCs w:val="24"/>
        </w:rPr>
      </w:pPr>
      <w:r>
        <w:rPr>
          <w:rFonts w:ascii="Times New Roman" w:hAnsi="Times New Roman"/>
          <w:bCs/>
          <w:sz w:val="24"/>
          <w:szCs w:val="24"/>
        </w:rPr>
        <w:t>Przedmiotowe zmiany spowodowują uproszczenie procedury przez wyeliminowanie konieczności wydawania podwójnych po</w:t>
      </w:r>
      <w:r w:rsidR="00EA72A3">
        <w:rPr>
          <w:rFonts w:ascii="Times New Roman" w:hAnsi="Times New Roman"/>
          <w:bCs/>
          <w:sz w:val="24"/>
          <w:szCs w:val="24"/>
        </w:rPr>
        <w:t>zwoleń przez ten sam organ, tj. </w:t>
      </w:r>
      <w:r>
        <w:rPr>
          <w:rFonts w:ascii="Times New Roman" w:hAnsi="Times New Roman"/>
          <w:bCs/>
          <w:sz w:val="24"/>
          <w:szCs w:val="24"/>
        </w:rPr>
        <w:t xml:space="preserve">wojewódzkiego konserwatora zabytków, na usunięcie </w:t>
      </w:r>
      <w:r w:rsidR="00A65DC8">
        <w:rPr>
          <w:rFonts w:ascii="Times New Roman" w:hAnsi="Times New Roman"/>
          <w:bCs/>
          <w:sz w:val="24"/>
          <w:szCs w:val="24"/>
        </w:rPr>
        <w:t>drzewa lub krzewu z terenu nieruchomości wpisanej do rejestru zabytków. Zgodnie z zaproponowaną zmianą wojewódzki konserwator zabytków będzie wydawał jedno pozwolenie na podstawie ustawy o ochronie zabytków. Powyższe przepisy jednoznacznie rozstrzygają, że wymogiem uzyskania pozwolenia wojewódzkiego konserwatora zabytków objęte jest każde usunięcie drzewa lub krzewu z terenu nieruchomości wpisanej do rejestru zabytków.</w:t>
      </w:r>
    </w:p>
    <w:p w:rsidR="00564FEB" w:rsidRPr="00E91209" w:rsidRDefault="00564FEB" w:rsidP="00E91209">
      <w:pPr>
        <w:spacing w:before="120" w:after="0" w:line="360" w:lineRule="auto"/>
        <w:jc w:val="both"/>
        <w:rPr>
          <w:rFonts w:ascii="Times New Roman" w:hAnsi="Times New Roman"/>
          <w:bCs/>
          <w:sz w:val="24"/>
          <w:szCs w:val="24"/>
        </w:rPr>
      </w:pPr>
      <w:r w:rsidRPr="00E91209">
        <w:rPr>
          <w:rFonts w:ascii="Times New Roman" w:hAnsi="Times New Roman"/>
          <w:bCs/>
          <w:sz w:val="24"/>
          <w:szCs w:val="24"/>
        </w:rPr>
        <w:t xml:space="preserve">Usunięcie drzewa lub krzewu z terenu parku, ogrodu, cmentarza albo innej formy zaprojektowanej zieleni wpisanej do rejestru zabytków, </w:t>
      </w:r>
      <w:r w:rsidR="0003630D" w:rsidRPr="00E91209">
        <w:rPr>
          <w:rFonts w:ascii="Times New Roman" w:hAnsi="Times New Roman"/>
          <w:bCs/>
          <w:sz w:val="24"/>
          <w:szCs w:val="24"/>
        </w:rPr>
        <w:t>w świetle przepisów ustawy o</w:t>
      </w:r>
      <w:r w:rsidR="00E91209">
        <w:rPr>
          <w:rFonts w:ascii="Times New Roman" w:hAnsi="Times New Roman"/>
          <w:bCs/>
          <w:sz w:val="24"/>
          <w:szCs w:val="24"/>
        </w:rPr>
        <w:t> </w:t>
      </w:r>
      <w:r w:rsidRPr="00E91209">
        <w:rPr>
          <w:rFonts w:ascii="Times New Roman" w:hAnsi="Times New Roman"/>
          <w:bCs/>
          <w:sz w:val="24"/>
          <w:szCs w:val="24"/>
        </w:rPr>
        <w:t xml:space="preserve">ochronie zabytków, w zależności od okoliczności, stanowi element prac konserwatorskich przy tym zabytku bądź kwalifikuje się jako podejmowanie innych działań, które mogłyby prowadzić do naruszenia substancji lub zmiany wyglądu zabytku wpisanego do rejestru. W obu przypadkach usunięcie drzewa lub krzewu wymaga pozwolenia wojewódzkiego konserwatora zabytków wydanego na podstawie art. 36 ust. 1 pkt 1 albo 11 ustawy o ochronie zabytków. Z kolei w oparciu o przepisy ustawy </w:t>
      </w:r>
      <w:r w:rsidR="00480259" w:rsidRPr="00E91209">
        <w:rPr>
          <w:rFonts w:ascii="Times New Roman" w:hAnsi="Times New Roman"/>
          <w:bCs/>
          <w:sz w:val="24"/>
          <w:szCs w:val="24"/>
        </w:rPr>
        <w:t xml:space="preserve">z dnia 16 kwietnia 2004 r. </w:t>
      </w:r>
      <w:r w:rsidRPr="00E91209">
        <w:rPr>
          <w:rFonts w:ascii="Times New Roman" w:hAnsi="Times New Roman"/>
          <w:bCs/>
          <w:sz w:val="24"/>
          <w:szCs w:val="24"/>
        </w:rPr>
        <w:t xml:space="preserve">o ochronie przyrody wojewódzki konserwator zabytków wydaje zezwolenia </w:t>
      </w:r>
      <w:r w:rsidR="00EA72A3">
        <w:rPr>
          <w:rFonts w:ascii="Times New Roman" w:hAnsi="Times New Roman"/>
          <w:bCs/>
          <w:sz w:val="24"/>
          <w:szCs w:val="24"/>
        </w:rPr>
        <w:t xml:space="preserve">na </w:t>
      </w:r>
      <w:r w:rsidRPr="00E91209">
        <w:rPr>
          <w:rFonts w:ascii="Times New Roman" w:hAnsi="Times New Roman"/>
          <w:bCs/>
          <w:sz w:val="24"/>
          <w:szCs w:val="24"/>
        </w:rPr>
        <w:t>usunięci</w:t>
      </w:r>
      <w:r w:rsidR="00EA72A3">
        <w:rPr>
          <w:rFonts w:ascii="Times New Roman" w:hAnsi="Times New Roman"/>
          <w:bCs/>
          <w:sz w:val="24"/>
          <w:szCs w:val="24"/>
        </w:rPr>
        <w:t>e</w:t>
      </w:r>
      <w:r w:rsidRPr="00E91209">
        <w:rPr>
          <w:rFonts w:ascii="Times New Roman" w:hAnsi="Times New Roman"/>
          <w:bCs/>
          <w:sz w:val="24"/>
          <w:szCs w:val="24"/>
        </w:rPr>
        <w:t xml:space="preserve"> drzewa lub krzewu z terenu nieruchomości wpisanej do rejestru zabytków. Osiągnięcie spójności pomiędzy obiema ustawami wymagało jednoznacznego rozstrzygnięcia, że spełnienie wymogu w zakresie uzyskania zezwolenia na wycięcie drzewa lub krzewu na podstawie przep</w:t>
      </w:r>
      <w:r w:rsidR="00E56EB3" w:rsidRPr="00E91209">
        <w:rPr>
          <w:rFonts w:ascii="Times New Roman" w:hAnsi="Times New Roman"/>
          <w:bCs/>
          <w:sz w:val="24"/>
          <w:szCs w:val="24"/>
        </w:rPr>
        <w:t xml:space="preserve">isów ustawy </w:t>
      </w:r>
      <w:r w:rsidR="00480259" w:rsidRPr="00E91209">
        <w:rPr>
          <w:rFonts w:ascii="Times New Roman" w:hAnsi="Times New Roman"/>
          <w:bCs/>
          <w:sz w:val="24"/>
          <w:szCs w:val="24"/>
        </w:rPr>
        <w:t>z dnia 16</w:t>
      </w:r>
      <w:r w:rsidR="00E91209">
        <w:rPr>
          <w:rFonts w:ascii="Times New Roman" w:hAnsi="Times New Roman"/>
          <w:bCs/>
          <w:sz w:val="24"/>
          <w:szCs w:val="24"/>
        </w:rPr>
        <w:t> </w:t>
      </w:r>
      <w:r w:rsidR="00480259" w:rsidRPr="00E91209">
        <w:rPr>
          <w:rFonts w:ascii="Times New Roman" w:hAnsi="Times New Roman"/>
          <w:bCs/>
          <w:sz w:val="24"/>
          <w:szCs w:val="24"/>
        </w:rPr>
        <w:t xml:space="preserve">kwietnia 2004 r. </w:t>
      </w:r>
      <w:r w:rsidR="00E56EB3" w:rsidRPr="00E91209">
        <w:rPr>
          <w:rFonts w:ascii="Times New Roman" w:hAnsi="Times New Roman"/>
          <w:bCs/>
          <w:sz w:val="24"/>
          <w:szCs w:val="24"/>
        </w:rPr>
        <w:t>o ochronie przyrody albo zwolnienie z</w:t>
      </w:r>
      <w:r w:rsidR="00E91209">
        <w:rPr>
          <w:rFonts w:ascii="Times New Roman" w:hAnsi="Times New Roman"/>
          <w:bCs/>
          <w:sz w:val="24"/>
          <w:szCs w:val="24"/>
        </w:rPr>
        <w:t xml:space="preserve"> </w:t>
      </w:r>
      <w:r w:rsidR="00E56EB3" w:rsidRPr="00E91209">
        <w:rPr>
          <w:rFonts w:ascii="Times New Roman" w:hAnsi="Times New Roman"/>
          <w:bCs/>
          <w:sz w:val="24"/>
          <w:szCs w:val="24"/>
        </w:rPr>
        <w:t>obowiązku uzyskania tego zezwolenia</w:t>
      </w:r>
      <w:r w:rsidRPr="00E91209">
        <w:rPr>
          <w:rFonts w:ascii="Times New Roman" w:hAnsi="Times New Roman"/>
          <w:bCs/>
          <w:sz w:val="24"/>
          <w:szCs w:val="24"/>
        </w:rPr>
        <w:t xml:space="preserve"> nie zwalnia z obowiązku uzyskania pozwolenia wojewódzkiego konserwatora zabytków wydanego na podstawie</w:t>
      </w:r>
      <w:r w:rsidR="00480259" w:rsidRPr="00E91209">
        <w:rPr>
          <w:rFonts w:ascii="Times New Roman" w:hAnsi="Times New Roman"/>
          <w:bCs/>
          <w:sz w:val="24"/>
          <w:szCs w:val="24"/>
        </w:rPr>
        <w:t xml:space="preserve"> </w:t>
      </w:r>
      <w:r w:rsidRPr="00E91209">
        <w:rPr>
          <w:rFonts w:ascii="Times New Roman" w:hAnsi="Times New Roman"/>
          <w:bCs/>
          <w:sz w:val="24"/>
          <w:szCs w:val="24"/>
        </w:rPr>
        <w:t xml:space="preserve">art. 36 ust. 1 </w:t>
      </w:r>
      <w:r w:rsidR="00480259" w:rsidRPr="00E91209">
        <w:rPr>
          <w:rFonts w:ascii="Times New Roman" w:hAnsi="Times New Roman"/>
          <w:bCs/>
          <w:sz w:val="24"/>
          <w:szCs w:val="24"/>
        </w:rPr>
        <w:t xml:space="preserve">pkt 1 albo pkt 11 </w:t>
      </w:r>
      <w:r w:rsidRPr="00E91209">
        <w:rPr>
          <w:rFonts w:ascii="Times New Roman" w:hAnsi="Times New Roman"/>
          <w:bCs/>
          <w:sz w:val="24"/>
          <w:szCs w:val="24"/>
        </w:rPr>
        <w:t>ustawy o ochronie zabytków.</w:t>
      </w:r>
    </w:p>
    <w:p w:rsidR="002C1FE5" w:rsidRPr="00E91209" w:rsidRDefault="002C1FE5" w:rsidP="00E91209">
      <w:pPr>
        <w:spacing w:before="120" w:after="0" w:line="360" w:lineRule="auto"/>
        <w:jc w:val="both"/>
        <w:rPr>
          <w:rFonts w:ascii="Times New Roman" w:hAnsi="Times New Roman"/>
          <w:bCs/>
          <w:sz w:val="24"/>
          <w:szCs w:val="24"/>
        </w:rPr>
      </w:pPr>
      <w:r w:rsidRPr="00E91209">
        <w:rPr>
          <w:rFonts w:ascii="Times New Roman" w:hAnsi="Times New Roman"/>
          <w:bCs/>
          <w:sz w:val="24"/>
          <w:szCs w:val="24"/>
        </w:rPr>
        <w:t xml:space="preserve">W art. </w:t>
      </w:r>
      <w:r w:rsidR="0003630D" w:rsidRPr="00E91209">
        <w:rPr>
          <w:rFonts w:ascii="Times New Roman" w:hAnsi="Times New Roman"/>
          <w:bCs/>
          <w:sz w:val="24"/>
          <w:szCs w:val="24"/>
        </w:rPr>
        <w:t>5</w:t>
      </w:r>
      <w:r w:rsidRPr="00E91209">
        <w:rPr>
          <w:rFonts w:ascii="Times New Roman" w:hAnsi="Times New Roman"/>
          <w:bCs/>
          <w:sz w:val="24"/>
          <w:szCs w:val="24"/>
        </w:rPr>
        <w:t xml:space="preserve"> i </w:t>
      </w:r>
      <w:r w:rsidR="00EA72A3">
        <w:rPr>
          <w:rFonts w:ascii="Times New Roman" w:hAnsi="Times New Roman"/>
          <w:bCs/>
          <w:sz w:val="24"/>
          <w:szCs w:val="24"/>
        </w:rPr>
        <w:t xml:space="preserve">art. </w:t>
      </w:r>
      <w:r w:rsidR="0003630D" w:rsidRPr="00E91209">
        <w:rPr>
          <w:rFonts w:ascii="Times New Roman" w:hAnsi="Times New Roman"/>
          <w:bCs/>
          <w:sz w:val="24"/>
          <w:szCs w:val="24"/>
        </w:rPr>
        <w:t>6</w:t>
      </w:r>
      <w:r w:rsidRPr="00E91209">
        <w:rPr>
          <w:rFonts w:ascii="Times New Roman" w:hAnsi="Times New Roman"/>
          <w:bCs/>
          <w:sz w:val="24"/>
          <w:szCs w:val="24"/>
        </w:rPr>
        <w:t xml:space="preserve"> projektowanej ustawy rozstrzygnięto kwestie wpływu nowych przepisów na osoby piastujące w dniu wejścia w życie projektowanej ustawy funkcje </w:t>
      </w:r>
      <w:r w:rsidRPr="00E91209">
        <w:rPr>
          <w:rFonts w:ascii="Times New Roman" w:hAnsi="Times New Roman"/>
          <w:bCs/>
          <w:sz w:val="24"/>
          <w:szCs w:val="24"/>
        </w:rPr>
        <w:lastRenderedPageBreak/>
        <w:t xml:space="preserve">wojewódzkich konserwatorów zabytków oraz kierowników delegatur wojewódzkich konserwatorów zabytków. </w:t>
      </w:r>
    </w:p>
    <w:p w:rsidR="002C1FE5" w:rsidRPr="00E91209" w:rsidRDefault="002C1FE5" w:rsidP="00E91209">
      <w:pPr>
        <w:spacing w:before="120" w:after="0" w:line="360" w:lineRule="auto"/>
        <w:jc w:val="both"/>
        <w:rPr>
          <w:rFonts w:ascii="Times New Roman" w:hAnsi="Times New Roman"/>
          <w:bCs/>
          <w:sz w:val="24"/>
          <w:szCs w:val="24"/>
        </w:rPr>
      </w:pPr>
      <w:r w:rsidRPr="00E91209">
        <w:rPr>
          <w:rFonts w:ascii="Times New Roman" w:hAnsi="Times New Roman"/>
          <w:bCs/>
          <w:sz w:val="24"/>
          <w:szCs w:val="24"/>
        </w:rPr>
        <w:t xml:space="preserve">Art. </w:t>
      </w:r>
      <w:r w:rsidR="0003630D" w:rsidRPr="00E91209">
        <w:rPr>
          <w:rFonts w:ascii="Times New Roman" w:hAnsi="Times New Roman"/>
          <w:bCs/>
          <w:sz w:val="24"/>
          <w:szCs w:val="24"/>
        </w:rPr>
        <w:t>7</w:t>
      </w:r>
      <w:r w:rsidRPr="00E91209">
        <w:rPr>
          <w:rFonts w:ascii="Times New Roman" w:hAnsi="Times New Roman"/>
          <w:bCs/>
          <w:sz w:val="24"/>
          <w:szCs w:val="24"/>
        </w:rPr>
        <w:t xml:space="preserve"> projektowanej ustawy rozstrzyga o rozpoczętych kadencjach organów opiniodawczo-doradczych, których sposób obsady zmieni się na skutek wejścia w życie projektowanych przepisów.</w:t>
      </w:r>
    </w:p>
    <w:p w:rsidR="002C1FE5" w:rsidRPr="00E91209" w:rsidRDefault="002C1FE5" w:rsidP="00E91209">
      <w:pPr>
        <w:spacing w:before="120" w:after="0" w:line="360" w:lineRule="auto"/>
        <w:jc w:val="both"/>
        <w:rPr>
          <w:rFonts w:ascii="Times New Roman" w:hAnsi="Times New Roman"/>
          <w:bCs/>
          <w:sz w:val="24"/>
          <w:szCs w:val="24"/>
        </w:rPr>
      </w:pPr>
      <w:r w:rsidRPr="00E91209">
        <w:rPr>
          <w:rFonts w:ascii="Times New Roman" w:hAnsi="Times New Roman"/>
          <w:bCs/>
          <w:sz w:val="24"/>
          <w:szCs w:val="24"/>
        </w:rPr>
        <w:t xml:space="preserve">W art. </w:t>
      </w:r>
      <w:r w:rsidR="0003630D" w:rsidRPr="00E91209">
        <w:rPr>
          <w:rFonts w:ascii="Times New Roman" w:hAnsi="Times New Roman"/>
          <w:bCs/>
          <w:sz w:val="24"/>
          <w:szCs w:val="24"/>
        </w:rPr>
        <w:t>8</w:t>
      </w:r>
      <w:r w:rsidRPr="00E91209">
        <w:rPr>
          <w:rFonts w:ascii="Times New Roman" w:hAnsi="Times New Roman"/>
          <w:bCs/>
          <w:sz w:val="24"/>
          <w:szCs w:val="24"/>
        </w:rPr>
        <w:t xml:space="preserve"> projektowanej ustawy określono maksymalne limity wydatków budżetu państwa oraz mechanizmy korygujące na wypadek zagrożenia przekroczeniem poszczególnych kwot.</w:t>
      </w:r>
    </w:p>
    <w:p w:rsidR="002C1FE5" w:rsidRPr="00E91209" w:rsidRDefault="002C1FE5" w:rsidP="00E91209">
      <w:pPr>
        <w:spacing w:before="120" w:after="0" w:line="360" w:lineRule="auto"/>
        <w:jc w:val="both"/>
        <w:rPr>
          <w:rFonts w:ascii="Times New Roman" w:hAnsi="Times New Roman"/>
          <w:sz w:val="24"/>
          <w:szCs w:val="24"/>
        </w:rPr>
      </w:pPr>
      <w:r w:rsidRPr="00E91209">
        <w:rPr>
          <w:rFonts w:ascii="Times New Roman" w:hAnsi="Times New Roman"/>
          <w:sz w:val="24"/>
          <w:szCs w:val="24"/>
        </w:rPr>
        <w:t>Projektowana ustawa nie jest objęta prawem Unii Europejskiej.</w:t>
      </w:r>
    </w:p>
    <w:p w:rsidR="002C1FE5" w:rsidRPr="00E91209" w:rsidRDefault="002C1FE5" w:rsidP="00E91209">
      <w:pPr>
        <w:spacing w:before="120" w:after="0" w:line="360" w:lineRule="auto"/>
        <w:jc w:val="both"/>
        <w:rPr>
          <w:rFonts w:ascii="Times New Roman" w:hAnsi="Times New Roman"/>
          <w:sz w:val="24"/>
          <w:szCs w:val="24"/>
        </w:rPr>
      </w:pPr>
      <w:r w:rsidRPr="00E91209">
        <w:rPr>
          <w:rFonts w:ascii="Times New Roman" w:hAnsi="Times New Roman"/>
          <w:sz w:val="24"/>
          <w:szCs w:val="24"/>
        </w:rPr>
        <w:t>Regulacje zawarte w projektowanej ustawie nie stanowią przepisów technicznych w</w:t>
      </w:r>
      <w:r w:rsidR="00E91209">
        <w:rPr>
          <w:rFonts w:ascii="Times New Roman" w:hAnsi="Times New Roman"/>
          <w:sz w:val="24"/>
          <w:szCs w:val="24"/>
        </w:rPr>
        <w:t> </w:t>
      </w:r>
      <w:r w:rsidRPr="00E91209">
        <w:rPr>
          <w:rFonts w:ascii="Times New Roman" w:hAnsi="Times New Roman"/>
          <w:sz w:val="24"/>
          <w:szCs w:val="24"/>
        </w:rPr>
        <w:t>rozumieniu rozporządzenia Rady Ministrów z dnia 23 grudnia 2002 r. w sprawie sposobu funkcjonowania krajowego systemu notyfikacji norm i aktów prawnych (Dz.</w:t>
      </w:r>
      <w:r w:rsidR="00E91209">
        <w:rPr>
          <w:rFonts w:ascii="Times New Roman" w:hAnsi="Times New Roman"/>
          <w:sz w:val="24"/>
          <w:szCs w:val="24"/>
        </w:rPr>
        <w:t> </w:t>
      </w:r>
      <w:r w:rsidRPr="00E91209">
        <w:rPr>
          <w:rFonts w:ascii="Times New Roman" w:hAnsi="Times New Roman"/>
          <w:sz w:val="24"/>
          <w:szCs w:val="24"/>
        </w:rPr>
        <w:t>U. poz.</w:t>
      </w:r>
      <w:r w:rsidR="00E91209">
        <w:rPr>
          <w:rFonts w:ascii="Times New Roman" w:hAnsi="Times New Roman"/>
          <w:sz w:val="24"/>
          <w:szCs w:val="24"/>
        </w:rPr>
        <w:t xml:space="preserve"> </w:t>
      </w:r>
      <w:r w:rsidRPr="00E91209">
        <w:rPr>
          <w:rFonts w:ascii="Times New Roman" w:hAnsi="Times New Roman"/>
          <w:sz w:val="24"/>
          <w:szCs w:val="24"/>
        </w:rPr>
        <w:t>2039 oraz z 2004 r. poz. 597), zatem nie podlega ona notyfikacji.</w:t>
      </w:r>
    </w:p>
    <w:p w:rsidR="002C1FE5" w:rsidRPr="00E91209" w:rsidRDefault="002C1FE5" w:rsidP="00E91209">
      <w:pPr>
        <w:spacing w:before="120" w:after="0" w:line="360" w:lineRule="auto"/>
        <w:jc w:val="both"/>
        <w:rPr>
          <w:rFonts w:ascii="Times New Roman" w:hAnsi="Times New Roman"/>
          <w:sz w:val="24"/>
          <w:szCs w:val="24"/>
        </w:rPr>
      </w:pPr>
      <w:r w:rsidRPr="00E91209">
        <w:rPr>
          <w:rFonts w:ascii="Times New Roman" w:hAnsi="Times New Roman"/>
          <w:sz w:val="24"/>
          <w:szCs w:val="24"/>
        </w:rPr>
        <w:t>Projektowana ustawa nie wymaga przedstawienia organom i instytucjom Unii Europejskiej</w:t>
      </w:r>
      <w:r w:rsidR="00043AD1" w:rsidRPr="00E91209">
        <w:rPr>
          <w:rFonts w:ascii="Times New Roman" w:hAnsi="Times New Roman"/>
          <w:sz w:val="24"/>
          <w:szCs w:val="24"/>
        </w:rPr>
        <w:t>, w tym</w:t>
      </w:r>
      <w:r w:rsidRPr="00E91209">
        <w:rPr>
          <w:rFonts w:ascii="Times New Roman" w:hAnsi="Times New Roman"/>
          <w:sz w:val="24"/>
          <w:szCs w:val="24"/>
        </w:rPr>
        <w:t xml:space="preserve"> Europejskiemu Bankowi Centralnemu</w:t>
      </w:r>
      <w:r w:rsidR="00043AD1" w:rsidRPr="00E91209">
        <w:rPr>
          <w:rFonts w:ascii="Times New Roman" w:hAnsi="Times New Roman"/>
          <w:sz w:val="24"/>
          <w:szCs w:val="24"/>
        </w:rPr>
        <w:t>, w celu</w:t>
      </w:r>
      <w:r w:rsidR="00E91209">
        <w:rPr>
          <w:rFonts w:ascii="Times New Roman" w:hAnsi="Times New Roman"/>
          <w:sz w:val="24"/>
          <w:szCs w:val="24"/>
        </w:rPr>
        <w:t xml:space="preserve"> </w:t>
      </w:r>
      <w:r w:rsidRPr="00E91209">
        <w:rPr>
          <w:rFonts w:ascii="Times New Roman" w:hAnsi="Times New Roman"/>
          <w:sz w:val="24"/>
          <w:szCs w:val="24"/>
        </w:rPr>
        <w:t>uzyskania opinii, dokonania powiadomienia, konsultacji albo uzgodnienia.</w:t>
      </w:r>
    </w:p>
    <w:p w:rsidR="002C1FE5" w:rsidRPr="00E91209" w:rsidRDefault="002C1FE5" w:rsidP="00E91209">
      <w:pPr>
        <w:spacing w:before="120" w:after="0" w:line="360" w:lineRule="auto"/>
        <w:jc w:val="both"/>
        <w:rPr>
          <w:rFonts w:ascii="Times New Roman" w:hAnsi="Times New Roman"/>
          <w:sz w:val="24"/>
          <w:szCs w:val="24"/>
        </w:rPr>
      </w:pPr>
      <w:r w:rsidRPr="00E91209">
        <w:rPr>
          <w:rFonts w:ascii="Times New Roman" w:hAnsi="Times New Roman"/>
          <w:sz w:val="24"/>
          <w:szCs w:val="24"/>
        </w:rPr>
        <w:t xml:space="preserve">Zgodnie z art. 5 ustawy z dnia 7 lipca 2005 r. o działalności lobbingowej w procesie stanowienia prawa (Dz. U. </w:t>
      </w:r>
      <w:r w:rsidR="009C2EF7">
        <w:rPr>
          <w:rFonts w:ascii="Times New Roman" w:hAnsi="Times New Roman"/>
          <w:sz w:val="24"/>
          <w:szCs w:val="24"/>
        </w:rPr>
        <w:t>z 2017 r. poz. 248</w:t>
      </w:r>
      <w:r w:rsidRPr="00E91209">
        <w:rPr>
          <w:rFonts w:ascii="Times New Roman" w:hAnsi="Times New Roman"/>
          <w:sz w:val="24"/>
          <w:szCs w:val="24"/>
        </w:rPr>
        <w:t>) projektowana ustawa została udostępniona w Biuletynie Informacji Publicznej Rządowego Centrum Legislacji</w:t>
      </w:r>
      <w:r w:rsidR="00043AD1" w:rsidRPr="00E91209">
        <w:rPr>
          <w:rFonts w:ascii="Times New Roman" w:hAnsi="Times New Roman"/>
          <w:sz w:val="24"/>
          <w:szCs w:val="24"/>
        </w:rPr>
        <w:t>,</w:t>
      </w:r>
      <w:r w:rsidRPr="00E91209">
        <w:rPr>
          <w:rFonts w:ascii="Times New Roman" w:hAnsi="Times New Roman"/>
          <w:sz w:val="24"/>
          <w:szCs w:val="24"/>
        </w:rPr>
        <w:t xml:space="preserve"> w</w:t>
      </w:r>
      <w:r w:rsidR="00E91209">
        <w:rPr>
          <w:rFonts w:ascii="Times New Roman" w:hAnsi="Times New Roman"/>
          <w:sz w:val="24"/>
          <w:szCs w:val="24"/>
        </w:rPr>
        <w:t> </w:t>
      </w:r>
      <w:r w:rsidRPr="00E91209">
        <w:rPr>
          <w:rFonts w:ascii="Times New Roman" w:hAnsi="Times New Roman"/>
          <w:sz w:val="24"/>
          <w:szCs w:val="24"/>
        </w:rPr>
        <w:t>serwisie Rządowy Proces Legislacyjny.</w:t>
      </w:r>
    </w:p>
    <w:p w:rsidR="002C1FE5" w:rsidRDefault="002C1FE5" w:rsidP="00E91209">
      <w:pPr>
        <w:spacing w:before="120" w:after="0" w:line="360" w:lineRule="auto"/>
        <w:jc w:val="both"/>
        <w:rPr>
          <w:rFonts w:ascii="Times New Roman" w:hAnsi="Times New Roman"/>
          <w:sz w:val="24"/>
          <w:szCs w:val="24"/>
        </w:rPr>
      </w:pPr>
      <w:r w:rsidRPr="00E91209">
        <w:rPr>
          <w:rFonts w:ascii="Times New Roman" w:hAnsi="Times New Roman"/>
          <w:sz w:val="24"/>
          <w:szCs w:val="24"/>
        </w:rPr>
        <w:t>Jednocześnie należy wskazać, że nie ma możliwości podjęcia alternatywnych w</w:t>
      </w:r>
      <w:r w:rsidR="00E91209">
        <w:rPr>
          <w:rFonts w:ascii="Times New Roman" w:hAnsi="Times New Roman"/>
          <w:sz w:val="24"/>
          <w:szCs w:val="24"/>
        </w:rPr>
        <w:t> </w:t>
      </w:r>
      <w:r w:rsidRPr="00E91209">
        <w:rPr>
          <w:rFonts w:ascii="Times New Roman" w:hAnsi="Times New Roman"/>
          <w:sz w:val="24"/>
          <w:szCs w:val="24"/>
        </w:rPr>
        <w:t>stosunku do projektowanej ustawy środków umożliwiających osiągnięcie zamierzonego celu.</w:t>
      </w:r>
    </w:p>
    <w:p w:rsidR="00E91209" w:rsidRDefault="00E91209" w:rsidP="00E91209">
      <w:pPr>
        <w:spacing w:before="120" w:after="0" w:line="360" w:lineRule="auto"/>
        <w:jc w:val="both"/>
        <w:rPr>
          <w:rFonts w:ascii="Times New Roman" w:hAnsi="Times New Roman"/>
          <w:sz w:val="20"/>
          <w:szCs w:val="20"/>
        </w:rPr>
      </w:pPr>
    </w:p>
    <w:p w:rsidR="00E91209" w:rsidRDefault="00E91209" w:rsidP="00E91209">
      <w:pPr>
        <w:spacing w:before="120" w:after="0" w:line="360" w:lineRule="auto"/>
        <w:jc w:val="both"/>
        <w:rPr>
          <w:rFonts w:ascii="Times New Roman" w:hAnsi="Times New Roman"/>
          <w:sz w:val="20"/>
          <w:szCs w:val="20"/>
        </w:rPr>
      </w:pPr>
    </w:p>
    <w:p w:rsidR="00E91209" w:rsidRDefault="00E91209" w:rsidP="00E91209">
      <w:pPr>
        <w:spacing w:before="120" w:after="0" w:line="360" w:lineRule="auto"/>
        <w:jc w:val="both"/>
        <w:rPr>
          <w:rFonts w:ascii="Times New Roman" w:hAnsi="Times New Roman"/>
          <w:sz w:val="20"/>
          <w:szCs w:val="20"/>
        </w:rPr>
      </w:pPr>
    </w:p>
    <w:p w:rsidR="00E91209" w:rsidRDefault="00E91209" w:rsidP="00E91209">
      <w:pPr>
        <w:spacing w:before="120" w:after="0" w:line="360" w:lineRule="auto"/>
        <w:jc w:val="both"/>
        <w:rPr>
          <w:rFonts w:ascii="Times New Roman" w:hAnsi="Times New Roman"/>
          <w:sz w:val="20"/>
          <w:szCs w:val="20"/>
        </w:rPr>
      </w:pPr>
    </w:p>
    <w:p w:rsidR="00E91209" w:rsidRDefault="00E91209" w:rsidP="00E91209">
      <w:pPr>
        <w:spacing w:before="120" w:after="0" w:line="360" w:lineRule="auto"/>
        <w:jc w:val="both"/>
        <w:rPr>
          <w:rFonts w:ascii="Times New Roman" w:hAnsi="Times New Roman"/>
          <w:sz w:val="20"/>
          <w:szCs w:val="20"/>
        </w:rPr>
      </w:pPr>
    </w:p>
    <w:p w:rsidR="00E91209" w:rsidRDefault="00E91209" w:rsidP="00E91209">
      <w:pPr>
        <w:spacing w:before="120" w:after="0" w:line="360" w:lineRule="auto"/>
        <w:jc w:val="both"/>
        <w:rPr>
          <w:rFonts w:ascii="Times New Roman" w:hAnsi="Times New Roman"/>
          <w:sz w:val="20"/>
          <w:szCs w:val="20"/>
        </w:rPr>
      </w:pPr>
    </w:p>
    <w:p w:rsidR="00E91209" w:rsidRPr="00E91209" w:rsidRDefault="00E91209" w:rsidP="00E91209">
      <w:pPr>
        <w:spacing w:before="120" w:after="0" w:line="360" w:lineRule="auto"/>
        <w:jc w:val="both"/>
        <w:rPr>
          <w:rFonts w:ascii="Times New Roman" w:hAnsi="Times New Roman"/>
          <w:sz w:val="20"/>
          <w:szCs w:val="20"/>
        </w:rPr>
      </w:pPr>
    </w:p>
    <w:sectPr w:rsidR="00E91209" w:rsidRPr="00E91209" w:rsidSect="00E91209">
      <w:footerReference w:type="default" r:id="rId9"/>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8F3" w:rsidRDefault="006548F3" w:rsidP="00335A46">
      <w:pPr>
        <w:spacing w:after="0" w:line="240" w:lineRule="auto"/>
      </w:pPr>
      <w:r>
        <w:separator/>
      </w:r>
    </w:p>
  </w:endnote>
  <w:endnote w:type="continuationSeparator" w:id="0">
    <w:p w:rsidR="006548F3" w:rsidRDefault="006548F3" w:rsidP="00335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FE5" w:rsidRPr="00E91209" w:rsidRDefault="00BE300C" w:rsidP="00E91209">
    <w:pPr>
      <w:pStyle w:val="Stopka"/>
      <w:jc w:val="center"/>
      <w:rPr>
        <w:rFonts w:ascii="Times New Roman" w:hAnsi="Times New Roman"/>
        <w:sz w:val="24"/>
        <w:szCs w:val="24"/>
      </w:rPr>
    </w:pPr>
    <w:r w:rsidRPr="00E91209">
      <w:rPr>
        <w:rFonts w:ascii="Times New Roman" w:hAnsi="Times New Roman"/>
        <w:sz w:val="24"/>
        <w:szCs w:val="24"/>
      </w:rPr>
      <w:fldChar w:fldCharType="begin"/>
    </w:r>
    <w:r w:rsidR="002C1FE5" w:rsidRPr="00E91209">
      <w:rPr>
        <w:rFonts w:ascii="Times New Roman" w:hAnsi="Times New Roman"/>
        <w:sz w:val="24"/>
        <w:szCs w:val="24"/>
      </w:rPr>
      <w:instrText xml:space="preserve"> PAGE   \* MERGEFORMAT </w:instrText>
    </w:r>
    <w:r w:rsidRPr="00E91209">
      <w:rPr>
        <w:rFonts w:ascii="Times New Roman" w:hAnsi="Times New Roman"/>
        <w:sz w:val="24"/>
        <w:szCs w:val="24"/>
      </w:rPr>
      <w:fldChar w:fldCharType="separate"/>
    </w:r>
    <w:r w:rsidR="0091470F">
      <w:rPr>
        <w:rFonts w:ascii="Times New Roman" w:hAnsi="Times New Roman"/>
        <w:noProof/>
        <w:sz w:val="24"/>
        <w:szCs w:val="24"/>
      </w:rPr>
      <w:t>8</w:t>
    </w:r>
    <w:r w:rsidRPr="00E91209">
      <w:rPr>
        <w:rFonts w:ascii="Times New Roman" w:hAnsi="Times New Roman"/>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8F3" w:rsidRDefault="006548F3" w:rsidP="00335A46">
      <w:pPr>
        <w:spacing w:after="0" w:line="240" w:lineRule="auto"/>
      </w:pPr>
      <w:r>
        <w:separator/>
      </w:r>
    </w:p>
  </w:footnote>
  <w:footnote w:type="continuationSeparator" w:id="0">
    <w:p w:rsidR="006548F3" w:rsidRDefault="006548F3" w:rsidP="00335A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1244A1"/>
    <w:multiLevelType w:val="hybridMultilevel"/>
    <w:tmpl w:val="6AE69C1E"/>
    <w:lvl w:ilvl="0" w:tplc="6FC424C2">
      <w:start w:val="1"/>
      <w:numFmt w:val="decimal"/>
      <w:lvlText w:val="%1)"/>
      <w:lvlJc w:val="left"/>
      <w:pPr>
        <w:ind w:left="1068" w:hanging="360"/>
      </w:pPr>
      <w:rPr>
        <w:rFonts w:cs="Times New Roman" w:hint="default"/>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1">
    <w:nsid w:val="66CE3179"/>
    <w:multiLevelType w:val="hybridMultilevel"/>
    <w:tmpl w:val="125005EE"/>
    <w:lvl w:ilvl="0" w:tplc="086EAE8E">
      <w:start w:val="1"/>
      <w:numFmt w:val="decimal"/>
      <w:lvlText w:val="%1)"/>
      <w:lvlJc w:val="left"/>
      <w:pPr>
        <w:ind w:left="1068" w:hanging="360"/>
      </w:pPr>
      <w:rPr>
        <w:rFonts w:cs="Times New Roman" w:hint="default"/>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B6C"/>
    <w:rsid w:val="00002B0E"/>
    <w:rsid w:val="00006A8D"/>
    <w:rsid w:val="00007F71"/>
    <w:rsid w:val="00014FD5"/>
    <w:rsid w:val="00016F7D"/>
    <w:rsid w:val="00026E18"/>
    <w:rsid w:val="000313F7"/>
    <w:rsid w:val="00031BDA"/>
    <w:rsid w:val="0003226A"/>
    <w:rsid w:val="0003630D"/>
    <w:rsid w:val="000379DD"/>
    <w:rsid w:val="00043AD1"/>
    <w:rsid w:val="00061F14"/>
    <w:rsid w:val="00064E2F"/>
    <w:rsid w:val="00065104"/>
    <w:rsid w:val="00070FAA"/>
    <w:rsid w:val="00072BCF"/>
    <w:rsid w:val="00083885"/>
    <w:rsid w:val="00091101"/>
    <w:rsid w:val="000A2EF9"/>
    <w:rsid w:val="000A7063"/>
    <w:rsid w:val="000B5CB3"/>
    <w:rsid w:val="000B7B04"/>
    <w:rsid w:val="000C7FEB"/>
    <w:rsid w:val="000D5949"/>
    <w:rsid w:val="000E0E91"/>
    <w:rsid w:val="000E1443"/>
    <w:rsid w:val="000E3472"/>
    <w:rsid w:val="000E6704"/>
    <w:rsid w:val="000F36A1"/>
    <w:rsid w:val="000F6E15"/>
    <w:rsid w:val="001007F1"/>
    <w:rsid w:val="0010343C"/>
    <w:rsid w:val="001108BC"/>
    <w:rsid w:val="00114545"/>
    <w:rsid w:val="00136729"/>
    <w:rsid w:val="001372DC"/>
    <w:rsid w:val="00146CAA"/>
    <w:rsid w:val="001475EA"/>
    <w:rsid w:val="00157B0C"/>
    <w:rsid w:val="00162836"/>
    <w:rsid w:val="0016554E"/>
    <w:rsid w:val="00165D94"/>
    <w:rsid w:val="00171537"/>
    <w:rsid w:val="001718A6"/>
    <w:rsid w:val="00171E04"/>
    <w:rsid w:val="00180B0A"/>
    <w:rsid w:val="00183CE6"/>
    <w:rsid w:val="00194250"/>
    <w:rsid w:val="00197BAD"/>
    <w:rsid w:val="001A3CCC"/>
    <w:rsid w:val="001A3CF7"/>
    <w:rsid w:val="001B5DE2"/>
    <w:rsid w:val="001C21AB"/>
    <w:rsid w:val="001C2DF8"/>
    <w:rsid w:val="001C6E16"/>
    <w:rsid w:val="001C74B1"/>
    <w:rsid w:val="001D59D9"/>
    <w:rsid w:val="001D5FD3"/>
    <w:rsid w:val="00205D84"/>
    <w:rsid w:val="0021389D"/>
    <w:rsid w:val="00215AB2"/>
    <w:rsid w:val="00223D9B"/>
    <w:rsid w:val="002277F1"/>
    <w:rsid w:val="00237D80"/>
    <w:rsid w:val="00245DBD"/>
    <w:rsid w:val="002469FB"/>
    <w:rsid w:val="00252606"/>
    <w:rsid w:val="00257E9F"/>
    <w:rsid w:val="0026269E"/>
    <w:rsid w:val="002710E9"/>
    <w:rsid w:val="00281ED0"/>
    <w:rsid w:val="00284F65"/>
    <w:rsid w:val="0028539F"/>
    <w:rsid w:val="0029324C"/>
    <w:rsid w:val="00293798"/>
    <w:rsid w:val="002947B7"/>
    <w:rsid w:val="00295FD9"/>
    <w:rsid w:val="002979F1"/>
    <w:rsid w:val="002B38BB"/>
    <w:rsid w:val="002B7465"/>
    <w:rsid w:val="002C1FE5"/>
    <w:rsid w:val="002D291C"/>
    <w:rsid w:val="002D6A4F"/>
    <w:rsid w:val="002E103D"/>
    <w:rsid w:val="002F3AEA"/>
    <w:rsid w:val="00302C63"/>
    <w:rsid w:val="00303D01"/>
    <w:rsid w:val="00305ADF"/>
    <w:rsid w:val="003064DB"/>
    <w:rsid w:val="003115B7"/>
    <w:rsid w:val="00314EFE"/>
    <w:rsid w:val="00316195"/>
    <w:rsid w:val="003269D6"/>
    <w:rsid w:val="003311AB"/>
    <w:rsid w:val="00335A46"/>
    <w:rsid w:val="00345EFC"/>
    <w:rsid w:val="00352C71"/>
    <w:rsid w:val="00360DAE"/>
    <w:rsid w:val="00361CAE"/>
    <w:rsid w:val="00366D8E"/>
    <w:rsid w:val="00384B19"/>
    <w:rsid w:val="003A0E6B"/>
    <w:rsid w:val="003A170C"/>
    <w:rsid w:val="003A69CE"/>
    <w:rsid w:val="003B714F"/>
    <w:rsid w:val="003C0A94"/>
    <w:rsid w:val="003C4477"/>
    <w:rsid w:val="003C5025"/>
    <w:rsid w:val="003E3968"/>
    <w:rsid w:val="003E4027"/>
    <w:rsid w:val="003F01D8"/>
    <w:rsid w:val="003F34DE"/>
    <w:rsid w:val="003F6834"/>
    <w:rsid w:val="00405FB7"/>
    <w:rsid w:val="004103F0"/>
    <w:rsid w:val="00411E2D"/>
    <w:rsid w:val="00413079"/>
    <w:rsid w:val="00414C76"/>
    <w:rsid w:val="00414ED3"/>
    <w:rsid w:val="004150CA"/>
    <w:rsid w:val="00416E85"/>
    <w:rsid w:val="00425826"/>
    <w:rsid w:val="00433E77"/>
    <w:rsid w:val="00455A7F"/>
    <w:rsid w:val="00461F56"/>
    <w:rsid w:val="00465631"/>
    <w:rsid w:val="00473194"/>
    <w:rsid w:val="00474D01"/>
    <w:rsid w:val="00480259"/>
    <w:rsid w:val="00483FA0"/>
    <w:rsid w:val="00485491"/>
    <w:rsid w:val="00486F04"/>
    <w:rsid w:val="004932C4"/>
    <w:rsid w:val="00493904"/>
    <w:rsid w:val="004947EE"/>
    <w:rsid w:val="0049673C"/>
    <w:rsid w:val="00496EE1"/>
    <w:rsid w:val="004A1AA6"/>
    <w:rsid w:val="004B3026"/>
    <w:rsid w:val="004B4204"/>
    <w:rsid w:val="004B5F74"/>
    <w:rsid w:val="004D1F94"/>
    <w:rsid w:val="004D3AAA"/>
    <w:rsid w:val="004E6D58"/>
    <w:rsid w:val="004E7153"/>
    <w:rsid w:val="004E7D5F"/>
    <w:rsid w:val="004F0991"/>
    <w:rsid w:val="004F4EE2"/>
    <w:rsid w:val="005057D6"/>
    <w:rsid w:val="00507432"/>
    <w:rsid w:val="00514DD6"/>
    <w:rsid w:val="00517060"/>
    <w:rsid w:val="005225C4"/>
    <w:rsid w:val="00523A0C"/>
    <w:rsid w:val="0053205D"/>
    <w:rsid w:val="00533F36"/>
    <w:rsid w:val="00535551"/>
    <w:rsid w:val="005375C6"/>
    <w:rsid w:val="005415A4"/>
    <w:rsid w:val="00546C5A"/>
    <w:rsid w:val="00553D62"/>
    <w:rsid w:val="005545F0"/>
    <w:rsid w:val="00563CD2"/>
    <w:rsid w:val="0056486A"/>
    <w:rsid w:val="00564FEB"/>
    <w:rsid w:val="00574D10"/>
    <w:rsid w:val="005752A8"/>
    <w:rsid w:val="00592E4B"/>
    <w:rsid w:val="0059472B"/>
    <w:rsid w:val="005A15DD"/>
    <w:rsid w:val="005B2D21"/>
    <w:rsid w:val="005B7D7A"/>
    <w:rsid w:val="005C3F5A"/>
    <w:rsid w:val="005C616D"/>
    <w:rsid w:val="005C6DF2"/>
    <w:rsid w:val="005D26B7"/>
    <w:rsid w:val="005D6B20"/>
    <w:rsid w:val="005E64E0"/>
    <w:rsid w:val="005E6AEE"/>
    <w:rsid w:val="005F6068"/>
    <w:rsid w:val="005F6C0A"/>
    <w:rsid w:val="0060622D"/>
    <w:rsid w:val="006139E2"/>
    <w:rsid w:val="00627DCA"/>
    <w:rsid w:val="0063248A"/>
    <w:rsid w:val="0063334D"/>
    <w:rsid w:val="006337FB"/>
    <w:rsid w:val="00641788"/>
    <w:rsid w:val="00645AC5"/>
    <w:rsid w:val="00650728"/>
    <w:rsid w:val="006528F8"/>
    <w:rsid w:val="006548F3"/>
    <w:rsid w:val="006558D2"/>
    <w:rsid w:val="006715E9"/>
    <w:rsid w:val="006806ED"/>
    <w:rsid w:val="00686C84"/>
    <w:rsid w:val="0069235D"/>
    <w:rsid w:val="006945BC"/>
    <w:rsid w:val="006A73E4"/>
    <w:rsid w:val="006B56EB"/>
    <w:rsid w:val="006B754D"/>
    <w:rsid w:val="006C0539"/>
    <w:rsid w:val="006C0555"/>
    <w:rsid w:val="006C3855"/>
    <w:rsid w:val="006C46C5"/>
    <w:rsid w:val="006D1303"/>
    <w:rsid w:val="006D1B16"/>
    <w:rsid w:val="006E2211"/>
    <w:rsid w:val="00700D41"/>
    <w:rsid w:val="00704C97"/>
    <w:rsid w:val="00731007"/>
    <w:rsid w:val="007329FD"/>
    <w:rsid w:val="00735898"/>
    <w:rsid w:val="007406E2"/>
    <w:rsid w:val="007479BE"/>
    <w:rsid w:val="007543E9"/>
    <w:rsid w:val="00761EF4"/>
    <w:rsid w:val="007634D9"/>
    <w:rsid w:val="00764029"/>
    <w:rsid w:val="007650F1"/>
    <w:rsid w:val="0077177C"/>
    <w:rsid w:val="00776E29"/>
    <w:rsid w:val="00780807"/>
    <w:rsid w:val="007A1CB2"/>
    <w:rsid w:val="007A5B40"/>
    <w:rsid w:val="007A6E8C"/>
    <w:rsid w:val="007B0205"/>
    <w:rsid w:val="007B3383"/>
    <w:rsid w:val="007B57AE"/>
    <w:rsid w:val="007C0829"/>
    <w:rsid w:val="007C350E"/>
    <w:rsid w:val="007C479F"/>
    <w:rsid w:val="007D0E1C"/>
    <w:rsid w:val="007D52E7"/>
    <w:rsid w:val="007E2D83"/>
    <w:rsid w:val="007F13C2"/>
    <w:rsid w:val="0080581D"/>
    <w:rsid w:val="00815C02"/>
    <w:rsid w:val="00822733"/>
    <w:rsid w:val="00826AC8"/>
    <w:rsid w:val="00827777"/>
    <w:rsid w:val="00844559"/>
    <w:rsid w:val="00846C17"/>
    <w:rsid w:val="00854EB7"/>
    <w:rsid w:val="008615E8"/>
    <w:rsid w:val="00865629"/>
    <w:rsid w:val="00871D90"/>
    <w:rsid w:val="00872AA6"/>
    <w:rsid w:val="0087403D"/>
    <w:rsid w:val="00877787"/>
    <w:rsid w:val="00880593"/>
    <w:rsid w:val="0088262E"/>
    <w:rsid w:val="0089559C"/>
    <w:rsid w:val="00897433"/>
    <w:rsid w:val="00897D79"/>
    <w:rsid w:val="008A40A8"/>
    <w:rsid w:val="008A60E3"/>
    <w:rsid w:val="008B00B0"/>
    <w:rsid w:val="008B1503"/>
    <w:rsid w:val="008B6058"/>
    <w:rsid w:val="008C0895"/>
    <w:rsid w:val="008D55C0"/>
    <w:rsid w:val="008D607E"/>
    <w:rsid w:val="008F2BEB"/>
    <w:rsid w:val="008F7547"/>
    <w:rsid w:val="00900D9E"/>
    <w:rsid w:val="00913806"/>
    <w:rsid w:val="0091470F"/>
    <w:rsid w:val="0092734A"/>
    <w:rsid w:val="00931A3E"/>
    <w:rsid w:val="009339B2"/>
    <w:rsid w:val="00940BD1"/>
    <w:rsid w:val="00945E45"/>
    <w:rsid w:val="0094711B"/>
    <w:rsid w:val="0096322E"/>
    <w:rsid w:val="00963D4C"/>
    <w:rsid w:val="00966E36"/>
    <w:rsid w:val="009735C6"/>
    <w:rsid w:val="00980253"/>
    <w:rsid w:val="00986E98"/>
    <w:rsid w:val="009A0A3E"/>
    <w:rsid w:val="009A0E71"/>
    <w:rsid w:val="009A1E49"/>
    <w:rsid w:val="009B60B9"/>
    <w:rsid w:val="009B6C0A"/>
    <w:rsid w:val="009C0900"/>
    <w:rsid w:val="009C2EF7"/>
    <w:rsid w:val="009C649C"/>
    <w:rsid w:val="009D2152"/>
    <w:rsid w:val="009F4264"/>
    <w:rsid w:val="009F48B9"/>
    <w:rsid w:val="009F7F13"/>
    <w:rsid w:val="00A00489"/>
    <w:rsid w:val="00A072CA"/>
    <w:rsid w:val="00A3228D"/>
    <w:rsid w:val="00A33AB6"/>
    <w:rsid w:val="00A342C4"/>
    <w:rsid w:val="00A4079D"/>
    <w:rsid w:val="00A47177"/>
    <w:rsid w:val="00A50A94"/>
    <w:rsid w:val="00A51AEE"/>
    <w:rsid w:val="00A53EEC"/>
    <w:rsid w:val="00A6460B"/>
    <w:rsid w:val="00A649F6"/>
    <w:rsid w:val="00A65DC8"/>
    <w:rsid w:val="00A96160"/>
    <w:rsid w:val="00AA26BC"/>
    <w:rsid w:val="00AB703F"/>
    <w:rsid w:val="00AD2104"/>
    <w:rsid w:val="00AD4C45"/>
    <w:rsid w:val="00AE59B6"/>
    <w:rsid w:val="00AF0C87"/>
    <w:rsid w:val="00AF2ECD"/>
    <w:rsid w:val="00AF6F58"/>
    <w:rsid w:val="00B04726"/>
    <w:rsid w:val="00B10748"/>
    <w:rsid w:val="00B16D9A"/>
    <w:rsid w:val="00B203F8"/>
    <w:rsid w:val="00B2299D"/>
    <w:rsid w:val="00B32FF5"/>
    <w:rsid w:val="00B46FB0"/>
    <w:rsid w:val="00B54EB2"/>
    <w:rsid w:val="00B67E30"/>
    <w:rsid w:val="00B81659"/>
    <w:rsid w:val="00B84A3F"/>
    <w:rsid w:val="00B93A5B"/>
    <w:rsid w:val="00B97098"/>
    <w:rsid w:val="00BA2105"/>
    <w:rsid w:val="00BB0AAC"/>
    <w:rsid w:val="00BB4193"/>
    <w:rsid w:val="00BB46E4"/>
    <w:rsid w:val="00BC0474"/>
    <w:rsid w:val="00BC3B66"/>
    <w:rsid w:val="00BD0CA5"/>
    <w:rsid w:val="00BD1C0C"/>
    <w:rsid w:val="00BD3776"/>
    <w:rsid w:val="00BD3F77"/>
    <w:rsid w:val="00BE300C"/>
    <w:rsid w:val="00BE5C97"/>
    <w:rsid w:val="00BE61DB"/>
    <w:rsid w:val="00BF708C"/>
    <w:rsid w:val="00C039D9"/>
    <w:rsid w:val="00C06D17"/>
    <w:rsid w:val="00C0774A"/>
    <w:rsid w:val="00C24890"/>
    <w:rsid w:val="00C3055F"/>
    <w:rsid w:val="00C36809"/>
    <w:rsid w:val="00C42160"/>
    <w:rsid w:val="00C46E8A"/>
    <w:rsid w:val="00C4714A"/>
    <w:rsid w:val="00C55B7D"/>
    <w:rsid w:val="00C57452"/>
    <w:rsid w:val="00C874E4"/>
    <w:rsid w:val="00C94652"/>
    <w:rsid w:val="00CA642C"/>
    <w:rsid w:val="00CB20CC"/>
    <w:rsid w:val="00CB2EAE"/>
    <w:rsid w:val="00CB7BB5"/>
    <w:rsid w:val="00CC6057"/>
    <w:rsid w:val="00CC62ED"/>
    <w:rsid w:val="00CC6419"/>
    <w:rsid w:val="00CD042F"/>
    <w:rsid w:val="00CD11BE"/>
    <w:rsid w:val="00CE1DD1"/>
    <w:rsid w:val="00CE6E1D"/>
    <w:rsid w:val="00CE78A0"/>
    <w:rsid w:val="00D00CA0"/>
    <w:rsid w:val="00D02039"/>
    <w:rsid w:val="00D10D4E"/>
    <w:rsid w:val="00D214D7"/>
    <w:rsid w:val="00D376AC"/>
    <w:rsid w:val="00D5237F"/>
    <w:rsid w:val="00D575AD"/>
    <w:rsid w:val="00D61B0D"/>
    <w:rsid w:val="00D65DC6"/>
    <w:rsid w:val="00D70AA5"/>
    <w:rsid w:val="00D721F7"/>
    <w:rsid w:val="00D8118D"/>
    <w:rsid w:val="00D866F6"/>
    <w:rsid w:val="00DA7A11"/>
    <w:rsid w:val="00DB3061"/>
    <w:rsid w:val="00DB4711"/>
    <w:rsid w:val="00DB62CE"/>
    <w:rsid w:val="00DC1E7E"/>
    <w:rsid w:val="00DC6A99"/>
    <w:rsid w:val="00DC6EAD"/>
    <w:rsid w:val="00DD05B3"/>
    <w:rsid w:val="00DE011A"/>
    <w:rsid w:val="00DE2614"/>
    <w:rsid w:val="00DE49B6"/>
    <w:rsid w:val="00DF014A"/>
    <w:rsid w:val="00E07262"/>
    <w:rsid w:val="00E13F4A"/>
    <w:rsid w:val="00E26243"/>
    <w:rsid w:val="00E35C51"/>
    <w:rsid w:val="00E447D6"/>
    <w:rsid w:val="00E536F5"/>
    <w:rsid w:val="00E53F1B"/>
    <w:rsid w:val="00E56EB3"/>
    <w:rsid w:val="00E61624"/>
    <w:rsid w:val="00E61ED1"/>
    <w:rsid w:val="00E624F4"/>
    <w:rsid w:val="00E66968"/>
    <w:rsid w:val="00E72F25"/>
    <w:rsid w:val="00E7596C"/>
    <w:rsid w:val="00E91209"/>
    <w:rsid w:val="00EA72A3"/>
    <w:rsid w:val="00EA79E5"/>
    <w:rsid w:val="00EC093E"/>
    <w:rsid w:val="00EC12B3"/>
    <w:rsid w:val="00EC4FF3"/>
    <w:rsid w:val="00ED4A17"/>
    <w:rsid w:val="00EE1409"/>
    <w:rsid w:val="00EE1712"/>
    <w:rsid w:val="00EE4FE9"/>
    <w:rsid w:val="00EF115A"/>
    <w:rsid w:val="00EF3C10"/>
    <w:rsid w:val="00F07048"/>
    <w:rsid w:val="00F2062A"/>
    <w:rsid w:val="00F23109"/>
    <w:rsid w:val="00F24EAB"/>
    <w:rsid w:val="00F25004"/>
    <w:rsid w:val="00F4163F"/>
    <w:rsid w:val="00F4315F"/>
    <w:rsid w:val="00F54A23"/>
    <w:rsid w:val="00F713B3"/>
    <w:rsid w:val="00F77A49"/>
    <w:rsid w:val="00F831DF"/>
    <w:rsid w:val="00F845D1"/>
    <w:rsid w:val="00F9232A"/>
    <w:rsid w:val="00F940F9"/>
    <w:rsid w:val="00F947FC"/>
    <w:rsid w:val="00F96F9C"/>
    <w:rsid w:val="00FA2B6C"/>
    <w:rsid w:val="00FA46A6"/>
    <w:rsid w:val="00FA6A52"/>
    <w:rsid w:val="00FA7C5C"/>
    <w:rsid w:val="00FB7426"/>
    <w:rsid w:val="00FC2785"/>
    <w:rsid w:val="00FD3BC3"/>
    <w:rsid w:val="00FE3338"/>
    <w:rsid w:val="00FE57C6"/>
    <w:rsid w:val="00FF4D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B6C0A"/>
    <w:pPr>
      <w:spacing w:after="200" w:line="276"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rsid w:val="00335A46"/>
    <w:rPr>
      <w:sz w:val="20"/>
      <w:szCs w:val="20"/>
    </w:rPr>
  </w:style>
  <w:style w:type="character" w:customStyle="1" w:styleId="TekstprzypisudolnegoZnak">
    <w:name w:val="Tekst przypisu dolnego Znak"/>
    <w:basedOn w:val="Domylnaczcionkaakapitu"/>
    <w:link w:val="Tekstprzypisudolnego"/>
    <w:uiPriority w:val="99"/>
    <w:semiHidden/>
    <w:locked/>
    <w:rsid w:val="00335A46"/>
    <w:rPr>
      <w:rFonts w:ascii="Calibri" w:eastAsia="Times New Roman" w:hAnsi="Calibri" w:cs="Times New Roman"/>
      <w:sz w:val="20"/>
      <w:szCs w:val="20"/>
    </w:rPr>
  </w:style>
  <w:style w:type="character" w:styleId="Odwoanieprzypisudolnego">
    <w:name w:val="footnote reference"/>
    <w:basedOn w:val="Domylnaczcionkaakapitu"/>
    <w:uiPriority w:val="99"/>
    <w:semiHidden/>
    <w:rsid w:val="00335A46"/>
    <w:rPr>
      <w:rFonts w:cs="Times New Roman"/>
      <w:vertAlign w:val="superscript"/>
    </w:rPr>
  </w:style>
  <w:style w:type="character" w:styleId="Hipercze">
    <w:name w:val="Hyperlink"/>
    <w:basedOn w:val="Domylnaczcionkaakapitu"/>
    <w:uiPriority w:val="99"/>
    <w:rsid w:val="00483FA0"/>
    <w:rPr>
      <w:rFonts w:cs="Times New Roman"/>
      <w:color w:val="0000FF"/>
      <w:u w:val="single"/>
    </w:rPr>
  </w:style>
  <w:style w:type="paragraph" w:styleId="Nagwek">
    <w:name w:val="header"/>
    <w:basedOn w:val="Normalny"/>
    <w:link w:val="NagwekZnak"/>
    <w:uiPriority w:val="99"/>
    <w:rsid w:val="00384B19"/>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384B19"/>
    <w:rPr>
      <w:rFonts w:cs="Times New Roman"/>
    </w:rPr>
  </w:style>
  <w:style w:type="paragraph" w:styleId="Stopka">
    <w:name w:val="footer"/>
    <w:basedOn w:val="Normalny"/>
    <w:link w:val="StopkaZnak"/>
    <w:uiPriority w:val="99"/>
    <w:rsid w:val="00384B19"/>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384B19"/>
    <w:rPr>
      <w:rFonts w:cs="Times New Roman"/>
    </w:rPr>
  </w:style>
  <w:style w:type="character" w:styleId="Odwoaniedokomentarza">
    <w:name w:val="annotation reference"/>
    <w:basedOn w:val="Domylnaczcionkaakapitu"/>
    <w:uiPriority w:val="99"/>
    <w:semiHidden/>
    <w:rsid w:val="00535551"/>
    <w:rPr>
      <w:rFonts w:cs="Times New Roman"/>
      <w:sz w:val="16"/>
    </w:rPr>
  </w:style>
  <w:style w:type="paragraph" w:styleId="Tekstkomentarza">
    <w:name w:val="annotation text"/>
    <w:basedOn w:val="Normalny"/>
    <w:link w:val="TekstkomentarzaZnak"/>
    <w:uiPriority w:val="99"/>
    <w:semiHidden/>
    <w:rsid w:val="00535551"/>
    <w:pPr>
      <w:widowControl w:val="0"/>
      <w:autoSpaceDE w:val="0"/>
      <w:autoSpaceDN w:val="0"/>
      <w:adjustRightInd w:val="0"/>
      <w:spacing w:after="0" w:line="360" w:lineRule="auto"/>
    </w:pPr>
    <w:rPr>
      <w:rFonts w:ascii="Times" w:eastAsia="Times New Roman" w:hAnsi="Times"/>
      <w:sz w:val="24"/>
      <w:szCs w:val="24"/>
      <w:lang w:eastAsia="pl-PL"/>
    </w:rPr>
  </w:style>
  <w:style w:type="character" w:customStyle="1" w:styleId="TekstkomentarzaZnak">
    <w:name w:val="Tekst komentarza Znak"/>
    <w:basedOn w:val="Domylnaczcionkaakapitu"/>
    <w:link w:val="Tekstkomentarza"/>
    <w:uiPriority w:val="99"/>
    <w:semiHidden/>
    <w:locked/>
    <w:rsid w:val="00535551"/>
    <w:rPr>
      <w:rFonts w:ascii="Times" w:hAnsi="Times" w:cs="Times New Roman"/>
      <w:sz w:val="24"/>
      <w:szCs w:val="24"/>
      <w:lang w:eastAsia="pl-PL"/>
    </w:rPr>
  </w:style>
  <w:style w:type="paragraph" w:styleId="Tekstdymka">
    <w:name w:val="Balloon Text"/>
    <w:basedOn w:val="Normalny"/>
    <w:link w:val="TekstdymkaZnak"/>
    <w:uiPriority w:val="99"/>
    <w:semiHidden/>
    <w:rsid w:val="0053555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535551"/>
    <w:rPr>
      <w:rFonts w:ascii="Tahoma" w:hAnsi="Tahoma" w:cs="Tahoma"/>
      <w:sz w:val="16"/>
      <w:szCs w:val="16"/>
    </w:rPr>
  </w:style>
  <w:style w:type="paragraph" w:styleId="Tematkomentarza">
    <w:name w:val="annotation subject"/>
    <w:basedOn w:val="Tekstkomentarza"/>
    <w:next w:val="Tekstkomentarza"/>
    <w:link w:val="TematkomentarzaZnak"/>
    <w:uiPriority w:val="99"/>
    <w:semiHidden/>
    <w:rsid w:val="00517060"/>
    <w:pPr>
      <w:widowControl/>
      <w:autoSpaceDE/>
      <w:autoSpaceDN/>
      <w:adjustRightInd/>
      <w:spacing w:after="200" w:line="240" w:lineRule="auto"/>
    </w:pPr>
    <w:rPr>
      <w:rFonts w:ascii="Calibri" w:eastAsia="Calibri" w:hAnsi="Calibri"/>
      <w:b/>
      <w:bCs/>
      <w:sz w:val="20"/>
      <w:szCs w:val="20"/>
      <w:lang w:eastAsia="en-US"/>
    </w:rPr>
  </w:style>
  <w:style w:type="character" w:customStyle="1" w:styleId="TematkomentarzaZnak">
    <w:name w:val="Temat komentarza Znak"/>
    <w:basedOn w:val="TekstkomentarzaZnak"/>
    <w:link w:val="Tematkomentarza"/>
    <w:uiPriority w:val="99"/>
    <w:semiHidden/>
    <w:locked/>
    <w:rsid w:val="00517060"/>
    <w:rPr>
      <w:rFonts w:ascii="Times" w:hAnsi="Times" w:cs="Times New Roman"/>
      <w:b/>
      <w:bCs/>
      <w:sz w:val="20"/>
      <w:szCs w:val="20"/>
      <w:lang w:eastAsia="pl-PL"/>
    </w:rPr>
  </w:style>
  <w:style w:type="character" w:customStyle="1" w:styleId="Ppogrubienie">
    <w:name w:val="_P_ – pogrubienie"/>
    <w:uiPriority w:val="99"/>
    <w:rsid w:val="00BD0CA5"/>
    <w:rPr>
      <w:b/>
    </w:rPr>
  </w:style>
  <w:style w:type="paragraph" w:customStyle="1" w:styleId="ZUSTzmustartykuempunktem">
    <w:name w:val="Z/UST(§) – zm. ust. (§) artykułem (punktem)"/>
    <w:basedOn w:val="Normalny"/>
    <w:uiPriority w:val="99"/>
    <w:rsid w:val="00257E9F"/>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styleId="Bezodstpw">
    <w:name w:val="No Spacing"/>
    <w:uiPriority w:val="99"/>
    <w:qFormat/>
    <w:rsid w:val="00257E9F"/>
    <w:rPr>
      <w:lang w:eastAsia="en-US"/>
    </w:rPr>
  </w:style>
  <w:style w:type="character" w:customStyle="1" w:styleId="txt-new">
    <w:name w:val="txt-new"/>
    <w:basedOn w:val="Domylnaczcionkaakapitu"/>
    <w:uiPriority w:val="99"/>
    <w:rsid w:val="0094711B"/>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B6C0A"/>
    <w:pPr>
      <w:spacing w:after="200" w:line="276"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rsid w:val="00335A46"/>
    <w:rPr>
      <w:sz w:val="20"/>
      <w:szCs w:val="20"/>
    </w:rPr>
  </w:style>
  <w:style w:type="character" w:customStyle="1" w:styleId="TekstprzypisudolnegoZnak">
    <w:name w:val="Tekst przypisu dolnego Znak"/>
    <w:basedOn w:val="Domylnaczcionkaakapitu"/>
    <w:link w:val="Tekstprzypisudolnego"/>
    <w:uiPriority w:val="99"/>
    <w:semiHidden/>
    <w:locked/>
    <w:rsid w:val="00335A46"/>
    <w:rPr>
      <w:rFonts w:ascii="Calibri" w:eastAsia="Times New Roman" w:hAnsi="Calibri" w:cs="Times New Roman"/>
      <w:sz w:val="20"/>
      <w:szCs w:val="20"/>
    </w:rPr>
  </w:style>
  <w:style w:type="character" w:styleId="Odwoanieprzypisudolnego">
    <w:name w:val="footnote reference"/>
    <w:basedOn w:val="Domylnaczcionkaakapitu"/>
    <w:uiPriority w:val="99"/>
    <w:semiHidden/>
    <w:rsid w:val="00335A46"/>
    <w:rPr>
      <w:rFonts w:cs="Times New Roman"/>
      <w:vertAlign w:val="superscript"/>
    </w:rPr>
  </w:style>
  <w:style w:type="character" w:styleId="Hipercze">
    <w:name w:val="Hyperlink"/>
    <w:basedOn w:val="Domylnaczcionkaakapitu"/>
    <w:uiPriority w:val="99"/>
    <w:rsid w:val="00483FA0"/>
    <w:rPr>
      <w:rFonts w:cs="Times New Roman"/>
      <w:color w:val="0000FF"/>
      <w:u w:val="single"/>
    </w:rPr>
  </w:style>
  <w:style w:type="paragraph" w:styleId="Nagwek">
    <w:name w:val="header"/>
    <w:basedOn w:val="Normalny"/>
    <w:link w:val="NagwekZnak"/>
    <w:uiPriority w:val="99"/>
    <w:rsid w:val="00384B19"/>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384B19"/>
    <w:rPr>
      <w:rFonts w:cs="Times New Roman"/>
    </w:rPr>
  </w:style>
  <w:style w:type="paragraph" w:styleId="Stopka">
    <w:name w:val="footer"/>
    <w:basedOn w:val="Normalny"/>
    <w:link w:val="StopkaZnak"/>
    <w:uiPriority w:val="99"/>
    <w:rsid w:val="00384B19"/>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384B19"/>
    <w:rPr>
      <w:rFonts w:cs="Times New Roman"/>
    </w:rPr>
  </w:style>
  <w:style w:type="character" w:styleId="Odwoaniedokomentarza">
    <w:name w:val="annotation reference"/>
    <w:basedOn w:val="Domylnaczcionkaakapitu"/>
    <w:uiPriority w:val="99"/>
    <w:semiHidden/>
    <w:rsid w:val="00535551"/>
    <w:rPr>
      <w:rFonts w:cs="Times New Roman"/>
      <w:sz w:val="16"/>
    </w:rPr>
  </w:style>
  <w:style w:type="paragraph" w:styleId="Tekstkomentarza">
    <w:name w:val="annotation text"/>
    <w:basedOn w:val="Normalny"/>
    <w:link w:val="TekstkomentarzaZnak"/>
    <w:uiPriority w:val="99"/>
    <w:semiHidden/>
    <w:rsid w:val="00535551"/>
    <w:pPr>
      <w:widowControl w:val="0"/>
      <w:autoSpaceDE w:val="0"/>
      <w:autoSpaceDN w:val="0"/>
      <w:adjustRightInd w:val="0"/>
      <w:spacing w:after="0" w:line="360" w:lineRule="auto"/>
    </w:pPr>
    <w:rPr>
      <w:rFonts w:ascii="Times" w:eastAsia="Times New Roman" w:hAnsi="Times"/>
      <w:sz w:val="24"/>
      <w:szCs w:val="24"/>
      <w:lang w:eastAsia="pl-PL"/>
    </w:rPr>
  </w:style>
  <w:style w:type="character" w:customStyle="1" w:styleId="TekstkomentarzaZnak">
    <w:name w:val="Tekst komentarza Znak"/>
    <w:basedOn w:val="Domylnaczcionkaakapitu"/>
    <w:link w:val="Tekstkomentarza"/>
    <w:uiPriority w:val="99"/>
    <w:semiHidden/>
    <w:locked/>
    <w:rsid w:val="00535551"/>
    <w:rPr>
      <w:rFonts w:ascii="Times" w:hAnsi="Times" w:cs="Times New Roman"/>
      <w:sz w:val="24"/>
      <w:szCs w:val="24"/>
      <w:lang w:eastAsia="pl-PL"/>
    </w:rPr>
  </w:style>
  <w:style w:type="paragraph" w:styleId="Tekstdymka">
    <w:name w:val="Balloon Text"/>
    <w:basedOn w:val="Normalny"/>
    <w:link w:val="TekstdymkaZnak"/>
    <w:uiPriority w:val="99"/>
    <w:semiHidden/>
    <w:rsid w:val="0053555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535551"/>
    <w:rPr>
      <w:rFonts w:ascii="Tahoma" w:hAnsi="Tahoma" w:cs="Tahoma"/>
      <w:sz w:val="16"/>
      <w:szCs w:val="16"/>
    </w:rPr>
  </w:style>
  <w:style w:type="paragraph" w:styleId="Tematkomentarza">
    <w:name w:val="annotation subject"/>
    <w:basedOn w:val="Tekstkomentarza"/>
    <w:next w:val="Tekstkomentarza"/>
    <w:link w:val="TematkomentarzaZnak"/>
    <w:uiPriority w:val="99"/>
    <w:semiHidden/>
    <w:rsid w:val="00517060"/>
    <w:pPr>
      <w:widowControl/>
      <w:autoSpaceDE/>
      <w:autoSpaceDN/>
      <w:adjustRightInd/>
      <w:spacing w:after="200" w:line="240" w:lineRule="auto"/>
    </w:pPr>
    <w:rPr>
      <w:rFonts w:ascii="Calibri" w:eastAsia="Calibri" w:hAnsi="Calibri"/>
      <w:b/>
      <w:bCs/>
      <w:sz w:val="20"/>
      <w:szCs w:val="20"/>
      <w:lang w:eastAsia="en-US"/>
    </w:rPr>
  </w:style>
  <w:style w:type="character" w:customStyle="1" w:styleId="TematkomentarzaZnak">
    <w:name w:val="Temat komentarza Znak"/>
    <w:basedOn w:val="TekstkomentarzaZnak"/>
    <w:link w:val="Tematkomentarza"/>
    <w:uiPriority w:val="99"/>
    <w:semiHidden/>
    <w:locked/>
    <w:rsid w:val="00517060"/>
    <w:rPr>
      <w:rFonts w:ascii="Times" w:hAnsi="Times" w:cs="Times New Roman"/>
      <w:b/>
      <w:bCs/>
      <w:sz w:val="20"/>
      <w:szCs w:val="20"/>
      <w:lang w:eastAsia="pl-PL"/>
    </w:rPr>
  </w:style>
  <w:style w:type="character" w:customStyle="1" w:styleId="Ppogrubienie">
    <w:name w:val="_P_ – pogrubienie"/>
    <w:uiPriority w:val="99"/>
    <w:rsid w:val="00BD0CA5"/>
    <w:rPr>
      <w:b/>
    </w:rPr>
  </w:style>
  <w:style w:type="paragraph" w:customStyle="1" w:styleId="ZUSTzmustartykuempunktem">
    <w:name w:val="Z/UST(§) – zm. ust. (§) artykułem (punktem)"/>
    <w:basedOn w:val="Normalny"/>
    <w:uiPriority w:val="99"/>
    <w:rsid w:val="00257E9F"/>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styleId="Bezodstpw">
    <w:name w:val="No Spacing"/>
    <w:uiPriority w:val="99"/>
    <w:qFormat/>
    <w:rsid w:val="00257E9F"/>
    <w:rPr>
      <w:lang w:eastAsia="en-US"/>
    </w:rPr>
  </w:style>
  <w:style w:type="character" w:customStyle="1" w:styleId="txt-new">
    <w:name w:val="txt-new"/>
    <w:basedOn w:val="Domylnaczcionkaakapitu"/>
    <w:uiPriority w:val="99"/>
    <w:rsid w:val="0094711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571668">
      <w:marLeft w:val="0"/>
      <w:marRight w:val="0"/>
      <w:marTop w:val="0"/>
      <w:marBottom w:val="0"/>
      <w:divBdr>
        <w:top w:val="none" w:sz="0" w:space="0" w:color="auto"/>
        <w:left w:val="none" w:sz="0" w:space="0" w:color="auto"/>
        <w:bottom w:val="none" w:sz="0" w:space="0" w:color="auto"/>
        <w:right w:val="none" w:sz="0" w:space="0" w:color="auto"/>
      </w:divBdr>
    </w:div>
    <w:div w:id="1118571669">
      <w:marLeft w:val="0"/>
      <w:marRight w:val="0"/>
      <w:marTop w:val="0"/>
      <w:marBottom w:val="0"/>
      <w:divBdr>
        <w:top w:val="none" w:sz="0" w:space="0" w:color="auto"/>
        <w:left w:val="none" w:sz="0" w:space="0" w:color="auto"/>
        <w:bottom w:val="none" w:sz="0" w:space="0" w:color="auto"/>
        <w:right w:val="none" w:sz="0" w:space="0" w:color="auto"/>
      </w:divBdr>
      <w:divsChild>
        <w:div w:id="1118571704">
          <w:marLeft w:val="0"/>
          <w:marRight w:val="0"/>
          <w:marTop w:val="0"/>
          <w:marBottom w:val="0"/>
          <w:divBdr>
            <w:top w:val="none" w:sz="0" w:space="0" w:color="auto"/>
            <w:left w:val="none" w:sz="0" w:space="0" w:color="auto"/>
            <w:bottom w:val="none" w:sz="0" w:space="0" w:color="auto"/>
            <w:right w:val="none" w:sz="0" w:space="0" w:color="auto"/>
          </w:divBdr>
        </w:div>
        <w:div w:id="1118571708">
          <w:marLeft w:val="0"/>
          <w:marRight w:val="0"/>
          <w:marTop w:val="0"/>
          <w:marBottom w:val="0"/>
          <w:divBdr>
            <w:top w:val="none" w:sz="0" w:space="0" w:color="auto"/>
            <w:left w:val="none" w:sz="0" w:space="0" w:color="auto"/>
            <w:bottom w:val="none" w:sz="0" w:space="0" w:color="auto"/>
            <w:right w:val="none" w:sz="0" w:space="0" w:color="auto"/>
          </w:divBdr>
        </w:div>
        <w:div w:id="1118571714">
          <w:marLeft w:val="0"/>
          <w:marRight w:val="0"/>
          <w:marTop w:val="0"/>
          <w:marBottom w:val="0"/>
          <w:divBdr>
            <w:top w:val="none" w:sz="0" w:space="0" w:color="auto"/>
            <w:left w:val="none" w:sz="0" w:space="0" w:color="auto"/>
            <w:bottom w:val="none" w:sz="0" w:space="0" w:color="auto"/>
            <w:right w:val="none" w:sz="0" w:space="0" w:color="auto"/>
          </w:divBdr>
        </w:div>
        <w:div w:id="1118571719">
          <w:marLeft w:val="0"/>
          <w:marRight w:val="0"/>
          <w:marTop w:val="0"/>
          <w:marBottom w:val="0"/>
          <w:divBdr>
            <w:top w:val="none" w:sz="0" w:space="0" w:color="auto"/>
            <w:left w:val="none" w:sz="0" w:space="0" w:color="auto"/>
            <w:bottom w:val="none" w:sz="0" w:space="0" w:color="auto"/>
            <w:right w:val="none" w:sz="0" w:space="0" w:color="auto"/>
          </w:divBdr>
        </w:div>
      </w:divsChild>
    </w:div>
    <w:div w:id="1118571678">
      <w:marLeft w:val="0"/>
      <w:marRight w:val="0"/>
      <w:marTop w:val="0"/>
      <w:marBottom w:val="0"/>
      <w:divBdr>
        <w:top w:val="none" w:sz="0" w:space="0" w:color="auto"/>
        <w:left w:val="none" w:sz="0" w:space="0" w:color="auto"/>
        <w:bottom w:val="none" w:sz="0" w:space="0" w:color="auto"/>
        <w:right w:val="none" w:sz="0" w:space="0" w:color="auto"/>
      </w:divBdr>
      <w:divsChild>
        <w:div w:id="1118571698">
          <w:marLeft w:val="0"/>
          <w:marRight w:val="0"/>
          <w:marTop w:val="0"/>
          <w:marBottom w:val="0"/>
          <w:divBdr>
            <w:top w:val="none" w:sz="0" w:space="0" w:color="auto"/>
            <w:left w:val="none" w:sz="0" w:space="0" w:color="auto"/>
            <w:bottom w:val="none" w:sz="0" w:space="0" w:color="auto"/>
            <w:right w:val="none" w:sz="0" w:space="0" w:color="auto"/>
          </w:divBdr>
        </w:div>
      </w:divsChild>
    </w:div>
    <w:div w:id="1118571679">
      <w:marLeft w:val="0"/>
      <w:marRight w:val="0"/>
      <w:marTop w:val="0"/>
      <w:marBottom w:val="0"/>
      <w:divBdr>
        <w:top w:val="none" w:sz="0" w:space="0" w:color="auto"/>
        <w:left w:val="none" w:sz="0" w:space="0" w:color="auto"/>
        <w:bottom w:val="none" w:sz="0" w:space="0" w:color="auto"/>
        <w:right w:val="none" w:sz="0" w:space="0" w:color="auto"/>
      </w:divBdr>
      <w:divsChild>
        <w:div w:id="1118571663">
          <w:marLeft w:val="0"/>
          <w:marRight w:val="0"/>
          <w:marTop w:val="0"/>
          <w:marBottom w:val="0"/>
          <w:divBdr>
            <w:top w:val="none" w:sz="0" w:space="0" w:color="auto"/>
            <w:left w:val="none" w:sz="0" w:space="0" w:color="auto"/>
            <w:bottom w:val="none" w:sz="0" w:space="0" w:color="auto"/>
            <w:right w:val="none" w:sz="0" w:space="0" w:color="auto"/>
          </w:divBdr>
        </w:div>
        <w:div w:id="1118571665">
          <w:marLeft w:val="0"/>
          <w:marRight w:val="0"/>
          <w:marTop w:val="0"/>
          <w:marBottom w:val="0"/>
          <w:divBdr>
            <w:top w:val="none" w:sz="0" w:space="0" w:color="auto"/>
            <w:left w:val="none" w:sz="0" w:space="0" w:color="auto"/>
            <w:bottom w:val="none" w:sz="0" w:space="0" w:color="auto"/>
            <w:right w:val="none" w:sz="0" w:space="0" w:color="auto"/>
          </w:divBdr>
        </w:div>
        <w:div w:id="1118571671">
          <w:marLeft w:val="0"/>
          <w:marRight w:val="0"/>
          <w:marTop w:val="0"/>
          <w:marBottom w:val="0"/>
          <w:divBdr>
            <w:top w:val="none" w:sz="0" w:space="0" w:color="auto"/>
            <w:left w:val="none" w:sz="0" w:space="0" w:color="auto"/>
            <w:bottom w:val="none" w:sz="0" w:space="0" w:color="auto"/>
            <w:right w:val="none" w:sz="0" w:space="0" w:color="auto"/>
          </w:divBdr>
        </w:div>
        <w:div w:id="1118571677">
          <w:marLeft w:val="0"/>
          <w:marRight w:val="0"/>
          <w:marTop w:val="0"/>
          <w:marBottom w:val="0"/>
          <w:divBdr>
            <w:top w:val="none" w:sz="0" w:space="0" w:color="auto"/>
            <w:left w:val="none" w:sz="0" w:space="0" w:color="auto"/>
            <w:bottom w:val="none" w:sz="0" w:space="0" w:color="auto"/>
            <w:right w:val="none" w:sz="0" w:space="0" w:color="auto"/>
          </w:divBdr>
        </w:div>
        <w:div w:id="1118571689">
          <w:marLeft w:val="0"/>
          <w:marRight w:val="0"/>
          <w:marTop w:val="0"/>
          <w:marBottom w:val="0"/>
          <w:divBdr>
            <w:top w:val="none" w:sz="0" w:space="0" w:color="auto"/>
            <w:left w:val="none" w:sz="0" w:space="0" w:color="auto"/>
            <w:bottom w:val="none" w:sz="0" w:space="0" w:color="auto"/>
            <w:right w:val="none" w:sz="0" w:space="0" w:color="auto"/>
          </w:divBdr>
        </w:div>
        <w:div w:id="1118571693">
          <w:marLeft w:val="0"/>
          <w:marRight w:val="0"/>
          <w:marTop w:val="0"/>
          <w:marBottom w:val="0"/>
          <w:divBdr>
            <w:top w:val="none" w:sz="0" w:space="0" w:color="auto"/>
            <w:left w:val="none" w:sz="0" w:space="0" w:color="auto"/>
            <w:bottom w:val="none" w:sz="0" w:space="0" w:color="auto"/>
            <w:right w:val="none" w:sz="0" w:space="0" w:color="auto"/>
          </w:divBdr>
        </w:div>
        <w:div w:id="1118571701">
          <w:marLeft w:val="0"/>
          <w:marRight w:val="0"/>
          <w:marTop w:val="0"/>
          <w:marBottom w:val="0"/>
          <w:divBdr>
            <w:top w:val="none" w:sz="0" w:space="0" w:color="auto"/>
            <w:left w:val="none" w:sz="0" w:space="0" w:color="auto"/>
            <w:bottom w:val="none" w:sz="0" w:space="0" w:color="auto"/>
            <w:right w:val="none" w:sz="0" w:space="0" w:color="auto"/>
          </w:divBdr>
        </w:div>
        <w:div w:id="1118571703">
          <w:marLeft w:val="0"/>
          <w:marRight w:val="0"/>
          <w:marTop w:val="0"/>
          <w:marBottom w:val="0"/>
          <w:divBdr>
            <w:top w:val="none" w:sz="0" w:space="0" w:color="auto"/>
            <w:left w:val="none" w:sz="0" w:space="0" w:color="auto"/>
            <w:bottom w:val="none" w:sz="0" w:space="0" w:color="auto"/>
            <w:right w:val="none" w:sz="0" w:space="0" w:color="auto"/>
          </w:divBdr>
        </w:div>
        <w:div w:id="1118571710">
          <w:marLeft w:val="0"/>
          <w:marRight w:val="0"/>
          <w:marTop w:val="0"/>
          <w:marBottom w:val="0"/>
          <w:divBdr>
            <w:top w:val="none" w:sz="0" w:space="0" w:color="auto"/>
            <w:left w:val="none" w:sz="0" w:space="0" w:color="auto"/>
            <w:bottom w:val="none" w:sz="0" w:space="0" w:color="auto"/>
            <w:right w:val="none" w:sz="0" w:space="0" w:color="auto"/>
          </w:divBdr>
        </w:div>
      </w:divsChild>
    </w:div>
    <w:div w:id="1118571680">
      <w:marLeft w:val="0"/>
      <w:marRight w:val="0"/>
      <w:marTop w:val="0"/>
      <w:marBottom w:val="0"/>
      <w:divBdr>
        <w:top w:val="none" w:sz="0" w:space="0" w:color="auto"/>
        <w:left w:val="none" w:sz="0" w:space="0" w:color="auto"/>
        <w:bottom w:val="none" w:sz="0" w:space="0" w:color="auto"/>
        <w:right w:val="none" w:sz="0" w:space="0" w:color="auto"/>
      </w:divBdr>
      <w:divsChild>
        <w:div w:id="1118571670">
          <w:marLeft w:val="0"/>
          <w:marRight w:val="0"/>
          <w:marTop w:val="0"/>
          <w:marBottom w:val="0"/>
          <w:divBdr>
            <w:top w:val="none" w:sz="0" w:space="0" w:color="auto"/>
            <w:left w:val="none" w:sz="0" w:space="0" w:color="auto"/>
            <w:bottom w:val="none" w:sz="0" w:space="0" w:color="auto"/>
            <w:right w:val="none" w:sz="0" w:space="0" w:color="auto"/>
          </w:divBdr>
        </w:div>
      </w:divsChild>
    </w:div>
    <w:div w:id="1118571683">
      <w:marLeft w:val="0"/>
      <w:marRight w:val="0"/>
      <w:marTop w:val="0"/>
      <w:marBottom w:val="0"/>
      <w:divBdr>
        <w:top w:val="none" w:sz="0" w:space="0" w:color="auto"/>
        <w:left w:val="none" w:sz="0" w:space="0" w:color="auto"/>
        <w:bottom w:val="none" w:sz="0" w:space="0" w:color="auto"/>
        <w:right w:val="none" w:sz="0" w:space="0" w:color="auto"/>
      </w:divBdr>
      <w:divsChild>
        <w:div w:id="1118571682">
          <w:marLeft w:val="0"/>
          <w:marRight w:val="0"/>
          <w:marTop w:val="0"/>
          <w:marBottom w:val="0"/>
          <w:divBdr>
            <w:top w:val="none" w:sz="0" w:space="0" w:color="auto"/>
            <w:left w:val="none" w:sz="0" w:space="0" w:color="auto"/>
            <w:bottom w:val="none" w:sz="0" w:space="0" w:color="auto"/>
            <w:right w:val="none" w:sz="0" w:space="0" w:color="auto"/>
          </w:divBdr>
        </w:div>
        <w:div w:id="1118571688">
          <w:marLeft w:val="0"/>
          <w:marRight w:val="0"/>
          <w:marTop w:val="0"/>
          <w:marBottom w:val="0"/>
          <w:divBdr>
            <w:top w:val="none" w:sz="0" w:space="0" w:color="auto"/>
            <w:left w:val="none" w:sz="0" w:space="0" w:color="auto"/>
            <w:bottom w:val="none" w:sz="0" w:space="0" w:color="auto"/>
            <w:right w:val="none" w:sz="0" w:space="0" w:color="auto"/>
          </w:divBdr>
        </w:div>
      </w:divsChild>
    </w:div>
    <w:div w:id="1118571685">
      <w:marLeft w:val="0"/>
      <w:marRight w:val="0"/>
      <w:marTop w:val="0"/>
      <w:marBottom w:val="0"/>
      <w:divBdr>
        <w:top w:val="none" w:sz="0" w:space="0" w:color="auto"/>
        <w:left w:val="none" w:sz="0" w:space="0" w:color="auto"/>
        <w:bottom w:val="none" w:sz="0" w:space="0" w:color="auto"/>
        <w:right w:val="none" w:sz="0" w:space="0" w:color="auto"/>
      </w:divBdr>
    </w:div>
    <w:div w:id="1118571686">
      <w:marLeft w:val="0"/>
      <w:marRight w:val="0"/>
      <w:marTop w:val="0"/>
      <w:marBottom w:val="0"/>
      <w:divBdr>
        <w:top w:val="none" w:sz="0" w:space="0" w:color="auto"/>
        <w:left w:val="none" w:sz="0" w:space="0" w:color="auto"/>
        <w:bottom w:val="none" w:sz="0" w:space="0" w:color="auto"/>
        <w:right w:val="none" w:sz="0" w:space="0" w:color="auto"/>
      </w:divBdr>
      <w:divsChild>
        <w:div w:id="1118571673">
          <w:marLeft w:val="0"/>
          <w:marRight w:val="0"/>
          <w:marTop w:val="0"/>
          <w:marBottom w:val="0"/>
          <w:divBdr>
            <w:top w:val="none" w:sz="0" w:space="0" w:color="auto"/>
            <w:left w:val="none" w:sz="0" w:space="0" w:color="auto"/>
            <w:bottom w:val="none" w:sz="0" w:space="0" w:color="auto"/>
            <w:right w:val="none" w:sz="0" w:space="0" w:color="auto"/>
          </w:divBdr>
        </w:div>
        <w:div w:id="1118571674">
          <w:marLeft w:val="0"/>
          <w:marRight w:val="0"/>
          <w:marTop w:val="0"/>
          <w:marBottom w:val="0"/>
          <w:divBdr>
            <w:top w:val="none" w:sz="0" w:space="0" w:color="auto"/>
            <w:left w:val="none" w:sz="0" w:space="0" w:color="auto"/>
            <w:bottom w:val="none" w:sz="0" w:space="0" w:color="auto"/>
            <w:right w:val="none" w:sz="0" w:space="0" w:color="auto"/>
          </w:divBdr>
        </w:div>
        <w:div w:id="1118571675">
          <w:marLeft w:val="0"/>
          <w:marRight w:val="0"/>
          <w:marTop w:val="0"/>
          <w:marBottom w:val="0"/>
          <w:divBdr>
            <w:top w:val="none" w:sz="0" w:space="0" w:color="auto"/>
            <w:left w:val="none" w:sz="0" w:space="0" w:color="auto"/>
            <w:bottom w:val="none" w:sz="0" w:space="0" w:color="auto"/>
            <w:right w:val="none" w:sz="0" w:space="0" w:color="auto"/>
          </w:divBdr>
        </w:div>
        <w:div w:id="1118571716">
          <w:marLeft w:val="0"/>
          <w:marRight w:val="0"/>
          <w:marTop w:val="0"/>
          <w:marBottom w:val="0"/>
          <w:divBdr>
            <w:top w:val="none" w:sz="0" w:space="0" w:color="auto"/>
            <w:left w:val="none" w:sz="0" w:space="0" w:color="auto"/>
            <w:bottom w:val="none" w:sz="0" w:space="0" w:color="auto"/>
            <w:right w:val="none" w:sz="0" w:space="0" w:color="auto"/>
          </w:divBdr>
        </w:div>
      </w:divsChild>
    </w:div>
    <w:div w:id="1118571687">
      <w:marLeft w:val="0"/>
      <w:marRight w:val="0"/>
      <w:marTop w:val="0"/>
      <w:marBottom w:val="0"/>
      <w:divBdr>
        <w:top w:val="none" w:sz="0" w:space="0" w:color="auto"/>
        <w:left w:val="none" w:sz="0" w:space="0" w:color="auto"/>
        <w:bottom w:val="none" w:sz="0" w:space="0" w:color="auto"/>
        <w:right w:val="none" w:sz="0" w:space="0" w:color="auto"/>
      </w:divBdr>
      <w:divsChild>
        <w:div w:id="1118571681">
          <w:marLeft w:val="0"/>
          <w:marRight w:val="0"/>
          <w:marTop w:val="0"/>
          <w:marBottom w:val="0"/>
          <w:divBdr>
            <w:top w:val="none" w:sz="0" w:space="0" w:color="auto"/>
            <w:left w:val="none" w:sz="0" w:space="0" w:color="auto"/>
            <w:bottom w:val="none" w:sz="0" w:space="0" w:color="auto"/>
            <w:right w:val="none" w:sz="0" w:space="0" w:color="auto"/>
          </w:divBdr>
        </w:div>
        <w:div w:id="1118571690">
          <w:marLeft w:val="0"/>
          <w:marRight w:val="0"/>
          <w:marTop w:val="0"/>
          <w:marBottom w:val="0"/>
          <w:divBdr>
            <w:top w:val="none" w:sz="0" w:space="0" w:color="auto"/>
            <w:left w:val="none" w:sz="0" w:space="0" w:color="auto"/>
            <w:bottom w:val="none" w:sz="0" w:space="0" w:color="auto"/>
            <w:right w:val="none" w:sz="0" w:space="0" w:color="auto"/>
          </w:divBdr>
        </w:div>
        <w:div w:id="1118571699">
          <w:marLeft w:val="0"/>
          <w:marRight w:val="0"/>
          <w:marTop w:val="0"/>
          <w:marBottom w:val="0"/>
          <w:divBdr>
            <w:top w:val="none" w:sz="0" w:space="0" w:color="auto"/>
            <w:left w:val="none" w:sz="0" w:space="0" w:color="auto"/>
            <w:bottom w:val="none" w:sz="0" w:space="0" w:color="auto"/>
            <w:right w:val="none" w:sz="0" w:space="0" w:color="auto"/>
          </w:divBdr>
        </w:div>
        <w:div w:id="1118571722">
          <w:marLeft w:val="0"/>
          <w:marRight w:val="0"/>
          <w:marTop w:val="0"/>
          <w:marBottom w:val="0"/>
          <w:divBdr>
            <w:top w:val="none" w:sz="0" w:space="0" w:color="auto"/>
            <w:left w:val="none" w:sz="0" w:space="0" w:color="auto"/>
            <w:bottom w:val="none" w:sz="0" w:space="0" w:color="auto"/>
            <w:right w:val="none" w:sz="0" w:space="0" w:color="auto"/>
          </w:divBdr>
        </w:div>
      </w:divsChild>
    </w:div>
    <w:div w:id="1118571691">
      <w:marLeft w:val="0"/>
      <w:marRight w:val="0"/>
      <w:marTop w:val="0"/>
      <w:marBottom w:val="0"/>
      <w:divBdr>
        <w:top w:val="none" w:sz="0" w:space="0" w:color="auto"/>
        <w:left w:val="none" w:sz="0" w:space="0" w:color="auto"/>
        <w:bottom w:val="none" w:sz="0" w:space="0" w:color="auto"/>
        <w:right w:val="none" w:sz="0" w:space="0" w:color="auto"/>
      </w:divBdr>
    </w:div>
    <w:div w:id="1118571692">
      <w:marLeft w:val="0"/>
      <w:marRight w:val="0"/>
      <w:marTop w:val="0"/>
      <w:marBottom w:val="0"/>
      <w:divBdr>
        <w:top w:val="none" w:sz="0" w:space="0" w:color="auto"/>
        <w:left w:val="none" w:sz="0" w:space="0" w:color="auto"/>
        <w:bottom w:val="none" w:sz="0" w:space="0" w:color="auto"/>
        <w:right w:val="none" w:sz="0" w:space="0" w:color="auto"/>
      </w:divBdr>
    </w:div>
    <w:div w:id="1118571697">
      <w:marLeft w:val="0"/>
      <w:marRight w:val="0"/>
      <w:marTop w:val="0"/>
      <w:marBottom w:val="0"/>
      <w:divBdr>
        <w:top w:val="none" w:sz="0" w:space="0" w:color="auto"/>
        <w:left w:val="none" w:sz="0" w:space="0" w:color="auto"/>
        <w:bottom w:val="none" w:sz="0" w:space="0" w:color="auto"/>
        <w:right w:val="none" w:sz="0" w:space="0" w:color="auto"/>
      </w:divBdr>
    </w:div>
    <w:div w:id="1118571700">
      <w:marLeft w:val="0"/>
      <w:marRight w:val="0"/>
      <w:marTop w:val="0"/>
      <w:marBottom w:val="0"/>
      <w:divBdr>
        <w:top w:val="none" w:sz="0" w:space="0" w:color="auto"/>
        <w:left w:val="none" w:sz="0" w:space="0" w:color="auto"/>
        <w:bottom w:val="none" w:sz="0" w:space="0" w:color="auto"/>
        <w:right w:val="none" w:sz="0" w:space="0" w:color="auto"/>
      </w:divBdr>
      <w:divsChild>
        <w:div w:id="1118571661">
          <w:marLeft w:val="0"/>
          <w:marRight w:val="0"/>
          <w:marTop w:val="0"/>
          <w:marBottom w:val="0"/>
          <w:divBdr>
            <w:top w:val="none" w:sz="0" w:space="0" w:color="auto"/>
            <w:left w:val="none" w:sz="0" w:space="0" w:color="auto"/>
            <w:bottom w:val="none" w:sz="0" w:space="0" w:color="auto"/>
            <w:right w:val="none" w:sz="0" w:space="0" w:color="auto"/>
          </w:divBdr>
        </w:div>
        <w:div w:id="1118571702">
          <w:marLeft w:val="0"/>
          <w:marRight w:val="0"/>
          <w:marTop w:val="0"/>
          <w:marBottom w:val="0"/>
          <w:divBdr>
            <w:top w:val="none" w:sz="0" w:space="0" w:color="auto"/>
            <w:left w:val="none" w:sz="0" w:space="0" w:color="auto"/>
            <w:bottom w:val="none" w:sz="0" w:space="0" w:color="auto"/>
            <w:right w:val="none" w:sz="0" w:space="0" w:color="auto"/>
          </w:divBdr>
        </w:div>
        <w:div w:id="1118571705">
          <w:marLeft w:val="0"/>
          <w:marRight w:val="0"/>
          <w:marTop w:val="0"/>
          <w:marBottom w:val="0"/>
          <w:divBdr>
            <w:top w:val="none" w:sz="0" w:space="0" w:color="auto"/>
            <w:left w:val="none" w:sz="0" w:space="0" w:color="auto"/>
            <w:bottom w:val="none" w:sz="0" w:space="0" w:color="auto"/>
            <w:right w:val="none" w:sz="0" w:space="0" w:color="auto"/>
          </w:divBdr>
        </w:div>
        <w:div w:id="1118571706">
          <w:marLeft w:val="0"/>
          <w:marRight w:val="0"/>
          <w:marTop w:val="0"/>
          <w:marBottom w:val="0"/>
          <w:divBdr>
            <w:top w:val="none" w:sz="0" w:space="0" w:color="auto"/>
            <w:left w:val="none" w:sz="0" w:space="0" w:color="auto"/>
            <w:bottom w:val="none" w:sz="0" w:space="0" w:color="auto"/>
            <w:right w:val="none" w:sz="0" w:space="0" w:color="auto"/>
          </w:divBdr>
        </w:div>
      </w:divsChild>
    </w:div>
    <w:div w:id="1118571707">
      <w:marLeft w:val="0"/>
      <w:marRight w:val="0"/>
      <w:marTop w:val="0"/>
      <w:marBottom w:val="0"/>
      <w:divBdr>
        <w:top w:val="none" w:sz="0" w:space="0" w:color="auto"/>
        <w:left w:val="none" w:sz="0" w:space="0" w:color="auto"/>
        <w:bottom w:val="none" w:sz="0" w:space="0" w:color="auto"/>
        <w:right w:val="none" w:sz="0" w:space="0" w:color="auto"/>
      </w:divBdr>
      <w:divsChild>
        <w:div w:id="1118571660">
          <w:marLeft w:val="0"/>
          <w:marRight w:val="0"/>
          <w:marTop w:val="0"/>
          <w:marBottom w:val="0"/>
          <w:divBdr>
            <w:top w:val="none" w:sz="0" w:space="0" w:color="auto"/>
            <w:left w:val="none" w:sz="0" w:space="0" w:color="auto"/>
            <w:bottom w:val="none" w:sz="0" w:space="0" w:color="auto"/>
            <w:right w:val="none" w:sz="0" w:space="0" w:color="auto"/>
          </w:divBdr>
        </w:div>
        <w:div w:id="1118571662">
          <w:marLeft w:val="0"/>
          <w:marRight w:val="0"/>
          <w:marTop w:val="0"/>
          <w:marBottom w:val="0"/>
          <w:divBdr>
            <w:top w:val="none" w:sz="0" w:space="0" w:color="auto"/>
            <w:left w:val="none" w:sz="0" w:space="0" w:color="auto"/>
            <w:bottom w:val="none" w:sz="0" w:space="0" w:color="auto"/>
            <w:right w:val="none" w:sz="0" w:space="0" w:color="auto"/>
          </w:divBdr>
        </w:div>
      </w:divsChild>
    </w:div>
    <w:div w:id="1118571709">
      <w:marLeft w:val="0"/>
      <w:marRight w:val="0"/>
      <w:marTop w:val="0"/>
      <w:marBottom w:val="0"/>
      <w:divBdr>
        <w:top w:val="none" w:sz="0" w:space="0" w:color="auto"/>
        <w:left w:val="none" w:sz="0" w:space="0" w:color="auto"/>
        <w:bottom w:val="none" w:sz="0" w:space="0" w:color="auto"/>
        <w:right w:val="none" w:sz="0" w:space="0" w:color="auto"/>
      </w:divBdr>
    </w:div>
    <w:div w:id="1118571711">
      <w:marLeft w:val="0"/>
      <w:marRight w:val="0"/>
      <w:marTop w:val="0"/>
      <w:marBottom w:val="0"/>
      <w:divBdr>
        <w:top w:val="none" w:sz="0" w:space="0" w:color="auto"/>
        <w:left w:val="none" w:sz="0" w:space="0" w:color="auto"/>
        <w:bottom w:val="none" w:sz="0" w:space="0" w:color="auto"/>
        <w:right w:val="none" w:sz="0" w:space="0" w:color="auto"/>
      </w:divBdr>
      <w:divsChild>
        <w:div w:id="1118571720">
          <w:marLeft w:val="0"/>
          <w:marRight w:val="0"/>
          <w:marTop w:val="0"/>
          <w:marBottom w:val="0"/>
          <w:divBdr>
            <w:top w:val="none" w:sz="0" w:space="0" w:color="auto"/>
            <w:left w:val="none" w:sz="0" w:space="0" w:color="auto"/>
            <w:bottom w:val="none" w:sz="0" w:space="0" w:color="auto"/>
            <w:right w:val="none" w:sz="0" w:space="0" w:color="auto"/>
          </w:divBdr>
        </w:div>
      </w:divsChild>
    </w:div>
    <w:div w:id="1118571712">
      <w:marLeft w:val="0"/>
      <w:marRight w:val="0"/>
      <w:marTop w:val="0"/>
      <w:marBottom w:val="0"/>
      <w:divBdr>
        <w:top w:val="none" w:sz="0" w:space="0" w:color="auto"/>
        <w:left w:val="none" w:sz="0" w:space="0" w:color="auto"/>
        <w:bottom w:val="none" w:sz="0" w:space="0" w:color="auto"/>
        <w:right w:val="none" w:sz="0" w:space="0" w:color="auto"/>
      </w:divBdr>
    </w:div>
    <w:div w:id="1118571713">
      <w:marLeft w:val="0"/>
      <w:marRight w:val="0"/>
      <w:marTop w:val="0"/>
      <w:marBottom w:val="0"/>
      <w:divBdr>
        <w:top w:val="none" w:sz="0" w:space="0" w:color="auto"/>
        <w:left w:val="none" w:sz="0" w:space="0" w:color="auto"/>
        <w:bottom w:val="none" w:sz="0" w:space="0" w:color="auto"/>
        <w:right w:val="none" w:sz="0" w:space="0" w:color="auto"/>
      </w:divBdr>
    </w:div>
    <w:div w:id="1118571715">
      <w:marLeft w:val="0"/>
      <w:marRight w:val="0"/>
      <w:marTop w:val="0"/>
      <w:marBottom w:val="0"/>
      <w:divBdr>
        <w:top w:val="none" w:sz="0" w:space="0" w:color="auto"/>
        <w:left w:val="none" w:sz="0" w:space="0" w:color="auto"/>
        <w:bottom w:val="none" w:sz="0" w:space="0" w:color="auto"/>
        <w:right w:val="none" w:sz="0" w:space="0" w:color="auto"/>
      </w:divBdr>
      <w:divsChild>
        <w:div w:id="1118571664">
          <w:marLeft w:val="0"/>
          <w:marRight w:val="0"/>
          <w:marTop w:val="0"/>
          <w:marBottom w:val="0"/>
          <w:divBdr>
            <w:top w:val="none" w:sz="0" w:space="0" w:color="auto"/>
            <w:left w:val="none" w:sz="0" w:space="0" w:color="auto"/>
            <w:bottom w:val="none" w:sz="0" w:space="0" w:color="auto"/>
            <w:right w:val="none" w:sz="0" w:space="0" w:color="auto"/>
          </w:divBdr>
        </w:div>
        <w:div w:id="1118571666">
          <w:marLeft w:val="0"/>
          <w:marRight w:val="0"/>
          <w:marTop w:val="0"/>
          <w:marBottom w:val="0"/>
          <w:divBdr>
            <w:top w:val="none" w:sz="0" w:space="0" w:color="auto"/>
            <w:left w:val="none" w:sz="0" w:space="0" w:color="auto"/>
            <w:bottom w:val="none" w:sz="0" w:space="0" w:color="auto"/>
            <w:right w:val="none" w:sz="0" w:space="0" w:color="auto"/>
          </w:divBdr>
        </w:div>
        <w:div w:id="1118571667">
          <w:marLeft w:val="0"/>
          <w:marRight w:val="0"/>
          <w:marTop w:val="0"/>
          <w:marBottom w:val="0"/>
          <w:divBdr>
            <w:top w:val="none" w:sz="0" w:space="0" w:color="auto"/>
            <w:left w:val="none" w:sz="0" w:space="0" w:color="auto"/>
            <w:bottom w:val="none" w:sz="0" w:space="0" w:color="auto"/>
            <w:right w:val="none" w:sz="0" w:space="0" w:color="auto"/>
          </w:divBdr>
        </w:div>
        <w:div w:id="1118571672">
          <w:marLeft w:val="0"/>
          <w:marRight w:val="0"/>
          <w:marTop w:val="0"/>
          <w:marBottom w:val="0"/>
          <w:divBdr>
            <w:top w:val="none" w:sz="0" w:space="0" w:color="auto"/>
            <w:left w:val="none" w:sz="0" w:space="0" w:color="auto"/>
            <w:bottom w:val="none" w:sz="0" w:space="0" w:color="auto"/>
            <w:right w:val="none" w:sz="0" w:space="0" w:color="auto"/>
          </w:divBdr>
        </w:div>
        <w:div w:id="1118571676">
          <w:marLeft w:val="0"/>
          <w:marRight w:val="0"/>
          <w:marTop w:val="0"/>
          <w:marBottom w:val="0"/>
          <w:divBdr>
            <w:top w:val="none" w:sz="0" w:space="0" w:color="auto"/>
            <w:left w:val="none" w:sz="0" w:space="0" w:color="auto"/>
            <w:bottom w:val="none" w:sz="0" w:space="0" w:color="auto"/>
            <w:right w:val="none" w:sz="0" w:space="0" w:color="auto"/>
          </w:divBdr>
        </w:div>
        <w:div w:id="1118571694">
          <w:marLeft w:val="0"/>
          <w:marRight w:val="0"/>
          <w:marTop w:val="0"/>
          <w:marBottom w:val="0"/>
          <w:divBdr>
            <w:top w:val="none" w:sz="0" w:space="0" w:color="auto"/>
            <w:left w:val="none" w:sz="0" w:space="0" w:color="auto"/>
            <w:bottom w:val="none" w:sz="0" w:space="0" w:color="auto"/>
            <w:right w:val="none" w:sz="0" w:space="0" w:color="auto"/>
          </w:divBdr>
        </w:div>
        <w:div w:id="1118571695">
          <w:marLeft w:val="0"/>
          <w:marRight w:val="0"/>
          <w:marTop w:val="0"/>
          <w:marBottom w:val="0"/>
          <w:divBdr>
            <w:top w:val="none" w:sz="0" w:space="0" w:color="auto"/>
            <w:left w:val="none" w:sz="0" w:space="0" w:color="auto"/>
            <w:bottom w:val="none" w:sz="0" w:space="0" w:color="auto"/>
            <w:right w:val="none" w:sz="0" w:space="0" w:color="auto"/>
          </w:divBdr>
        </w:div>
        <w:div w:id="1118571696">
          <w:marLeft w:val="0"/>
          <w:marRight w:val="0"/>
          <w:marTop w:val="0"/>
          <w:marBottom w:val="0"/>
          <w:divBdr>
            <w:top w:val="none" w:sz="0" w:space="0" w:color="auto"/>
            <w:left w:val="none" w:sz="0" w:space="0" w:color="auto"/>
            <w:bottom w:val="none" w:sz="0" w:space="0" w:color="auto"/>
            <w:right w:val="none" w:sz="0" w:space="0" w:color="auto"/>
          </w:divBdr>
        </w:div>
        <w:div w:id="1118571721">
          <w:marLeft w:val="0"/>
          <w:marRight w:val="0"/>
          <w:marTop w:val="0"/>
          <w:marBottom w:val="0"/>
          <w:divBdr>
            <w:top w:val="none" w:sz="0" w:space="0" w:color="auto"/>
            <w:left w:val="none" w:sz="0" w:space="0" w:color="auto"/>
            <w:bottom w:val="none" w:sz="0" w:space="0" w:color="auto"/>
            <w:right w:val="none" w:sz="0" w:space="0" w:color="auto"/>
          </w:divBdr>
        </w:div>
      </w:divsChild>
    </w:div>
    <w:div w:id="1118571717">
      <w:marLeft w:val="0"/>
      <w:marRight w:val="0"/>
      <w:marTop w:val="0"/>
      <w:marBottom w:val="0"/>
      <w:divBdr>
        <w:top w:val="none" w:sz="0" w:space="0" w:color="auto"/>
        <w:left w:val="none" w:sz="0" w:space="0" w:color="auto"/>
        <w:bottom w:val="none" w:sz="0" w:space="0" w:color="auto"/>
        <w:right w:val="none" w:sz="0" w:space="0" w:color="auto"/>
      </w:divBdr>
      <w:divsChild>
        <w:div w:id="1118571684">
          <w:marLeft w:val="0"/>
          <w:marRight w:val="0"/>
          <w:marTop w:val="0"/>
          <w:marBottom w:val="0"/>
          <w:divBdr>
            <w:top w:val="none" w:sz="0" w:space="0" w:color="auto"/>
            <w:left w:val="none" w:sz="0" w:space="0" w:color="auto"/>
            <w:bottom w:val="none" w:sz="0" w:space="0" w:color="auto"/>
            <w:right w:val="none" w:sz="0" w:space="0" w:color="auto"/>
          </w:divBdr>
        </w:div>
      </w:divsChild>
    </w:div>
    <w:div w:id="1118571718">
      <w:marLeft w:val="0"/>
      <w:marRight w:val="0"/>
      <w:marTop w:val="0"/>
      <w:marBottom w:val="0"/>
      <w:divBdr>
        <w:top w:val="none" w:sz="0" w:space="0" w:color="auto"/>
        <w:left w:val="none" w:sz="0" w:space="0" w:color="auto"/>
        <w:bottom w:val="none" w:sz="0" w:space="0" w:color="auto"/>
        <w:right w:val="none" w:sz="0" w:space="0" w:color="auto"/>
      </w:divBdr>
    </w:div>
    <w:div w:id="111857172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333AC-632B-405C-B2D8-63C392641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2369</Words>
  <Characters>15552</Characters>
  <Application>Microsoft Office Word</Application>
  <DocSecurity>0</DocSecurity>
  <Lines>129</Lines>
  <Paragraphs>35</Paragraphs>
  <ScaleCrop>false</ScaleCrop>
  <HeadingPairs>
    <vt:vector size="2" baseType="variant">
      <vt:variant>
        <vt:lpstr>Tytuł</vt:lpstr>
      </vt:variant>
      <vt:variant>
        <vt:i4>1</vt:i4>
      </vt:variant>
    </vt:vector>
  </HeadingPairs>
  <TitlesOfParts>
    <vt:vector size="1" baseType="lpstr">
      <vt:lpstr>Uzasadnienie</vt:lpstr>
    </vt:vector>
  </TitlesOfParts>
  <Company>Microsoft</Company>
  <LinksUpToDate>false</LinksUpToDate>
  <CharactersWithSpaces>17886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lczwojda</dc:creator>
  <cp:lastModifiedBy>Ewa A. Genert</cp:lastModifiedBy>
  <cp:revision>2</cp:revision>
  <cp:lastPrinted>2017-03-10T09:33:00Z</cp:lastPrinted>
  <dcterms:created xsi:type="dcterms:W3CDTF">2017-03-22T11:18:00Z</dcterms:created>
  <dcterms:modified xsi:type="dcterms:W3CDTF">2017-03-22T11:18:00Z</dcterms:modified>
</cp:coreProperties>
</file>