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1E" w:rsidRPr="00FE18B2" w:rsidRDefault="00C6461E" w:rsidP="00FE18B2">
      <w:pPr>
        <w:pStyle w:val="Domylne"/>
        <w:spacing w:line="360" w:lineRule="auto"/>
        <w:rPr>
          <w:rFonts w:ascii="Tahoma" w:eastAsia="Times New Roman" w:hAnsi="Tahoma" w:cs="Tahoma"/>
          <w:sz w:val="24"/>
          <w:szCs w:val="24"/>
        </w:rPr>
      </w:pPr>
      <w:bookmarkStart w:id="0" w:name="_GoBack"/>
      <w:bookmarkEnd w:id="0"/>
      <w:r w:rsidRPr="00FE18B2">
        <w:rPr>
          <w:rFonts w:ascii="Tahoma" w:hAnsi="Tahoma" w:cs="Tahoma"/>
          <w:sz w:val="24"/>
          <w:szCs w:val="24"/>
        </w:rPr>
        <w:tab/>
      </w:r>
      <w:r w:rsidRPr="00FE18B2">
        <w:rPr>
          <w:rFonts w:ascii="Tahoma" w:hAnsi="Tahoma" w:cs="Tahoma"/>
          <w:sz w:val="24"/>
          <w:szCs w:val="24"/>
        </w:rPr>
        <w:tab/>
      </w:r>
      <w:r w:rsidRPr="00FE18B2">
        <w:rPr>
          <w:rFonts w:ascii="Tahoma" w:hAnsi="Tahoma" w:cs="Tahoma"/>
          <w:sz w:val="24"/>
          <w:szCs w:val="24"/>
        </w:rPr>
        <w:tab/>
      </w:r>
      <w:r w:rsidRPr="00FE18B2">
        <w:rPr>
          <w:rFonts w:ascii="Tahoma" w:hAnsi="Tahoma" w:cs="Tahoma"/>
          <w:sz w:val="24"/>
          <w:szCs w:val="24"/>
        </w:rPr>
        <w:tab/>
      </w:r>
      <w:r w:rsidRPr="00FE18B2">
        <w:rPr>
          <w:rFonts w:ascii="Tahoma" w:hAnsi="Tahoma" w:cs="Tahoma"/>
          <w:sz w:val="24"/>
          <w:szCs w:val="24"/>
        </w:rPr>
        <w:tab/>
      </w:r>
      <w:r w:rsidRPr="00FE18B2">
        <w:rPr>
          <w:rFonts w:ascii="Tahoma" w:hAnsi="Tahoma" w:cs="Tahoma"/>
          <w:sz w:val="24"/>
          <w:szCs w:val="24"/>
        </w:rPr>
        <w:tab/>
      </w:r>
      <w:r w:rsidRPr="00FE18B2">
        <w:rPr>
          <w:rFonts w:ascii="Tahoma" w:hAnsi="Tahoma" w:cs="Tahoma"/>
          <w:sz w:val="24"/>
          <w:szCs w:val="24"/>
        </w:rPr>
        <w:tab/>
      </w:r>
      <w:r w:rsidRPr="00FE18B2">
        <w:rPr>
          <w:rFonts w:ascii="Tahoma" w:hAnsi="Tahoma" w:cs="Tahoma"/>
          <w:sz w:val="24"/>
          <w:szCs w:val="24"/>
        </w:rPr>
        <w:tab/>
      </w:r>
      <w:r w:rsidRPr="00FE18B2">
        <w:rPr>
          <w:rFonts w:ascii="Tahoma" w:hAnsi="Tahoma" w:cs="Tahoma"/>
          <w:sz w:val="24"/>
          <w:szCs w:val="24"/>
        </w:rPr>
        <w:tab/>
      </w:r>
      <w:r w:rsidRPr="00FE18B2">
        <w:rPr>
          <w:rFonts w:ascii="Tahoma" w:hAnsi="Tahoma" w:cs="Tahoma"/>
          <w:sz w:val="24"/>
          <w:szCs w:val="24"/>
        </w:rPr>
        <w:tab/>
      </w:r>
      <w:r w:rsidRPr="00FE18B2">
        <w:rPr>
          <w:rFonts w:ascii="Tahoma" w:hAnsi="Tahoma" w:cs="Tahoma"/>
          <w:sz w:val="24"/>
          <w:szCs w:val="24"/>
        </w:rPr>
        <w:tab/>
        <w:t>Projekt</w:t>
      </w:r>
    </w:p>
    <w:p w:rsidR="00C6461E" w:rsidRPr="00FE18B2" w:rsidRDefault="00C6461E" w:rsidP="00FE18B2">
      <w:pPr>
        <w:pStyle w:val="Domylne"/>
        <w:spacing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r w:rsidRPr="00FE18B2">
        <w:rPr>
          <w:rFonts w:ascii="Tahoma" w:hAnsi="Tahoma" w:cs="Tahoma"/>
          <w:b/>
          <w:bCs/>
          <w:sz w:val="24"/>
          <w:szCs w:val="24"/>
        </w:rPr>
        <w:t>Ustawa</w:t>
      </w:r>
    </w:p>
    <w:p w:rsidR="00C6461E" w:rsidRPr="00FE18B2" w:rsidRDefault="00C6461E" w:rsidP="00FE18B2">
      <w:pPr>
        <w:pStyle w:val="Domylne"/>
        <w:spacing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r w:rsidRPr="00FE18B2">
        <w:rPr>
          <w:rFonts w:ascii="Tahoma" w:hAnsi="Tahoma" w:cs="Tahoma"/>
          <w:b/>
          <w:bCs/>
          <w:sz w:val="24"/>
          <w:szCs w:val="24"/>
        </w:rPr>
        <w:t>z dnia ………………….</w:t>
      </w:r>
    </w:p>
    <w:p w:rsidR="00C6461E" w:rsidRPr="00FE18B2" w:rsidRDefault="00C6461E" w:rsidP="00FE18B2">
      <w:pPr>
        <w:pStyle w:val="Domylne"/>
        <w:spacing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r w:rsidRPr="00FE18B2">
        <w:rPr>
          <w:rFonts w:ascii="Tahoma" w:hAnsi="Tahoma" w:cs="Tahoma"/>
          <w:b/>
          <w:bCs/>
          <w:sz w:val="24"/>
          <w:szCs w:val="24"/>
        </w:rPr>
        <w:t>o zmianie ustawy o ograniczeniu prowadzenia działalności gospodarczej przez osoby pełniące funkcje publiczne</w:t>
      </w:r>
    </w:p>
    <w:p w:rsidR="00C6461E" w:rsidRPr="00FE18B2" w:rsidRDefault="00C6461E" w:rsidP="00FE18B2">
      <w:pPr>
        <w:pStyle w:val="Domylne"/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:rsidR="00C6461E" w:rsidRPr="00FE18B2" w:rsidRDefault="00C6461E" w:rsidP="00FE18B2">
      <w:pPr>
        <w:pStyle w:val="Domylne"/>
        <w:spacing w:line="360" w:lineRule="auto"/>
        <w:ind w:firstLine="426"/>
        <w:jc w:val="both"/>
        <w:rPr>
          <w:rFonts w:ascii="Tahoma" w:hAnsi="Tahoma" w:cs="Tahoma"/>
          <w:sz w:val="24"/>
          <w:szCs w:val="24"/>
        </w:rPr>
      </w:pPr>
      <w:r w:rsidRPr="00FE18B2">
        <w:rPr>
          <w:rFonts w:ascii="Tahoma" w:hAnsi="Tahoma" w:cs="Tahoma"/>
          <w:b/>
          <w:sz w:val="24"/>
          <w:szCs w:val="24"/>
        </w:rPr>
        <w:t>Art.1.</w:t>
      </w:r>
      <w:r w:rsidRPr="00FE18B2">
        <w:rPr>
          <w:rFonts w:ascii="Tahoma" w:hAnsi="Tahoma" w:cs="Tahoma"/>
          <w:sz w:val="24"/>
          <w:szCs w:val="24"/>
        </w:rPr>
        <w:t xml:space="preserve"> W ustawie z dnia 21 sierpnia 1997 r. o ograniczeniu prowadzenia działalności gospodarczej przez osoby pełniące funkcje publiczne (Dz. U. z 2006 r. poz. 1584, z </w:t>
      </w:r>
      <w:proofErr w:type="spellStart"/>
      <w:r w:rsidRPr="00FE18B2">
        <w:rPr>
          <w:rFonts w:ascii="Tahoma" w:hAnsi="Tahoma" w:cs="Tahoma"/>
          <w:sz w:val="24"/>
          <w:szCs w:val="24"/>
        </w:rPr>
        <w:t>późn</w:t>
      </w:r>
      <w:proofErr w:type="spellEnd"/>
      <w:r w:rsidRPr="00FE18B2">
        <w:rPr>
          <w:rFonts w:ascii="Tahoma" w:hAnsi="Tahoma" w:cs="Tahoma"/>
          <w:sz w:val="24"/>
          <w:szCs w:val="24"/>
        </w:rPr>
        <w:t>. zm.</w:t>
      </w:r>
      <w:r w:rsidRPr="00FE18B2">
        <w:rPr>
          <w:rStyle w:val="Odwoanieprzypisudolnego"/>
          <w:rFonts w:ascii="Tahoma" w:hAnsi="Tahoma" w:cs="Tahoma"/>
          <w:sz w:val="24"/>
          <w:szCs w:val="24"/>
        </w:rPr>
        <w:footnoteReference w:id="1"/>
      </w:r>
      <w:r w:rsidRPr="00FE18B2">
        <w:rPr>
          <w:rFonts w:ascii="Tahoma" w:hAnsi="Tahoma" w:cs="Tahoma"/>
          <w:sz w:val="24"/>
          <w:szCs w:val="24"/>
          <w:vertAlign w:val="superscript"/>
        </w:rPr>
        <w:t>)</w:t>
      </w:r>
      <w:r w:rsidRPr="00FE18B2">
        <w:rPr>
          <w:rFonts w:ascii="Tahoma" w:hAnsi="Tahoma" w:cs="Tahoma"/>
          <w:sz w:val="24"/>
          <w:szCs w:val="24"/>
        </w:rPr>
        <w:t xml:space="preserve">) </w:t>
      </w:r>
      <w:r w:rsidRPr="00FE18B2">
        <w:rPr>
          <w:rFonts w:ascii="Tahoma" w:hAnsi="Tahoma" w:cs="Tahoma"/>
          <w:b/>
          <w:sz w:val="24"/>
          <w:szCs w:val="24"/>
        </w:rPr>
        <w:t>w art. 10:</w:t>
      </w:r>
    </w:p>
    <w:p w:rsidR="00C6461E" w:rsidRPr="00FE18B2" w:rsidRDefault="00C6461E" w:rsidP="00FE18B2">
      <w:pPr>
        <w:pStyle w:val="Domylne"/>
        <w:tabs>
          <w:tab w:val="left" w:pos="1134"/>
        </w:tabs>
        <w:spacing w:line="360" w:lineRule="auto"/>
        <w:ind w:firstLine="709"/>
        <w:jc w:val="both"/>
        <w:rPr>
          <w:rFonts w:ascii="Tahoma" w:hAnsi="Tahoma" w:cs="Tahoma"/>
          <w:b/>
          <w:sz w:val="24"/>
          <w:szCs w:val="24"/>
        </w:rPr>
      </w:pPr>
    </w:p>
    <w:p w:rsidR="00C6461E" w:rsidRPr="00FE18B2" w:rsidRDefault="00C6461E" w:rsidP="00FE18B2">
      <w:pPr>
        <w:pStyle w:val="Domylne"/>
        <w:tabs>
          <w:tab w:val="left" w:pos="1134"/>
        </w:tabs>
        <w:spacing w:line="360" w:lineRule="auto"/>
        <w:ind w:firstLine="709"/>
        <w:jc w:val="both"/>
        <w:rPr>
          <w:rFonts w:ascii="Tahoma" w:hAnsi="Tahoma" w:cs="Tahoma"/>
          <w:b/>
          <w:sz w:val="24"/>
          <w:szCs w:val="24"/>
        </w:rPr>
      </w:pPr>
      <w:r w:rsidRPr="00FE18B2">
        <w:rPr>
          <w:rFonts w:ascii="Tahoma" w:hAnsi="Tahoma" w:cs="Tahoma"/>
          <w:b/>
          <w:sz w:val="24"/>
          <w:szCs w:val="24"/>
        </w:rPr>
        <w:t xml:space="preserve">1) ust. 3 otrzymuje brzmienie: </w:t>
      </w:r>
    </w:p>
    <w:p w:rsidR="00C6461E" w:rsidRPr="00FE18B2" w:rsidRDefault="00C6461E" w:rsidP="00FE18B2">
      <w:pPr>
        <w:pStyle w:val="Domylne"/>
        <w:spacing w:line="360" w:lineRule="auto"/>
        <w:ind w:left="142" w:firstLine="851"/>
        <w:jc w:val="both"/>
        <w:rPr>
          <w:rFonts w:ascii="Tahoma" w:hAnsi="Tahoma" w:cs="Tahoma"/>
          <w:sz w:val="24"/>
          <w:szCs w:val="24"/>
        </w:rPr>
      </w:pPr>
      <w:r w:rsidRPr="00FE18B2">
        <w:rPr>
          <w:rFonts w:ascii="Tahoma" w:hAnsi="Tahoma" w:cs="Tahoma"/>
          <w:sz w:val="24"/>
          <w:szCs w:val="24"/>
        </w:rPr>
        <w:t xml:space="preserve">„3. Informacje zawarte w oświadczeniu o stanie majątkowy, z zastrzeżeniem </w:t>
      </w:r>
      <w:r w:rsidR="00FE18B2">
        <w:rPr>
          <w:rFonts w:ascii="Tahoma" w:hAnsi="Tahoma" w:cs="Tahoma"/>
          <w:sz w:val="24"/>
          <w:szCs w:val="24"/>
        </w:rPr>
        <w:br/>
      </w:r>
      <w:r w:rsidRPr="00FE18B2">
        <w:rPr>
          <w:rFonts w:ascii="Tahoma" w:hAnsi="Tahoma" w:cs="Tahoma"/>
          <w:sz w:val="24"/>
          <w:szCs w:val="24"/>
        </w:rPr>
        <w:t xml:space="preserve">ust. 3a, stanowią tajemnicę prawnie chronioną i podlegają ochronie przewidzianej dla informacji niejawnych o klauzuli tajności "zastrzeżone" określonej w przepisach o ochronie informacji niejawnych, chyba że osoba, </w:t>
      </w:r>
      <w:proofErr w:type="spellStart"/>
      <w:r w:rsidRPr="00FE18B2">
        <w:rPr>
          <w:rFonts w:ascii="Tahoma" w:hAnsi="Tahoma" w:cs="Tahoma"/>
          <w:sz w:val="24"/>
          <w:szCs w:val="24"/>
        </w:rPr>
        <w:t>kt</w:t>
      </w:r>
      <w:proofErr w:type="spellEnd"/>
      <w:r w:rsidRPr="00FE18B2">
        <w:rPr>
          <w:rFonts w:ascii="Tahoma" w:hAnsi="Tahoma" w:cs="Tahoma"/>
          <w:sz w:val="24"/>
          <w:szCs w:val="24"/>
          <w:lang w:val="es-ES_tradnl"/>
        </w:rPr>
        <w:t>ó</w:t>
      </w:r>
      <w:proofErr w:type="spellStart"/>
      <w:r w:rsidRPr="00FE18B2">
        <w:rPr>
          <w:rFonts w:ascii="Tahoma" w:hAnsi="Tahoma" w:cs="Tahoma"/>
          <w:sz w:val="24"/>
          <w:szCs w:val="24"/>
        </w:rPr>
        <w:t>ra</w:t>
      </w:r>
      <w:proofErr w:type="spellEnd"/>
      <w:r w:rsidRPr="00FE18B2">
        <w:rPr>
          <w:rFonts w:ascii="Tahoma" w:hAnsi="Tahoma" w:cs="Tahoma"/>
          <w:sz w:val="24"/>
          <w:szCs w:val="24"/>
        </w:rPr>
        <w:t xml:space="preserve"> złożyła oświadczenie, wyraziła pisemną zgodę na ich ujawnienie.</w:t>
      </w:r>
      <w:r w:rsidRPr="00FE18B2">
        <w:rPr>
          <w:rStyle w:val="apple-converted-space"/>
          <w:rFonts w:ascii="Tahoma" w:hAnsi="Tahoma" w:cs="Tahoma"/>
          <w:sz w:val="24"/>
          <w:szCs w:val="24"/>
        </w:rPr>
        <w:t> </w:t>
      </w:r>
      <w:r w:rsidRPr="00FE18B2">
        <w:rPr>
          <w:rFonts w:ascii="Tahoma" w:hAnsi="Tahoma" w:cs="Tahoma"/>
          <w:sz w:val="24"/>
          <w:szCs w:val="24"/>
        </w:rPr>
        <w:t>W szczególnie uzasadnionych przypadkach osoba uprawniona, zgodnie z ust. 4, 5 lub 6, do odebrania oświadczenia może je ujawnić pomimo braku zgody składającego oświadczenie. Oświadczenie przechowuje się przez 6 lat.”;</w:t>
      </w:r>
    </w:p>
    <w:p w:rsidR="00C6461E" w:rsidRPr="00FE18B2" w:rsidRDefault="00C6461E" w:rsidP="00FE18B2">
      <w:pPr>
        <w:pStyle w:val="Domylne"/>
        <w:spacing w:line="360" w:lineRule="auto"/>
        <w:ind w:left="426" w:firstLine="567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FE18B2">
        <w:rPr>
          <w:rFonts w:ascii="Tahoma" w:eastAsia="Times New Roman" w:hAnsi="Tahoma" w:cs="Tahoma"/>
          <w:b/>
          <w:sz w:val="24"/>
          <w:szCs w:val="24"/>
        </w:rPr>
        <w:t xml:space="preserve"> </w:t>
      </w:r>
    </w:p>
    <w:p w:rsidR="00C6461E" w:rsidRPr="00FE18B2" w:rsidRDefault="00C6461E" w:rsidP="00FE18B2">
      <w:pPr>
        <w:pStyle w:val="Domylne"/>
        <w:spacing w:line="360" w:lineRule="auto"/>
        <w:ind w:firstLine="720"/>
        <w:rPr>
          <w:rFonts w:ascii="Tahoma" w:eastAsia="Times New Roman" w:hAnsi="Tahoma" w:cs="Tahoma"/>
          <w:b/>
          <w:sz w:val="24"/>
          <w:szCs w:val="24"/>
        </w:rPr>
      </w:pPr>
      <w:r w:rsidRPr="00FE18B2">
        <w:rPr>
          <w:rFonts w:ascii="Tahoma" w:eastAsia="Times New Roman" w:hAnsi="Tahoma" w:cs="Tahoma"/>
          <w:b/>
          <w:sz w:val="24"/>
          <w:szCs w:val="24"/>
        </w:rPr>
        <w:t xml:space="preserve">2) </w:t>
      </w:r>
      <w:r w:rsidRPr="00FE18B2">
        <w:rPr>
          <w:rFonts w:ascii="Tahoma" w:hAnsi="Tahoma" w:cs="Tahoma"/>
          <w:b/>
          <w:sz w:val="24"/>
          <w:szCs w:val="24"/>
        </w:rPr>
        <w:t>po ust. 3 dodaje się ust. 3a i 3b w brzmieniu:</w:t>
      </w:r>
    </w:p>
    <w:p w:rsidR="00C6461E" w:rsidRPr="00FE18B2" w:rsidRDefault="00C6461E" w:rsidP="00FE18B2">
      <w:pPr>
        <w:pStyle w:val="Domylne"/>
        <w:spacing w:line="360" w:lineRule="auto"/>
        <w:ind w:left="142" w:firstLine="851"/>
        <w:jc w:val="both"/>
        <w:rPr>
          <w:rFonts w:ascii="Tahoma" w:eastAsia="Times New Roman" w:hAnsi="Tahoma" w:cs="Tahoma"/>
          <w:sz w:val="24"/>
          <w:szCs w:val="24"/>
        </w:rPr>
      </w:pPr>
      <w:r w:rsidRPr="00FE18B2">
        <w:rPr>
          <w:rFonts w:ascii="Tahoma" w:hAnsi="Tahoma" w:cs="Tahoma"/>
          <w:sz w:val="24"/>
          <w:szCs w:val="24"/>
        </w:rPr>
        <w:t xml:space="preserve">„3a. Informacje zawarte w oświadczeniach o stanie majątkowym  </w:t>
      </w:r>
      <w:proofErr w:type="spellStart"/>
      <w:r w:rsidRPr="00FE18B2">
        <w:rPr>
          <w:rFonts w:ascii="Tahoma" w:hAnsi="Tahoma" w:cs="Tahoma"/>
          <w:sz w:val="24"/>
          <w:szCs w:val="24"/>
        </w:rPr>
        <w:t>członk</w:t>
      </w:r>
      <w:proofErr w:type="spellEnd"/>
      <w:r w:rsidRPr="00FE18B2">
        <w:rPr>
          <w:rFonts w:ascii="Tahoma" w:hAnsi="Tahoma" w:cs="Tahoma"/>
          <w:sz w:val="24"/>
          <w:szCs w:val="24"/>
          <w:lang w:val="es-ES_tradnl"/>
        </w:rPr>
        <w:t>ó</w:t>
      </w:r>
      <w:r w:rsidRPr="00FE18B2">
        <w:rPr>
          <w:rFonts w:ascii="Tahoma" w:hAnsi="Tahoma" w:cs="Tahoma"/>
          <w:sz w:val="24"/>
          <w:szCs w:val="24"/>
        </w:rPr>
        <w:t xml:space="preserve">w Rady </w:t>
      </w:r>
      <w:proofErr w:type="spellStart"/>
      <w:r w:rsidRPr="00FE18B2">
        <w:rPr>
          <w:rFonts w:ascii="Tahoma" w:hAnsi="Tahoma" w:cs="Tahoma"/>
          <w:sz w:val="24"/>
          <w:szCs w:val="24"/>
        </w:rPr>
        <w:t>Ministr</w:t>
      </w:r>
      <w:proofErr w:type="spellEnd"/>
      <w:r w:rsidRPr="00FE18B2">
        <w:rPr>
          <w:rFonts w:ascii="Tahoma" w:hAnsi="Tahoma" w:cs="Tahoma"/>
          <w:sz w:val="24"/>
          <w:szCs w:val="24"/>
          <w:lang w:val="es-ES_tradnl"/>
        </w:rPr>
        <w:t>ó</w:t>
      </w:r>
      <w:r w:rsidRPr="00FE18B2">
        <w:rPr>
          <w:rFonts w:ascii="Tahoma" w:hAnsi="Tahoma" w:cs="Tahoma"/>
          <w:sz w:val="24"/>
          <w:szCs w:val="24"/>
        </w:rPr>
        <w:t xml:space="preserve">w, sekretarzy i podsekretarzy stanu w ministerstwach i Kancelarii Prezesa Rady </w:t>
      </w:r>
      <w:proofErr w:type="spellStart"/>
      <w:r w:rsidRPr="00FE18B2">
        <w:rPr>
          <w:rFonts w:ascii="Tahoma" w:hAnsi="Tahoma" w:cs="Tahoma"/>
          <w:sz w:val="24"/>
          <w:szCs w:val="24"/>
        </w:rPr>
        <w:t>Ministr</w:t>
      </w:r>
      <w:proofErr w:type="spellEnd"/>
      <w:r w:rsidRPr="00FE18B2">
        <w:rPr>
          <w:rFonts w:ascii="Tahoma" w:hAnsi="Tahoma" w:cs="Tahoma"/>
          <w:sz w:val="24"/>
          <w:szCs w:val="24"/>
          <w:lang w:val="es-ES_tradnl"/>
        </w:rPr>
        <w:t>ó</w:t>
      </w:r>
      <w:r w:rsidRPr="00FE18B2">
        <w:rPr>
          <w:rFonts w:ascii="Tahoma" w:hAnsi="Tahoma" w:cs="Tahoma"/>
          <w:sz w:val="24"/>
          <w:szCs w:val="24"/>
          <w:lang w:val="en-US"/>
        </w:rPr>
        <w:t>w</w:t>
      </w:r>
      <w:r w:rsidRPr="00FE18B2">
        <w:rPr>
          <w:rFonts w:ascii="Tahoma" w:hAnsi="Tahoma" w:cs="Tahoma"/>
          <w:sz w:val="24"/>
          <w:szCs w:val="24"/>
        </w:rPr>
        <w:t xml:space="preserve"> są jawne, z </w:t>
      </w:r>
      <w:r w:rsidR="00FE18B2" w:rsidRPr="00FE18B2">
        <w:rPr>
          <w:rFonts w:ascii="Tahoma" w:hAnsi="Tahoma" w:cs="Tahoma"/>
          <w:sz w:val="24"/>
          <w:szCs w:val="24"/>
        </w:rPr>
        <w:t>wyłączeniem</w:t>
      </w:r>
      <w:r w:rsidRPr="00FE18B2">
        <w:rPr>
          <w:rFonts w:ascii="Tahoma" w:hAnsi="Tahoma" w:cs="Tahoma"/>
          <w:sz w:val="24"/>
          <w:szCs w:val="24"/>
        </w:rPr>
        <w:t xml:space="preserve"> informacji o adresie zamieszkania </w:t>
      </w:r>
      <w:r w:rsidR="00FE18B2" w:rsidRPr="00FE18B2">
        <w:rPr>
          <w:rFonts w:ascii="Tahoma" w:hAnsi="Tahoma" w:cs="Tahoma"/>
          <w:sz w:val="24"/>
          <w:szCs w:val="24"/>
        </w:rPr>
        <w:t>składającego</w:t>
      </w:r>
      <w:r w:rsidRPr="00FE18B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E18B2">
        <w:rPr>
          <w:rFonts w:ascii="Tahoma" w:hAnsi="Tahoma" w:cs="Tahoma"/>
          <w:sz w:val="24"/>
          <w:szCs w:val="24"/>
        </w:rPr>
        <w:t>oświadczenie</w:t>
      </w:r>
      <w:proofErr w:type="spellEnd"/>
      <w:r w:rsidRPr="00FE18B2">
        <w:rPr>
          <w:rFonts w:ascii="Tahoma" w:hAnsi="Tahoma" w:cs="Tahoma"/>
          <w:sz w:val="24"/>
          <w:szCs w:val="24"/>
        </w:rPr>
        <w:t xml:space="preserve"> oraz o miejscu </w:t>
      </w:r>
      <w:r w:rsidR="00FE18B2" w:rsidRPr="00FE18B2">
        <w:rPr>
          <w:rFonts w:ascii="Tahoma" w:hAnsi="Tahoma" w:cs="Tahoma"/>
          <w:sz w:val="24"/>
          <w:szCs w:val="24"/>
        </w:rPr>
        <w:t>położenia</w:t>
      </w:r>
      <w:r w:rsidRPr="00FE18B2">
        <w:rPr>
          <w:rFonts w:ascii="Tahoma" w:hAnsi="Tahoma" w:cs="Tahoma"/>
          <w:sz w:val="24"/>
          <w:szCs w:val="24"/>
        </w:rPr>
        <w:t xml:space="preserve"> </w:t>
      </w:r>
      <w:r w:rsidR="00FE18B2" w:rsidRPr="00FE18B2">
        <w:rPr>
          <w:rFonts w:ascii="Tahoma" w:hAnsi="Tahoma" w:cs="Tahoma"/>
          <w:sz w:val="24"/>
          <w:szCs w:val="24"/>
        </w:rPr>
        <w:t>nieruchomości</w:t>
      </w:r>
      <w:r w:rsidRPr="00FE18B2">
        <w:rPr>
          <w:rFonts w:ascii="Tahoma" w:hAnsi="Tahoma" w:cs="Tahoma"/>
          <w:sz w:val="24"/>
          <w:szCs w:val="24"/>
        </w:rPr>
        <w:t xml:space="preserve">. </w:t>
      </w:r>
    </w:p>
    <w:p w:rsidR="00C6461E" w:rsidRPr="00FE18B2" w:rsidRDefault="00C6461E" w:rsidP="00FE18B2">
      <w:pPr>
        <w:pStyle w:val="Domylne"/>
        <w:spacing w:after="240" w:line="360" w:lineRule="auto"/>
        <w:ind w:left="142" w:firstLine="851"/>
        <w:jc w:val="both"/>
        <w:rPr>
          <w:rFonts w:ascii="Tahoma" w:eastAsia="Times New Roman" w:hAnsi="Tahoma" w:cs="Tahoma"/>
          <w:sz w:val="24"/>
          <w:szCs w:val="24"/>
        </w:rPr>
      </w:pPr>
      <w:r w:rsidRPr="00FE18B2">
        <w:rPr>
          <w:rFonts w:ascii="Tahoma" w:hAnsi="Tahoma" w:cs="Tahoma"/>
          <w:sz w:val="24"/>
          <w:szCs w:val="24"/>
        </w:rPr>
        <w:t xml:space="preserve">3b. Jawne informacje zawarte w </w:t>
      </w:r>
      <w:r w:rsidR="00FE18B2" w:rsidRPr="00FE18B2">
        <w:rPr>
          <w:rFonts w:ascii="Tahoma" w:hAnsi="Tahoma" w:cs="Tahoma"/>
          <w:sz w:val="24"/>
          <w:szCs w:val="24"/>
        </w:rPr>
        <w:t>oświadczeniach</w:t>
      </w:r>
      <w:r w:rsidRPr="00FE18B2">
        <w:rPr>
          <w:rFonts w:ascii="Tahoma" w:hAnsi="Tahoma" w:cs="Tahoma"/>
          <w:sz w:val="24"/>
          <w:szCs w:val="24"/>
        </w:rPr>
        <w:t xml:space="preserve"> o stanie majątkowym </w:t>
      </w:r>
      <w:r w:rsidR="00FE18B2">
        <w:rPr>
          <w:rFonts w:ascii="Tahoma" w:hAnsi="Tahoma" w:cs="Tahoma"/>
          <w:sz w:val="24"/>
          <w:szCs w:val="24"/>
        </w:rPr>
        <w:br/>
      </w:r>
      <w:proofErr w:type="spellStart"/>
      <w:r w:rsidRPr="00FE18B2">
        <w:rPr>
          <w:rFonts w:ascii="Tahoma" w:hAnsi="Tahoma" w:cs="Tahoma"/>
          <w:sz w:val="24"/>
          <w:szCs w:val="24"/>
        </w:rPr>
        <w:t>sa</w:t>
      </w:r>
      <w:proofErr w:type="spellEnd"/>
      <w:r w:rsidRPr="00FE18B2">
        <w:rPr>
          <w:rFonts w:ascii="Tahoma" w:hAnsi="Tahoma" w:cs="Tahoma"/>
          <w:sz w:val="24"/>
          <w:szCs w:val="24"/>
        </w:rPr>
        <w:t xml:space="preserve">̨ </w:t>
      </w:r>
      <w:r w:rsidRPr="00FE18B2">
        <w:rPr>
          <w:rFonts w:ascii="Tahoma" w:hAnsi="Tahoma" w:cs="Tahoma"/>
          <w:sz w:val="24"/>
          <w:szCs w:val="24"/>
          <w:lang w:val="pt-PT"/>
        </w:rPr>
        <w:t>udoste</w:t>
      </w:r>
      <w:r w:rsidRPr="00FE18B2">
        <w:rPr>
          <w:rFonts w:ascii="Tahoma" w:hAnsi="Tahoma" w:cs="Tahoma"/>
          <w:sz w:val="24"/>
          <w:szCs w:val="24"/>
        </w:rPr>
        <w:t>̨</w:t>
      </w:r>
      <w:proofErr w:type="spellStart"/>
      <w:r w:rsidRPr="00FE18B2">
        <w:rPr>
          <w:rFonts w:ascii="Tahoma" w:hAnsi="Tahoma" w:cs="Tahoma"/>
          <w:sz w:val="24"/>
          <w:szCs w:val="24"/>
        </w:rPr>
        <w:t>pniane</w:t>
      </w:r>
      <w:proofErr w:type="spellEnd"/>
      <w:r w:rsidRPr="00FE18B2">
        <w:rPr>
          <w:rFonts w:ascii="Tahoma" w:hAnsi="Tahoma" w:cs="Tahoma"/>
          <w:sz w:val="24"/>
          <w:szCs w:val="24"/>
        </w:rPr>
        <w:t xml:space="preserve"> w Biuletynie Informacji Publicznej, o </w:t>
      </w:r>
      <w:proofErr w:type="spellStart"/>
      <w:r w:rsidRPr="00FE18B2">
        <w:rPr>
          <w:rFonts w:ascii="Tahoma" w:hAnsi="Tahoma" w:cs="Tahoma"/>
          <w:sz w:val="24"/>
          <w:szCs w:val="24"/>
        </w:rPr>
        <w:t>kt</w:t>
      </w:r>
      <w:proofErr w:type="spellEnd"/>
      <w:r w:rsidRPr="00FE18B2">
        <w:rPr>
          <w:rFonts w:ascii="Tahoma" w:hAnsi="Tahoma" w:cs="Tahoma"/>
          <w:sz w:val="24"/>
          <w:szCs w:val="24"/>
          <w:lang w:val="es-ES_tradnl"/>
        </w:rPr>
        <w:t>ó</w:t>
      </w:r>
      <w:r w:rsidRPr="00FE18B2">
        <w:rPr>
          <w:rFonts w:ascii="Tahoma" w:hAnsi="Tahoma" w:cs="Tahoma"/>
          <w:sz w:val="24"/>
          <w:szCs w:val="24"/>
        </w:rPr>
        <w:t xml:space="preserve">rym mowa w ustawie z dnia </w:t>
      </w:r>
      <w:r w:rsidR="00FE18B2">
        <w:rPr>
          <w:rFonts w:ascii="Tahoma" w:hAnsi="Tahoma" w:cs="Tahoma"/>
          <w:sz w:val="24"/>
          <w:szCs w:val="24"/>
        </w:rPr>
        <w:br/>
      </w:r>
      <w:r w:rsidRPr="00FE18B2">
        <w:rPr>
          <w:rFonts w:ascii="Tahoma" w:hAnsi="Tahoma" w:cs="Tahoma"/>
          <w:sz w:val="24"/>
          <w:szCs w:val="24"/>
        </w:rPr>
        <w:t xml:space="preserve">6 </w:t>
      </w:r>
      <w:proofErr w:type="spellStart"/>
      <w:r w:rsidRPr="00FE18B2">
        <w:rPr>
          <w:rFonts w:ascii="Tahoma" w:hAnsi="Tahoma" w:cs="Tahoma"/>
          <w:sz w:val="24"/>
          <w:szCs w:val="24"/>
        </w:rPr>
        <w:t>wrzes</w:t>
      </w:r>
      <w:proofErr w:type="spellEnd"/>
      <w:r w:rsidRPr="00FE18B2">
        <w:rPr>
          <w:rFonts w:ascii="Tahoma" w:hAnsi="Tahoma" w:cs="Tahoma"/>
          <w:sz w:val="24"/>
          <w:szCs w:val="24"/>
        </w:rPr>
        <w:t>́</w:t>
      </w:r>
      <w:r w:rsidRPr="00FE18B2">
        <w:rPr>
          <w:rFonts w:ascii="Tahoma" w:hAnsi="Tahoma" w:cs="Tahoma"/>
          <w:sz w:val="24"/>
          <w:szCs w:val="24"/>
          <w:lang w:val="pt-PT"/>
        </w:rPr>
        <w:t>nia 2001 r. o doste</w:t>
      </w:r>
      <w:r w:rsidRPr="00FE18B2">
        <w:rPr>
          <w:rFonts w:ascii="Tahoma" w:hAnsi="Tahoma" w:cs="Tahoma"/>
          <w:sz w:val="24"/>
          <w:szCs w:val="24"/>
        </w:rPr>
        <w:t>̨</w:t>
      </w:r>
      <w:proofErr w:type="spellStart"/>
      <w:r w:rsidRPr="00FE18B2">
        <w:rPr>
          <w:rFonts w:ascii="Tahoma" w:hAnsi="Tahoma" w:cs="Tahoma"/>
          <w:sz w:val="24"/>
          <w:szCs w:val="24"/>
        </w:rPr>
        <w:t>pie</w:t>
      </w:r>
      <w:proofErr w:type="spellEnd"/>
      <w:r w:rsidRPr="00FE18B2">
        <w:rPr>
          <w:rFonts w:ascii="Tahoma" w:hAnsi="Tahoma" w:cs="Tahoma"/>
          <w:sz w:val="24"/>
          <w:szCs w:val="24"/>
        </w:rPr>
        <w:t xml:space="preserve"> do informacji publicznej (Dz. U. z 2015 r. poz. 2058).”</w:t>
      </w:r>
      <w:r w:rsidR="00C6410B" w:rsidRPr="00FE18B2">
        <w:rPr>
          <w:rFonts w:ascii="Tahoma" w:hAnsi="Tahoma" w:cs="Tahoma"/>
          <w:sz w:val="24"/>
          <w:szCs w:val="24"/>
        </w:rPr>
        <w:t>.</w:t>
      </w:r>
    </w:p>
    <w:p w:rsidR="00C6461E" w:rsidRPr="00FE18B2" w:rsidRDefault="00C6461E" w:rsidP="00FE18B2">
      <w:pPr>
        <w:pStyle w:val="Domylne"/>
        <w:spacing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</w:p>
    <w:p w:rsidR="00C6461E" w:rsidRPr="00FE18B2" w:rsidRDefault="00C6461E" w:rsidP="00FE18B2">
      <w:pPr>
        <w:pStyle w:val="Domylne"/>
        <w:spacing w:line="360" w:lineRule="auto"/>
        <w:ind w:firstLine="426"/>
        <w:rPr>
          <w:rFonts w:ascii="Tahoma" w:eastAsia="Times New Roman" w:hAnsi="Tahoma" w:cs="Tahoma"/>
          <w:sz w:val="24"/>
          <w:szCs w:val="24"/>
        </w:rPr>
      </w:pPr>
      <w:r w:rsidRPr="00FE18B2">
        <w:rPr>
          <w:rFonts w:ascii="Tahoma" w:hAnsi="Tahoma" w:cs="Tahoma"/>
          <w:sz w:val="24"/>
          <w:szCs w:val="24"/>
        </w:rPr>
        <w:t>Art. 2. Ustawa wchodzi w życie po upływie 14 dni od dnia ogłoszenia.</w:t>
      </w:r>
    </w:p>
    <w:p w:rsidR="00FE18B2" w:rsidRDefault="00FE18B2" w:rsidP="00FE18B2">
      <w:pPr>
        <w:pStyle w:val="Domylne"/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:rsidR="00C6461E" w:rsidRPr="00FE18B2" w:rsidRDefault="00C6461E" w:rsidP="00FE18B2">
      <w:pPr>
        <w:pStyle w:val="Domylne"/>
        <w:spacing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FE18B2">
        <w:rPr>
          <w:rFonts w:ascii="Tahoma" w:hAnsi="Tahoma" w:cs="Tahoma"/>
          <w:b/>
          <w:bCs/>
          <w:sz w:val="24"/>
          <w:szCs w:val="24"/>
        </w:rPr>
        <w:t>UZASADNIENIE</w:t>
      </w:r>
    </w:p>
    <w:p w:rsidR="00C6461E" w:rsidRPr="00FE18B2" w:rsidRDefault="00C6461E" w:rsidP="00FE18B2">
      <w:pPr>
        <w:pStyle w:val="Domylne"/>
        <w:spacing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</w:p>
    <w:p w:rsidR="00C6461E" w:rsidRPr="00FE18B2" w:rsidRDefault="00C6461E" w:rsidP="00FE18B2">
      <w:pPr>
        <w:pStyle w:val="Domylne"/>
        <w:numPr>
          <w:ilvl w:val="0"/>
          <w:numId w:val="2"/>
        </w:numPr>
        <w:spacing w:line="360" w:lineRule="auto"/>
        <w:rPr>
          <w:rFonts w:ascii="Tahoma" w:eastAsia="Times New Roman" w:hAnsi="Tahoma" w:cs="Tahoma"/>
          <w:b/>
          <w:bCs/>
          <w:sz w:val="24"/>
          <w:szCs w:val="24"/>
        </w:rPr>
      </w:pPr>
      <w:r w:rsidRPr="00FE18B2">
        <w:rPr>
          <w:rFonts w:ascii="Tahoma" w:hAnsi="Tahoma" w:cs="Tahoma"/>
          <w:b/>
          <w:bCs/>
          <w:sz w:val="24"/>
          <w:szCs w:val="24"/>
        </w:rPr>
        <w:t>Potrzeba i cel wydania ustawy.</w:t>
      </w:r>
    </w:p>
    <w:p w:rsidR="00C6461E" w:rsidRPr="00FE18B2" w:rsidRDefault="00C6461E" w:rsidP="00FE18B2">
      <w:pPr>
        <w:pStyle w:val="Domylne"/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FE18B2">
        <w:rPr>
          <w:rFonts w:ascii="Tahoma" w:hAnsi="Tahoma" w:cs="Tahoma"/>
          <w:sz w:val="24"/>
          <w:szCs w:val="24"/>
        </w:rPr>
        <w:t xml:space="preserve">Oświadczenia o stanie majątkowym najważniejszych osób w Państwie stanowią tajemnicę prawnie chronioną i ujawniane są wyłącznie za zgodą osoby, która złożyła oświadczenie. Tymczasem oświadczenia majątkowe osób sprawujących władzę w organach samorządów terytorialnych wszystkich szczebli są jawne i podlegają publikacji w Biuletynie Informacji Publicznej. Jawność oświadczeń majątkowych powinna być powszechną zasadą obowiązującą wszystkich przedstawicieli władzy publicznej. Obowiązujące obecnie przepisy uzależniające ujawnianie oświadczeń o stanie majątkowym osób biorących udział </w:t>
      </w:r>
      <w:r w:rsidR="00FE18B2">
        <w:rPr>
          <w:rFonts w:ascii="Tahoma" w:hAnsi="Tahoma" w:cs="Tahoma"/>
          <w:sz w:val="24"/>
          <w:szCs w:val="24"/>
        </w:rPr>
        <w:br/>
      </w:r>
      <w:r w:rsidRPr="00FE18B2">
        <w:rPr>
          <w:rFonts w:ascii="Tahoma" w:hAnsi="Tahoma" w:cs="Tahoma"/>
          <w:sz w:val="24"/>
          <w:szCs w:val="24"/>
        </w:rPr>
        <w:t>w rządzeniu Państwem na najwyższym szczeblu od ich zgody nie mają racjonalnego uzasadnienia.  Jawność informacji o stanie majątkowym pełni funkcję antykorupcyjną oraz pozwala na społeczną kontrolę osób mających wpływ na podejmowanie decyzji. Przejrzystość w tym zakresie przyczynia się do budowania zaufania obywateli do Państwa.</w:t>
      </w:r>
    </w:p>
    <w:p w:rsidR="00C6461E" w:rsidRPr="00FE18B2" w:rsidRDefault="00C6461E" w:rsidP="00FE18B2">
      <w:pPr>
        <w:pStyle w:val="Domylne"/>
        <w:spacing w:line="360" w:lineRule="auto"/>
        <w:rPr>
          <w:rFonts w:ascii="Tahoma" w:eastAsia="Times New Roman" w:hAnsi="Tahoma" w:cs="Tahoma"/>
          <w:b/>
          <w:bCs/>
          <w:sz w:val="24"/>
          <w:szCs w:val="24"/>
        </w:rPr>
      </w:pPr>
    </w:p>
    <w:p w:rsidR="00C6461E" w:rsidRPr="00FE18B2" w:rsidRDefault="00C6461E" w:rsidP="00FE18B2">
      <w:pPr>
        <w:pStyle w:val="Domylne"/>
        <w:numPr>
          <w:ilvl w:val="0"/>
          <w:numId w:val="2"/>
        </w:numPr>
        <w:spacing w:line="360" w:lineRule="auto"/>
        <w:rPr>
          <w:rFonts w:ascii="Tahoma" w:eastAsia="Times New Roman" w:hAnsi="Tahoma" w:cs="Tahoma"/>
          <w:b/>
          <w:bCs/>
          <w:sz w:val="24"/>
          <w:szCs w:val="24"/>
        </w:rPr>
      </w:pPr>
      <w:r w:rsidRPr="00FE18B2">
        <w:rPr>
          <w:rFonts w:ascii="Tahoma" w:hAnsi="Tahoma" w:cs="Tahoma"/>
          <w:b/>
          <w:bCs/>
          <w:sz w:val="24"/>
          <w:szCs w:val="24"/>
        </w:rPr>
        <w:t>Rzeczywisty stan w dziedzinie, która ma być uregulowana.</w:t>
      </w:r>
    </w:p>
    <w:p w:rsidR="00C6461E" w:rsidRPr="00FE18B2" w:rsidRDefault="00C6461E" w:rsidP="00FE18B2">
      <w:pPr>
        <w:pStyle w:val="Domylne"/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FE18B2">
        <w:rPr>
          <w:rFonts w:ascii="Tahoma" w:hAnsi="Tahoma" w:cs="Tahoma"/>
          <w:sz w:val="24"/>
          <w:szCs w:val="24"/>
        </w:rPr>
        <w:t>Niektórzy członkowie Rady Ministrów, sekretarze i podsekretarze stanu w ministerstwach</w:t>
      </w:r>
      <w:r w:rsidRPr="00FE18B2">
        <w:rPr>
          <w:rFonts w:ascii="Tahoma" w:hAnsi="Tahoma" w:cs="Tahoma"/>
          <w:sz w:val="24"/>
          <w:szCs w:val="24"/>
        </w:rPr>
        <w:br/>
        <w:t xml:space="preserve">i Kancelarii Prezesa Rady Ministrów wyrażają zgodę na ujawnienie swoich oświadczeń </w:t>
      </w:r>
      <w:r w:rsidRPr="00FE18B2">
        <w:rPr>
          <w:rFonts w:ascii="Tahoma" w:hAnsi="Tahoma" w:cs="Tahoma"/>
          <w:sz w:val="24"/>
          <w:szCs w:val="24"/>
        </w:rPr>
        <w:br/>
        <w:t xml:space="preserve">o stanie majątkowym. Oświadczenia te są publikowane w Biuletynach Informacji Publicznej. </w:t>
      </w:r>
    </w:p>
    <w:p w:rsidR="00C6461E" w:rsidRPr="00FE18B2" w:rsidRDefault="00C6461E" w:rsidP="00FE18B2">
      <w:pPr>
        <w:pStyle w:val="Domylne"/>
        <w:spacing w:line="360" w:lineRule="auto"/>
        <w:rPr>
          <w:rFonts w:ascii="Tahoma" w:eastAsia="Times New Roman" w:hAnsi="Tahoma" w:cs="Tahoma"/>
          <w:b/>
          <w:bCs/>
          <w:sz w:val="24"/>
          <w:szCs w:val="24"/>
        </w:rPr>
      </w:pPr>
    </w:p>
    <w:p w:rsidR="00C6461E" w:rsidRPr="00FE18B2" w:rsidRDefault="00C6461E" w:rsidP="00FE18B2">
      <w:pPr>
        <w:pStyle w:val="Domylne"/>
        <w:numPr>
          <w:ilvl w:val="0"/>
          <w:numId w:val="2"/>
        </w:numPr>
        <w:spacing w:line="360" w:lineRule="auto"/>
        <w:rPr>
          <w:rFonts w:ascii="Tahoma" w:eastAsia="Times New Roman" w:hAnsi="Tahoma" w:cs="Tahoma"/>
          <w:b/>
          <w:bCs/>
          <w:sz w:val="24"/>
          <w:szCs w:val="24"/>
        </w:rPr>
      </w:pPr>
      <w:r w:rsidRPr="00FE18B2">
        <w:rPr>
          <w:rFonts w:ascii="Tahoma" w:hAnsi="Tahoma" w:cs="Tahoma"/>
          <w:b/>
          <w:bCs/>
          <w:sz w:val="24"/>
          <w:szCs w:val="24"/>
        </w:rPr>
        <w:t>Róż</w:t>
      </w:r>
      <w:r w:rsidRPr="00FE18B2">
        <w:rPr>
          <w:rFonts w:ascii="Tahoma" w:hAnsi="Tahoma" w:cs="Tahoma"/>
          <w:b/>
          <w:bCs/>
          <w:sz w:val="24"/>
          <w:szCs w:val="24"/>
          <w:lang w:val="it-IT"/>
        </w:rPr>
        <w:t>nica mi</w:t>
      </w:r>
      <w:proofErr w:type="spellStart"/>
      <w:r w:rsidRPr="00FE18B2">
        <w:rPr>
          <w:rFonts w:ascii="Tahoma" w:hAnsi="Tahoma" w:cs="Tahoma"/>
          <w:b/>
          <w:bCs/>
          <w:sz w:val="24"/>
          <w:szCs w:val="24"/>
        </w:rPr>
        <w:t>ędzy</w:t>
      </w:r>
      <w:proofErr w:type="spellEnd"/>
      <w:r w:rsidRPr="00FE18B2">
        <w:rPr>
          <w:rFonts w:ascii="Tahoma" w:hAnsi="Tahoma" w:cs="Tahoma"/>
          <w:b/>
          <w:bCs/>
          <w:sz w:val="24"/>
          <w:szCs w:val="24"/>
        </w:rPr>
        <w:t xml:space="preserve"> dotychczasowym a projektowanym stanem prawnym.</w:t>
      </w:r>
    </w:p>
    <w:p w:rsidR="00C6461E" w:rsidRPr="00FE18B2" w:rsidRDefault="00C6461E" w:rsidP="00FE18B2">
      <w:pPr>
        <w:pStyle w:val="Domylne"/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FE18B2">
        <w:rPr>
          <w:rFonts w:ascii="Tahoma" w:hAnsi="Tahoma" w:cs="Tahoma"/>
          <w:sz w:val="24"/>
          <w:szCs w:val="24"/>
        </w:rPr>
        <w:t xml:space="preserve">Art. 10 ust. 3 obecnie obowiązującej ustawy z 21 sierpnia 1997 </w:t>
      </w:r>
      <w:r w:rsidR="00BD6F23">
        <w:rPr>
          <w:rFonts w:ascii="Tahoma" w:hAnsi="Tahoma" w:cs="Tahoma"/>
          <w:sz w:val="24"/>
          <w:szCs w:val="24"/>
        </w:rPr>
        <w:t xml:space="preserve">r. </w:t>
      </w:r>
      <w:r w:rsidRPr="00FE18B2">
        <w:rPr>
          <w:rFonts w:ascii="Tahoma" w:hAnsi="Tahoma" w:cs="Tahoma"/>
          <w:sz w:val="24"/>
          <w:szCs w:val="24"/>
        </w:rPr>
        <w:t>o ograniczeniu prowadzenia działalności gospodarczej przez o</w:t>
      </w:r>
      <w:r w:rsidR="00BD6F23">
        <w:rPr>
          <w:rFonts w:ascii="Tahoma" w:hAnsi="Tahoma" w:cs="Tahoma"/>
          <w:sz w:val="24"/>
          <w:szCs w:val="24"/>
        </w:rPr>
        <w:t>soby pełniące funkcje publiczne</w:t>
      </w:r>
      <w:r w:rsidRPr="00FE18B2">
        <w:rPr>
          <w:rFonts w:ascii="Tahoma" w:hAnsi="Tahoma" w:cs="Tahoma"/>
          <w:sz w:val="24"/>
          <w:szCs w:val="24"/>
        </w:rPr>
        <w:t xml:space="preserve"> (Dz.U. </w:t>
      </w:r>
      <w:r w:rsidR="00591637">
        <w:rPr>
          <w:rFonts w:ascii="Tahoma" w:hAnsi="Tahoma" w:cs="Tahoma"/>
          <w:sz w:val="24"/>
          <w:szCs w:val="24"/>
        </w:rPr>
        <w:br/>
      </w:r>
      <w:r w:rsidRPr="00FE18B2">
        <w:rPr>
          <w:rFonts w:ascii="Tahoma" w:hAnsi="Tahoma" w:cs="Tahoma"/>
          <w:sz w:val="24"/>
          <w:szCs w:val="24"/>
        </w:rPr>
        <w:t xml:space="preserve">2006 r. poz. 1584, z </w:t>
      </w:r>
      <w:proofErr w:type="spellStart"/>
      <w:r w:rsidRPr="00FE18B2">
        <w:rPr>
          <w:rFonts w:ascii="Tahoma" w:hAnsi="Tahoma" w:cs="Tahoma"/>
          <w:sz w:val="24"/>
          <w:szCs w:val="24"/>
        </w:rPr>
        <w:t>późn</w:t>
      </w:r>
      <w:proofErr w:type="spellEnd"/>
      <w:r w:rsidRPr="00FE18B2">
        <w:rPr>
          <w:rFonts w:ascii="Tahoma" w:hAnsi="Tahoma" w:cs="Tahoma"/>
          <w:sz w:val="24"/>
          <w:szCs w:val="24"/>
        </w:rPr>
        <w:t xml:space="preserve">. zm.) stanowi, że informacje zawarte w oświadczeniu o stanie majątkowym </w:t>
      </w:r>
      <w:proofErr w:type="spellStart"/>
      <w:r w:rsidRPr="00FE18B2">
        <w:rPr>
          <w:rFonts w:ascii="Tahoma" w:hAnsi="Tahoma" w:cs="Tahoma"/>
          <w:sz w:val="24"/>
          <w:szCs w:val="24"/>
        </w:rPr>
        <w:t>członk</w:t>
      </w:r>
      <w:proofErr w:type="spellEnd"/>
      <w:r w:rsidRPr="00FE18B2">
        <w:rPr>
          <w:rFonts w:ascii="Tahoma" w:hAnsi="Tahoma" w:cs="Tahoma"/>
          <w:sz w:val="24"/>
          <w:szCs w:val="24"/>
          <w:lang w:val="es-ES_tradnl"/>
        </w:rPr>
        <w:t>ó</w:t>
      </w:r>
      <w:r w:rsidRPr="00FE18B2">
        <w:rPr>
          <w:rFonts w:ascii="Tahoma" w:hAnsi="Tahoma" w:cs="Tahoma"/>
          <w:sz w:val="24"/>
          <w:szCs w:val="24"/>
        </w:rPr>
        <w:t xml:space="preserve">w rządu stanowią tajemnicę prawnie chronioną i podlegają ochronie przewidzianej dla informacji niejawnych o klauzuli </w:t>
      </w:r>
      <w:proofErr w:type="spellStart"/>
      <w:r w:rsidRPr="00FE18B2">
        <w:rPr>
          <w:rFonts w:ascii="Tahoma" w:hAnsi="Tahoma" w:cs="Tahoma"/>
          <w:sz w:val="24"/>
          <w:szCs w:val="24"/>
        </w:rPr>
        <w:t>tajnoś</w:t>
      </w:r>
      <w:proofErr w:type="spellEnd"/>
      <w:r w:rsidRPr="00FE18B2">
        <w:rPr>
          <w:rFonts w:ascii="Tahoma" w:hAnsi="Tahoma" w:cs="Tahoma"/>
          <w:sz w:val="24"/>
          <w:szCs w:val="24"/>
          <w:lang w:val="it-IT"/>
        </w:rPr>
        <w:t xml:space="preserve">ci </w:t>
      </w:r>
      <w:r w:rsidRPr="00FE18B2">
        <w:rPr>
          <w:rFonts w:ascii="Tahoma" w:hAnsi="Tahoma" w:cs="Tahoma"/>
          <w:sz w:val="24"/>
          <w:szCs w:val="24"/>
        </w:rPr>
        <w:t>„zastrzeż</w:t>
      </w:r>
      <w:r w:rsidRPr="00FE18B2">
        <w:rPr>
          <w:rFonts w:ascii="Tahoma" w:hAnsi="Tahoma" w:cs="Tahoma"/>
          <w:sz w:val="24"/>
          <w:szCs w:val="24"/>
          <w:lang w:val="it-IT"/>
        </w:rPr>
        <w:t>one</w:t>
      </w:r>
      <w:r w:rsidRPr="00FE18B2">
        <w:rPr>
          <w:rFonts w:ascii="Tahoma" w:hAnsi="Tahoma" w:cs="Tahoma"/>
          <w:sz w:val="24"/>
          <w:szCs w:val="24"/>
        </w:rPr>
        <w:t xml:space="preserve">” określonej w przepisach o ochronie informacji niejawnych, chyba, że osoba, </w:t>
      </w:r>
      <w:proofErr w:type="spellStart"/>
      <w:r w:rsidRPr="00FE18B2">
        <w:rPr>
          <w:rFonts w:ascii="Tahoma" w:hAnsi="Tahoma" w:cs="Tahoma"/>
          <w:sz w:val="24"/>
          <w:szCs w:val="24"/>
        </w:rPr>
        <w:t>kt</w:t>
      </w:r>
      <w:proofErr w:type="spellEnd"/>
      <w:r w:rsidRPr="00FE18B2">
        <w:rPr>
          <w:rFonts w:ascii="Tahoma" w:hAnsi="Tahoma" w:cs="Tahoma"/>
          <w:sz w:val="24"/>
          <w:szCs w:val="24"/>
          <w:lang w:val="es-ES_tradnl"/>
        </w:rPr>
        <w:t>ó</w:t>
      </w:r>
      <w:proofErr w:type="spellStart"/>
      <w:r w:rsidRPr="00FE18B2">
        <w:rPr>
          <w:rFonts w:ascii="Tahoma" w:hAnsi="Tahoma" w:cs="Tahoma"/>
          <w:sz w:val="24"/>
          <w:szCs w:val="24"/>
        </w:rPr>
        <w:t>ra</w:t>
      </w:r>
      <w:proofErr w:type="spellEnd"/>
      <w:r w:rsidRPr="00FE18B2">
        <w:rPr>
          <w:rFonts w:ascii="Tahoma" w:hAnsi="Tahoma" w:cs="Tahoma"/>
          <w:sz w:val="24"/>
          <w:szCs w:val="24"/>
        </w:rPr>
        <w:t xml:space="preserve"> złożyła oświadczenie, wyraziła pisemną zgodę na ich ujawnienie. W wyniku projektowanej nowelizacji oświadczenia o stanie majątkowym członków Rady </w:t>
      </w:r>
      <w:proofErr w:type="spellStart"/>
      <w:r w:rsidRPr="00FE18B2">
        <w:rPr>
          <w:rFonts w:ascii="Tahoma" w:hAnsi="Tahoma" w:cs="Tahoma"/>
          <w:sz w:val="24"/>
          <w:szCs w:val="24"/>
        </w:rPr>
        <w:t>Ministr</w:t>
      </w:r>
      <w:proofErr w:type="spellEnd"/>
      <w:r w:rsidRPr="00FE18B2">
        <w:rPr>
          <w:rFonts w:ascii="Tahoma" w:hAnsi="Tahoma" w:cs="Tahoma"/>
          <w:sz w:val="24"/>
          <w:szCs w:val="24"/>
          <w:lang w:val="es-ES_tradnl"/>
        </w:rPr>
        <w:t>ó</w:t>
      </w:r>
      <w:r w:rsidRPr="00FE18B2">
        <w:rPr>
          <w:rFonts w:ascii="Tahoma" w:hAnsi="Tahoma" w:cs="Tahoma"/>
          <w:sz w:val="24"/>
          <w:szCs w:val="24"/>
        </w:rPr>
        <w:t xml:space="preserve">w, sekretarzy i podsekretarzy stanu w ministerstwach i Kancelarii Prezesa Rady </w:t>
      </w:r>
      <w:proofErr w:type="spellStart"/>
      <w:r w:rsidRPr="00FE18B2">
        <w:rPr>
          <w:rFonts w:ascii="Tahoma" w:hAnsi="Tahoma" w:cs="Tahoma"/>
          <w:sz w:val="24"/>
          <w:szCs w:val="24"/>
        </w:rPr>
        <w:t>Ministr</w:t>
      </w:r>
      <w:proofErr w:type="spellEnd"/>
      <w:r w:rsidRPr="00FE18B2">
        <w:rPr>
          <w:rFonts w:ascii="Tahoma" w:hAnsi="Tahoma" w:cs="Tahoma"/>
          <w:sz w:val="24"/>
          <w:szCs w:val="24"/>
          <w:lang w:val="es-ES_tradnl"/>
        </w:rPr>
        <w:t>ó</w:t>
      </w:r>
      <w:r w:rsidRPr="00FE18B2">
        <w:rPr>
          <w:rFonts w:ascii="Tahoma" w:hAnsi="Tahoma" w:cs="Tahoma"/>
          <w:sz w:val="24"/>
          <w:szCs w:val="24"/>
          <w:lang w:val="en-US"/>
        </w:rPr>
        <w:t>w</w:t>
      </w:r>
      <w:r w:rsidRPr="00FE18B2">
        <w:rPr>
          <w:rFonts w:ascii="Tahoma" w:hAnsi="Tahoma" w:cs="Tahoma"/>
          <w:sz w:val="24"/>
          <w:szCs w:val="24"/>
        </w:rPr>
        <w:t xml:space="preserve"> będą jawne i będą podlegały publikacji w Biuletynie Informacji Publicznej. </w:t>
      </w:r>
    </w:p>
    <w:p w:rsidR="00C6461E" w:rsidRDefault="00C6461E" w:rsidP="00FE18B2">
      <w:pPr>
        <w:pStyle w:val="Domylne"/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:rsidR="00BD6F23" w:rsidRPr="00FE18B2" w:rsidRDefault="00BD6F23" w:rsidP="00FE18B2">
      <w:pPr>
        <w:pStyle w:val="Domylne"/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:rsidR="00C6461E" w:rsidRPr="00FE18B2" w:rsidRDefault="00C6461E" w:rsidP="00FE18B2">
      <w:pPr>
        <w:pStyle w:val="Domylne"/>
        <w:numPr>
          <w:ilvl w:val="0"/>
          <w:numId w:val="2"/>
        </w:numPr>
        <w:spacing w:line="360" w:lineRule="auto"/>
        <w:rPr>
          <w:rFonts w:ascii="Tahoma" w:eastAsia="Times New Roman" w:hAnsi="Tahoma" w:cs="Tahoma"/>
          <w:b/>
          <w:bCs/>
          <w:sz w:val="24"/>
          <w:szCs w:val="24"/>
        </w:rPr>
      </w:pPr>
      <w:r w:rsidRPr="00FE18B2">
        <w:rPr>
          <w:rFonts w:ascii="Tahoma" w:hAnsi="Tahoma" w:cs="Tahoma"/>
          <w:b/>
          <w:bCs/>
          <w:sz w:val="24"/>
          <w:szCs w:val="24"/>
        </w:rPr>
        <w:t>Przewidywane skutki społeczne, gospodarcze, finansowe i prawne.</w:t>
      </w:r>
    </w:p>
    <w:p w:rsidR="00C6461E" w:rsidRPr="00FE18B2" w:rsidRDefault="00C6461E" w:rsidP="00FE18B2">
      <w:pPr>
        <w:pStyle w:val="Domylne"/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FE18B2">
        <w:rPr>
          <w:rFonts w:ascii="Tahoma" w:hAnsi="Tahoma" w:cs="Tahoma"/>
          <w:sz w:val="24"/>
          <w:szCs w:val="24"/>
        </w:rPr>
        <w:t xml:space="preserve">Ujawnienie oświadczeń o stanie majątkowym członków rządu, sekretarzy i podsekretarzy stanu w ministerstwach i Kancelarii Prezesa Rady Ministrów przyczyni się do wzrostu przejrzystości życia publicznego w Polsce oraz utrudni powstawanie zjawisk korupcyjnych na najwyższych szczeblach władzy. </w:t>
      </w:r>
    </w:p>
    <w:p w:rsidR="00C6461E" w:rsidRPr="00FE18B2" w:rsidRDefault="00C6461E" w:rsidP="00FE18B2">
      <w:pPr>
        <w:pStyle w:val="Domylne"/>
        <w:spacing w:line="360" w:lineRule="auto"/>
        <w:rPr>
          <w:rFonts w:ascii="Tahoma" w:eastAsia="Times New Roman" w:hAnsi="Tahoma" w:cs="Tahoma"/>
          <w:b/>
          <w:bCs/>
          <w:sz w:val="24"/>
          <w:szCs w:val="24"/>
        </w:rPr>
      </w:pPr>
    </w:p>
    <w:p w:rsidR="00C6461E" w:rsidRPr="00FE18B2" w:rsidRDefault="00C6461E" w:rsidP="00FE18B2">
      <w:pPr>
        <w:pStyle w:val="Domylne"/>
        <w:numPr>
          <w:ilvl w:val="0"/>
          <w:numId w:val="2"/>
        </w:numPr>
        <w:spacing w:line="360" w:lineRule="auto"/>
        <w:rPr>
          <w:rFonts w:ascii="Tahoma" w:eastAsia="Times New Roman" w:hAnsi="Tahoma" w:cs="Tahoma"/>
          <w:b/>
          <w:bCs/>
          <w:sz w:val="24"/>
          <w:szCs w:val="24"/>
        </w:rPr>
      </w:pPr>
      <w:r w:rsidRPr="00FE18B2">
        <w:rPr>
          <w:rFonts w:ascii="Tahoma" w:hAnsi="Tahoma" w:cs="Tahoma"/>
          <w:b/>
          <w:bCs/>
          <w:sz w:val="24"/>
          <w:szCs w:val="24"/>
        </w:rPr>
        <w:t>Źródła finansowania.</w:t>
      </w:r>
    </w:p>
    <w:p w:rsidR="00C6461E" w:rsidRPr="00FE18B2" w:rsidRDefault="00C6461E" w:rsidP="00FE18B2">
      <w:pPr>
        <w:pStyle w:val="Domylne"/>
        <w:spacing w:line="360" w:lineRule="auto"/>
        <w:rPr>
          <w:rFonts w:ascii="Tahoma" w:eastAsia="Times New Roman" w:hAnsi="Tahoma" w:cs="Tahoma"/>
          <w:sz w:val="24"/>
          <w:szCs w:val="24"/>
        </w:rPr>
      </w:pPr>
      <w:r w:rsidRPr="00FE18B2">
        <w:rPr>
          <w:rFonts w:ascii="Tahoma" w:hAnsi="Tahoma" w:cs="Tahoma"/>
          <w:sz w:val="24"/>
          <w:szCs w:val="24"/>
        </w:rPr>
        <w:t>Projekt ustawy nie pociąga za sobą obciążenia dla budżetu państwa.</w:t>
      </w:r>
      <w:r w:rsidR="00FE18B2">
        <w:rPr>
          <w:rFonts w:ascii="Tahoma" w:hAnsi="Tahoma" w:cs="Tahoma"/>
          <w:sz w:val="24"/>
          <w:szCs w:val="24"/>
        </w:rPr>
        <w:t xml:space="preserve"> </w:t>
      </w:r>
    </w:p>
    <w:p w:rsidR="00C6461E" w:rsidRPr="00FE18B2" w:rsidRDefault="00C6461E" w:rsidP="00FE18B2">
      <w:pPr>
        <w:pStyle w:val="Akapitzlist"/>
        <w:spacing w:line="360" w:lineRule="auto"/>
        <w:rPr>
          <w:rFonts w:ascii="Tahoma" w:hAnsi="Tahoma" w:cs="Tahoma"/>
        </w:rPr>
      </w:pPr>
    </w:p>
    <w:p w:rsidR="00C6461E" w:rsidRPr="00FE18B2" w:rsidRDefault="00C6461E" w:rsidP="00FE18B2">
      <w:pPr>
        <w:pStyle w:val="Domylne"/>
        <w:numPr>
          <w:ilvl w:val="0"/>
          <w:numId w:val="2"/>
        </w:numPr>
        <w:spacing w:line="360" w:lineRule="auto"/>
        <w:rPr>
          <w:rFonts w:ascii="Tahoma" w:eastAsia="Times New Roman" w:hAnsi="Tahoma" w:cs="Tahoma"/>
          <w:b/>
          <w:bCs/>
          <w:sz w:val="24"/>
          <w:szCs w:val="24"/>
        </w:rPr>
      </w:pPr>
      <w:r w:rsidRPr="00FE18B2">
        <w:rPr>
          <w:rFonts w:ascii="Tahoma" w:hAnsi="Tahoma" w:cs="Tahoma"/>
          <w:b/>
          <w:bCs/>
          <w:sz w:val="24"/>
          <w:szCs w:val="24"/>
        </w:rPr>
        <w:t>Zgodność projektu ustawy z prawem Unii Europejskiej albo oświadczenie, że przedmiot projektowanej regulacji nie jest objęty prawem Unii Europejskiej.</w:t>
      </w:r>
    </w:p>
    <w:p w:rsidR="00C6461E" w:rsidRPr="00FE18B2" w:rsidRDefault="00C6461E" w:rsidP="00FE18B2">
      <w:pPr>
        <w:pStyle w:val="Domylne"/>
        <w:spacing w:line="360" w:lineRule="auto"/>
        <w:rPr>
          <w:rFonts w:ascii="Tahoma" w:eastAsia="Times New Roman" w:hAnsi="Tahoma" w:cs="Tahoma"/>
          <w:sz w:val="24"/>
          <w:szCs w:val="24"/>
        </w:rPr>
      </w:pPr>
      <w:r w:rsidRPr="00FE18B2">
        <w:rPr>
          <w:rFonts w:ascii="Tahoma" w:hAnsi="Tahoma" w:cs="Tahoma"/>
          <w:sz w:val="24"/>
          <w:szCs w:val="24"/>
        </w:rPr>
        <w:t xml:space="preserve">Przedmiot projektowanej regulacji nie jest objęty prawem Unii Europejskiej. </w:t>
      </w:r>
    </w:p>
    <w:p w:rsidR="00C6461E" w:rsidRPr="00FE18B2" w:rsidRDefault="00C6461E" w:rsidP="00FE18B2">
      <w:pPr>
        <w:pStyle w:val="Domylne"/>
        <w:spacing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</w:p>
    <w:p w:rsidR="00C6461E" w:rsidRPr="00FE18B2" w:rsidRDefault="00C6461E" w:rsidP="00FE18B2">
      <w:pPr>
        <w:pStyle w:val="Domylne"/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p w:rsidR="007908FB" w:rsidRPr="00FE18B2" w:rsidRDefault="000D5D3D" w:rsidP="00FE18B2">
      <w:pPr>
        <w:spacing w:line="360" w:lineRule="auto"/>
        <w:rPr>
          <w:rFonts w:ascii="Tahoma" w:hAnsi="Tahoma" w:cs="Tahoma"/>
        </w:rPr>
      </w:pPr>
    </w:p>
    <w:sectPr w:rsidR="007908FB" w:rsidRPr="00FE18B2"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876" w:rsidRDefault="00686876" w:rsidP="00C6461E">
      <w:r>
        <w:separator/>
      </w:r>
    </w:p>
  </w:endnote>
  <w:endnote w:type="continuationSeparator" w:id="0">
    <w:p w:rsidR="00686876" w:rsidRDefault="00686876" w:rsidP="00C64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876" w:rsidRDefault="00686876" w:rsidP="00C6461E">
      <w:r>
        <w:separator/>
      </w:r>
    </w:p>
  </w:footnote>
  <w:footnote w:type="continuationSeparator" w:id="0">
    <w:p w:rsidR="00686876" w:rsidRDefault="00686876" w:rsidP="00C6461E">
      <w:r>
        <w:continuationSeparator/>
      </w:r>
    </w:p>
  </w:footnote>
  <w:footnote w:id="1">
    <w:p w:rsidR="00C6461E" w:rsidRPr="00760917" w:rsidRDefault="00C6461E" w:rsidP="00C6461E">
      <w:pPr>
        <w:rPr>
          <w:sz w:val="22"/>
          <w:szCs w:val="22"/>
        </w:rPr>
      </w:pPr>
      <w:r w:rsidRPr="00760917">
        <w:rPr>
          <w:rStyle w:val="Odwoanieprzypisudolnego"/>
          <w:sz w:val="22"/>
          <w:szCs w:val="22"/>
        </w:rPr>
        <w:footnoteRef/>
      </w:r>
      <w:r>
        <w:rPr>
          <w:sz w:val="22"/>
          <w:szCs w:val="22"/>
          <w:vertAlign w:val="superscript"/>
        </w:rPr>
        <w:t>)</w:t>
      </w:r>
      <w:r w:rsidRPr="00760917">
        <w:rPr>
          <w:sz w:val="22"/>
          <w:szCs w:val="22"/>
        </w:rPr>
        <w:t xml:space="preserve"> </w:t>
      </w:r>
      <w:proofErr w:type="spellStart"/>
      <w:r w:rsidRPr="00760917">
        <w:rPr>
          <w:color w:val="000000"/>
          <w:sz w:val="22"/>
          <w:szCs w:val="22"/>
        </w:rPr>
        <w:t>Zmiany</w:t>
      </w:r>
      <w:proofErr w:type="spellEnd"/>
      <w:r w:rsidRPr="00760917">
        <w:rPr>
          <w:color w:val="000000"/>
          <w:sz w:val="22"/>
          <w:szCs w:val="22"/>
        </w:rPr>
        <w:t xml:space="preserve"> </w:t>
      </w:r>
      <w:proofErr w:type="spellStart"/>
      <w:r w:rsidRPr="00760917">
        <w:rPr>
          <w:color w:val="000000"/>
          <w:sz w:val="22"/>
          <w:szCs w:val="22"/>
        </w:rPr>
        <w:t>tekstu</w:t>
      </w:r>
      <w:proofErr w:type="spellEnd"/>
      <w:r w:rsidRPr="00760917">
        <w:rPr>
          <w:color w:val="000000"/>
          <w:sz w:val="22"/>
          <w:szCs w:val="22"/>
        </w:rPr>
        <w:t xml:space="preserve"> </w:t>
      </w:r>
      <w:proofErr w:type="spellStart"/>
      <w:r w:rsidRPr="00760917">
        <w:rPr>
          <w:color w:val="000000"/>
          <w:sz w:val="22"/>
          <w:szCs w:val="22"/>
        </w:rPr>
        <w:t>jednolitego</w:t>
      </w:r>
      <w:proofErr w:type="spellEnd"/>
      <w:r w:rsidRPr="00760917">
        <w:rPr>
          <w:color w:val="000000"/>
          <w:sz w:val="22"/>
          <w:szCs w:val="22"/>
        </w:rPr>
        <w:t xml:space="preserve"> </w:t>
      </w:r>
      <w:proofErr w:type="spellStart"/>
      <w:r w:rsidRPr="00760917">
        <w:rPr>
          <w:color w:val="000000"/>
          <w:sz w:val="22"/>
          <w:szCs w:val="22"/>
        </w:rPr>
        <w:t>wymienionej</w:t>
      </w:r>
      <w:proofErr w:type="spellEnd"/>
      <w:r w:rsidRPr="00760917">
        <w:rPr>
          <w:color w:val="000000"/>
          <w:sz w:val="22"/>
          <w:szCs w:val="22"/>
        </w:rPr>
        <w:t xml:space="preserve"> </w:t>
      </w:r>
      <w:proofErr w:type="spellStart"/>
      <w:r w:rsidRPr="00760917">
        <w:rPr>
          <w:color w:val="000000"/>
          <w:sz w:val="22"/>
          <w:szCs w:val="22"/>
        </w:rPr>
        <w:t>ustawy</w:t>
      </w:r>
      <w:proofErr w:type="spellEnd"/>
      <w:r w:rsidRPr="00760917">
        <w:rPr>
          <w:color w:val="000000"/>
          <w:sz w:val="22"/>
          <w:szCs w:val="22"/>
        </w:rPr>
        <w:t xml:space="preserve"> </w:t>
      </w:r>
      <w:proofErr w:type="spellStart"/>
      <w:r w:rsidRPr="00760917">
        <w:rPr>
          <w:color w:val="000000"/>
          <w:sz w:val="22"/>
          <w:szCs w:val="22"/>
        </w:rPr>
        <w:t>ogłoszone</w:t>
      </w:r>
      <w:proofErr w:type="spellEnd"/>
      <w:r w:rsidRPr="00760917">
        <w:rPr>
          <w:color w:val="000000"/>
          <w:sz w:val="22"/>
          <w:szCs w:val="22"/>
        </w:rPr>
        <w:t xml:space="preserve"> </w:t>
      </w:r>
      <w:proofErr w:type="spellStart"/>
      <w:r w:rsidRPr="00760917">
        <w:rPr>
          <w:color w:val="000000"/>
          <w:sz w:val="22"/>
          <w:szCs w:val="22"/>
        </w:rPr>
        <w:t>zostały</w:t>
      </w:r>
      <w:proofErr w:type="spellEnd"/>
      <w:r w:rsidRPr="00760917">
        <w:rPr>
          <w:color w:val="000000"/>
          <w:sz w:val="22"/>
          <w:szCs w:val="22"/>
        </w:rPr>
        <w:t xml:space="preserve"> w Dz. U. z 2008 r. </w:t>
      </w:r>
      <w:proofErr w:type="spellStart"/>
      <w:r w:rsidR="00FE18B2">
        <w:rPr>
          <w:color w:val="000000"/>
          <w:sz w:val="22"/>
          <w:szCs w:val="22"/>
        </w:rPr>
        <w:t>poz</w:t>
      </w:r>
      <w:proofErr w:type="spellEnd"/>
      <w:r w:rsidR="00FE18B2">
        <w:rPr>
          <w:color w:val="000000"/>
          <w:sz w:val="22"/>
          <w:szCs w:val="22"/>
        </w:rPr>
        <w:t>. 1458, z 2009 r.</w:t>
      </w:r>
      <w:r w:rsidRPr="00760917">
        <w:rPr>
          <w:color w:val="000000"/>
          <w:sz w:val="22"/>
          <w:szCs w:val="22"/>
        </w:rPr>
        <w:t xml:space="preserve"> </w:t>
      </w:r>
      <w:proofErr w:type="spellStart"/>
      <w:r w:rsidRPr="00760917">
        <w:rPr>
          <w:color w:val="000000"/>
          <w:sz w:val="22"/>
          <w:szCs w:val="22"/>
        </w:rPr>
        <w:t>poz</w:t>
      </w:r>
      <w:proofErr w:type="spellEnd"/>
      <w:r w:rsidRPr="00760917">
        <w:rPr>
          <w:color w:val="000000"/>
          <w:sz w:val="22"/>
          <w:szCs w:val="22"/>
        </w:rPr>
        <w:t xml:space="preserve">. 1375, z 2010 r. </w:t>
      </w:r>
      <w:proofErr w:type="spellStart"/>
      <w:r w:rsidRPr="00760917">
        <w:rPr>
          <w:color w:val="000000"/>
          <w:sz w:val="22"/>
          <w:szCs w:val="22"/>
        </w:rPr>
        <w:t>poz</w:t>
      </w:r>
      <w:proofErr w:type="spellEnd"/>
      <w:r w:rsidRPr="00760917">
        <w:rPr>
          <w:color w:val="000000"/>
          <w:sz w:val="22"/>
          <w:szCs w:val="22"/>
        </w:rPr>
        <w:t xml:space="preserve">. 1228, </w:t>
      </w:r>
      <w:r w:rsidR="00FE18B2">
        <w:rPr>
          <w:color w:val="000000"/>
          <w:sz w:val="22"/>
          <w:szCs w:val="22"/>
        </w:rPr>
        <w:t xml:space="preserve"> z 2015 r. </w:t>
      </w:r>
      <w:proofErr w:type="spellStart"/>
      <w:r w:rsidR="00FE18B2">
        <w:rPr>
          <w:color w:val="000000"/>
          <w:sz w:val="22"/>
          <w:szCs w:val="22"/>
        </w:rPr>
        <w:t>poz</w:t>
      </w:r>
      <w:proofErr w:type="spellEnd"/>
      <w:r w:rsidR="00FE18B2">
        <w:rPr>
          <w:color w:val="000000"/>
          <w:sz w:val="22"/>
          <w:szCs w:val="22"/>
        </w:rPr>
        <w:t xml:space="preserve">. 1635 </w:t>
      </w:r>
      <w:proofErr w:type="spellStart"/>
      <w:r w:rsidR="00FE18B2">
        <w:rPr>
          <w:color w:val="000000"/>
          <w:sz w:val="22"/>
          <w:szCs w:val="22"/>
        </w:rPr>
        <w:t>oraz</w:t>
      </w:r>
      <w:proofErr w:type="spellEnd"/>
      <w:r w:rsidR="00FE18B2">
        <w:rPr>
          <w:color w:val="000000"/>
          <w:sz w:val="22"/>
          <w:szCs w:val="22"/>
        </w:rPr>
        <w:t xml:space="preserve">  z 2016 r. </w:t>
      </w:r>
      <w:proofErr w:type="spellStart"/>
      <w:r w:rsidR="00FE18B2">
        <w:rPr>
          <w:color w:val="000000"/>
          <w:sz w:val="22"/>
          <w:szCs w:val="22"/>
        </w:rPr>
        <w:t>poz</w:t>
      </w:r>
      <w:proofErr w:type="spellEnd"/>
      <w:r w:rsidR="00FE18B2">
        <w:rPr>
          <w:color w:val="000000"/>
          <w:sz w:val="22"/>
          <w:szCs w:val="22"/>
        </w:rPr>
        <w:t xml:space="preserve">. 1202. </w:t>
      </w:r>
    </w:p>
    <w:p w:rsidR="00C6461E" w:rsidRPr="00402EEE" w:rsidRDefault="00C6461E" w:rsidP="00C6461E">
      <w:pPr>
        <w:pStyle w:val="Tekstprzypisudolnego"/>
        <w:rPr>
          <w:lang w:val="pl-PL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C38E1"/>
    <w:multiLevelType w:val="hybridMultilevel"/>
    <w:tmpl w:val="B18CEC72"/>
    <w:styleLink w:val="Numery"/>
    <w:lvl w:ilvl="0" w:tplc="8126062E">
      <w:start w:val="1"/>
      <w:numFmt w:val="decimal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44F772">
      <w:start w:val="1"/>
      <w:numFmt w:val="decimal"/>
      <w:lvlText w:val="%2."/>
      <w:lvlJc w:val="left"/>
      <w:pPr>
        <w:ind w:left="7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21267A6">
      <w:start w:val="1"/>
      <w:numFmt w:val="decimal"/>
      <w:lvlText w:val="%3."/>
      <w:lvlJc w:val="left"/>
      <w:pPr>
        <w:ind w:left="11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28401A">
      <w:start w:val="1"/>
      <w:numFmt w:val="decimal"/>
      <w:lvlText w:val="%4."/>
      <w:lvlJc w:val="left"/>
      <w:pPr>
        <w:ind w:left="15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58BE66">
      <w:start w:val="1"/>
      <w:numFmt w:val="decimal"/>
      <w:lvlText w:val="%5."/>
      <w:lvlJc w:val="left"/>
      <w:pPr>
        <w:ind w:left="186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7A1EB8">
      <w:start w:val="1"/>
      <w:numFmt w:val="decimal"/>
      <w:lvlText w:val="%6."/>
      <w:lvlJc w:val="left"/>
      <w:pPr>
        <w:ind w:left="22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E4BAC2">
      <w:start w:val="1"/>
      <w:numFmt w:val="decimal"/>
      <w:lvlText w:val="%7."/>
      <w:lvlJc w:val="left"/>
      <w:pPr>
        <w:ind w:left="25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269C7C">
      <w:start w:val="1"/>
      <w:numFmt w:val="decimal"/>
      <w:lvlText w:val="%8."/>
      <w:lvlJc w:val="left"/>
      <w:pPr>
        <w:ind w:left="29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E67844">
      <w:start w:val="1"/>
      <w:numFmt w:val="decimal"/>
      <w:lvlText w:val="%9."/>
      <w:lvlJc w:val="left"/>
      <w:pPr>
        <w:ind w:left="33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7822B26"/>
    <w:multiLevelType w:val="hybridMultilevel"/>
    <w:tmpl w:val="B18CEC72"/>
    <w:numStyleLink w:val="Numery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1E"/>
    <w:rsid w:val="0002060C"/>
    <w:rsid w:val="00084470"/>
    <w:rsid w:val="000D5D3D"/>
    <w:rsid w:val="003D635B"/>
    <w:rsid w:val="004D3AAD"/>
    <w:rsid w:val="00591637"/>
    <w:rsid w:val="00626836"/>
    <w:rsid w:val="00686876"/>
    <w:rsid w:val="00805928"/>
    <w:rsid w:val="00814068"/>
    <w:rsid w:val="0094472C"/>
    <w:rsid w:val="00B46898"/>
    <w:rsid w:val="00BD6F23"/>
    <w:rsid w:val="00C12588"/>
    <w:rsid w:val="00C6410B"/>
    <w:rsid w:val="00C6461E"/>
    <w:rsid w:val="00E104E4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C6461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C6461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pl-PL"/>
    </w:rPr>
  </w:style>
  <w:style w:type="paragraph" w:customStyle="1" w:styleId="Domylne">
    <w:name w:val="Domyślne"/>
    <w:rsid w:val="00C6461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pl-PL"/>
    </w:rPr>
  </w:style>
  <w:style w:type="numbering" w:customStyle="1" w:styleId="Numery">
    <w:name w:val="Numery"/>
    <w:rsid w:val="00C6461E"/>
    <w:pPr>
      <w:numPr>
        <w:numId w:val="1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461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461E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461E"/>
    <w:rPr>
      <w:vertAlign w:val="superscript"/>
    </w:rPr>
  </w:style>
  <w:style w:type="character" w:customStyle="1" w:styleId="apple-converted-space">
    <w:name w:val="apple-converted-space"/>
    <w:basedOn w:val="Domylnaczcionkaakapitu"/>
    <w:rsid w:val="00C6461E"/>
  </w:style>
  <w:style w:type="paragraph" w:styleId="Akapitzlist">
    <w:name w:val="List Paragraph"/>
    <w:basedOn w:val="Normalny"/>
    <w:uiPriority w:val="34"/>
    <w:qFormat/>
    <w:rsid w:val="00C646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C6461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C6461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pl-PL"/>
    </w:rPr>
  </w:style>
  <w:style w:type="paragraph" w:customStyle="1" w:styleId="Domylne">
    <w:name w:val="Domyślne"/>
    <w:rsid w:val="00C6461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pl-PL"/>
    </w:rPr>
  </w:style>
  <w:style w:type="numbering" w:customStyle="1" w:styleId="Numery">
    <w:name w:val="Numery"/>
    <w:rsid w:val="00C6461E"/>
    <w:pPr>
      <w:numPr>
        <w:numId w:val="1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461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461E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461E"/>
    <w:rPr>
      <w:vertAlign w:val="superscript"/>
    </w:rPr>
  </w:style>
  <w:style w:type="character" w:customStyle="1" w:styleId="apple-converted-space">
    <w:name w:val="apple-converted-space"/>
    <w:basedOn w:val="Domylnaczcionkaakapitu"/>
    <w:rsid w:val="00C6461E"/>
  </w:style>
  <w:style w:type="paragraph" w:styleId="Akapitzlist">
    <w:name w:val="List Paragraph"/>
    <w:basedOn w:val="Normalny"/>
    <w:uiPriority w:val="34"/>
    <w:qFormat/>
    <w:rsid w:val="00C64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Ewa A. Genert</cp:lastModifiedBy>
  <cp:revision>2</cp:revision>
  <dcterms:created xsi:type="dcterms:W3CDTF">2017-03-24T13:16:00Z</dcterms:created>
  <dcterms:modified xsi:type="dcterms:W3CDTF">2017-03-24T13:16:00Z</dcterms:modified>
</cp:coreProperties>
</file>