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303" w:rsidRPr="003C0303" w:rsidRDefault="003C0303" w:rsidP="003C0303">
      <w:pPr>
        <w:jc w:val="center"/>
        <w:rPr>
          <w:rFonts w:ascii="Times New Roman" w:hAnsi="Times New Roman" w:cs="Times New Roman"/>
          <w:sz w:val="24"/>
          <w:szCs w:val="24"/>
        </w:rPr>
      </w:pPr>
      <w:bookmarkStart w:id="0" w:name="_GoBack"/>
      <w:bookmarkEnd w:id="0"/>
      <w:r w:rsidRPr="003C0303">
        <w:rPr>
          <w:rFonts w:ascii="Times New Roman" w:hAnsi="Times New Roman" w:cs="Times New Roman"/>
          <w:sz w:val="24"/>
          <w:szCs w:val="24"/>
        </w:rPr>
        <w:t>UZASADNIENIE</w:t>
      </w:r>
    </w:p>
    <w:p w:rsidR="003C0303" w:rsidRPr="003C0303" w:rsidRDefault="003C0303" w:rsidP="003C0303">
      <w:pPr>
        <w:jc w:val="both"/>
        <w:rPr>
          <w:rFonts w:ascii="Times New Roman" w:hAnsi="Times New Roman" w:cs="Times New Roman"/>
          <w:sz w:val="24"/>
          <w:szCs w:val="24"/>
        </w:rPr>
      </w:pPr>
    </w:p>
    <w:p w:rsidR="003C0303" w:rsidRPr="003C0303" w:rsidRDefault="003C0303" w:rsidP="003C0303">
      <w:pPr>
        <w:spacing w:after="0" w:line="360" w:lineRule="auto"/>
        <w:jc w:val="both"/>
        <w:rPr>
          <w:rFonts w:ascii="Times New Roman" w:hAnsi="Times New Roman" w:cs="Times New Roman"/>
          <w:sz w:val="24"/>
          <w:szCs w:val="24"/>
        </w:rPr>
      </w:pPr>
      <w:r w:rsidRPr="003C0303">
        <w:rPr>
          <w:rFonts w:ascii="Times New Roman" w:hAnsi="Times New Roman" w:cs="Times New Roman"/>
          <w:sz w:val="24"/>
          <w:szCs w:val="24"/>
        </w:rPr>
        <w:t xml:space="preserve">Projekt ustawy o zmianie ustawy o finansowaniu wspólnej polityki rolnej </w:t>
      </w:r>
      <w:r>
        <w:rPr>
          <w:rFonts w:ascii="Times New Roman" w:hAnsi="Times New Roman" w:cs="Times New Roman"/>
          <w:sz w:val="24"/>
          <w:szCs w:val="24"/>
        </w:rPr>
        <w:t xml:space="preserve">wynika z potrzeby umożliwienia </w:t>
      </w:r>
      <w:r w:rsidRPr="003C0303">
        <w:rPr>
          <w:rFonts w:ascii="Times New Roman" w:hAnsi="Times New Roman" w:cs="Times New Roman"/>
          <w:sz w:val="24"/>
          <w:szCs w:val="24"/>
        </w:rPr>
        <w:t>planowania wydatków z budżetu państwa na wyprzedzające finansowanie dla jednostek samorządu terytorialnego i organów administracji rządowej, które prowadzą szkoły rolnicze, na realizac</w:t>
      </w:r>
      <w:r>
        <w:rPr>
          <w:rFonts w:ascii="Times New Roman" w:hAnsi="Times New Roman" w:cs="Times New Roman"/>
          <w:sz w:val="24"/>
          <w:szCs w:val="24"/>
        </w:rPr>
        <w:t xml:space="preserve">ję operacji w ramach działania </w:t>
      </w:r>
      <w:r w:rsidRPr="003C0303">
        <w:rPr>
          <w:rFonts w:ascii="Times New Roman" w:hAnsi="Times New Roman" w:cs="Times New Roman"/>
          <w:sz w:val="24"/>
          <w:szCs w:val="24"/>
        </w:rPr>
        <w:t xml:space="preserve">transfer wiedzy i działalność informacyjna, objętego PROW 2014–2020. W ramach ww. działania o pomoc mogą ubiegać się następujące podmioty: </w:t>
      </w:r>
    </w:p>
    <w:p w:rsidR="003C0303" w:rsidRPr="003C0303" w:rsidRDefault="003C0303" w:rsidP="003C0303">
      <w:pPr>
        <w:spacing w:after="0" w:line="360" w:lineRule="auto"/>
        <w:jc w:val="both"/>
        <w:rPr>
          <w:rFonts w:ascii="Times New Roman" w:hAnsi="Times New Roman" w:cs="Times New Roman"/>
          <w:sz w:val="24"/>
          <w:szCs w:val="24"/>
        </w:rPr>
      </w:pPr>
      <w:r w:rsidRPr="003C0303">
        <w:rPr>
          <w:rFonts w:ascii="Times New Roman" w:hAnsi="Times New Roman" w:cs="Times New Roman"/>
          <w:sz w:val="24"/>
          <w:szCs w:val="24"/>
        </w:rPr>
        <w:t xml:space="preserve">1) jednostki naukowe i uczelnie; </w:t>
      </w:r>
    </w:p>
    <w:p w:rsidR="003C0303" w:rsidRPr="003C0303" w:rsidRDefault="003C0303" w:rsidP="003C0303">
      <w:pPr>
        <w:spacing w:after="0" w:line="360" w:lineRule="auto"/>
        <w:ind w:left="284" w:hanging="284"/>
        <w:jc w:val="both"/>
        <w:rPr>
          <w:rFonts w:ascii="Times New Roman" w:hAnsi="Times New Roman" w:cs="Times New Roman"/>
          <w:sz w:val="24"/>
          <w:szCs w:val="24"/>
        </w:rPr>
      </w:pPr>
      <w:r w:rsidRPr="003C0303">
        <w:rPr>
          <w:rFonts w:ascii="Times New Roman" w:hAnsi="Times New Roman" w:cs="Times New Roman"/>
          <w:sz w:val="24"/>
          <w:szCs w:val="24"/>
        </w:rPr>
        <w:t>2) publiczne podmioty doradcze, tj. wojewódzkie ośrodk</w:t>
      </w:r>
      <w:r>
        <w:rPr>
          <w:rFonts w:ascii="Times New Roman" w:hAnsi="Times New Roman" w:cs="Times New Roman"/>
          <w:sz w:val="24"/>
          <w:szCs w:val="24"/>
        </w:rPr>
        <w:t xml:space="preserve">i doradztwa rolniczego, Centrum </w:t>
      </w:r>
      <w:r w:rsidRPr="003C0303">
        <w:rPr>
          <w:rFonts w:ascii="Times New Roman" w:hAnsi="Times New Roman" w:cs="Times New Roman"/>
          <w:sz w:val="24"/>
          <w:szCs w:val="24"/>
        </w:rPr>
        <w:t xml:space="preserve">Doradztwa Rolniczego i izby rolnicze; </w:t>
      </w:r>
    </w:p>
    <w:p w:rsidR="003C0303" w:rsidRPr="003C0303" w:rsidRDefault="003C0303" w:rsidP="003C0303">
      <w:pPr>
        <w:spacing w:after="0" w:line="360" w:lineRule="auto"/>
        <w:ind w:left="284" w:hanging="284"/>
        <w:jc w:val="both"/>
        <w:rPr>
          <w:rFonts w:ascii="Times New Roman" w:hAnsi="Times New Roman" w:cs="Times New Roman"/>
          <w:sz w:val="24"/>
          <w:szCs w:val="24"/>
        </w:rPr>
      </w:pPr>
      <w:r w:rsidRPr="003C0303">
        <w:rPr>
          <w:rFonts w:ascii="Times New Roman" w:hAnsi="Times New Roman" w:cs="Times New Roman"/>
          <w:sz w:val="24"/>
          <w:szCs w:val="24"/>
        </w:rPr>
        <w:t>3) jednostki samorządu terytorialnego lub organy administr</w:t>
      </w:r>
      <w:r>
        <w:rPr>
          <w:rFonts w:ascii="Times New Roman" w:hAnsi="Times New Roman" w:cs="Times New Roman"/>
          <w:sz w:val="24"/>
          <w:szCs w:val="24"/>
        </w:rPr>
        <w:t xml:space="preserve">acji rządowej prowadzące szkoły </w:t>
      </w:r>
      <w:r w:rsidRPr="003C0303">
        <w:rPr>
          <w:rFonts w:ascii="Times New Roman" w:hAnsi="Times New Roman" w:cs="Times New Roman"/>
          <w:sz w:val="24"/>
          <w:szCs w:val="24"/>
        </w:rPr>
        <w:t xml:space="preserve">rolnicze lub szkoły leśne, lub centra kształcenia ustawicznego, lub centra kształcenia praktycznego; </w:t>
      </w:r>
    </w:p>
    <w:p w:rsidR="003C0303" w:rsidRPr="003C0303" w:rsidRDefault="003C0303" w:rsidP="003C0303">
      <w:pPr>
        <w:spacing w:after="0" w:line="360" w:lineRule="auto"/>
        <w:jc w:val="both"/>
        <w:rPr>
          <w:rFonts w:ascii="Times New Roman" w:hAnsi="Times New Roman" w:cs="Times New Roman"/>
          <w:sz w:val="24"/>
          <w:szCs w:val="24"/>
        </w:rPr>
      </w:pPr>
      <w:r w:rsidRPr="003C0303">
        <w:rPr>
          <w:rFonts w:ascii="Times New Roman" w:hAnsi="Times New Roman" w:cs="Times New Roman"/>
          <w:sz w:val="24"/>
          <w:szCs w:val="24"/>
        </w:rPr>
        <w:t xml:space="preserve">4) inne podmioty prowadzące działalność szkoleniową; </w:t>
      </w:r>
    </w:p>
    <w:p w:rsidR="003C0303" w:rsidRPr="003C0303" w:rsidRDefault="003C0303" w:rsidP="003C0303">
      <w:pPr>
        <w:spacing w:after="0" w:line="360" w:lineRule="auto"/>
        <w:jc w:val="both"/>
        <w:rPr>
          <w:rFonts w:ascii="Times New Roman" w:hAnsi="Times New Roman" w:cs="Times New Roman"/>
          <w:sz w:val="24"/>
          <w:szCs w:val="24"/>
        </w:rPr>
      </w:pPr>
      <w:r w:rsidRPr="003C0303">
        <w:rPr>
          <w:rFonts w:ascii="Times New Roman" w:hAnsi="Times New Roman" w:cs="Times New Roman"/>
          <w:sz w:val="24"/>
          <w:szCs w:val="24"/>
        </w:rPr>
        <w:t xml:space="preserve">5) konsorcja tworzone przez podmioty wymienione w pkt 1–4 . </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Propozycja umożliwienia w projekcie ustawy otrzymania środków z budżetu państwa przez państwowe i samorządowe jednostki budżetowe realizujące operacje w ramach działania transfer wiedzy i działalno</w:t>
      </w:r>
      <w:r>
        <w:rPr>
          <w:rFonts w:ascii="Times New Roman" w:hAnsi="Times New Roman" w:cs="Times New Roman"/>
          <w:sz w:val="24"/>
          <w:szCs w:val="24"/>
        </w:rPr>
        <w:t xml:space="preserve">ść informacyjna, objętego PROW </w:t>
      </w:r>
      <w:r w:rsidRPr="003C0303">
        <w:rPr>
          <w:rFonts w:ascii="Times New Roman" w:hAnsi="Times New Roman" w:cs="Times New Roman"/>
          <w:sz w:val="24"/>
          <w:szCs w:val="24"/>
        </w:rPr>
        <w:t xml:space="preserve">2014–2020, nie rozszerza listy jednostek realizujących operacje w ramach przedmiotowego działania. </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Wsparcie w ramach ww. działania będzie realizowane przez poddziałania:</w:t>
      </w:r>
    </w:p>
    <w:p w:rsidR="003C0303" w:rsidRPr="003C0303" w:rsidRDefault="003C0303" w:rsidP="003C0303">
      <w:pPr>
        <w:spacing w:after="0" w:line="360" w:lineRule="auto"/>
        <w:jc w:val="both"/>
        <w:rPr>
          <w:rFonts w:ascii="Times New Roman" w:hAnsi="Times New Roman" w:cs="Times New Roman"/>
          <w:sz w:val="24"/>
          <w:szCs w:val="24"/>
        </w:rPr>
      </w:pPr>
      <w:r w:rsidRPr="003C0303">
        <w:rPr>
          <w:rFonts w:ascii="Times New Roman" w:hAnsi="Times New Roman" w:cs="Times New Roman"/>
          <w:sz w:val="24"/>
          <w:szCs w:val="24"/>
        </w:rPr>
        <w:t>1) wsparcie dla działań w zakresie kształcenia zawodowego i nabywania umiejętności oraz</w:t>
      </w:r>
    </w:p>
    <w:p w:rsidR="003C0303" w:rsidRPr="003C0303" w:rsidRDefault="003C0303" w:rsidP="003C0303">
      <w:pPr>
        <w:spacing w:after="0" w:line="360" w:lineRule="auto"/>
        <w:jc w:val="both"/>
        <w:rPr>
          <w:rFonts w:ascii="Times New Roman" w:hAnsi="Times New Roman" w:cs="Times New Roman"/>
          <w:sz w:val="24"/>
          <w:szCs w:val="24"/>
        </w:rPr>
      </w:pPr>
      <w:r w:rsidRPr="003C0303">
        <w:rPr>
          <w:rFonts w:ascii="Times New Roman" w:hAnsi="Times New Roman" w:cs="Times New Roman"/>
          <w:sz w:val="24"/>
          <w:szCs w:val="24"/>
        </w:rPr>
        <w:t>2) wsparcie dla projektów demonstracyjnych i działań informacyjnych.</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Zgodnie z projektowanymi przepisami dotyczącymi udzielania wsparcia finansowego w</w:t>
      </w:r>
      <w:r>
        <w:rPr>
          <w:rFonts w:ascii="Times New Roman" w:hAnsi="Times New Roman" w:cs="Times New Roman"/>
          <w:sz w:val="24"/>
          <w:szCs w:val="24"/>
        </w:rPr>
        <w:t> </w:t>
      </w:r>
      <w:r w:rsidRPr="003C0303">
        <w:rPr>
          <w:rFonts w:ascii="Times New Roman" w:hAnsi="Times New Roman" w:cs="Times New Roman"/>
          <w:sz w:val="24"/>
          <w:szCs w:val="24"/>
        </w:rPr>
        <w:t xml:space="preserve">ramach działania transfer wiedzy i działalność informacyjna, objętego PROW 2014–2020, przewiduje się, że w ramach poddziałania wsparcie dla działań w zakresie kształcenia zawodowego i nabywanie umiejętności, pomoc będzie udzielana na operacje szkoleniowe ukierunkowane na rozwój wiedzy i umiejętności zawodowych rolników lub właścicieli lasów w zakresie związanym z prowadzeniem działalności rolniczej oraz leśnictwem. Działania szkoleniowe będą mogły obejmować w szczególności tematykę związaną z: zarządzaniem, technologią i organizacją produkcji w gospodarstwie, w tym produkcji ekologicznej, bezpieczeństwem pracy, marketingiem, rachunkowością, ubezpieczeniami w gospodarstwie, korzystaniem z instrumentów finansowych, ochroną środowiska i klimatem (w tym </w:t>
      </w:r>
      <w:r w:rsidRPr="003C0303">
        <w:rPr>
          <w:rFonts w:ascii="Times New Roman" w:hAnsi="Times New Roman" w:cs="Times New Roman"/>
          <w:sz w:val="24"/>
          <w:szCs w:val="24"/>
        </w:rPr>
        <w:lastRenderedPageBreak/>
        <w:t>wykorzystywaniem odnawialnych źródeł energii), wykorzystaniem technologii informacyjnych i komunikacyjnych, spółdzielczością, tworzeniem i funkcjonowaniem grup producentów, skracaniem łańcucha żywnościowego. Operacje szkoleniowe w ramach tego poddziałania będą prowadzone w formie kursów, szkoleń lub warsztatów.</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W ramach poddziałania wsparcie dla projektów demonstracyjnych i działań informacyjnych pomoc będzie udzielana na demonstracje służące promowaniu i</w:t>
      </w:r>
      <w:r w:rsidR="00ED6F35">
        <w:rPr>
          <w:rFonts w:ascii="Times New Roman" w:hAnsi="Times New Roman" w:cs="Times New Roman"/>
          <w:sz w:val="24"/>
          <w:szCs w:val="24"/>
        </w:rPr>
        <w:t> </w:t>
      </w:r>
      <w:r w:rsidRPr="003C0303">
        <w:rPr>
          <w:rFonts w:ascii="Times New Roman" w:hAnsi="Times New Roman" w:cs="Times New Roman"/>
          <w:sz w:val="24"/>
          <w:szCs w:val="24"/>
        </w:rPr>
        <w:t>upowszechnianiu innowacyjnych rozwiązań i dobrych praktyk, przez umożliwienie ostatecznym odbiorcom (rolnikom lub właścicielom lasów) praktycznego zapoznania się z</w:t>
      </w:r>
      <w:r w:rsidR="00ED6F35">
        <w:rPr>
          <w:rFonts w:ascii="Times New Roman" w:hAnsi="Times New Roman" w:cs="Times New Roman"/>
          <w:sz w:val="24"/>
          <w:szCs w:val="24"/>
        </w:rPr>
        <w:t> </w:t>
      </w:r>
      <w:r w:rsidRPr="003C0303">
        <w:rPr>
          <w:rFonts w:ascii="Times New Roman" w:hAnsi="Times New Roman" w:cs="Times New Roman"/>
          <w:sz w:val="24"/>
          <w:szCs w:val="24"/>
        </w:rPr>
        <w:t>rozwiązaniami, które zostały już przetestowane i są możliwe do stosowania w sektorach produkcji rolnej, leśnej lub w przetwórstwie rolno-spożywczym. Projekty demonstracyjne będą mogły dotyczyć w</w:t>
      </w:r>
      <w:r w:rsidR="00043919">
        <w:rPr>
          <w:rFonts w:ascii="Times New Roman" w:hAnsi="Times New Roman" w:cs="Times New Roman"/>
          <w:sz w:val="24"/>
          <w:szCs w:val="24"/>
        </w:rPr>
        <w:t xml:space="preserve"> </w:t>
      </w:r>
      <w:r w:rsidRPr="003C0303">
        <w:rPr>
          <w:rFonts w:ascii="Times New Roman" w:hAnsi="Times New Roman" w:cs="Times New Roman"/>
          <w:sz w:val="24"/>
          <w:szCs w:val="24"/>
        </w:rPr>
        <w:t>szczególności technologii i organizacji produkcji, przetwarzania produktów rolnych wytwarzanych w gospodarstwie oraz rozwiązań związanych z ochroną środowiska i</w:t>
      </w:r>
      <w:r>
        <w:rPr>
          <w:rFonts w:ascii="Times New Roman" w:hAnsi="Times New Roman" w:cs="Times New Roman"/>
          <w:sz w:val="24"/>
          <w:szCs w:val="24"/>
        </w:rPr>
        <w:t> </w:t>
      </w:r>
      <w:r w:rsidRPr="003C0303">
        <w:rPr>
          <w:rFonts w:ascii="Times New Roman" w:hAnsi="Times New Roman" w:cs="Times New Roman"/>
          <w:sz w:val="24"/>
          <w:szCs w:val="24"/>
        </w:rPr>
        <w:t>klimatem. Operacje w ramach tego poddziałania będą realizowane przez organizowanie demonstracji</w:t>
      </w:r>
      <w:r w:rsidR="00043919">
        <w:rPr>
          <w:rFonts w:ascii="Times New Roman" w:hAnsi="Times New Roman" w:cs="Times New Roman"/>
          <w:sz w:val="24"/>
          <w:szCs w:val="24"/>
        </w:rPr>
        <w:t>,</w:t>
      </w:r>
      <w:r w:rsidRPr="003C0303">
        <w:rPr>
          <w:rFonts w:ascii="Times New Roman" w:hAnsi="Times New Roman" w:cs="Times New Roman"/>
          <w:sz w:val="24"/>
          <w:szCs w:val="24"/>
        </w:rPr>
        <w:t xml:space="preserve"> tj. praktycznych sesji szkoleniow</w:t>
      </w:r>
      <w:r w:rsidR="00ED6F35">
        <w:rPr>
          <w:rFonts w:ascii="Times New Roman" w:hAnsi="Times New Roman" w:cs="Times New Roman"/>
          <w:sz w:val="24"/>
          <w:szCs w:val="24"/>
        </w:rPr>
        <w:t>ych o charakterze propagatorsko</w:t>
      </w:r>
      <w:r>
        <w:rPr>
          <w:rFonts w:ascii="Times New Roman" w:hAnsi="Times New Roman" w:cs="Times New Roman"/>
          <w:sz w:val="24"/>
          <w:szCs w:val="24"/>
        </w:rPr>
        <w:t>-</w:t>
      </w:r>
      <w:r w:rsidRPr="003C0303">
        <w:rPr>
          <w:rFonts w:ascii="Times New Roman" w:hAnsi="Times New Roman" w:cs="Times New Roman"/>
          <w:sz w:val="24"/>
          <w:szCs w:val="24"/>
        </w:rPr>
        <w:t>szkoleniowym. W ramach demonstracji możliwe jest ponoszenie kosztów inwestycyjnych w</w:t>
      </w:r>
      <w:r w:rsidR="003F718A">
        <w:rPr>
          <w:rFonts w:ascii="Times New Roman" w:hAnsi="Times New Roman" w:cs="Times New Roman"/>
          <w:sz w:val="24"/>
          <w:szCs w:val="24"/>
        </w:rPr>
        <w:t xml:space="preserve"> </w:t>
      </w:r>
      <w:r w:rsidRPr="003C0303">
        <w:rPr>
          <w:rFonts w:ascii="Times New Roman" w:hAnsi="Times New Roman" w:cs="Times New Roman"/>
          <w:sz w:val="24"/>
          <w:szCs w:val="24"/>
        </w:rPr>
        <w:t xml:space="preserve">związku z dostosowaniem obiektów demonstracyjnych do prowadzenia zajęć praktycznych. </w:t>
      </w:r>
    </w:p>
    <w:p w:rsidR="003C0303" w:rsidRPr="003C0303" w:rsidRDefault="003C0303" w:rsidP="003C0303">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 xml:space="preserve">Wybór beneficjentów w ramach działania transfer wiedzy i działalność informacyjna będzie następował w drodze konkursów na przygotowanie i realizację operacji szkoleniowych, które będą ogłaszane odrębnie dla każdego z poddziałań, z uwzględnieniem zasad równego traktowania, uczciwej konkurencji i przejrzystości. </w:t>
      </w:r>
    </w:p>
    <w:p w:rsidR="003C0303" w:rsidRPr="003C0303" w:rsidRDefault="003C0303" w:rsidP="003C0303">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Oferty składane przez wnioskodawców będą konkurować między sobą w ramach jednolitych, z góry nakreślonych warunków przyznania pomocy oraz warunków konkursów. Warunki przyznania pomocy oraz kryteria wyboru operacji w ramach działania transfer wiedzy i</w:t>
      </w:r>
      <w:r w:rsidR="00043919">
        <w:rPr>
          <w:rFonts w:ascii="Times New Roman" w:hAnsi="Times New Roman" w:cs="Times New Roman"/>
          <w:sz w:val="24"/>
          <w:szCs w:val="24"/>
        </w:rPr>
        <w:t xml:space="preserve"> </w:t>
      </w:r>
      <w:r w:rsidRPr="003C0303">
        <w:rPr>
          <w:rFonts w:ascii="Times New Roman" w:hAnsi="Times New Roman" w:cs="Times New Roman"/>
          <w:sz w:val="24"/>
          <w:szCs w:val="24"/>
        </w:rPr>
        <w:t>działalność informacyjna zostaną określone w przepisach wydanych na podstawie art. 45 ustawy z dnia 20 lutego 2015 r. o wspieraniu rozwoju obszarów wiejskich z udziałem środków Europejskiego Funduszu Rolnego na rzecz Rozwoju Obszarów Wiejskich w ramach Programu Rozwoju Obszarów Wiejskich na lata 2014–2020 (Dz. U. z 2017 r. poz. 562, z</w:t>
      </w:r>
      <w:r>
        <w:rPr>
          <w:rFonts w:ascii="Times New Roman" w:hAnsi="Times New Roman" w:cs="Times New Roman"/>
          <w:sz w:val="24"/>
          <w:szCs w:val="24"/>
        </w:rPr>
        <w:t> późn. </w:t>
      </w:r>
      <w:r w:rsidRPr="003C0303">
        <w:rPr>
          <w:rFonts w:ascii="Times New Roman" w:hAnsi="Times New Roman" w:cs="Times New Roman"/>
          <w:sz w:val="24"/>
          <w:szCs w:val="24"/>
        </w:rPr>
        <w:t xml:space="preserve">zm.). Zgodnie z PROW 2014–2020, szczegółowe zasady i warunki konkursów będą ustalane w zależności od ich celu, tematyki i grupy docelowej uczestników. Będą one sprecyzowane w ogłoszeniu </w:t>
      </w:r>
      <w:r w:rsidR="00F43000">
        <w:rPr>
          <w:rFonts w:ascii="Times New Roman" w:hAnsi="Times New Roman" w:cs="Times New Roman"/>
          <w:sz w:val="24"/>
          <w:szCs w:val="24"/>
        </w:rPr>
        <w:t>o naborze wniosków na realizację</w:t>
      </w:r>
      <w:r w:rsidRPr="003C0303">
        <w:rPr>
          <w:rFonts w:ascii="Times New Roman" w:hAnsi="Times New Roman" w:cs="Times New Roman"/>
          <w:sz w:val="24"/>
          <w:szCs w:val="24"/>
        </w:rPr>
        <w:t xml:space="preserve"> poszczególnych operacji. </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 xml:space="preserve">Kryteria wyboru operacji będą obejmować kryteria jakościowe i koszty realizacji operacji. Kryteria wyboru instytucji szkoleniowej mają na celu wyłonienie podmiotu spełniającego możliwie w najszerszym stopniu wymagania Instytucji Zarządzającej PROW </w:t>
      </w:r>
      <w:r w:rsidRPr="003C0303">
        <w:rPr>
          <w:rFonts w:ascii="Times New Roman" w:hAnsi="Times New Roman" w:cs="Times New Roman"/>
          <w:sz w:val="24"/>
          <w:szCs w:val="24"/>
        </w:rPr>
        <w:lastRenderedPageBreak/>
        <w:t xml:space="preserve">2014–2020 do przeprowadzenia operacji szkoleniowej w taki sposób, aby zapewnić najwyższą jakość przy najbardziej konkurencyjnej cenie. Podmiot ubiegający się o przyznanie pomocy w ramach danego konkursu, który uzyska najwyższą liczbę punktów w konkursie, będzie beneficjentem działania i będzie z nim zawierana umowa o przyznanie pomocy. </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Obecnie obowiązujące przepisy art. 13 zmienianej ustawy, zgodnie z którymi jednostki samorządu terytorialnego mogą otrzymać z budżetu państwa środki na wyprzedzające finansowanie kosztów kwalifikowalnych ponoszonych na realizację operacji w ramach m.in. działania transfer wiedzy i działalność informacyjna w formie oprocentowanej pożyczki udzielonej przez Bank Gospodarstwa K</w:t>
      </w:r>
      <w:r>
        <w:rPr>
          <w:rFonts w:ascii="Times New Roman" w:hAnsi="Times New Roman" w:cs="Times New Roman"/>
          <w:sz w:val="24"/>
          <w:szCs w:val="24"/>
        </w:rPr>
        <w:t xml:space="preserve">rajowego, są niewystarczające. </w:t>
      </w:r>
      <w:r w:rsidRPr="003C0303">
        <w:rPr>
          <w:rFonts w:ascii="Times New Roman" w:hAnsi="Times New Roman" w:cs="Times New Roman"/>
          <w:sz w:val="24"/>
          <w:szCs w:val="24"/>
        </w:rPr>
        <w:t>Szkoły rolnicze funkcjonujące jako samorządowe albo państwowe jednostki budżetowe nie mają możliwości ubiegania się o taką pożyczkę. Proponowana zmiana w art. 23 w ust. 1 pozwoli na planowanie w budżetach jednostek samorządu terytorialnego i budżecie Ministra Rolnictwa i Rozwoju Wsi wydatków budżetowych na wyprzedzające finansowanie kosztów realizacji operacji w</w:t>
      </w:r>
      <w:r>
        <w:rPr>
          <w:rFonts w:ascii="Times New Roman" w:hAnsi="Times New Roman" w:cs="Times New Roman"/>
          <w:sz w:val="24"/>
          <w:szCs w:val="24"/>
        </w:rPr>
        <w:t> </w:t>
      </w:r>
      <w:r w:rsidRPr="003C0303">
        <w:rPr>
          <w:rFonts w:ascii="Times New Roman" w:hAnsi="Times New Roman" w:cs="Times New Roman"/>
          <w:sz w:val="24"/>
          <w:szCs w:val="24"/>
        </w:rPr>
        <w:t>ramach przedmiotowego działania i umożliwi właściwą realizację tych operacji przez szkoły rolnicze.</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W trakcie opracowywania i uzgadniania treści Programu Rozwoju Obszarów Wiejskich na lata 2014–2020 zgłoszone zostały zastrzeżenia do pierwotnie zaproponowanego zapisu, tj. określenia jednego z potencjalnych beneficjentów działania „Transfer wiedzy i działalność informacyjna”. Zastrzeżenia dotyczyły sformułowania „szkoły rolnicze lub szkoły leśne, lub centra kształcenia ustawicznego, lub centra kształcenia praktycznego prowadzone przez JST lub ograny administracji rządowej”.</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W świetle prawa szkoły nie mają osobowości prawnej ani zdolności prawne</w:t>
      </w:r>
      <w:r w:rsidR="00ED6F35">
        <w:rPr>
          <w:rFonts w:ascii="Times New Roman" w:hAnsi="Times New Roman" w:cs="Times New Roman"/>
          <w:sz w:val="24"/>
          <w:szCs w:val="24"/>
        </w:rPr>
        <w:t xml:space="preserve">j i nie mogą być stroną umowy. </w:t>
      </w:r>
      <w:r w:rsidRPr="003C0303">
        <w:rPr>
          <w:rFonts w:ascii="Times New Roman" w:hAnsi="Times New Roman" w:cs="Times New Roman"/>
          <w:sz w:val="24"/>
          <w:szCs w:val="24"/>
        </w:rPr>
        <w:t>Należało zatem tak przeformułować powyższe zapisy, aby wskazać w</w:t>
      </w:r>
      <w:r w:rsidR="00ED6F35">
        <w:rPr>
          <w:rFonts w:ascii="Times New Roman" w:hAnsi="Times New Roman" w:cs="Times New Roman"/>
          <w:sz w:val="24"/>
          <w:szCs w:val="24"/>
        </w:rPr>
        <w:t> </w:t>
      </w:r>
      <w:r w:rsidRPr="003C0303">
        <w:rPr>
          <w:rFonts w:ascii="Times New Roman" w:hAnsi="Times New Roman" w:cs="Times New Roman"/>
          <w:sz w:val="24"/>
          <w:szCs w:val="24"/>
        </w:rPr>
        <w:t>katalogu potencjalnych beneficjentów podmioty – ograny, które będą mogły być beneficjentem działania, czyli stroną umowy.</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Zgodnie z ustawą z dnia 7 września 1991 r. o systemie oświaty (Dz. U. z 2016 r. poz. 1943, z</w:t>
      </w:r>
      <w:r>
        <w:rPr>
          <w:rFonts w:ascii="Times New Roman" w:hAnsi="Times New Roman" w:cs="Times New Roman"/>
          <w:sz w:val="24"/>
          <w:szCs w:val="24"/>
        </w:rPr>
        <w:t> późn. </w:t>
      </w:r>
      <w:r w:rsidRPr="003C0303">
        <w:rPr>
          <w:rFonts w:ascii="Times New Roman" w:hAnsi="Times New Roman" w:cs="Times New Roman"/>
          <w:sz w:val="24"/>
          <w:szCs w:val="24"/>
        </w:rPr>
        <w:t>zm) szkoły są prowadzone przez organy, tj. ministra, jednostkę samorządu terytorialnego, inne osoby prawne i fizyczne. Stąd w PROW 2014–2020 w działaniu „Transfer wiedzy i działalność informacyjna” jednym z potencjalnych beneficjentów są jednostki samorządu terytorialnego lub organy administracji rządowej prowadzące szkoły rolnicze lub szkoły leśne, lub centra kształcenia ustawicznego, lub centra kształcenia praktycznego, ponieważ są to podmioty, które mają osobowość prawną oraz zdolność prawną i w obrocie prawnym mogą być stroną umowy.</w:t>
      </w:r>
    </w:p>
    <w:p w:rsidR="003C0303" w:rsidRPr="003C0303" w:rsidRDefault="003C0303" w:rsidP="003C0303">
      <w:pPr>
        <w:spacing w:after="0" w:line="360" w:lineRule="auto"/>
        <w:jc w:val="both"/>
        <w:rPr>
          <w:rFonts w:ascii="Times New Roman" w:hAnsi="Times New Roman" w:cs="Times New Roman"/>
          <w:sz w:val="24"/>
          <w:szCs w:val="24"/>
        </w:rPr>
      </w:pPr>
      <w:r w:rsidRPr="003C0303">
        <w:rPr>
          <w:rFonts w:ascii="Times New Roman" w:hAnsi="Times New Roman" w:cs="Times New Roman"/>
          <w:sz w:val="24"/>
          <w:szCs w:val="24"/>
        </w:rPr>
        <w:lastRenderedPageBreak/>
        <w:t xml:space="preserve">Beneficjentem może być jednostka posiadająca zdolność do samodzielnego podejmowania czynności prawnych, a szkoła nie posiada osobowości prawnej. W związku z powyższym, beneficjentem powinien być minister, gmina albo powiat, przy czym podmiotem realizującym projekt, a zatem podmiotem upoważnionym do ponoszenia wydatków, może być szkoła. Dyrektor szkoły bądź inna osoba może występować jako pełnomocnik ministra albo jednostki samorządu terytorialnego na podstawie pełnomocnictwa i w zależności od zakresu tego pełnomocnictwa, pełnomocnik ten będzie mógł podpisać umowę o przyznaniu pomocy, ewentualne aneksy do tej umowy, wnioski o płatność i inne dokumenty niezbędne do przyznania i rozliczenia pomocy w ramach PROW 2014–2020. </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Projekt przedmiotowej ustawy nie zmienia beneficjentów PROW 2014–2020, a jedynie przyznaje państwowym i samorządowym jednostkom budżetowym uprawnienie do wyprzedzającego finansowania realizowanych operacji.</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Konsekwencją zmian wprowadzanych w ust. 1 art. 23 projektowanej ustawy jest zmiana ust. 3, która dotyczy przekazywania przez szkoły rolnicze środków otrzymanych z tytułu refundacji poniesionych wydatków. Środki te będą stanowiły dochody budżetu państwa w</w:t>
      </w:r>
      <w:r>
        <w:rPr>
          <w:rFonts w:ascii="Times New Roman" w:hAnsi="Times New Roman" w:cs="Times New Roman"/>
          <w:sz w:val="24"/>
          <w:szCs w:val="24"/>
        </w:rPr>
        <w:t> </w:t>
      </w:r>
      <w:r w:rsidRPr="003C0303">
        <w:rPr>
          <w:rFonts w:ascii="Times New Roman" w:hAnsi="Times New Roman" w:cs="Times New Roman"/>
          <w:sz w:val="24"/>
          <w:szCs w:val="24"/>
        </w:rPr>
        <w:t xml:space="preserve">części 77. </w:t>
      </w:r>
    </w:p>
    <w:p w:rsidR="003C0303" w:rsidRPr="003C0303" w:rsidRDefault="00F43000" w:rsidP="00ED6F3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Zgodnie z projektowanym</w:t>
      </w:r>
      <w:r w:rsidR="003C0303" w:rsidRPr="003C0303">
        <w:rPr>
          <w:rFonts w:ascii="Times New Roman" w:hAnsi="Times New Roman" w:cs="Times New Roman"/>
          <w:sz w:val="24"/>
          <w:szCs w:val="24"/>
        </w:rPr>
        <w:t xml:space="preserve"> na podstawie art. 45 ustawy z dnia 20 lutego 2015 r. o</w:t>
      </w:r>
      <w:r w:rsidR="00ED6F35">
        <w:rPr>
          <w:rFonts w:ascii="Times New Roman" w:hAnsi="Times New Roman" w:cs="Times New Roman"/>
          <w:sz w:val="24"/>
          <w:szCs w:val="24"/>
        </w:rPr>
        <w:t> </w:t>
      </w:r>
      <w:r w:rsidR="003C0303" w:rsidRPr="003C0303">
        <w:rPr>
          <w:rFonts w:ascii="Times New Roman" w:hAnsi="Times New Roman" w:cs="Times New Roman"/>
          <w:sz w:val="24"/>
          <w:szCs w:val="24"/>
        </w:rPr>
        <w:t>wspieraniu rozwoju obszarów wiejskich z udziałem środków Europejskiego Funduszu rolnego na rzecz Rozwoju Obszarów Wiejskich na lata 2014–2020 rozporządzeniem Ministra Rolnictwa i</w:t>
      </w:r>
      <w:r w:rsidR="003C0303">
        <w:rPr>
          <w:rFonts w:ascii="Times New Roman" w:hAnsi="Times New Roman" w:cs="Times New Roman"/>
          <w:sz w:val="24"/>
          <w:szCs w:val="24"/>
        </w:rPr>
        <w:t> </w:t>
      </w:r>
      <w:r w:rsidR="003C0303" w:rsidRPr="003C0303">
        <w:rPr>
          <w:rFonts w:ascii="Times New Roman" w:hAnsi="Times New Roman" w:cs="Times New Roman"/>
          <w:sz w:val="24"/>
          <w:szCs w:val="24"/>
        </w:rPr>
        <w:t>Rozwoju Wsi w sprawie szczegółowych warunków i trybu przyznawania oraz wypłaty pomocy finansowej w ramach poddziałania „Wsparcie dla działań w zakresie kształcenia zawodo</w:t>
      </w:r>
      <w:r w:rsidR="003C0303">
        <w:rPr>
          <w:rFonts w:ascii="Times New Roman" w:hAnsi="Times New Roman" w:cs="Times New Roman"/>
          <w:sz w:val="24"/>
          <w:szCs w:val="24"/>
        </w:rPr>
        <w:t xml:space="preserve">wego i nabywania umiejętności” </w:t>
      </w:r>
      <w:r w:rsidR="003C0303" w:rsidRPr="003C0303">
        <w:rPr>
          <w:rFonts w:ascii="Times New Roman" w:hAnsi="Times New Roman" w:cs="Times New Roman"/>
          <w:sz w:val="24"/>
          <w:szCs w:val="24"/>
        </w:rPr>
        <w:t>oraz poddziałania „Wsparcie dla projektów demonstracyjnych i działań informacyjnych” w ramach działania „Transfer wiedzy i</w:t>
      </w:r>
      <w:r w:rsidR="003C0303">
        <w:rPr>
          <w:rFonts w:ascii="Times New Roman" w:hAnsi="Times New Roman" w:cs="Times New Roman"/>
          <w:sz w:val="24"/>
          <w:szCs w:val="24"/>
        </w:rPr>
        <w:t> </w:t>
      </w:r>
      <w:r w:rsidR="003C0303" w:rsidRPr="003C0303">
        <w:rPr>
          <w:rFonts w:ascii="Times New Roman" w:hAnsi="Times New Roman" w:cs="Times New Roman"/>
          <w:sz w:val="24"/>
          <w:szCs w:val="24"/>
        </w:rPr>
        <w:t>działalność informacyjna” objętego Programem Rozwoju Obszaró</w:t>
      </w:r>
      <w:r w:rsidR="003C0303">
        <w:rPr>
          <w:rFonts w:ascii="Times New Roman" w:hAnsi="Times New Roman" w:cs="Times New Roman"/>
          <w:sz w:val="24"/>
          <w:szCs w:val="24"/>
        </w:rPr>
        <w:t xml:space="preserve">w Wiejskich na lata </w:t>
      </w:r>
      <w:r w:rsidR="00ED6F35">
        <w:rPr>
          <w:rFonts w:ascii="Times New Roman" w:hAnsi="Times New Roman" w:cs="Times New Roman"/>
          <w:sz w:val="24"/>
          <w:szCs w:val="24"/>
        </w:rPr>
        <w:br/>
      </w:r>
      <w:r w:rsidR="003C0303">
        <w:rPr>
          <w:rFonts w:ascii="Times New Roman" w:hAnsi="Times New Roman" w:cs="Times New Roman"/>
          <w:sz w:val="24"/>
          <w:szCs w:val="24"/>
        </w:rPr>
        <w:t xml:space="preserve">2014–2020, </w:t>
      </w:r>
      <w:r w:rsidR="003C0303" w:rsidRPr="003C0303">
        <w:rPr>
          <w:rFonts w:ascii="Times New Roman" w:hAnsi="Times New Roman" w:cs="Times New Roman"/>
          <w:sz w:val="24"/>
          <w:szCs w:val="24"/>
        </w:rPr>
        <w:t>pierwszy nabór wniosków o przyznanie pomocy w ramach działania transfer wiedzy i</w:t>
      </w:r>
      <w:r w:rsidR="00ED6F35">
        <w:rPr>
          <w:rFonts w:ascii="Times New Roman" w:hAnsi="Times New Roman" w:cs="Times New Roman"/>
          <w:sz w:val="24"/>
          <w:szCs w:val="24"/>
        </w:rPr>
        <w:t> </w:t>
      </w:r>
      <w:r w:rsidR="003C0303" w:rsidRPr="003C0303">
        <w:rPr>
          <w:rFonts w:ascii="Times New Roman" w:hAnsi="Times New Roman" w:cs="Times New Roman"/>
          <w:sz w:val="24"/>
          <w:szCs w:val="24"/>
        </w:rPr>
        <w:t>działalność informacyjna jest planowany na czerwiec 2017 r., nie ma więc konieczności wprowadzania przepisów przejściowych, ponieważ nie wszczęto jeszcze żadn</w:t>
      </w:r>
      <w:r w:rsidR="003C0303">
        <w:rPr>
          <w:rFonts w:ascii="Times New Roman" w:hAnsi="Times New Roman" w:cs="Times New Roman"/>
          <w:sz w:val="24"/>
          <w:szCs w:val="24"/>
        </w:rPr>
        <w:t>ych postępowań w tym zakresie.</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Projektowana ustawa jest zgodna z prawem Unii Europejskiej.</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Proponuje się, aby projektowana ustawa weszła w życie po upływie 14 dni od dnia ogłoszenia.</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Projektowana ustawa została wpisana do wykazu prac legislacyjnych i programowych Rady Ministrów pod numerem UC88.</w:t>
      </w:r>
    </w:p>
    <w:p w:rsidR="003C03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lastRenderedPageBreak/>
        <w:t xml:space="preserve">Projektowana ustawa nie zawiera norm technicznych w rozumieniu przepisów rozporządzenia Rady Ministrów z dnia 23 grudnia 2002 r. w sprawie sposobu funkcjonowania krajowego systemu notyfikacji norm i aktów prawnych (Dz. U. poz. 2039 oraz z 2004 r. </w:t>
      </w:r>
      <w:r w:rsidR="00ED6F35">
        <w:rPr>
          <w:rFonts w:ascii="Times New Roman" w:hAnsi="Times New Roman" w:cs="Times New Roman"/>
          <w:sz w:val="24"/>
          <w:szCs w:val="24"/>
        </w:rPr>
        <w:br/>
        <w:t>poz. </w:t>
      </w:r>
      <w:r w:rsidRPr="003C0303">
        <w:rPr>
          <w:rFonts w:ascii="Times New Roman" w:hAnsi="Times New Roman" w:cs="Times New Roman"/>
          <w:sz w:val="24"/>
          <w:szCs w:val="24"/>
        </w:rPr>
        <w:t>597)</w:t>
      </w:r>
      <w:r w:rsidR="00F43000">
        <w:rPr>
          <w:rFonts w:ascii="Times New Roman" w:hAnsi="Times New Roman" w:cs="Times New Roman"/>
          <w:sz w:val="24"/>
          <w:szCs w:val="24"/>
        </w:rPr>
        <w:t>,</w:t>
      </w:r>
      <w:r w:rsidRPr="003C0303">
        <w:rPr>
          <w:rFonts w:ascii="Times New Roman" w:hAnsi="Times New Roman" w:cs="Times New Roman"/>
          <w:sz w:val="24"/>
          <w:szCs w:val="24"/>
        </w:rPr>
        <w:t xml:space="preserve"> w</w:t>
      </w:r>
      <w:r w:rsidR="00ED6F35">
        <w:rPr>
          <w:rFonts w:ascii="Times New Roman" w:hAnsi="Times New Roman" w:cs="Times New Roman"/>
          <w:sz w:val="24"/>
          <w:szCs w:val="24"/>
        </w:rPr>
        <w:t xml:space="preserve"> </w:t>
      </w:r>
      <w:r w:rsidRPr="003C0303">
        <w:rPr>
          <w:rFonts w:ascii="Times New Roman" w:hAnsi="Times New Roman" w:cs="Times New Roman"/>
          <w:sz w:val="24"/>
          <w:szCs w:val="24"/>
        </w:rPr>
        <w:t>związku z czym nie podlega procedurze notyfikacji.</w:t>
      </w:r>
    </w:p>
    <w:p w:rsidR="00F53F03" w:rsidRPr="003C0303" w:rsidRDefault="003C0303" w:rsidP="00ED6F35">
      <w:pPr>
        <w:spacing w:after="0" w:line="360" w:lineRule="auto"/>
        <w:ind w:firstLine="567"/>
        <w:jc w:val="both"/>
        <w:rPr>
          <w:rFonts w:ascii="Times New Roman" w:hAnsi="Times New Roman" w:cs="Times New Roman"/>
          <w:sz w:val="24"/>
          <w:szCs w:val="24"/>
        </w:rPr>
      </w:pPr>
      <w:r w:rsidRPr="003C0303">
        <w:rPr>
          <w:rFonts w:ascii="Times New Roman" w:hAnsi="Times New Roman" w:cs="Times New Roman"/>
          <w:sz w:val="24"/>
          <w:szCs w:val="24"/>
        </w:rPr>
        <w:t>Projektowana ustawa nie zawiera regulacji, które</w:t>
      </w:r>
      <w:r w:rsidR="008B18D6">
        <w:rPr>
          <w:rFonts w:ascii="Times New Roman" w:hAnsi="Times New Roman" w:cs="Times New Roman"/>
          <w:sz w:val="24"/>
          <w:szCs w:val="24"/>
        </w:rPr>
        <w:t xml:space="preserve"> powinny podlegać zaopiniowaniu</w:t>
      </w:r>
      <w:r w:rsidRPr="003C0303">
        <w:rPr>
          <w:rFonts w:ascii="Times New Roman" w:hAnsi="Times New Roman" w:cs="Times New Roman"/>
          <w:sz w:val="24"/>
          <w:szCs w:val="24"/>
        </w:rPr>
        <w:t xml:space="preserve"> przez właściwe organy i instytucje Unii Europejskiej, w tym przez Europejski Bank Centralny. Projektowane zmiany dotyczą prefinansowani</w:t>
      </w:r>
      <w:r>
        <w:rPr>
          <w:rFonts w:ascii="Times New Roman" w:hAnsi="Times New Roman" w:cs="Times New Roman"/>
          <w:sz w:val="24"/>
          <w:szCs w:val="24"/>
        </w:rPr>
        <w:t xml:space="preserve">a ze środków budżetu krajowego </w:t>
      </w:r>
      <w:r w:rsidRPr="003C0303">
        <w:rPr>
          <w:rFonts w:ascii="Times New Roman" w:hAnsi="Times New Roman" w:cs="Times New Roman"/>
          <w:sz w:val="24"/>
          <w:szCs w:val="24"/>
        </w:rPr>
        <w:t>operacji realizowanych przez szkoły rolnicze.</w:t>
      </w:r>
    </w:p>
    <w:sectPr w:rsidR="00F53F03" w:rsidRPr="003C0303" w:rsidSect="003C0303">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E40" w:rsidRDefault="002A4E40" w:rsidP="003C0303">
      <w:pPr>
        <w:spacing w:after="0" w:line="240" w:lineRule="auto"/>
      </w:pPr>
      <w:r>
        <w:separator/>
      </w:r>
    </w:p>
  </w:endnote>
  <w:endnote w:type="continuationSeparator" w:id="0">
    <w:p w:rsidR="002A4E40" w:rsidRDefault="002A4E40" w:rsidP="003C0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250939"/>
      <w:docPartObj>
        <w:docPartGallery w:val="Page Numbers (Bottom of Page)"/>
        <w:docPartUnique/>
      </w:docPartObj>
    </w:sdtPr>
    <w:sdtEndPr>
      <w:rPr>
        <w:rFonts w:ascii="Times New Roman" w:hAnsi="Times New Roman" w:cs="Times New Roman"/>
        <w:sz w:val="24"/>
        <w:szCs w:val="24"/>
      </w:rPr>
    </w:sdtEndPr>
    <w:sdtContent>
      <w:p w:rsidR="003C0303" w:rsidRPr="003C0303" w:rsidRDefault="003C0303">
        <w:pPr>
          <w:pStyle w:val="Stopka"/>
          <w:jc w:val="center"/>
          <w:rPr>
            <w:rFonts w:ascii="Times New Roman" w:hAnsi="Times New Roman" w:cs="Times New Roman"/>
            <w:sz w:val="24"/>
            <w:szCs w:val="24"/>
          </w:rPr>
        </w:pPr>
        <w:r w:rsidRPr="003C0303">
          <w:rPr>
            <w:rFonts w:ascii="Times New Roman" w:hAnsi="Times New Roman" w:cs="Times New Roman"/>
            <w:sz w:val="24"/>
            <w:szCs w:val="24"/>
          </w:rPr>
          <w:fldChar w:fldCharType="begin"/>
        </w:r>
        <w:r w:rsidRPr="003C0303">
          <w:rPr>
            <w:rFonts w:ascii="Times New Roman" w:hAnsi="Times New Roman" w:cs="Times New Roman"/>
            <w:sz w:val="24"/>
            <w:szCs w:val="24"/>
          </w:rPr>
          <w:instrText>PAGE   \* MERGEFORMAT</w:instrText>
        </w:r>
        <w:r w:rsidRPr="003C0303">
          <w:rPr>
            <w:rFonts w:ascii="Times New Roman" w:hAnsi="Times New Roman" w:cs="Times New Roman"/>
            <w:sz w:val="24"/>
            <w:szCs w:val="24"/>
          </w:rPr>
          <w:fldChar w:fldCharType="separate"/>
        </w:r>
        <w:r w:rsidR="00E77DA1">
          <w:rPr>
            <w:rFonts w:ascii="Times New Roman" w:hAnsi="Times New Roman" w:cs="Times New Roman"/>
            <w:noProof/>
            <w:sz w:val="24"/>
            <w:szCs w:val="24"/>
          </w:rPr>
          <w:t>5</w:t>
        </w:r>
        <w:r w:rsidRPr="003C0303">
          <w:rPr>
            <w:rFonts w:ascii="Times New Roman" w:hAnsi="Times New Roman" w:cs="Times New Roman"/>
            <w:sz w:val="24"/>
            <w:szCs w:val="24"/>
          </w:rPr>
          <w:fldChar w:fldCharType="end"/>
        </w:r>
      </w:p>
    </w:sdtContent>
  </w:sdt>
  <w:p w:rsidR="003C0303" w:rsidRDefault="003C030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E40" w:rsidRDefault="002A4E40" w:rsidP="003C0303">
      <w:pPr>
        <w:spacing w:after="0" w:line="240" w:lineRule="auto"/>
      </w:pPr>
      <w:r>
        <w:separator/>
      </w:r>
    </w:p>
  </w:footnote>
  <w:footnote w:type="continuationSeparator" w:id="0">
    <w:p w:rsidR="002A4E40" w:rsidRDefault="002A4E40" w:rsidP="003C03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303"/>
    <w:rsid w:val="00022533"/>
    <w:rsid w:val="00027CA5"/>
    <w:rsid w:val="00030775"/>
    <w:rsid w:val="0003774D"/>
    <w:rsid w:val="00040B06"/>
    <w:rsid w:val="0004387D"/>
    <w:rsid w:val="00043919"/>
    <w:rsid w:val="000444AF"/>
    <w:rsid w:val="00054584"/>
    <w:rsid w:val="00057BA6"/>
    <w:rsid w:val="000643A5"/>
    <w:rsid w:val="00071F7A"/>
    <w:rsid w:val="0007494F"/>
    <w:rsid w:val="00081839"/>
    <w:rsid w:val="000903E1"/>
    <w:rsid w:val="0009136B"/>
    <w:rsid w:val="00092C19"/>
    <w:rsid w:val="000960D6"/>
    <w:rsid w:val="000A4526"/>
    <w:rsid w:val="000A68A5"/>
    <w:rsid w:val="000B41EA"/>
    <w:rsid w:val="000C1C7D"/>
    <w:rsid w:val="000C6966"/>
    <w:rsid w:val="000D46E4"/>
    <w:rsid w:val="000D67DE"/>
    <w:rsid w:val="000E0A80"/>
    <w:rsid w:val="000F2773"/>
    <w:rsid w:val="00102EFF"/>
    <w:rsid w:val="00105FEE"/>
    <w:rsid w:val="00106E6A"/>
    <w:rsid w:val="00134AA0"/>
    <w:rsid w:val="00140E45"/>
    <w:rsid w:val="00144DA4"/>
    <w:rsid w:val="00146048"/>
    <w:rsid w:val="00155A4F"/>
    <w:rsid w:val="0016329F"/>
    <w:rsid w:val="00166549"/>
    <w:rsid w:val="001805A1"/>
    <w:rsid w:val="0018090B"/>
    <w:rsid w:val="00194E77"/>
    <w:rsid w:val="001C1D87"/>
    <w:rsid w:val="001D318A"/>
    <w:rsid w:val="001E3D97"/>
    <w:rsid w:val="001E419F"/>
    <w:rsid w:val="001E7C58"/>
    <w:rsid w:val="001F5F08"/>
    <w:rsid w:val="00211451"/>
    <w:rsid w:val="002219DA"/>
    <w:rsid w:val="00222BD3"/>
    <w:rsid w:val="00222D89"/>
    <w:rsid w:val="00222E8D"/>
    <w:rsid w:val="00223C23"/>
    <w:rsid w:val="002251D2"/>
    <w:rsid w:val="002251DE"/>
    <w:rsid w:val="002370E0"/>
    <w:rsid w:val="002401A7"/>
    <w:rsid w:val="00241396"/>
    <w:rsid w:val="002567CE"/>
    <w:rsid w:val="00257A2C"/>
    <w:rsid w:val="00262976"/>
    <w:rsid w:val="00270830"/>
    <w:rsid w:val="002713F9"/>
    <w:rsid w:val="00274549"/>
    <w:rsid w:val="0027690A"/>
    <w:rsid w:val="00277C97"/>
    <w:rsid w:val="002A4E40"/>
    <w:rsid w:val="002B04C9"/>
    <w:rsid w:val="002B3021"/>
    <w:rsid w:val="002B6F19"/>
    <w:rsid w:val="002C1126"/>
    <w:rsid w:val="002D485C"/>
    <w:rsid w:val="002E03D5"/>
    <w:rsid w:val="002E1F69"/>
    <w:rsid w:val="002E4D6C"/>
    <w:rsid w:val="002E6251"/>
    <w:rsid w:val="002F1F32"/>
    <w:rsid w:val="002F2802"/>
    <w:rsid w:val="002F34C7"/>
    <w:rsid w:val="003010AF"/>
    <w:rsid w:val="00311C97"/>
    <w:rsid w:val="00312FC7"/>
    <w:rsid w:val="0032080D"/>
    <w:rsid w:val="00321B97"/>
    <w:rsid w:val="00323576"/>
    <w:rsid w:val="00327695"/>
    <w:rsid w:val="00333F23"/>
    <w:rsid w:val="003341C7"/>
    <w:rsid w:val="003363F5"/>
    <w:rsid w:val="003364C4"/>
    <w:rsid w:val="00363881"/>
    <w:rsid w:val="00366D26"/>
    <w:rsid w:val="00370146"/>
    <w:rsid w:val="00370A82"/>
    <w:rsid w:val="00373B18"/>
    <w:rsid w:val="003747DC"/>
    <w:rsid w:val="00377DED"/>
    <w:rsid w:val="003805D5"/>
    <w:rsid w:val="00381201"/>
    <w:rsid w:val="003A01CF"/>
    <w:rsid w:val="003A0674"/>
    <w:rsid w:val="003A2D5B"/>
    <w:rsid w:val="003A4E79"/>
    <w:rsid w:val="003B1D6C"/>
    <w:rsid w:val="003B21AB"/>
    <w:rsid w:val="003B29C9"/>
    <w:rsid w:val="003C0303"/>
    <w:rsid w:val="003C2C44"/>
    <w:rsid w:val="003C4AFF"/>
    <w:rsid w:val="003E1FD7"/>
    <w:rsid w:val="003E2A21"/>
    <w:rsid w:val="003E5293"/>
    <w:rsid w:val="003F0138"/>
    <w:rsid w:val="003F718A"/>
    <w:rsid w:val="00405A31"/>
    <w:rsid w:val="00412213"/>
    <w:rsid w:val="00414BA6"/>
    <w:rsid w:val="004208C1"/>
    <w:rsid w:val="00420AA3"/>
    <w:rsid w:val="004308C1"/>
    <w:rsid w:val="00435F51"/>
    <w:rsid w:val="004402A1"/>
    <w:rsid w:val="00445B0E"/>
    <w:rsid w:val="00453972"/>
    <w:rsid w:val="00453C77"/>
    <w:rsid w:val="00454DFF"/>
    <w:rsid w:val="0046610C"/>
    <w:rsid w:val="004669E8"/>
    <w:rsid w:val="00471691"/>
    <w:rsid w:val="0047360B"/>
    <w:rsid w:val="00474494"/>
    <w:rsid w:val="004767AF"/>
    <w:rsid w:val="0048100B"/>
    <w:rsid w:val="004909D0"/>
    <w:rsid w:val="00491246"/>
    <w:rsid w:val="004913BB"/>
    <w:rsid w:val="004A36B2"/>
    <w:rsid w:val="004A36B7"/>
    <w:rsid w:val="004C2117"/>
    <w:rsid w:val="004C5528"/>
    <w:rsid w:val="004C7C23"/>
    <w:rsid w:val="004E57FE"/>
    <w:rsid w:val="004F283E"/>
    <w:rsid w:val="004F50D8"/>
    <w:rsid w:val="004F573D"/>
    <w:rsid w:val="0050161F"/>
    <w:rsid w:val="00502D87"/>
    <w:rsid w:val="00504148"/>
    <w:rsid w:val="0051338A"/>
    <w:rsid w:val="00516A84"/>
    <w:rsid w:val="005207CD"/>
    <w:rsid w:val="00527B10"/>
    <w:rsid w:val="00531F73"/>
    <w:rsid w:val="00536C29"/>
    <w:rsid w:val="005429A3"/>
    <w:rsid w:val="005442F9"/>
    <w:rsid w:val="00546C29"/>
    <w:rsid w:val="005534F9"/>
    <w:rsid w:val="005577A8"/>
    <w:rsid w:val="00563465"/>
    <w:rsid w:val="0056742D"/>
    <w:rsid w:val="00571321"/>
    <w:rsid w:val="00580574"/>
    <w:rsid w:val="00585145"/>
    <w:rsid w:val="00595D0A"/>
    <w:rsid w:val="005968C5"/>
    <w:rsid w:val="005A03B4"/>
    <w:rsid w:val="005A2F15"/>
    <w:rsid w:val="005A3671"/>
    <w:rsid w:val="005B374D"/>
    <w:rsid w:val="005B4356"/>
    <w:rsid w:val="005C1946"/>
    <w:rsid w:val="005C46EA"/>
    <w:rsid w:val="005C658D"/>
    <w:rsid w:val="005D0AC1"/>
    <w:rsid w:val="005D11E9"/>
    <w:rsid w:val="005D7BCE"/>
    <w:rsid w:val="005E5333"/>
    <w:rsid w:val="005E6EFB"/>
    <w:rsid w:val="005F02E4"/>
    <w:rsid w:val="00602555"/>
    <w:rsid w:val="00605BBE"/>
    <w:rsid w:val="00610B19"/>
    <w:rsid w:val="006126F1"/>
    <w:rsid w:val="00614027"/>
    <w:rsid w:val="00623018"/>
    <w:rsid w:val="006317CC"/>
    <w:rsid w:val="00647DF7"/>
    <w:rsid w:val="00653ABA"/>
    <w:rsid w:val="00654CD2"/>
    <w:rsid w:val="0065570D"/>
    <w:rsid w:val="006669DB"/>
    <w:rsid w:val="00683E49"/>
    <w:rsid w:val="00683EA0"/>
    <w:rsid w:val="006A5873"/>
    <w:rsid w:val="006B7FB3"/>
    <w:rsid w:val="006D2672"/>
    <w:rsid w:val="006F32EF"/>
    <w:rsid w:val="006F649A"/>
    <w:rsid w:val="00705C6F"/>
    <w:rsid w:val="007105EA"/>
    <w:rsid w:val="007147E0"/>
    <w:rsid w:val="00714E7A"/>
    <w:rsid w:val="007205A1"/>
    <w:rsid w:val="0072732D"/>
    <w:rsid w:val="00730D60"/>
    <w:rsid w:val="00735B5F"/>
    <w:rsid w:val="00737EFB"/>
    <w:rsid w:val="00745E09"/>
    <w:rsid w:val="00752357"/>
    <w:rsid w:val="00776C8F"/>
    <w:rsid w:val="00791270"/>
    <w:rsid w:val="00797EEC"/>
    <w:rsid w:val="007B739E"/>
    <w:rsid w:val="007C3C0D"/>
    <w:rsid w:val="007C4081"/>
    <w:rsid w:val="007D6831"/>
    <w:rsid w:val="007E0403"/>
    <w:rsid w:val="007F2463"/>
    <w:rsid w:val="0080428B"/>
    <w:rsid w:val="00804612"/>
    <w:rsid w:val="008049B3"/>
    <w:rsid w:val="00820A81"/>
    <w:rsid w:val="0082153C"/>
    <w:rsid w:val="008309FA"/>
    <w:rsid w:val="008430C7"/>
    <w:rsid w:val="00853B34"/>
    <w:rsid w:val="00854844"/>
    <w:rsid w:val="00867505"/>
    <w:rsid w:val="0088375A"/>
    <w:rsid w:val="00884BBD"/>
    <w:rsid w:val="008923F5"/>
    <w:rsid w:val="0089313B"/>
    <w:rsid w:val="008B18D6"/>
    <w:rsid w:val="008C1196"/>
    <w:rsid w:val="008C5FA6"/>
    <w:rsid w:val="008D4808"/>
    <w:rsid w:val="008E398B"/>
    <w:rsid w:val="008F31D1"/>
    <w:rsid w:val="008F5DC7"/>
    <w:rsid w:val="008F5F35"/>
    <w:rsid w:val="00904765"/>
    <w:rsid w:val="00923E8D"/>
    <w:rsid w:val="009254B7"/>
    <w:rsid w:val="009379F9"/>
    <w:rsid w:val="00952B7F"/>
    <w:rsid w:val="00961F05"/>
    <w:rsid w:val="0096354E"/>
    <w:rsid w:val="00965F72"/>
    <w:rsid w:val="00972BE8"/>
    <w:rsid w:val="00973D65"/>
    <w:rsid w:val="00977685"/>
    <w:rsid w:val="00985732"/>
    <w:rsid w:val="00986AB7"/>
    <w:rsid w:val="00987ECD"/>
    <w:rsid w:val="00990B45"/>
    <w:rsid w:val="009A6D38"/>
    <w:rsid w:val="009A7F20"/>
    <w:rsid w:val="009C6683"/>
    <w:rsid w:val="009D158D"/>
    <w:rsid w:val="009E757F"/>
    <w:rsid w:val="00A033DB"/>
    <w:rsid w:val="00A03D48"/>
    <w:rsid w:val="00A053C5"/>
    <w:rsid w:val="00A144CF"/>
    <w:rsid w:val="00A14B45"/>
    <w:rsid w:val="00A14F77"/>
    <w:rsid w:val="00A15E31"/>
    <w:rsid w:val="00A23803"/>
    <w:rsid w:val="00A24F1E"/>
    <w:rsid w:val="00A34A4B"/>
    <w:rsid w:val="00A34C65"/>
    <w:rsid w:val="00A350C0"/>
    <w:rsid w:val="00A40701"/>
    <w:rsid w:val="00A52397"/>
    <w:rsid w:val="00A63597"/>
    <w:rsid w:val="00A675F7"/>
    <w:rsid w:val="00A70583"/>
    <w:rsid w:val="00A73550"/>
    <w:rsid w:val="00A76C92"/>
    <w:rsid w:val="00A816DD"/>
    <w:rsid w:val="00A847EE"/>
    <w:rsid w:val="00A84BC6"/>
    <w:rsid w:val="00A863D1"/>
    <w:rsid w:val="00A9123F"/>
    <w:rsid w:val="00A9242C"/>
    <w:rsid w:val="00A975FB"/>
    <w:rsid w:val="00AA03CE"/>
    <w:rsid w:val="00AA0DFF"/>
    <w:rsid w:val="00AB61A9"/>
    <w:rsid w:val="00AB78BB"/>
    <w:rsid w:val="00AC3F23"/>
    <w:rsid w:val="00AD6413"/>
    <w:rsid w:val="00AE6BBE"/>
    <w:rsid w:val="00AF0099"/>
    <w:rsid w:val="00AF037B"/>
    <w:rsid w:val="00AF6B39"/>
    <w:rsid w:val="00B0027E"/>
    <w:rsid w:val="00B0306A"/>
    <w:rsid w:val="00B05BCE"/>
    <w:rsid w:val="00B12FD0"/>
    <w:rsid w:val="00B15906"/>
    <w:rsid w:val="00B16CFF"/>
    <w:rsid w:val="00B20C82"/>
    <w:rsid w:val="00B30C17"/>
    <w:rsid w:val="00B311CD"/>
    <w:rsid w:val="00B33872"/>
    <w:rsid w:val="00B36134"/>
    <w:rsid w:val="00B478A9"/>
    <w:rsid w:val="00B5408A"/>
    <w:rsid w:val="00B605D5"/>
    <w:rsid w:val="00B61C79"/>
    <w:rsid w:val="00B629FF"/>
    <w:rsid w:val="00B62AFF"/>
    <w:rsid w:val="00B72517"/>
    <w:rsid w:val="00B87FF6"/>
    <w:rsid w:val="00B9401C"/>
    <w:rsid w:val="00B97E91"/>
    <w:rsid w:val="00BA0613"/>
    <w:rsid w:val="00BA3BC8"/>
    <w:rsid w:val="00BB691A"/>
    <w:rsid w:val="00BC0775"/>
    <w:rsid w:val="00BC706D"/>
    <w:rsid w:val="00BD1A2B"/>
    <w:rsid w:val="00BD784E"/>
    <w:rsid w:val="00BD7F9A"/>
    <w:rsid w:val="00BE2226"/>
    <w:rsid w:val="00BE5A87"/>
    <w:rsid w:val="00BE5B9A"/>
    <w:rsid w:val="00C01F68"/>
    <w:rsid w:val="00C07771"/>
    <w:rsid w:val="00C112EB"/>
    <w:rsid w:val="00C226A1"/>
    <w:rsid w:val="00C22797"/>
    <w:rsid w:val="00C23545"/>
    <w:rsid w:val="00C25BFE"/>
    <w:rsid w:val="00C34D2D"/>
    <w:rsid w:val="00C35BC8"/>
    <w:rsid w:val="00C617D5"/>
    <w:rsid w:val="00C6417E"/>
    <w:rsid w:val="00C64C10"/>
    <w:rsid w:val="00C65A12"/>
    <w:rsid w:val="00C800AB"/>
    <w:rsid w:val="00C822A6"/>
    <w:rsid w:val="00C82A9A"/>
    <w:rsid w:val="00C92F08"/>
    <w:rsid w:val="00C93070"/>
    <w:rsid w:val="00C97933"/>
    <w:rsid w:val="00CA4254"/>
    <w:rsid w:val="00CB356C"/>
    <w:rsid w:val="00CD57E8"/>
    <w:rsid w:val="00CE421A"/>
    <w:rsid w:val="00CF152D"/>
    <w:rsid w:val="00CF30BE"/>
    <w:rsid w:val="00CF66FA"/>
    <w:rsid w:val="00D1086E"/>
    <w:rsid w:val="00D17E65"/>
    <w:rsid w:val="00D218C5"/>
    <w:rsid w:val="00D22717"/>
    <w:rsid w:val="00D23F37"/>
    <w:rsid w:val="00D24492"/>
    <w:rsid w:val="00D24850"/>
    <w:rsid w:val="00D25013"/>
    <w:rsid w:val="00D27511"/>
    <w:rsid w:val="00D34248"/>
    <w:rsid w:val="00D369A7"/>
    <w:rsid w:val="00D4535C"/>
    <w:rsid w:val="00D51C9C"/>
    <w:rsid w:val="00D60271"/>
    <w:rsid w:val="00D712A8"/>
    <w:rsid w:val="00D736E0"/>
    <w:rsid w:val="00D81E9F"/>
    <w:rsid w:val="00D95006"/>
    <w:rsid w:val="00D953E5"/>
    <w:rsid w:val="00D9593F"/>
    <w:rsid w:val="00DA1DFF"/>
    <w:rsid w:val="00DA2C37"/>
    <w:rsid w:val="00DA496B"/>
    <w:rsid w:val="00DA515C"/>
    <w:rsid w:val="00DB53BE"/>
    <w:rsid w:val="00DB7BA6"/>
    <w:rsid w:val="00DC2A01"/>
    <w:rsid w:val="00DC4A8F"/>
    <w:rsid w:val="00DE6987"/>
    <w:rsid w:val="00DE7D91"/>
    <w:rsid w:val="00E004DE"/>
    <w:rsid w:val="00E00FE8"/>
    <w:rsid w:val="00E038AD"/>
    <w:rsid w:val="00E143F1"/>
    <w:rsid w:val="00E27B22"/>
    <w:rsid w:val="00E27B2A"/>
    <w:rsid w:val="00E3028F"/>
    <w:rsid w:val="00E34BAE"/>
    <w:rsid w:val="00E505E5"/>
    <w:rsid w:val="00E50F10"/>
    <w:rsid w:val="00E51382"/>
    <w:rsid w:val="00E77DA1"/>
    <w:rsid w:val="00E860E0"/>
    <w:rsid w:val="00E959F6"/>
    <w:rsid w:val="00EA181E"/>
    <w:rsid w:val="00EA4076"/>
    <w:rsid w:val="00EA6521"/>
    <w:rsid w:val="00EA7ECA"/>
    <w:rsid w:val="00EB0524"/>
    <w:rsid w:val="00EB29DB"/>
    <w:rsid w:val="00EB3A8E"/>
    <w:rsid w:val="00EB3B8A"/>
    <w:rsid w:val="00EB3C99"/>
    <w:rsid w:val="00EB5EC1"/>
    <w:rsid w:val="00EC3DC5"/>
    <w:rsid w:val="00ED0B96"/>
    <w:rsid w:val="00ED3034"/>
    <w:rsid w:val="00ED4DF7"/>
    <w:rsid w:val="00ED6F35"/>
    <w:rsid w:val="00EE5105"/>
    <w:rsid w:val="00EE5504"/>
    <w:rsid w:val="00EF0460"/>
    <w:rsid w:val="00EF0AB5"/>
    <w:rsid w:val="00EF37FF"/>
    <w:rsid w:val="00EF6694"/>
    <w:rsid w:val="00F00648"/>
    <w:rsid w:val="00F00DC4"/>
    <w:rsid w:val="00F018FE"/>
    <w:rsid w:val="00F13D20"/>
    <w:rsid w:val="00F13E76"/>
    <w:rsid w:val="00F35180"/>
    <w:rsid w:val="00F355B6"/>
    <w:rsid w:val="00F355D6"/>
    <w:rsid w:val="00F366A6"/>
    <w:rsid w:val="00F43000"/>
    <w:rsid w:val="00F47DD1"/>
    <w:rsid w:val="00F53F03"/>
    <w:rsid w:val="00F56D06"/>
    <w:rsid w:val="00F56F4D"/>
    <w:rsid w:val="00F61195"/>
    <w:rsid w:val="00F81AC8"/>
    <w:rsid w:val="00F95CCE"/>
    <w:rsid w:val="00FA46B4"/>
    <w:rsid w:val="00FA6C60"/>
    <w:rsid w:val="00FB39F8"/>
    <w:rsid w:val="00FB3A23"/>
    <w:rsid w:val="00FC10A6"/>
    <w:rsid w:val="00FD1327"/>
    <w:rsid w:val="00FD448B"/>
    <w:rsid w:val="00FD5997"/>
    <w:rsid w:val="00FF1BEB"/>
    <w:rsid w:val="00FF345A"/>
    <w:rsid w:val="00FF35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C030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C0303"/>
  </w:style>
  <w:style w:type="paragraph" w:styleId="Stopka">
    <w:name w:val="footer"/>
    <w:basedOn w:val="Normalny"/>
    <w:link w:val="StopkaZnak"/>
    <w:uiPriority w:val="99"/>
    <w:unhideWhenUsed/>
    <w:rsid w:val="003C030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C0303"/>
  </w:style>
  <w:style w:type="paragraph" w:styleId="Tekstdymka">
    <w:name w:val="Balloon Text"/>
    <w:basedOn w:val="Normalny"/>
    <w:link w:val="TekstdymkaZnak"/>
    <w:uiPriority w:val="99"/>
    <w:semiHidden/>
    <w:unhideWhenUsed/>
    <w:rsid w:val="0004391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439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3C030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C0303"/>
  </w:style>
  <w:style w:type="paragraph" w:styleId="Stopka">
    <w:name w:val="footer"/>
    <w:basedOn w:val="Normalny"/>
    <w:link w:val="StopkaZnak"/>
    <w:uiPriority w:val="99"/>
    <w:unhideWhenUsed/>
    <w:rsid w:val="003C030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C0303"/>
  </w:style>
  <w:style w:type="paragraph" w:styleId="Tekstdymka">
    <w:name w:val="Balloon Text"/>
    <w:basedOn w:val="Normalny"/>
    <w:link w:val="TekstdymkaZnak"/>
    <w:uiPriority w:val="99"/>
    <w:semiHidden/>
    <w:unhideWhenUsed/>
    <w:rsid w:val="0004391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439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1551</Words>
  <Characters>9137</Characters>
  <Application>Microsoft Office Word</Application>
  <DocSecurity>0</DocSecurity>
  <Lines>169</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Jankowska-Słomianko Dorota</dc:creator>
  <cp:lastModifiedBy>Ewa A. Genert</cp:lastModifiedBy>
  <cp:revision>2</cp:revision>
  <dcterms:created xsi:type="dcterms:W3CDTF">2017-04-13T08:35:00Z</dcterms:created>
  <dcterms:modified xsi:type="dcterms:W3CDTF">2017-04-13T08:35:00Z</dcterms:modified>
</cp:coreProperties>
</file>