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4CE" w:rsidRPr="00F749CA" w:rsidRDefault="005F04CE" w:rsidP="005F04CE">
      <w:pPr>
        <w:keepNext/>
        <w:suppressAutoHyphens/>
        <w:spacing w:after="120" w:line="360" w:lineRule="auto"/>
        <w:jc w:val="center"/>
        <w:rPr>
          <w:rFonts w:ascii="Times New Roman" w:eastAsia="Times New Roman" w:hAnsi="Times New Roman" w:cs="Times New Roman"/>
          <w:b/>
          <w:bCs/>
          <w:caps/>
          <w:spacing w:val="54"/>
          <w:kern w:val="24"/>
          <w:sz w:val="24"/>
          <w:szCs w:val="24"/>
          <w:lang w:eastAsia="pl-PL"/>
        </w:rPr>
      </w:pPr>
      <w:bookmarkStart w:id="0" w:name="_GoBack"/>
      <w:bookmarkEnd w:id="0"/>
      <w:r w:rsidRPr="00F749CA">
        <w:rPr>
          <w:rFonts w:ascii="Times New Roman" w:eastAsia="Times New Roman" w:hAnsi="Times New Roman" w:cs="Times New Roman"/>
          <w:b/>
          <w:bCs/>
          <w:caps/>
          <w:spacing w:val="54"/>
          <w:kern w:val="24"/>
          <w:sz w:val="24"/>
          <w:szCs w:val="24"/>
          <w:lang w:eastAsia="pl-PL"/>
        </w:rPr>
        <w:t>Uzasadnienie</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Projektowana nowelizacja ustawy – Prawo o ustroju sądów powszechnych oraz niektórych innych ustaw zakłada realizację kilku zasadniczych celów, w szczególności zaś zmierza w kierunku:</w:t>
      </w:r>
    </w:p>
    <w:p w:rsidR="005F04CE" w:rsidRPr="00F749CA" w:rsidRDefault="005F04CE" w:rsidP="005F04CE">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zmiany modelu powoływania prezesów oraz wiceprezesów sądów w kierunku zwiększenia wpływu Ministra Sprawiedliwości na obsadę stanowisk związanych z zapewnieniem właściwych warunków administracyjnych sądom powszechnym, </w:t>
      </w:r>
    </w:p>
    <w:p w:rsidR="005F04CE" w:rsidRPr="00F749CA" w:rsidRDefault="005F04CE" w:rsidP="005F04CE">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wprowadzenia nowych narzędzi nadzoru zewnętrznego i wewnętrznego nad działalnością administracyjną sądów w postaci oceny informacji rocznych składanych przez prezesów sądów wszystkich szczebli oraz w postaci zwrócenia uwagi na nieprawidłowości w</w:t>
      </w:r>
      <w:r w:rsidR="00B552F5"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zakresie działalności administracyjnej,</w:t>
      </w:r>
    </w:p>
    <w:p w:rsidR="00BB20D0" w:rsidRPr="00F749CA" w:rsidRDefault="00BB20D0" w:rsidP="00BB20D0">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wprowadzenia, jako zasady ustrojowej, losowego przydziału spraw sędziom oraz zasady równego obciążenia w sądzie sędziów sprawami, dla zapewnienia równego i</w:t>
      </w:r>
      <w:r w:rsidR="00B552F5"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sprawiedliwego obciążenia praca kadry orzeczniczej sądów oraz zagwarantowania bezstronności stronom postępowań</w:t>
      </w:r>
      <w:r w:rsidR="00B552F5" w:rsidRPr="00F749CA">
        <w:rPr>
          <w:rFonts w:ascii="Times New Roman" w:eastAsia="Times New Roman" w:hAnsi="Times New Roman" w:cs="Times New Roman"/>
          <w:bCs/>
          <w:sz w:val="24"/>
          <w:szCs w:val="24"/>
          <w:lang w:eastAsia="pl-PL"/>
        </w:rPr>
        <w:t>,</w:t>
      </w:r>
      <w:r w:rsidRPr="00F749CA">
        <w:rPr>
          <w:rFonts w:ascii="Times New Roman" w:eastAsia="Times New Roman" w:hAnsi="Times New Roman" w:cs="Times New Roman"/>
          <w:bCs/>
          <w:sz w:val="24"/>
          <w:szCs w:val="24"/>
          <w:lang w:eastAsia="pl-PL"/>
        </w:rPr>
        <w:t xml:space="preserve"> </w:t>
      </w:r>
    </w:p>
    <w:p w:rsidR="005F04CE" w:rsidRPr="00F749CA" w:rsidRDefault="005F04CE" w:rsidP="005F04CE">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wprowadzenia zmian modelu wizytacji w wydziałach sądów powszechnych </w:t>
      </w:r>
      <w:r w:rsidR="00D25D18" w:rsidRPr="00F749CA">
        <w:rPr>
          <w:rFonts w:ascii="Times New Roman" w:eastAsia="Times New Roman" w:hAnsi="Times New Roman" w:cs="Times New Roman"/>
          <w:bCs/>
          <w:sz w:val="24"/>
          <w:szCs w:val="24"/>
          <w:lang w:eastAsia="pl-PL"/>
        </w:rPr>
        <w:t xml:space="preserve">w tym </w:t>
      </w:r>
      <w:r w:rsidRPr="00F749CA">
        <w:rPr>
          <w:rFonts w:ascii="Times New Roman" w:eastAsia="Times New Roman" w:hAnsi="Times New Roman" w:cs="Times New Roman"/>
          <w:bCs/>
          <w:sz w:val="24"/>
          <w:szCs w:val="24"/>
          <w:lang w:eastAsia="pl-PL"/>
        </w:rPr>
        <w:t xml:space="preserve">poprzez odejście od zasady przeprowadzania wizytacji w każdym wydziale sądu w równym odstępie co cztery lata bez względu na wyniki statystyczne pracy danego wydziału czy ocenę działalności administracyjnej przewodniczącego wydziału lub prezesa sądu, </w:t>
      </w:r>
    </w:p>
    <w:p w:rsidR="00BB20D0" w:rsidRPr="00F749CA" w:rsidRDefault="00BB20D0" w:rsidP="005F04CE">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poszerzenia zakresu możliwości korzystania z instytucji zwrócenia uwagi sędziemu pełniącemu funkcję związaną z wykonywaniem czynności administracyjnych, </w:t>
      </w:r>
    </w:p>
    <w:p w:rsidR="00BB20D0" w:rsidRPr="00F749CA" w:rsidRDefault="00BB20D0" w:rsidP="005F04CE">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odejścia od dotychczasowego systemu oceny pracy i planowania rozwoju zawodowego sędziego,</w:t>
      </w:r>
    </w:p>
    <w:p w:rsidR="005F04CE" w:rsidRPr="00F749CA" w:rsidRDefault="005F04CE" w:rsidP="005F04CE">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umożliwienia nabywania prawa do przejścia w stan spoczynku przez sędziów-kobiety (a</w:t>
      </w:r>
      <w:r w:rsidR="00B552F5"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w konsekwencji także prokuratorów-kobiety) w wieku odpowiadającym powszechnemu wiekowi emerytalnemu, to jest 60 lat,</w:t>
      </w:r>
    </w:p>
    <w:p w:rsidR="005F04CE" w:rsidRPr="00F749CA" w:rsidRDefault="00C11555" w:rsidP="005F04CE">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wprowadzenia</w:t>
      </w:r>
      <w:r w:rsidR="005F04CE" w:rsidRPr="00F749CA">
        <w:rPr>
          <w:rFonts w:ascii="Times New Roman" w:eastAsia="Times New Roman" w:hAnsi="Times New Roman" w:cs="Times New Roman"/>
          <w:bCs/>
          <w:sz w:val="24"/>
          <w:szCs w:val="24"/>
          <w:lang w:eastAsia="pl-PL"/>
        </w:rPr>
        <w:t xml:space="preserve"> instytucji urlopu rehabilitacyjnego sędziego, jako okresu, w którym możliwe będzie przywrócenie pełnej zdolności sędziego do pełnienia obowiązków służbowych, po okresie nieobecności w pracy z</w:t>
      </w:r>
      <w:r w:rsidR="00B552F5" w:rsidRPr="00F749CA">
        <w:rPr>
          <w:rFonts w:ascii="Times New Roman" w:eastAsia="Times New Roman" w:hAnsi="Times New Roman" w:cs="Times New Roman"/>
          <w:bCs/>
          <w:sz w:val="24"/>
          <w:szCs w:val="24"/>
          <w:lang w:eastAsia="pl-PL"/>
        </w:rPr>
        <w:t xml:space="preserve"> powodu choroby lub utraty sił</w:t>
      </w:r>
      <w:r w:rsidR="005F04CE" w:rsidRPr="00F749CA">
        <w:rPr>
          <w:rFonts w:ascii="Times New Roman" w:eastAsia="Times New Roman" w:hAnsi="Times New Roman" w:cs="Times New Roman"/>
          <w:bCs/>
          <w:sz w:val="24"/>
          <w:szCs w:val="24"/>
          <w:lang w:eastAsia="pl-PL"/>
        </w:rPr>
        <w:t xml:space="preserve"> </w:t>
      </w:r>
      <w:r w:rsidR="00B552F5" w:rsidRPr="00F749CA">
        <w:rPr>
          <w:rFonts w:ascii="Times New Roman" w:eastAsia="Times New Roman" w:hAnsi="Times New Roman" w:cs="Times New Roman"/>
          <w:bCs/>
          <w:sz w:val="24"/>
          <w:szCs w:val="24"/>
          <w:lang w:eastAsia="pl-PL"/>
        </w:rPr>
        <w:t xml:space="preserve">oraz modyfikacji rozwiązań dotyczących przechodzenia w stan spoczynku bez uzyskania </w:t>
      </w:r>
      <w:r w:rsidR="00B552F5" w:rsidRPr="00F749CA">
        <w:rPr>
          <w:rFonts w:ascii="Times New Roman" w:eastAsia="Times New Roman" w:hAnsi="Times New Roman" w:cs="Times New Roman"/>
          <w:bCs/>
          <w:sz w:val="24"/>
          <w:szCs w:val="24"/>
          <w:lang w:eastAsia="pl-PL"/>
        </w:rPr>
        <w:lastRenderedPageBreak/>
        <w:t>orzeczenia lekarza orzecznika Zakładu Ubezpieczeń Społecznych o trwałej niezdolności do pełnienia urzędu sędziego,</w:t>
      </w:r>
    </w:p>
    <w:p w:rsidR="00BB20D0" w:rsidRPr="00F749CA" w:rsidRDefault="00BB20D0" w:rsidP="005F04CE">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wprowadzeni</w:t>
      </w:r>
      <w:r w:rsidR="00C11555" w:rsidRPr="00F749CA">
        <w:rPr>
          <w:rFonts w:ascii="Times New Roman" w:eastAsia="Times New Roman" w:hAnsi="Times New Roman" w:cs="Times New Roman"/>
          <w:bCs/>
          <w:sz w:val="24"/>
          <w:szCs w:val="24"/>
          <w:lang w:eastAsia="pl-PL"/>
        </w:rPr>
        <w:t>a</w:t>
      </w:r>
      <w:r w:rsidRPr="00F749CA">
        <w:rPr>
          <w:rFonts w:ascii="Times New Roman" w:eastAsia="Times New Roman" w:hAnsi="Times New Roman" w:cs="Times New Roman"/>
          <w:bCs/>
          <w:sz w:val="24"/>
          <w:szCs w:val="24"/>
          <w:lang w:eastAsia="pl-PL"/>
        </w:rPr>
        <w:t xml:space="preserve"> możliwości delegacji sędziego </w:t>
      </w:r>
      <w:r w:rsidR="00B552F5" w:rsidRPr="00F749CA">
        <w:rPr>
          <w:rFonts w:ascii="Times New Roman" w:eastAsia="Times New Roman" w:hAnsi="Times New Roman" w:cs="Times New Roman"/>
          <w:bCs/>
          <w:sz w:val="24"/>
          <w:szCs w:val="24"/>
          <w:lang w:eastAsia="pl-PL"/>
        </w:rPr>
        <w:t xml:space="preserve">także </w:t>
      </w:r>
      <w:r w:rsidRPr="00F749CA">
        <w:rPr>
          <w:rFonts w:ascii="Times New Roman" w:eastAsia="Times New Roman" w:hAnsi="Times New Roman" w:cs="Times New Roman"/>
          <w:bCs/>
          <w:sz w:val="24"/>
          <w:szCs w:val="24"/>
          <w:lang w:eastAsia="pl-PL"/>
        </w:rPr>
        <w:t>do Ministerstwa Spraw Zagranicznych oraz Kancelarii Prezydenta RP,</w:t>
      </w:r>
    </w:p>
    <w:p w:rsidR="00BB20D0" w:rsidRPr="00F749CA" w:rsidRDefault="00C11555" w:rsidP="00BB20D0">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zmiany</w:t>
      </w:r>
      <w:r w:rsidR="00BB20D0" w:rsidRPr="00F749CA">
        <w:rPr>
          <w:rFonts w:ascii="Times New Roman" w:eastAsia="Times New Roman" w:hAnsi="Times New Roman" w:cs="Times New Roman"/>
          <w:bCs/>
          <w:sz w:val="24"/>
          <w:szCs w:val="24"/>
          <w:lang w:eastAsia="pl-PL"/>
        </w:rPr>
        <w:t xml:space="preserve"> przesłanek uprawniających do powołania na stanowisko sędziego sądu apelacyjnego nakierowana na odejście od wymogu stażu zawodowego w sądzie okręgowym,  </w:t>
      </w:r>
    </w:p>
    <w:p w:rsidR="00BB20D0" w:rsidRPr="00F749CA" w:rsidRDefault="00BB20D0" w:rsidP="00BB20D0">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doprecyzow</w:t>
      </w:r>
      <w:r w:rsidR="00C11555" w:rsidRPr="00F749CA">
        <w:rPr>
          <w:rFonts w:ascii="Times New Roman" w:eastAsia="Times New Roman" w:hAnsi="Times New Roman" w:cs="Times New Roman"/>
          <w:bCs/>
          <w:sz w:val="24"/>
          <w:szCs w:val="24"/>
          <w:lang w:eastAsia="pl-PL"/>
        </w:rPr>
        <w:t>ania</w:t>
      </w:r>
      <w:r w:rsidRPr="00F749CA">
        <w:rPr>
          <w:rFonts w:ascii="Times New Roman" w:eastAsia="Times New Roman" w:hAnsi="Times New Roman" w:cs="Times New Roman"/>
          <w:bCs/>
          <w:sz w:val="24"/>
          <w:szCs w:val="24"/>
          <w:lang w:eastAsia="pl-PL"/>
        </w:rPr>
        <w:t xml:space="preserve"> zasad składania przez sędziów</w:t>
      </w:r>
      <w:r w:rsidR="00C11555" w:rsidRPr="00F749CA">
        <w:rPr>
          <w:rFonts w:ascii="Times New Roman" w:eastAsia="Times New Roman" w:hAnsi="Times New Roman" w:cs="Times New Roman"/>
          <w:bCs/>
          <w:sz w:val="24"/>
          <w:szCs w:val="24"/>
          <w:lang w:eastAsia="pl-PL"/>
        </w:rPr>
        <w:t xml:space="preserve"> (i prokuratorów)</w:t>
      </w:r>
      <w:r w:rsidRPr="00F749CA">
        <w:rPr>
          <w:rFonts w:ascii="Times New Roman" w:eastAsia="Times New Roman" w:hAnsi="Times New Roman" w:cs="Times New Roman"/>
          <w:bCs/>
          <w:sz w:val="24"/>
          <w:szCs w:val="24"/>
          <w:lang w:eastAsia="pl-PL"/>
        </w:rPr>
        <w:t xml:space="preserve"> oświadczeń o stanie majątkowym,</w:t>
      </w:r>
      <w:r w:rsidR="00935411" w:rsidRPr="00F749CA">
        <w:rPr>
          <w:rFonts w:ascii="Times New Roman" w:eastAsia="Times New Roman" w:hAnsi="Times New Roman" w:cs="Times New Roman"/>
          <w:bCs/>
          <w:sz w:val="24"/>
          <w:szCs w:val="24"/>
          <w:lang w:eastAsia="pl-PL"/>
        </w:rPr>
        <w:t xml:space="preserve"> poszerzenia zakresu informacji zawartych w oświadczeniu,</w:t>
      </w:r>
      <w:r w:rsidRPr="00F749CA">
        <w:rPr>
          <w:rFonts w:ascii="Times New Roman" w:eastAsia="Times New Roman" w:hAnsi="Times New Roman" w:cs="Times New Roman"/>
          <w:bCs/>
          <w:sz w:val="24"/>
          <w:szCs w:val="24"/>
          <w:lang w:eastAsia="pl-PL"/>
        </w:rPr>
        <w:t xml:space="preserve"> a także zobowiązanie do składania oświadczeń o stanie majątkowym dyrektorów </w:t>
      </w:r>
      <w:r w:rsidR="00935411" w:rsidRPr="00F749CA">
        <w:rPr>
          <w:rFonts w:ascii="Times New Roman" w:eastAsia="Times New Roman" w:hAnsi="Times New Roman" w:cs="Times New Roman"/>
          <w:bCs/>
          <w:sz w:val="24"/>
          <w:szCs w:val="24"/>
          <w:lang w:eastAsia="pl-PL"/>
        </w:rPr>
        <w:t xml:space="preserve">i zastępców dyrektorów </w:t>
      </w:r>
      <w:r w:rsidRPr="00F749CA">
        <w:rPr>
          <w:rFonts w:ascii="Times New Roman" w:eastAsia="Times New Roman" w:hAnsi="Times New Roman" w:cs="Times New Roman"/>
          <w:bCs/>
          <w:sz w:val="24"/>
          <w:szCs w:val="24"/>
          <w:lang w:eastAsia="pl-PL"/>
        </w:rPr>
        <w:t>sądów,</w:t>
      </w:r>
    </w:p>
    <w:p w:rsidR="00D25D18" w:rsidRPr="00F749CA" w:rsidRDefault="00D25D18" w:rsidP="00D25D18">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wprowadzeni</w:t>
      </w:r>
      <w:r w:rsidR="00C11555" w:rsidRPr="00F749CA">
        <w:rPr>
          <w:rFonts w:ascii="Times New Roman" w:eastAsia="Times New Roman" w:hAnsi="Times New Roman" w:cs="Times New Roman"/>
          <w:bCs/>
          <w:sz w:val="24"/>
          <w:szCs w:val="24"/>
          <w:lang w:eastAsia="pl-PL"/>
        </w:rPr>
        <w:t>a</w:t>
      </w:r>
      <w:r w:rsidRPr="00F749CA">
        <w:rPr>
          <w:rFonts w:ascii="Times New Roman" w:eastAsia="Times New Roman" w:hAnsi="Times New Roman" w:cs="Times New Roman"/>
          <w:bCs/>
          <w:sz w:val="24"/>
          <w:szCs w:val="24"/>
          <w:lang w:eastAsia="pl-PL"/>
        </w:rPr>
        <w:t xml:space="preserve"> instytucji koordynatorów do spraw współpracy międzynarodowej, prawa europejskiego i praw człowieka w sprawach cywilnych i karnych w celu usprawnienia praktykę wymiany informacji i doświadczeń dotyczących współpracy międzynarodowej i</w:t>
      </w:r>
      <w:r w:rsidR="00935411"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praw człowieka.</w:t>
      </w:r>
    </w:p>
    <w:p w:rsidR="005F04CE" w:rsidRPr="00F749CA" w:rsidRDefault="005F04CE" w:rsidP="005F04CE">
      <w:pPr>
        <w:pStyle w:val="Akapitzlist"/>
        <w:numPr>
          <w:ilvl w:val="0"/>
          <w:numId w:val="1"/>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zwiększeni</w:t>
      </w:r>
      <w:r w:rsidR="00C11555" w:rsidRPr="00F749CA">
        <w:rPr>
          <w:rFonts w:ascii="Times New Roman" w:eastAsia="Times New Roman" w:hAnsi="Times New Roman" w:cs="Times New Roman"/>
          <w:bCs/>
          <w:sz w:val="24"/>
          <w:szCs w:val="24"/>
          <w:lang w:eastAsia="pl-PL"/>
        </w:rPr>
        <w:t>a</w:t>
      </w:r>
      <w:r w:rsidRPr="00F749CA">
        <w:rPr>
          <w:rFonts w:ascii="Times New Roman" w:eastAsia="Times New Roman" w:hAnsi="Times New Roman" w:cs="Times New Roman"/>
          <w:bCs/>
          <w:sz w:val="24"/>
          <w:szCs w:val="24"/>
          <w:lang w:eastAsia="pl-PL"/>
        </w:rPr>
        <w:t xml:space="preserve"> efektywności wykorzystywania środków gromadzonych w ramach świadczeń pieniężnych zasądzanych od sprawców przestępstw na fundusz celowy (Fundusz Pomocy Pokrzywdzonym oraz Pomocy Postpenitencjarnej) określony w</w:t>
      </w:r>
      <w:r w:rsidR="00935411"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ustawie.</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Przechodząc do analizy poszczególnych projektowanych rozwiązań należy wskazać, co następuje. </w:t>
      </w:r>
    </w:p>
    <w:p w:rsidR="00935411" w:rsidRPr="00F749CA" w:rsidRDefault="00935411"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89342D" w:rsidRPr="00F749CA" w:rsidRDefault="0089342D"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Doprecyzowanie treści art 1 § 3 ustawy z dnia 27 lipca 2001 r. Prawo o ustroju sądów powszechnych (Dz. U. z 2016 r. poz. 2062, z późn. zm., zwanej dalej „u.s.p.”) ma na celu unormowanie obecnej praktyki w zakresie dotyczącym wykonywania przez sądy (w ramach zadań z zakresu ochrony prawnej) także czynności w sprawach o alimenty zagraniczne, w</w:t>
      </w:r>
      <w:r w:rsidR="00935411"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oparciu o regulacje zawarte w umowach międzynarodowych, rozporządzenia</w:t>
      </w:r>
      <w:r w:rsidR="00935411" w:rsidRPr="00F749CA">
        <w:rPr>
          <w:rFonts w:ascii="Times New Roman" w:eastAsia="Times New Roman" w:hAnsi="Times New Roman" w:cs="Times New Roman"/>
          <w:bCs/>
          <w:sz w:val="24"/>
          <w:szCs w:val="24"/>
          <w:lang w:eastAsia="pl-PL"/>
        </w:rPr>
        <w:t>ch</w:t>
      </w:r>
      <w:r w:rsidRPr="00F749CA">
        <w:rPr>
          <w:rFonts w:ascii="Times New Roman" w:eastAsia="Times New Roman" w:hAnsi="Times New Roman" w:cs="Times New Roman"/>
          <w:bCs/>
          <w:sz w:val="24"/>
          <w:szCs w:val="24"/>
          <w:lang w:eastAsia="pl-PL"/>
        </w:rPr>
        <w:t xml:space="preserve"> UE oraz o</w:t>
      </w:r>
      <w:r w:rsidR="00935411"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porozumienia o wzajemności faktycznej. </w:t>
      </w:r>
    </w:p>
    <w:p w:rsidR="00935411" w:rsidRPr="00F749CA" w:rsidRDefault="00935411"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317F89" w:rsidRPr="00F749CA" w:rsidRDefault="0089342D"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Dodanie art. 9aa  u.s.p. służy umożliwieniu Ministrowi Sprawiedliwości powierzenia po</w:t>
      </w:r>
      <w:r w:rsidR="00FC4C50" w:rsidRPr="00F749CA">
        <w:rPr>
          <w:rFonts w:ascii="Times New Roman" w:eastAsia="Times New Roman" w:hAnsi="Times New Roman" w:cs="Times New Roman"/>
          <w:bCs/>
          <w:sz w:val="24"/>
          <w:szCs w:val="24"/>
          <w:lang w:eastAsia="pl-PL"/>
        </w:rPr>
        <w:t xml:space="preserve">siadanych przez niego uprawnień, w szczególności dotyczących czynności </w:t>
      </w:r>
      <w:r w:rsidR="00FC4C50" w:rsidRPr="00F749CA">
        <w:rPr>
          <w:rFonts w:ascii="Times New Roman" w:eastAsia="Times New Roman" w:hAnsi="Times New Roman" w:cs="Times New Roman"/>
          <w:bCs/>
          <w:sz w:val="24"/>
          <w:szCs w:val="24"/>
          <w:lang w:eastAsia="pl-PL"/>
        </w:rPr>
        <w:lastRenderedPageBreak/>
        <w:t>podejmowanych w indywidualnych sprawach sędziów, zastępującym go</w:t>
      </w:r>
      <w:r w:rsidR="00935411" w:rsidRPr="00F749CA">
        <w:rPr>
          <w:rFonts w:ascii="Times New Roman" w:eastAsia="Times New Roman" w:hAnsi="Times New Roman" w:cs="Times New Roman"/>
          <w:bCs/>
          <w:sz w:val="24"/>
          <w:szCs w:val="24"/>
          <w:lang w:eastAsia="pl-PL"/>
        </w:rPr>
        <w:t xml:space="preserve"> </w:t>
      </w:r>
      <w:r w:rsidR="00FC4C50" w:rsidRPr="00F749CA">
        <w:rPr>
          <w:rFonts w:ascii="Times New Roman" w:eastAsia="Times New Roman" w:hAnsi="Times New Roman" w:cs="Times New Roman"/>
          <w:bCs/>
          <w:sz w:val="24"/>
          <w:szCs w:val="24"/>
          <w:lang w:eastAsia="pl-PL"/>
        </w:rPr>
        <w:t>sekretarzowi lub podsekretarzom stanu</w:t>
      </w:r>
      <w:r w:rsidR="00317F89" w:rsidRPr="00F749CA">
        <w:rPr>
          <w:rFonts w:ascii="Times New Roman" w:eastAsia="Times New Roman" w:hAnsi="Times New Roman" w:cs="Times New Roman"/>
          <w:bCs/>
          <w:sz w:val="24"/>
          <w:szCs w:val="24"/>
          <w:lang w:eastAsia="pl-PL"/>
        </w:rPr>
        <w:t>,</w:t>
      </w:r>
      <w:r w:rsidR="00FC4C50" w:rsidRPr="00F749CA">
        <w:rPr>
          <w:rFonts w:ascii="Times New Roman" w:eastAsia="Times New Roman" w:hAnsi="Times New Roman" w:cs="Times New Roman"/>
          <w:bCs/>
          <w:sz w:val="24"/>
          <w:szCs w:val="24"/>
          <w:lang w:eastAsia="pl-PL"/>
        </w:rPr>
        <w:t xml:space="preserve"> w celu usprawnienia funkcjonowania organu administracji rządowej. </w:t>
      </w:r>
      <w:r w:rsidR="00317F89" w:rsidRPr="00F749CA">
        <w:rPr>
          <w:rFonts w:ascii="Times New Roman" w:eastAsia="Times New Roman" w:hAnsi="Times New Roman" w:cs="Times New Roman"/>
          <w:bCs/>
          <w:sz w:val="24"/>
          <w:szCs w:val="24"/>
          <w:lang w:eastAsia="pl-PL"/>
        </w:rPr>
        <w:t>Wskazana norma jest niezbędna przy uwzględnieniu poglądu zaprezentowanego przez Sąd Najwyższy w uchwale pełnego składu Sądu Najwyższego z dnia 14 listopada 2007 r., sygn. akt</w:t>
      </w:r>
      <w:r w:rsidR="00935411" w:rsidRPr="00F749CA">
        <w:rPr>
          <w:rFonts w:ascii="Times New Roman" w:eastAsia="Times New Roman" w:hAnsi="Times New Roman" w:cs="Times New Roman"/>
          <w:bCs/>
          <w:sz w:val="24"/>
          <w:szCs w:val="24"/>
          <w:lang w:eastAsia="pl-PL"/>
        </w:rPr>
        <w:t>:</w:t>
      </w:r>
      <w:r w:rsidR="00317F89" w:rsidRPr="00F749CA">
        <w:rPr>
          <w:rFonts w:ascii="Times New Roman" w:eastAsia="Times New Roman" w:hAnsi="Times New Roman" w:cs="Times New Roman"/>
          <w:bCs/>
          <w:sz w:val="24"/>
          <w:szCs w:val="24"/>
          <w:lang w:eastAsia="pl-PL"/>
        </w:rPr>
        <w:t xml:space="preserve"> BSA I-4110-5/07, w której wskazano, na tle obecnego stanu prawnego, że wydaniu decyzji o przeniesieniu sędziego na inne miejsce Minister Sprawiedliwości nie może być zastąpiony przez sekretarza ani podsekretarza stanu. Uzasadnia to wprowadzenie jednoznacznej regulacji prawnej na poziomie ustawowym, pozwalającej na powierzenie wszelkich uprawnień Ministra Sprawiedliwości zastępującym go wiceministrom. </w:t>
      </w:r>
    </w:p>
    <w:p w:rsidR="00935411" w:rsidRPr="00F749CA" w:rsidRDefault="00935411"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89342D" w:rsidRPr="00F749CA" w:rsidRDefault="00FC4C50"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Zmiany przewidziane w dodawanych art 16b i 16c u.s.p. służą utworzeniu w okręg</w:t>
      </w:r>
      <w:r w:rsidR="00AD1BFB" w:rsidRPr="00F749CA">
        <w:rPr>
          <w:rFonts w:ascii="Times New Roman" w:eastAsia="Times New Roman" w:hAnsi="Times New Roman" w:cs="Times New Roman"/>
          <w:bCs/>
          <w:sz w:val="24"/>
          <w:szCs w:val="24"/>
          <w:lang w:eastAsia="pl-PL"/>
        </w:rPr>
        <w:t xml:space="preserve">ach sądowych </w:t>
      </w:r>
      <w:r w:rsidRPr="00F749CA">
        <w:rPr>
          <w:rFonts w:ascii="Times New Roman" w:eastAsia="Times New Roman" w:hAnsi="Times New Roman" w:cs="Times New Roman"/>
          <w:bCs/>
          <w:sz w:val="24"/>
          <w:szCs w:val="24"/>
          <w:lang w:eastAsia="pl-PL"/>
        </w:rPr>
        <w:t>koordynatorów do spraw współpracy międzynarodowej i praw człowieka w</w:t>
      </w:r>
      <w:r w:rsidR="00935411"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sprawach cywilnych i karnych. </w:t>
      </w:r>
    </w:p>
    <w:p w:rsidR="009361FE" w:rsidRPr="00F749CA" w:rsidRDefault="0089342D" w:rsidP="009361FE">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hAnsi="Times New Roman" w:cs="Times New Roman"/>
          <w:sz w:val="24"/>
          <w:szCs w:val="24"/>
        </w:rPr>
        <w:tab/>
      </w:r>
      <w:r w:rsidR="00FC4C50" w:rsidRPr="00F749CA">
        <w:rPr>
          <w:rFonts w:ascii="Times New Roman" w:eastAsia="Times New Roman" w:hAnsi="Times New Roman" w:cs="Times New Roman"/>
          <w:bCs/>
          <w:sz w:val="24"/>
          <w:szCs w:val="24"/>
          <w:lang w:eastAsia="pl-PL"/>
        </w:rPr>
        <w:t>Już o</w:t>
      </w:r>
      <w:r w:rsidRPr="00F749CA">
        <w:rPr>
          <w:rFonts w:ascii="Times New Roman" w:eastAsia="Times New Roman" w:hAnsi="Times New Roman" w:cs="Times New Roman"/>
          <w:bCs/>
          <w:sz w:val="24"/>
          <w:szCs w:val="24"/>
          <w:lang w:eastAsia="pl-PL"/>
        </w:rPr>
        <w:t>becnie w niektórych sądach działają konsultanci ds. prawa europejskiego różnych specjalności (np. SO Słupsk), w innych wizytatorzy ds. obrotu międzynarodowego różnych specjalności (np. SO Łódź), w niektórych funkcjonują sekcje lub wydziały ds. współpracy międzynarodowej w sprawach cywilnych lub karnych (np. SO Kielce). Istotą tych wszystkich rozwiązań jest dostrzeżenie, że zagadnienia współpracy międzynarodowej, prawa europejskiego i praw człowieka są na tyle specyficzne, że wymagają specjalizacji (szczególnej wiedzy i doświadczenia). Specjalizację wymusza to, że aktualne tendencje w</w:t>
      </w:r>
      <w:r w:rsidR="00935411"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zakresie współpracy międzynarodowej polegają na decentralizacji obrotu, tak daleko jak to tylko możliwe.</w:t>
      </w:r>
      <w:r w:rsidR="00317F89" w:rsidRPr="00F749CA">
        <w:rPr>
          <w:rFonts w:ascii="Times New Roman" w:eastAsia="Times New Roman" w:hAnsi="Times New Roman" w:cs="Times New Roman"/>
          <w:sz w:val="24"/>
          <w:szCs w:val="24"/>
          <w:lang w:eastAsia="pl-PL"/>
        </w:rPr>
        <w:t xml:space="preserve"> Celowe jest</w:t>
      </w:r>
      <w:r w:rsidR="009361FE" w:rsidRPr="00F749CA">
        <w:rPr>
          <w:rFonts w:ascii="Times New Roman" w:eastAsia="Times New Roman" w:hAnsi="Times New Roman" w:cs="Times New Roman"/>
          <w:sz w:val="24"/>
          <w:szCs w:val="24"/>
          <w:lang w:eastAsia="pl-PL"/>
        </w:rPr>
        <w:t xml:space="preserve"> zatem,</w:t>
      </w:r>
      <w:r w:rsidR="00317F89" w:rsidRPr="00F749CA">
        <w:rPr>
          <w:rFonts w:ascii="Times New Roman" w:eastAsia="Times New Roman" w:hAnsi="Times New Roman" w:cs="Times New Roman"/>
          <w:sz w:val="24"/>
          <w:szCs w:val="24"/>
          <w:lang w:eastAsia="pl-PL"/>
        </w:rPr>
        <w:t xml:space="preserve"> aby zinstytucjonalizować praktykę dzielenia się przez nich swoją wiedzą i doświadczeniem tworząc funkcję koordynatora ds. współpracy międzynarodowej i praw człowieka.</w:t>
      </w:r>
    </w:p>
    <w:p w:rsidR="009361FE" w:rsidRPr="00F749CA" w:rsidRDefault="009361FE" w:rsidP="009361FE">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eastAsia="Times New Roman" w:hAnsi="Times New Roman" w:cs="Times New Roman"/>
          <w:sz w:val="24"/>
          <w:szCs w:val="24"/>
          <w:lang w:eastAsia="pl-PL"/>
        </w:rPr>
        <w:t xml:space="preserve">Dodatkowo, mając na względzie zakres zadań prezesa sądu i przewodniczącego wydziału, w tym fakt, iż </w:t>
      </w:r>
      <w:r w:rsidR="00317F89" w:rsidRPr="00F749CA">
        <w:rPr>
          <w:rFonts w:ascii="Times New Roman" w:eastAsia="Times New Roman" w:hAnsi="Times New Roman" w:cs="Times New Roman"/>
          <w:sz w:val="24"/>
          <w:szCs w:val="24"/>
          <w:lang w:eastAsia="pl-PL"/>
        </w:rPr>
        <w:t xml:space="preserve">§ 57 ust. 1 pkt 4 </w:t>
      </w:r>
      <w:r w:rsidRPr="00F749CA">
        <w:rPr>
          <w:rFonts w:ascii="Times New Roman" w:eastAsia="Times New Roman" w:hAnsi="Times New Roman" w:cs="Times New Roman"/>
          <w:sz w:val="24"/>
          <w:szCs w:val="24"/>
          <w:lang w:eastAsia="pl-PL"/>
        </w:rPr>
        <w:t>rozporządzenia Ministra Sprawiedliwości z dnia 23</w:t>
      </w:r>
      <w:r w:rsidR="00935411" w:rsidRPr="00F749CA">
        <w:rPr>
          <w:rFonts w:ascii="Times New Roman" w:eastAsia="Times New Roman" w:hAnsi="Times New Roman" w:cs="Times New Roman"/>
          <w:sz w:val="24"/>
          <w:szCs w:val="24"/>
          <w:lang w:eastAsia="pl-PL"/>
        </w:rPr>
        <w:t> </w:t>
      </w:r>
      <w:r w:rsidRPr="00F749CA">
        <w:rPr>
          <w:rFonts w:ascii="Times New Roman" w:eastAsia="Times New Roman" w:hAnsi="Times New Roman" w:cs="Times New Roman"/>
          <w:sz w:val="24"/>
          <w:szCs w:val="24"/>
          <w:lang w:eastAsia="pl-PL"/>
        </w:rPr>
        <w:t xml:space="preserve">grudnia 2015 r. – Regulamin urzędowania sądów powszechnych (Dz. U. poz. 2316 z późn. zm.) </w:t>
      </w:r>
      <w:r w:rsidR="00317F89" w:rsidRPr="00F749CA">
        <w:rPr>
          <w:rFonts w:ascii="Times New Roman" w:eastAsia="Times New Roman" w:hAnsi="Times New Roman" w:cs="Times New Roman"/>
          <w:sz w:val="24"/>
          <w:szCs w:val="24"/>
          <w:lang w:eastAsia="pl-PL"/>
        </w:rPr>
        <w:t>zobowiązuje przewodniczącego wydziału do organizowania narad w przedmiocie orzecznictwa i informowania sędziów o bieżącym orzecznictwie S</w:t>
      </w:r>
      <w:r w:rsidR="00935411" w:rsidRPr="00F749CA">
        <w:rPr>
          <w:rFonts w:ascii="Times New Roman" w:eastAsia="Times New Roman" w:hAnsi="Times New Roman" w:cs="Times New Roman"/>
          <w:sz w:val="24"/>
          <w:szCs w:val="24"/>
          <w:lang w:eastAsia="pl-PL"/>
        </w:rPr>
        <w:t xml:space="preserve">ądu </w:t>
      </w:r>
      <w:r w:rsidR="00317F89" w:rsidRPr="00F749CA">
        <w:rPr>
          <w:rFonts w:ascii="Times New Roman" w:eastAsia="Times New Roman" w:hAnsi="Times New Roman" w:cs="Times New Roman"/>
          <w:sz w:val="24"/>
          <w:szCs w:val="24"/>
          <w:lang w:eastAsia="pl-PL"/>
        </w:rPr>
        <w:t>N</w:t>
      </w:r>
      <w:r w:rsidR="00935411" w:rsidRPr="00F749CA">
        <w:rPr>
          <w:rFonts w:ascii="Times New Roman" w:eastAsia="Times New Roman" w:hAnsi="Times New Roman" w:cs="Times New Roman"/>
          <w:sz w:val="24"/>
          <w:szCs w:val="24"/>
          <w:lang w:eastAsia="pl-PL"/>
        </w:rPr>
        <w:t>ajwyższego</w:t>
      </w:r>
      <w:r w:rsidR="00317F89" w:rsidRPr="00F749CA">
        <w:rPr>
          <w:rFonts w:ascii="Times New Roman" w:eastAsia="Times New Roman" w:hAnsi="Times New Roman" w:cs="Times New Roman"/>
          <w:sz w:val="24"/>
          <w:szCs w:val="24"/>
          <w:lang w:eastAsia="pl-PL"/>
        </w:rPr>
        <w:t>, celowe jest upoważnienie koordynatora</w:t>
      </w:r>
      <w:r w:rsidRPr="00F749CA">
        <w:rPr>
          <w:rFonts w:ascii="Times New Roman" w:eastAsia="Times New Roman" w:hAnsi="Times New Roman" w:cs="Times New Roman"/>
          <w:sz w:val="24"/>
          <w:szCs w:val="24"/>
          <w:lang w:eastAsia="pl-PL"/>
        </w:rPr>
        <w:t xml:space="preserve"> do </w:t>
      </w:r>
      <w:r w:rsidR="00317F89" w:rsidRPr="00F749CA">
        <w:rPr>
          <w:rFonts w:ascii="Times New Roman" w:eastAsia="Times New Roman" w:hAnsi="Times New Roman" w:cs="Times New Roman"/>
          <w:sz w:val="24"/>
          <w:szCs w:val="24"/>
          <w:lang w:eastAsia="pl-PL"/>
        </w:rPr>
        <w:t xml:space="preserve">sygnalizowania właściwemu przewodniczącemu problemów w zakresie danej specjalistycznej problematyki oraz powierzenie mu obowiązków informacyjnych w tym zakresie. Odpowiednio celowe jest zinstytucjonalizowanie możliwości </w:t>
      </w:r>
      <w:r w:rsidR="00317F89" w:rsidRPr="00F749CA">
        <w:rPr>
          <w:rFonts w:ascii="Times New Roman" w:eastAsia="Times New Roman" w:hAnsi="Times New Roman" w:cs="Times New Roman"/>
          <w:sz w:val="24"/>
          <w:szCs w:val="24"/>
          <w:lang w:eastAsia="pl-PL"/>
        </w:rPr>
        <w:lastRenderedPageBreak/>
        <w:t xml:space="preserve">zwrócenia prezesowi sądu uwagi na celowość wystąpienia do </w:t>
      </w:r>
      <w:r w:rsidR="00935411" w:rsidRPr="00F749CA">
        <w:rPr>
          <w:rFonts w:ascii="Times New Roman" w:eastAsia="Times New Roman" w:hAnsi="Times New Roman" w:cs="Times New Roman"/>
          <w:sz w:val="24"/>
          <w:szCs w:val="24"/>
          <w:lang w:eastAsia="pl-PL"/>
        </w:rPr>
        <w:t xml:space="preserve">Sądu Najwyższego </w:t>
      </w:r>
      <w:r w:rsidR="00317F89" w:rsidRPr="00F749CA">
        <w:rPr>
          <w:rFonts w:ascii="Times New Roman" w:eastAsia="Times New Roman" w:hAnsi="Times New Roman" w:cs="Times New Roman"/>
          <w:sz w:val="24"/>
          <w:szCs w:val="24"/>
          <w:lang w:eastAsia="pl-PL"/>
        </w:rPr>
        <w:t>z</w:t>
      </w:r>
      <w:r w:rsidR="00935411" w:rsidRPr="00F749CA">
        <w:rPr>
          <w:rFonts w:ascii="Times New Roman" w:eastAsia="Times New Roman" w:hAnsi="Times New Roman" w:cs="Times New Roman"/>
          <w:sz w:val="24"/>
          <w:szCs w:val="24"/>
          <w:lang w:eastAsia="pl-PL"/>
        </w:rPr>
        <w:t> </w:t>
      </w:r>
      <w:r w:rsidR="00317F89" w:rsidRPr="00F749CA">
        <w:rPr>
          <w:rFonts w:ascii="Times New Roman" w:eastAsia="Times New Roman" w:hAnsi="Times New Roman" w:cs="Times New Roman"/>
          <w:sz w:val="24"/>
          <w:szCs w:val="24"/>
          <w:lang w:eastAsia="pl-PL"/>
        </w:rPr>
        <w:t>odpowiednią sygnalizacją niejednolitości orzecznictwa. Jest to uzasadnione specjalistycznym charakterem omawianych zagadnień.</w:t>
      </w:r>
    </w:p>
    <w:p w:rsidR="009361FE" w:rsidRPr="00F749CA" w:rsidRDefault="009361FE" w:rsidP="009361FE">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eastAsia="Times New Roman" w:hAnsi="Times New Roman" w:cs="Times New Roman"/>
          <w:sz w:val="24"/>
          <w:szCs w:val="24"/>
          <w:lang w:eastAsia="pl-PL"/>
        </w:rPr>
        <w:t>Kolejno, za n</w:t>
      </w:r>
      <w:r w:rsidR="00317F89" w:rsidRPr="00F749CA">
        <w:rPr>
          <w:rFonts w:ascii="Times New Roman" w:eastAsia="Times New Roman" w:hAnsi="Times New Roman" w:cs="Times New Roman"/>
          <w:sz w:val="24"/>
          <w:szCs w:val="24"/>
          <w:lang w:eastAsia="pl-PL"/>
        </w:rPr>
        <w:t xml:space="preserve">iedostateczne </w:t>
      </w:r>
      <w:r w:rsidRPr="00F749CA">
        <w:rPr>
          <w:rFonts w:ascii="Times New Roman" w:eastAsia="Times New Roman" w:hAnsi="Times New Roman" w:cs="Times New Roman"/>
          <w:sz w:val="24"/>
          <w:szCs w:val="24"/>
          <w:lang w:eastAsia="pl-PL"/>
        </w:rPr>
        <w:t>należy uznać</w:t>
      </w:r>
      <w:r w:rsidR="00317F89" w:rsidRPr="00F749CA">
        <w:rPr>
          <w:rFonts w:ascii="Times New Roman" w:eastAsia="Times New Roman" w:hAnsi="Times New Roman" w:cs="Times New Roman"/>
          <w:sz w:val="24"/>
          <w:szCs w:val="24"/>
          <w:lang w:eastAsia="pl-PL"/>
        </w:rPr>
        <w:t xml:space="preserve"> wykorzystanie skutecznego, szybkiego i</w:t>
      </w:r>
      <w:r w:rsidR="00935411" w:rsidRPr="00F749CA">
        <w:rPr>
          <w:rFonts w:ascii="Times New Roman" w:eastAsia="Times New Roman" w:hAnsi="Times New Roman" w:cs="Times New Roman"/>
          <w:sz w:val="24"/>
          <w:szCs w:val="24"/>
          <w:lang w:eastAsia="pl-PL"/>
        </w:rPr>
        <w:t> </w:t>
      </w:r>
      <w:r w:rsidR="00317F89" w:rsidRPr="00F749CA">
        <w:rPr>
          <w:rFonts w:ascii="Times New Roman" w:eastAsia="Times New Roman" w:hAnsi="Times New Roman" w:cs="Times New Roman"/>
          <w:sz w:val="24"/>
          <w:szCs w:val="24"/>
          <w:lang w:eastAsia="pl-PL"/>
        </w:rPr>
        <w:t>odformalizowanego narzędzia jakim jest Europejska Sieć Sąd</w:t>
      </w:r>
      <w:r w:rsidRPr="00F749CA">
        <w:rPr>
          <w:rFonts w:ascii="Times New Roman" w:eastAsia="Times New Roman" w:hAnsi="Times New Roman" w:cs="Times New Roman"/>
          <w:sz w:val="24"/>
          <w:szCs w:val="24"/>
          <w:lang w:eastAsia="pl-PL"/>
        </w:rPr>
        <w:t xml:space="preserve">owa w sprawach karnych, co jest </w:t>
      </w:r>
      <w:r w:rsidR="00317F89" w:rsidRPr="00F749CA">
        <w:rPr>
          <w:rFonts w:ascii="Times New Roman" w:eastAsia="Times New Roman" w:hAnsi="Times New Roman" w:cs="Times New Roman"/>
          <w:sz w:val="24"/>
          <w:szCs w:val="24"/>
          <w:lang w:eastAsia="pl-PL"/>
        </w:rPr>
        <w:t>spowodowane w szczególności tym, że wiedza o tej instytucji nie jest dostatecznie upowszechniona. Ponieważ punkty kontaktowe sieci usytuowane są w prokuraturze</w:t>
      </w:r>
      <w:r w:rsidR="00935411" w:rsidRPr="00F749CA">
        <w:rPr>
          <w:rFonts w:ascii="Times New Roman" w:eastAsia="Times New Roman" w:hAnsi="Times New Roman" w:cs="Times New Roman"/>
          <w:sz w:val="24"/>
          <w:szCs w:val="24"/>
          <w:lang w:eastAsia="pl-PL"/>
        </w:rPr>
        <w:t>,</w:t>
      </w:r>
      <w:r w:rsidR="00317F89" w:rsidRPr="00F749CA">
        <w:rPr>
          <w:rFonts w:ascii="Times New Roman" w:eastAsia="Times New Roman" w:hAnsi="Times New Roman" w:cs="Times New Roman"/>
          <w:sz w:val="24"/>
          <w:szCs w:val="24"/>
          <w:lang w:eastAsia="pl-PL"/>
        </w:rPr>
        <w:t xml:space="preserve"> sieć jest postrzegana jako instytucja obca sądom a korzystanie z niej jawi się jako skomplikowane. Koordynator w sprawach karnych </w:t>
      </w:r>
      <w:r w:rsidRPr="00F749CA">
        <w:rPr>
          <w:rFonts w:ascii="Times New Roman" w:eastAsia="Times New Roman" w:hAnsi="Times New Roman" w:cs="Times New Roman"/>
          <w:sz w:val="24"/>
          <w:szCs w:val="24"/>
          <w:lang w:eastAsia="pl-PL"/>
        </w:rPr>
        <w:t>byłby</w:t>
      </w:r>
      <w:r w:rsidR="00317F89" w:rsidRPr="00F749CA">
        <w:rPr>
          <w:rFonts w:ascii="Times New Roman" w:eastAsia="Times New Roman" w:hAnsi="Times New Roman" w:cs="Times New Roman"/>
          <w:sz w:val="24"/>
          <w:szCs w:val="24"/>
          <w:lang w:eastAsia="pl-PL"/>
        </w:rPr>
        <w:t xml:space="preserve"> „pośrednikiem” między sądami a prokuratorskimi punktami kontaktowymi sieci, w tym sensie, że przybliżałby sędziom praktyczne aspekty jej funkcjonowania i wyjaśniał ewentualne wątpliwości. Odpowiednio tego rodzaju zadania należałoby przydzielić koordynatorowi w sprawach cywilnych (w sądach powszechnych będzie ona instytucją nową). </w:t>
      </w:r>
      <w:r w:rsidRPr="00F749CA">
        <w:rPr>
          <w:rFonts w:ascii="Times New Roman" w:eastAsia="Times New Roman" w:hAnsi="Times New Roman" w:cs="Times New Roman"/>
          <w:sz w:val="24"/>
          <w:szCs w:val="24"/>
          <w:lang w:eastAsia="pl-PL"/>
        </w:rPr>
        <w:t>K</w:t>
      </w:r>
      <w:r w:rsidR="00317F89" w:rsidRPr="00F749CA">
        <w:rPr>
          <w:rFonts w:ascii="Times New Roman" w:eastAsia="Times New Roman" w:hAnsi="Times New Roman" w:cs="Times New Roman"/>
          <w:sz w:val="24"/>
          <w:szCs w:val="24"/>
          <w:lang w:eastAsia="pl-PL"/>
        </w:rPr>
        <w:t>oordynator ds. współpracy międzynarodowej w sprawach cywilnych stanowił</w:t>
      </w:r>
      <w:r w:rsidR="00935411" w:rsidRPr="00F749CA">
        <w:rPr>
          <w:rFonts w:ascii="Times New Roman" w:eastAsia="Times New Roman" w:hAnsi="Times New Roman" w:cs="Times New Roman"/>
          <w:sz w:val="24"/>
          <w:szCs w:val="24"/>
          <w:lang w:eastAsia="pl-PL"/>
        </w:rPr>
        <w:t>by</w:t>
      </w:r>
      <w:r w:rsidR="00317F89" w:rsidRPr="00F749CA">
        <w:rPr>
          <w:rFonts w:ascii="Times New Roman" w:eastAsia="Times New Roman" w:hAnsi="Times New Roman" w:cs="Times New Roman"/>
          <w:sz w:val="24"/>
          <w:szCs w:val="24"/>
          <w:lang w:eastAsia="pl-PL"/>
        </w:rPr>
        <w:t xml:space="preserve"> merytoryczne zaplecze dla urzędnika pełniącego funkcję punktu kontaktowego EJN w sprawach cywilnych („sędzia wspomagający” w rozumieniu Decyzji Rady 2001/470/WE z dnia 28 maja 2001 r. ustanawiającej Europejską Sieć Sądową w</w:t>
      </w:r>
      <w:r w:rsidR="00935411" w:rsidRPr="00F749CA">
        <w:rPr>
          <w:rFonts w:ascii="Times New Roman" w:eastAsia="Times New Roman" w:hAnsi="Times New Roman" w:cs="Times New Roman"/>
          <w:sz w:val="24"/>
          <w:szCs w:val="24"/>
          <w:lang w:eastAsia="pl-PL"/>
        </w:rPr>
        <w:t> </w:t>
      </w:r>
      <w:r w:rsidR="00317F89" w:rsidRPr="00F749CA">
        <w:rPr>
          <w:rFonts w:ascii="Times New Roman" w:eastAsia="Times New Roman" w:hAnsi="Times New Roman" w:cs="Times New Roman"/>
          <w:sz w:val="24"/>
          <w:szCs w:val="24"/>
          <w:lang w:eastAsia="pl-PL"/>
        </w:rPr>
        <w:t>sprawach cywilnych i handlowych), np. udzielał tekst prawa polskiego oraz wyjaśnia praktykę jego stosowania i był członkiem tejże sieci. Powierzenie tego zadania koordynatorowi w sprawach karnych nie jest niezbędne, gdyż funkcję punktów kontaktowych karnej Europejskiej Sieci Sądowej pełnią prokuratorzy.</w:t>
      </w:r>
    </w:p>
    <w:p w:rsidR="00894CA5" w:rsidRPr="00F749CA" w:rsidRDefault="009361FE" w:rsidP="00894CA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eastAsia="Times New Roman" w:hAnsi="Times New Roman" w:cs="Times New Roman"/>
          <w:sz w:val="24"/>
          <w:szCs w:val="24"/>
          <w:lang w:eastAsia="pl-PL"/>
        </w:rPr>
        <w:t>Należy także zwrócić uwagę, że Konwencja o Ochronie Praw Człowieka i</w:t>
      </w:r>
      <w:r w:rsidR="00935411" w:rsidRPr="00F749CA">
        <w:rPr>
          <w:rFonts w:ascii="Times New Roman" w:eastAsia="Times New Roman" w:hAnsi="Times New Roman" w:cs="Times New Roman"/>
          <w:sz w:val="24"/>
          <w:szCs w:val="24"/>
          <w:lang w:eastAsia="pl-PL"/>
        </w:rPr>
        <w:t> </w:t>
      </w:r>
      <w:r w:rsidRPr="00F749CA">
        <w:rPr>
          <w:rFonts w:ascii="Times New Roman" w:eastAsia="Times New Roman" w:hAnsi="Times New Roman" w:cs="Times New Roman"/>
          <w:sz w:val="24"/>
          <w:szCs w:val="24"/>
          <w:lang w:eastAsia="pl-PL"/>
        </w:rPr>
        <w:t xml:space="preserve">Podstawowych Wolności </w:t>
      </w:r>
      <w:r w:rsidR="00317F89" w:rsidRPr="00F749CA">
        <w:rPr>
          <w:rFonts w:ascii="Times New Roman" w:eastAsia="Times New Roman" w:hAnsi="Times New Roman" w:cs="Times New Roman"/>
          <w:sz w:val="24"/>
          <w:szCs w:val="24"/>
          <w:lang w:eastAsia="pl-PL"/>
        </w:rPr>
        <w:t>stanowi część krajowego porządku prawnego i podlega bezpośredniemu stosowaniu m.in. przez sądy krajowe. Normatywną treść ogólnie sformułowanym postanowieniom Konwencji nadaje orzecznictwo Europejskiego Trybunału Praw Człowieka, zaś organy Państwa-Strony Konwencji zobowiązane są do przestrzegania ostatecznych wyroków Trybunału wydanych w sprawach, w których są stronami.</w:t>
      </w:r>
      <w:r w:rsidR="00894CA5" w:rsidRPr="00F749CA">
        <w:rPr>
          <w:rFonts w:ascii="Times New Roman" w:eastAsia="Times New Roman" w:hAnsi="Times New Roman" w:cs="Times New Roman"/>
          <w:sz w:val="24"/>
          <w:szCs w:val="24"/>
          <w:lang w:eastAsia="pl-PL"/>
        </w:rPr>
        <w:t xml:space="preserve"> </w:t>
      </w:r>
      <w:r w:rsidR="00317F89" w:rsidRPr="00F749CA">
        <w:rPr>
          <w:rFonts w:ascii="Times New Roman" w:eastAsia="Times New Roman" w:hAnsi="Times New Roman" w:cs="Times New Roman"/>
          <w:sz w:val="24"/>
          <w:szCs w:val="24"/>
          <w:lang w:eastAsia="pl-PL"/>
        </w:rPr>
        <w:t>Powołanie koordynatorów będzie realizować zlecenia Rady Europy. Jak się podkreśla m.in. w Deklaracji Brukselskiej, przyjętej w dniu 27 marca 2015 r. na konferencji wysokiego szczebla Rady Europy nt. „Implementacji Konwencji o ochronie praw człowieka i</w:t>
      </w:r>
      <w:r w:rsidR="00894CA5" w:rsidRPr="00F749CA">
        <w:rPr>
          <w:rFonts w:ascii="Times New Roman" w:eastAsia="Times New Roman" w:hAnsi="Times New Roman" w:cs="Times New Roman"/>
          <w:sz w:val="24"/>
          <w:szCs w:val="24"/>
          <w:lang w:eastAsia="pl-PL"/>
        </w:rPr>
        <w:t> </w:t>
      </w:r>
      <w:r w:rsidR="00317F89" w:rsidRPr="00F749CA">
        <w:rPr>
          <w:rFonts w:ascii="Times New Roman" w:eastAsia="Times New Roman" w:hAnsi="Times New Roman" w:cs="Times New Roman"/>
          <w:sz w:val="24"/>
          <w:szCs w:val="24"/>
          <w:lang w:eastAsia="pl-PL"/>
        </w:rPr>
        <w:t xml:space="preserve">podstawowych wolności, wspólnej odpowiedzialności”, wykonywanie wyroków Trybunału może wymagać zaangażowania sądownictwa (preambuła, akapit 12). Deklaracja Brukselska potwierdza też, że władze krajowe, a w szczególności sądy, są pierwszymi strażnikami praw człowieka </w:t>
      </w:r>
      <w:r w:rsidR="00317F89" w:rsidRPr="00F749CA">
        <w:rPr>
          <w:rFonts w:ascii="Times New Roman" w:eastAsia="Times New Roman" w:hAnsi="Times New Roman" w:cs="Times New Roman"/>
          <w:sz w:val="24"/>
          <w:szCs w:val="24"/>
          <w:lang w:eastAsia="pl-PL"/>
        </w:rPr>
        <w:lastRenderedPageBreak/>
        <w:t xml:space="preserve">gwarantującymi pełne, skuteczne i bezpośrednie stosowanie Konwencji – w świetle orzecznictwa Trybunału – w ich narodowych systemach prawnych, zgodnie z zasadą subsydiarności (por. wprowadzenie do rozdziału B). W Deklaracji wzywa się Państwa-Strony do zwiększenia wysiłków na poziomie krajowym w celu udoskonalenia szkolenia m.in. sędziów, na temat Konwencji oraz jej implementacji, w tym w kwestiach dotyczących wykonywania wyroków Trybunału; promowania w tym względzie wizyt studyjnych oraz staży m.in. sędziów w Trybunale, w celu podnoszenia ich wiedzy na temat systemu konwencyjnego; promowania dostępności wyroków Trybunału; a także prowadzania na poziomie krajowym regularnych debat na temat wykonywania wyroków z udziałem m.in. władzy sądowniczej (por. pkt B.1.b) i c) oraz B.2.f) i j) Deklaracji Brukselskiej). </w:t>
      </w:r>
    </w:p>
    <w:p w:rsidR="00894CA5" w:rsidRPr="00F749CA" w:rsidRDefault="00317F89" w:rsidP="00894CA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eastAsia="Times New Roman" w:hAnsi="Times New Roman" w:cs="Times New Roman"/>
          <w:sz w:val="24"/>
          <w:szCs w:val="24"/>
          <w:lang w:eastAsia="pl-PL"/>
        </w:rPr>
        <w:t xml:space="preserve">Na szczególną uwagę zasługuje postulat Deklaracji Brukselskiej w sprawie utworzenia – tam, gdzie jest to wskazane </w:t>
      </w:r>
      <w:r w:rsidR="00AD1BFB" w:rsidRPr="00F749CA">
        <w:rPr>
          <w:rFonts w:ascii="Times New Roman" w:eastAsia="Times New Roman" w:hAnsi="Times New Roman" w:cs="Times New Roman"/>
          <w:sz w:val="24"/>
          <w:szCs w:val="24"/>
          <w:lang w:eastAsia="pl-PL"/>
        </w:rPr>
        <w:t>–</w:t>
      </w:r>
      <w:r w:rsidRPr="00F749CA">
        <w:rPr>
          <w:rFonts w:ascii="Times New Roman" w:eastAsia="Times New Roman" w:hAnsi="Times New Roman" w:cs="Times New Roman"/>
          <w:sz w:val="24"/>
          <w:szCs w:val="24"/>
          <w:lang w:eastAsia="pl-PL"/>
        </w:rPr>
        <w:t xml:space="preserve"> „punktów kontaktowych” do spraw praw człowieka w ramach m.in. właściwych władz sądowych, oraz stworzenia między nimi sieci współpracy poprzez organizowanie spotkań, wymiany informacji, udziału w posiedzeniach lub przekazywania rocznych lub tematycznych raportów i newsletterów (por. pkt B.2.i) Deklaracji Brukselskiej).</w:t>
      </w:r>
    </w:p>
    <w:p w:rsidR="00894CA5" w:rsidRPr="00F749CA" w:rsidRDefault="00894CA5" w:rsidP="00894CA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eastAsia="Times New Roman" w:hAnsi="Times New Roman" w:cs="Times New Roman"/>
          <w:sz w:val="24"/>
          <w:szCs w:val="24"/>
          <w:lang w:eastAsia="pl-PL"/>
        </w:rPr>
        <w:t>N</w:t>
      </w:r>
      <w:r w:rsidR="00317F89" w:rsidRPr="00F749CA">
        <w:rPr>
          <w:rFonts w:ascii="Times New Roman" w:eastAsia="Times New Roman" w:hAnsi="Times New Roman" w:cs="Times New Roman"/>
          <w:sz w:val="24"/>
          <w:szCs w:val="24"/>
          <w:lang w:eastAsia="pl-PL"/>
        </w:rPr>
        <w:t>ależy też zwrócić uwagę na zalecenia dotyczące kształcenia n</w:t>
      </w:r>
      <w:r w:rsidRPr="00F749CA">
        <w:rPr>
          <w:rFonts w:ascii="Times New Roman" w:eastAsia="Times New Roman" w:hAnsi="Times New Roman" w:cs="Times New Roman"/>
          <w:sz w:val="24"/>
          <w:szCs w:val="24"/>
          <w:lang w:eastAsia="pl-PL"/>
        </w:rPr>
        <w:t xml:space="preserve">a temat </w:t>
      </w:r>
      <w:r w:rsidR="00317F89" w:rsidRPr="00F749CA">
        <w:rPr>
          <w:rFonts w:ascii="Times New Roman" w:eastAsia="Times New Roman" w:hAnsi="Times New Roman" w:cs="Times New Roman"/>
          <w:sz w:val="24"/>
          <w:szCs w:val="24"/>
          <w:lang w:eastAsia="pl-PL"/>
        </w:rPr>
        <w:t>Konwencji i</w:t>
      </w:r>
      <w:r w:rsidR="00AD1BFB" w:rsidRPr="00F749CA">
        <w:rPr>
          <w:rFonts w:ascii="Times New Roman" w:eastAsia="Times New Roman" w:hAnsi="Times New Roman" w:cs="Times New Roman"/>
          <w:sz w:val="24"/>
          <w:szCs w:val="24"/>
          <w:lang w:eastAsia="pl-PL"/>
        </w:rPr>
        <w:t> </w:t>
      </w:r>
      <w:r w:rsidR="00317F89" w:rsidRPr="00F749CA">
        <w:rPr>
          <w:rFonts w:ascii="Times New Roman" w:eastAsia="Times New Roman" w:hAnsi="Times New Roman" w:cs="Times New Roman"/>
          <w:sz w:val="24"/>
          <w:szCs w:val="24"/>
          <w:lang w:eastAsia="pl-PL"/>
        </w:rPr>
        <w:t>upowszechnienia informacji na jej temat oraz na temat orzecznictwa Europejskiego Tryb</w:t>
      </w:r>
      <w:r w:rsidRPr="00F749CA">
        <w:rPr>
          <w:rFonts w:ascii="Times New Roman" w:eastAsia="Times New Roman" w:hAnsi="Times New Roman" w:cs="Times New Roman"/>
          <w:sz w:val="24"/>
          <w:szCs w:val="24"/>
          <w:lang w:eastAsia="pl-PL"/>
        </w:rPr>
        <w:t xml:space="preserve">unału Praw Człowieka, zawarte w </w:t>
      </w:r>
      <w:r w:rsidR="00317F89" w:rsidRPr="00F749CA">
        <w:rPr>
          <w:rFonts w:ascii="Times New Roman" w:eastAsia="Times New Roman" w:hAnsi="Times New Roman" w:cs="Times New Roman"/>
          <w:sz w:val="24"/>
          <w:szCs w:val="24"/>
          <w:lang w:eastAsia="pl-PL"/>
        </w:rPr>
        <w:t xml:space="preserve"> Zaleceniu Rec</w:t>
      </w:r>
      <w:r w:rsidRPr="00F749CA">
        <w:rPr>
          <w:rFonts w:ascii="Times New Roman" w:eastAsia="Times New Roman" w:hAnsi="Times New Roman" w:cs="Times New Roman"/>
          <w:sz w:val="24"/>
          <w:szCs w:val="24"/>
          <w:lang w:eastAsia="pl-PL"/>
        </w:rPr>
        <w:t xml:space="preserve"> </w:t>
      </w:r>
      <w:r w:rsidR="00317F89" w:rsidRPr="00F749CA">
        <w:rPr>
          <w:rFonts w:ascii="Times New Roman" w:eastAsia="Times New Roman" w:hAnsi="Times New Roman" w:cs="Times New Roman"/>
          <w:sz w:val="24"/>
          <w:szCs w:val="24"/>
          <w:lang w:eastAsia="pl-PL"/>
        </w:rPr>
        <w:t>(2002)13  Komitetu Ministrów dla państw członkowskich  w sprawie publikacji i rozpowszechniania w państwach członkowskich tekstu Europejskiej Konwencji Praw Człowieka  oraz orzecznictwa Europejskiego Trybunału Praw Człowieka</w:t>
      </w:r>
      <w:r w:rsidR="00317F89" w:rsidRPr="00F749CA">
        <w:rPr>
          <w:rFonts w:ascii="Times New Roman" w:eastAsia="Times New Roman" w:hAnsi="Times New Roman" w:cs="Times New Roman"/>
          <w:sz w:val="24"/>
          <w:szCs w:val="24"/>
          <w:lang w:eastAsia="pl-PL"/>
        </w:rPr>
        <w:tab/>
      </w:r>
      <w:r w:rsidRPr="00F749CA">
        <w:rPr>
          <w:rFonts w:ascii="Times New Roman" w:eastAsia="Times New Roman" w:hAnsi="Times New Roman" w:cs="Times New Roman"/>
          <w:sz w:val="24"/>
          <w:szCs w:val="24"/>
          <w:lang w:eastAsia="pl-PL"/>
        </w:rPr>
        <w:t xml:space="preserve">oraz </w:t>
      </w:r>
      <w:r w:rsidR="00317F89" w:rsidRPr="00F749CA">
        <w:rPr>
          <w:rFonts w:ascii="Times New Roman" w:eastAsia="Times New Roman" w:hAnsi="Times New Roman" w:cs="Times New Roman"/>
          <w:sz w:val="24"/>
          <w:szCs w:val="24"/>
          <w:lang w:eastAsia="pl-PL"/>
        </w:rPr>
        <w:t>Zaleceniu Rec (2004)4  Komitetu Ministrów z dnia 12 maja 2004 r. dla państw członkowskich w sprawie Europejskiej Konwencji Praw Człowieka w kształceniu uniwersyteckim oraz szkoleniu zawodowym.</w:t>
      </w:r>
    </w:p>
    <w:p w:rsidR="00894CA5" w:rsidRPr="00F749CA" w:rsidRDefault="00894CA5" w:rsidP="00894CA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eastAsia="Times New Roman" w:hAnsi="Times New Roman" w:cs="Times New Roman"/>
          <w:sz w:val="24"/>
          <w:szCs w:val="24"/>
          <w:lang w:eastAsia="pl-PL"/>
        </w:rPr>
        <w:t>Zaproponowany zakres działań koordynatorów</w:t>
      </w:r>
      <w:r w:rsidR="00317F89" w:rsidRPr="00F749CA">
        <w:rPr>
          <w:rFonts w:ascii="Times New Roman" w:eastAsia="Times New Roman" w:hAnsi="Times New Roman" w:cs="Times New Roman"/>
          <w:sz w:val="24"/>
          <w:szCs w:val="24"/>
          <w:lang w:eastAsia="pl-PL"/>
        </w:rPr>
        <w:t xml:space="preserve"> przede wszystkim uprości i przyspieszy postępowania sądowe z elementem międzynarodowym. Umiejscowienie bezpośrednio w</w:t>
      </w:r>
      <w:r w:rsidR="00AD1BFB" w:rsidRPr="00F749CA">
        <w:rPr>
          <w:rFonts w:ascii="Times New Roman" w:eastAsia="Times New Roman" w:hAnsi="Times New Roman" w:cs="Times New Roman"/>
          <w:sz w:val="24"/>
          <w:szCs w:val="24"/>
          <w:lang w:eastAsia="pl-PL"/>
        </w:rPr>
        <w:t> </w:t>
      </w:r>
      <w:r w:rsidR="00317F89" w:rsidRPr="00F749CA">
        <w:rPr>
          <w:rFonts w:ascii="Times New Roman" w:eastAsia="Times New Roman" w:hAnsi="Times New Roman" w:cs="Times New Roman"/>
          <w:sz w:val="24"/>
          <w:szCs w:val="24"/>
          <w:lang w:eastAsia="pl-PL"/>
        </w:rPr>
        <w:t>sądzie osoby wyspecjalizowanej w problematyce obrotu międzynarodowego z pewnością ograniczy ilość błędów i uchybień natury administracyjnej dostrzeganych w codziennej działalności sądów. Nie będzie konieczne przesyłania akt do M</w:t>
      </w:r>
      <w:r w:rsidRPr="00F749CA">
        <w:rPr>
          <w:rFonts w:ascii="Times New Roman" w:eastAsia="Times New Roman" w:hAnsi="Times New Roman" w:cs="Times New Roman"/>
          <w:sz w:val="24"/>
          <w:szCs w:val="24"/>
          <w:lang w:eastAsia="pl-PL"/>
        </w:rPr>
        <w:t xml:space="preserve">inisterstwa </w:t>
      </w:r>
      <w:r w:rsidR="00317F89" w:rsidRPr="00F749CA">
        <w:rPr>
          <w:rFonts w:ascii="Times New Roman" w:eastAsia="Times New Roman" w:hAnsi="Times New Roman" w:cs="Times New Roman"/>
          <w:sz w:val="24"/>
          <w:szCs w:val="24"/>
          <w:lang w:eastAsia="pl-PL"/>
        </w:rPr>
        <w:t>S</w:t>
      </w:r>
      <w:r w:rsidRPr="00F749CA">
        <w:rPr>
          <w:rFonts w:ascii="Times New Roman" w:eastAsia="Times New Roman" w:hAnsi="Times New Roman" w:cs="Times New Roman"/>
          <w:sz w:val="24"/>
          <w:szCs w:val="24"/>
          <w:lang w:eastAsia="pl-PL"/>
        </w:rPr>
        <w:t xml:space="preserve">prawiedliwości </w:t>
      </w:r>
      <w:r w:rsidR="00317F89" w:rsidRPr="00F749CA">
        <w:rPr>
          <w:rFonts w:ascii="Times New Roman" w:eastAsia="Times New Roman" w:hAnsi="Times New Roman" w:cs="Times New Roman"/>
          <w:sz w:val="24"/>
          <w:szCs w:val="24"/>
          <w:lang w:eastAsia="pl-PL"/>
        </w:rPr>
        <w:t xml:space="preserve"> w wypadkach gdy nie jest to niezbędne, a stosowne wnioski będą przygotowywane  w sposób umożliwiający ich natychmiastowe załatwienie. Wnioski nie będą też kierowane w sytuacjach w których rozstrzygnięcie sprawy jest możliwe wyłącznie na podstawie prawa polskiego. </w:t>
      </w:r>
      <w:r w:rsidR="00317F89" w:rsidRPr="00F749CA">
        <w:rPr>
          <w:rFonts w:ascii="Times New Roman" w:eastAsia="Times New Roman" w:hAnsi="Times New Roman" w:cs="Times New Roman"/>
          <w:sz w:val="24"/>
          <w:szCs w:val="24"/>
          <w:lang w:eastAsia="pl-PL"/>
        </w:rPr>
        <w:lastRenderedPageBreak/>
        <w:t>Z</w:t>
      </w:r>
      <w:r w:rsidR="00AD1BFB" w:rsidRPr="00F749CA">
        <w:rPr>
          <w:rFonts w:ascii="Times New Roman" w:eastAsia="Times New Roman" w:hAnsi="Times New Roman" w:cs="Times New Roman"/>
          <w:sz w:val="24"/>
          <w:szCs w:val="24"/>
          <w:lang w:eastAsia="pl-PL"/>
        </w:rPr>
        <w:t> </w:t>
      </w:r>
      <w:r w:rsidR="00317F89" w:rsidRPr="00F749CA">
        <w:rPr>
          <w:rFonts w:ascii="Times New Roman" w:eastAsia="Times New Roman" w:hAnsi="Times New Roman" w:cs="Times New Roman"/>
          <w:sz w:val="24"/>
          <w:szCs w:val="24"/>
          <w:lang w:eastAsia="pl-PL"/>
        </w:rPr>
        <w:t>uwagi na konieczność specjalizacji koordynatorzy powinni być powołani odrębnie w</w:t>
      </w:r>
      <w:r w:rsidR="00AD1BFB" w:rsidRPr="00F749CA">
        <w:rPr>
          <w:rFonts w:ascii="Times New Roman" w:eastAsia="Times New Roman" w:hAnsi="Times New Roman" w:cs="Times New Roman"/>
          <w:sz w:val="24"/>
          <w:szCs w:val="24"/>
          <w:lang w:eastAsia="pl-PL"/>
        </w:rPr>
        <w:t> </w:t>
      </w:r>
      <w:r w:rsidR="00317F89" w:rsidRPr="00F749CA">
        <w:rPr>
          <w:rFonts w:ascii="Times New Roman" w:eastAsia="Times New Roman" w:hAnsi="Times New Roman" w:cs="Times New Roman"/>
          <w:sz w:val="24"/>
          <w:szCs w:val="24"/>
          <w:lang w:eastAsia="pl-PL"/>
        </w:rPr>
        <w:t>sprawach cywilnych i karnych.</w:t>
      </w:r>
    </w:p>
    <w:p w:rsidR="00894CA5" w:rsidRPr="00F749CA" w:rsidRDefault="00894CA5" w:rsidP="00894CA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p>
    <w:p w:rsidR="00894CA5" w:rsidRPr="00F749CA" w:rsidRDefault="00894CA5" w:rsidP="00894CA5">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eastAsia="Times New Roman" w:hAnsi="Times New Roman" w:cs="Times New Roman"/>
          <w:sz w:val="24"/>
          <w:szCs w:val="24"/>
          <w:lang w:eastAsia="pl-PL"/>
        </w:rPr>
        <w:t>W kontekście dodawanego art</w:t>
      </w:r>
      <w:r w:rsidR="00AD1BFB" w:rsidRPr="00F749CA">
        <w:rPr>
          <w:rFonts w:ascii="Times New Roman" w:eastAsia="Times New Roman" w:hAnsi="Times New Roman" w:cs="Times New Roman"/>
          <w:sz w:val="24"/>
          <w:szCs w:val="24"/>
          <w:lang w:eastAsia="pl-PL"/>
        </w:rPr>
        <w:t>.</w:t>
      </w:r>
      <w:r w:rsidRPr="00F749CA">
        <w:rPr>
          <w:rFonts w:ascii="Times New Roman" w:eastAsia="Times New Roman" w:hAnsi="Times New Roman" w:cs="Times New Roman"/>
          <w:sz w:val="24"/>
          <w:szCs w:val="24"/>
          <w:lang w:eastAsia="pl-PL"/>
        </w:rPr>
        <w:t xml:space="preserve"> 16d u.s.p. należy wskazać, że Europejska Sieć Sądowa w</w:t>
      </w:r>
      <w:r w:rsidR="00AD1BFB" w:rsidRPr="00F749CA">
        <w:rPr>
          <w:rFonts w:ascii="Times New Roman" w:eastAsia="Times New Roman" w:hAnsi="Times New Roman" w:cs="Times New Roman"/>
          <w:sz w:val="24"/>
          <w:szCs w:val="24"/>
          <w:lang w:eastAsia="pl-PL"/>
        </w:rPr>
        <w:t> </w:t>
      </w:r>
      <w:r w:rsidRPr="00F749CA">
        <w:rPr>
          <w:rFonts w:ascii="Times New Roman" w:eastAsia="Times New Roman" w:hAnsi="Times New Roman" w:cs="Times New Roman"/>
          <w:sz w:val="24"/>
          <w:szCs w:val="24"/>
          <w:lang w:eastAsia="pl-PL"/>
        </w:rPr>
        <w:t>sprawach cywilnych i handlowych została utworzona na podstawie Decyzji Rady UE</w:t>
      </w:r>
      <w:r w:rsidR="00AD1BFB" w:rsidRPr="00F749CA">
        <w:rPr>
          <w:rFonts w:ascii="Times New Roman" w:eastAsia="Times New Roman" w:hAnsi="Times New Roman" w:cs="Times New Roman"/>
          <w:sz w:val="24"/>
          <w:szCs w:val="24"/>
          <w:lang w:eastAsia="pl-PL"/>
        </w:rPr>
        <w:br/>
      </w:r>
      <w:r w:rsidRPr="00F749CA">
        <w:rPr>
          <w:rFonts w:ascii="Times New Roman" w:eastAsia="Times New Roman" w:hAnsi="Times New Roman" w:cs="Times New Roman"/>
          <w:sz w:val="24"/>
          <w:szCs w:val="24"/>
          <w:lang w:eastAsia="pl-PL"/>
        </w:rPr>
        <w:t>z 28 maja 2001(201/470/CE). Jest to zespół punktów kontaktowych (najczęściej urzędników sądowych) wyznaczonych przez poszczególne państwa członkowskie Unii Europejskiej na szczeblu centralnym i lokalnym, w celu wspierania i pomocy własnym oraz zagranicznym organom sądowym w zakresie współpracy międzynarodowej. Pomoc taka może być udzielana poprzez wymianę informacji o prawie obcego państwa oraz różnych aspektach zagranicznej procedury i praktyki organów sądowych, a nadto polegać na udzielaniu pomocy przy przygotowywaniu wniosków o pomoc prawną oraz asyście przy ich wykonywaniu przez państwo wezwane. Kontakty są odformalizowane i odbywają się przede wszystkim drogą elektroniczną (e-mail).</w:t>
      </w:r>
    </w:p>
    <w:p w:rsidR="007214E0" w:rsidRPr="00F749CA" w:rsidRDefault="00894CA5" w:rsidP="007214E0">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eastAsia="Times New Roman" w:hAnsi="Times New Roman" w:cs="Times New Roman"/>
          <w:sz w:val="24"/>
          <w:szCs w:val="24"/>
          <w:lang w:eastAsia="pl-PL"/>
        </w:rPr>
        <w:t>Europejska Sieć Sądowa w sprawach cywilnych i handlowych to obecnie tylko jeden punkt kontaktowy w Ministerstwie Sprawiedliwości. W praktyce narzędzie to nie</w:t>
      </w:r>
      <w:r w:rsidR="007214E0" w:rsidRPr="00F749CA">
        <w:rPr>
          <w:rFonts w:ascii="Times New Roman" w:eastAsia="Times New Roman" w:hAnsi="Times New Roman" w:cs="Times New Roman"/>
          <w:sz w:val="24"/>
          <w:szCs w:val="24"/>
          <w:lang w:eastAsia="pl-PL"/>
        </w:rPr>
        <w:t xml:space="preserve"> jest w pełni wykorzystywane co, jak się wydaje, </w:t>
      </w:r>
      <w:r w:rsidRPr="00F749CA">
        <w:rPr>
          <w:rFonts w:ascii="Times New Roman" w:eastAsia="Times New Roman" w:hAnsi="Times New Roman" w:cs="Times New Roman"/>
          <w:sz w:val="24"/>
          <w:szCs w:val="24"/>
          <w:lang w:eastAsia="pl-PL"/>
        </w:rPr>
        <w:t>wiążę się z</w:t>
      </w:r>
      <w:r w:rsidR="007214E0" w:rsidRPr="00F749CA">
        <w:rPr>
          <w:rFonts w:ascii="Times New Roman" w:eastAsia="Times New Roman" w:hAnsi="Times New Roman" w:cs="Times New Roman"/>
          <w:sz w:val="24"/>
          <w:szCs w:val="24"/>
          <w:lang w:eastAsia="pl-PL"/>
        </w:rPr>
        <w:t xml:space="preserve"> </w:t>
      </w:r>
      <w:r w:rsidRPr="00F749CA">
        <w:rPr>
          <w:rFonts w:ascii="Times New Roman" w:eastAsia="Times New Roman" w:hAnsi="Times New Roman" w:cs="Times New Roman"/>
          <w:sz w:val="24"/>
          <w:szCs w:val="24"/>
          <w:lang w:eastAsia="pl-PL"/>
        </w:rPr>
        <w:t xml:space="preserve">postrzeganiem współpracy z </w:t>
      </w:r>
      <w:r w:rsidR="007214E0" w:rsidRPr="00F749CA">
        <w:rPr>
          <w:rFonts w:ascii="Times New Roman" w:eastAsia="Times New Roman" w:hAnsi="Times New Roman" w:cs="Times New Roman"/>
          <w:sz w:val="24"/>
          <w:szCs w:val="24"/>
          <w:lang w:eastAsia="pl-PL"/>
        </w:rPr>
        <w:t>nią</w:t>
      </w:r>
      <w:r w:rsidRPr="00F749CA">
        <w:rPr>
          <w:rFonts w:ascii="Times New Roman" w:eastAsia="Times New Roman" w:hAnsi="Times New Roman" w:cs="Times New Roman"/>
          <w:sz w:val="24"/>
          <w:szCs w:val="24"/>
          <w:lang w:eastAsia="pl-PL"/>
        </w:rPr>
        <w:t xml:space="preserve"> jako skomplikowanej i realizowanej przez odległą i odrębną od sądów instytucję jaką jest Ministerstwo. W związku z tym decyzja Rady z dnia 28 maja 2001 r. ustanawiająca Europejską Sieć Sądową w sprawach cywilnych i handlowych nie jest efektywnie wdrożona do prawa krajowego. Opóźnia to i komplikuje postępowanie gdyż sądy muszą poszukiwać informacji dostępnych w sieci za pomocą klasycznych, bardzo sformalizowanych, narzędzi współpracy międzynarodowej. Wydaje się, że aby współpraca sądów odbywała się równie sprawnie jak współpraca prokuratur celowe jest powołanie punktów kontaktowych </w:t>
      </w:r>
      <w:r w:rsidR="00AD1BFB" w:rsidRPr="00F749CA">
        <w:rPr>
          <w:rFonts w:ascii="Times New Roman" w:eastAsia="Times New Roman" w:hAnsi="Times New Roman" w:cs="Times New Roman"/>
          <w:sz w:val="24"/>
          <w:szCs w:val="24"/>
          <w:lang w:eastAsia="pl-PL"/>
        </w:rPr>
        <w:t xml:space="preserve">Europejskiej Sieci Sądowej </w:t>
      </w:r>
      <w:r w:rsidRPr="00F749CA">
        <w:rPr>
          <w:rFonts w:ascii="Times New Roman" w:eastAsia="Times New Roman" w:hAnsi="Times New Roman" w:cs="Times New Roman"/>
          <w:sz w:val="24"/>
          <w:szCs w:val="24"/>
          <w:lang w:eastAsia="pl-PL"/>
        </w:rPr>
        <w:t>w</w:t>
      </w:r>
      <w:r w:rsidR="00AD1BFB" w:rsidRPr="00F749CA">
        <w:rPr>
          <w:rFonts w:ascii="Times New Roman" w:eastAsia="Times New Roman" w:hAnsi="Times New Roman" w:cs="Times New Roman"/>
          <w:sz w:val="24"/>
          <w:szCs w:val="24"/>
          <w:lang w:eastAsia="pl-PL"/>
        </w:rPr>
        <w:t> </w:t>
      </w:r>
      <w:r w:rsidRPr="00F749CA">
        <w:rPr>
          <w:rFonts w:ascii="Times New Roman" w:eastAsia="Times New Roman" w:hAnsi="Times New Roman" w:cs="Times New Roman"/>
          <w:sz w:val="24"/>
          <w:szCs w:val="24"/>
          <w:lang w:eastAsia="pl-PL"/>
        </w:rPr>
        <w:t>sprawach cywilnych i handlowych także w sądach. W</w:t>
      </w:r>
      <w:r w:rsidR="00AD1BFB" w:rsidRPr="00F749CA">
        <w:rPr>
          <w:rFonts w:ascii="Times New Roman" w:eastAsia="Times New Roman" w:hAnsi="Times New Roman" w:cs="Times New Roman"/>
          <w:sz w:val="24"/>
          <w:szCs w:val="24"/>
          <w:lang w:eastAsia="pl-PL"/>
        </w:rPr>
        <w:t> </w:t>
      </w:r>
      <w:r w:rsidRPr="00F749CA">
        <w:rPr>
          <w:rFonts w:ascii="Times New Roman" w:eastAsia="Times New Roman" w:hAnsi="Times New Roman" w:cs="Times New Roman"/>
          <w:sz w:val="24"/>
          <w:szCs w:val="24"/>
          <w:lang w:eastAsia="pl-PL"/>
        </w:rPr>
        <w:t>wydanych w grudniu 2016 r. Konkluzjach Rady Europejskiej dotyczących funkcjonowania Europejskiej Sieci Sądowej w sprawach cywilnych i handlowych wskazano, że Państwa Członkowskie powinny z</w:t>
      </w:r>
      <w:r w:rsidR="00AD1BFB" w:rsidRPr="00F749CA">
        <w:rPr>
          <w:rFonts w:ascii="Times New Roman" w:eastAsia="Times New Roman" w:hAnsi="Times New Roman" w:cs="Times New Roman"/>
          <w:sz w:val="24"/>
          <w:szCs w:val="24"/>
          <w:lang w:eastAsia="pl-PL"/>
        </w:rPr>
        <w:t>apewnić efektywne działanie Sieć</w:t>
      </w:r>
      <w:r w:rsidRPr="00F749CA">
        <w:rPr>
          <w:rFonts w:ascii="Times New Roman" w:eastAsia="Times New Roman" w:hAnsi="Times New Roman" w:cs="Times New Roman"/>
          <w:sz w:val="24"/>
          <w:szCs w:val="24"/>
          <w:lang w:eastAsia="pl-PL"/>
        </w:rPr>
        <w:t xml:space="preserve"> i upowszechniać wśród sędziów informacje o niej.</w:t>
      </w:r>
    </w:p>
    <w:p w:rsidR="007214E0" w:rsidRPr="00F749CA" w:rsidRDefault="007214E0" w:rsidP="007214E0">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F749CA">
        <w:rPr>
          <w:rFonts w:ascii="Times New Roman" w:eastAsia="Times New Roman" w:hAnsi="Times New Roman" w:cs="Times New Roman"/>
          <w:sz w:val="24"/>
          <w:szCs w:val="24"/>
          <w:lang w:eastAsia="pl-PL"/>
        </w:rPr>
        <w:t xml:space="preserve">Do u.s.p. należy zatem wprowadzić delegację do wydania przez Ministra Sprawiedliwości zarządzenia w sprawie tworzenia w sądach punktów kontaktowych Europejskiej Sieci Sądowej. Formuła tworzenia i znoszenia punktów w drodze zarządzenia </w:t>
      </w:r>
      <w:r w:rsidRPr="00F749CA">
        <w:rPr>
          <w:rFonts w:ascii="Times New Roman" w:eastAsia="Times New Roman" w:hAnsi="Times New Roman" w:cs="Times New Roman"/>
          <w:sz w:val="24"/>
          <w:szCs w:val="24"/>
          <w:lang w:eastAsia="pl-PL"/>
        </w:rPr>
        <w:lastRenderedPageBreak/>
        <w:t xml:space="preserve">Ministra Sprawiedliwości zapewni systemowi niezbędną elastyczność. Najbardziej celowe jest, by punktem kontaktowym był urzędnik w sądzie okręgowym, dla którego sędzia (ewentualnie asesor lub referendarz) byłby zapleczem merytorycznym. Celowe jest bowiem maksymalne odciążenie sędziów od obowiązków nieorzeczniczych. Jednocześnie proponuje się poszerzenie zakresu delegacji do wydania rozporządzenia Ministra Sprawiedliwości – Regulamin urzędowania sądów powszechnych poprzez upoważnienie do określenia w akcie wykonawczym sposobu realizacji zadań związanych z funkcjonowaniem Europejskiej Sieci Sądowej w sprawach cywilnych i handlowych (projektowany art 41 § 1 pkt 3 u.s.p.). </w:t>
      </w:r>
    </w:p>
    <w:p w:rsidR="007214E0" w:rsidRPr="00F749CA" w:rsidRDefault="007214E0"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7214E0"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N</w:t>
      </w:r>
      <w:r w:rsidR="005F04CE" w:rsidRPr="00F749CA">
        <w:rPr>
          <w:rFonts w:ascii="Times New Roman" w:eastAsia="Times New Roman" w:hAnsi="Times New Roman" w:cs="Times New Roman"/>
          <w:bCs/>
          <w:sz w:val="24"/>
          <w:szCs w:val="24"/>
          <w:lang w:eastAsia="pl-PL"/>
        </w:rPr>
        <w:t xml:space="preserve">owelizowany art. 22a § 1 u.s.p., w powiązaniu z dodawanymi regulacjami art. 47a i 47b u.s.p. </w:t>
      </w:r>
      <w:r w:rsidR="00EC0C2F" w:rsidRPr="00F749CA">
        <w:rPr>
          <w:rFonts w:ascii="Times New Roman" w:eastAsia="Times New Roman" w:hAnsi="Times New Roman" w:cs="Times New Roman"/>
          <w:bCs/>
          <w:sz w:val="24"/>
          <w:szCs w:val="24"/>
          <w:lang w:eastAsia="pl-PL"/>
        </w:rPr>
        <w:t xml:space="preserve">doprecyzowują regulacje dotyczące ustalania podziału czynności w sądach oraz </w:t>
      </w:r>
      <w:r w:rsidR="005F04CE" w:rsidRPr="00F749CA">
        <w:rPr>
          <w:rFonts w:ascii="Times New Roman" w:eastAsia="Times New Roman" w:hAnsi="Times New Roman" w:cs="Times New Roman"/>
          <w:bCs/>
          <w:sz w:val="24"/>
          <w:szCs w:val="24"/>
          <w:lang w:eastAsia="pl-PL"/>
        </w:rPr>
        <w:t>regulują</w:t>
      </w:r>
      <w:r w:rsidR="00736F33" w:rsidRPr="00F749CA">
        <w:rPr>
          <w:rFonts w:ascii="Times New Roman" w:eastAsia="Times New Roman" w:hAnsi="Times New Roman" w:cs="Times New Roman"/>
          <w:bCs/>
          <w:sz w:val="24"/>
          <w:szCs w:val="24"/>
          <w:lang w:eastAsia="pl-PL"/>
        </w:rPr>
        <w:t xml:space="preserve"> nowe</w:t>
      </w:r>
      <w:r w:rsidR="005F04CE" w:rsidRPr="00F749CA">
        <w:rPr>
          <w:rFonts w:ascii="Times New Roman" w:eastAsia="Times New Roman" w:hAnsi="Times New Roman" w:cs="Times New Roman"/>
          <w:bCs/>
          <w:sz w:val="24"/>
          <w:szCs w:val="24"/>
          <w:lang w:eastAsia="pl-PL"/>
        </w:rPr>
        <w:t xml:space="preserve"> zasady przydziału spraw sędziom</w:t>
      </w:r>
      <w:r w:rsidR="00736F33" w:rsidRPr="00F749CA">
        <w:rPr>
          <w:rFonts w:ascii="Times New Roman" w:eastAsia="Times New Roman" w:hAnsi="Times New Roman" w:cs="Times New Roman"/>
          <w:bCs/>
          <w:sz w:val="24"/>
          <w:szCs w:val="24"/>
          <w:lang w:eastAsia="pl-PL"/>
        </w:rPr>
        <w:t xml:space="preserve"> (a także zmian składów orzekających)</w:t>
      </w:r>
      <w:r w:rsidR="005F04CE" w:rsidRPr="00F749CA">
        <w:rPr>
          <w:rFonts w:ascii="Times New Roman" w:eastAsia="Times New Roman" w:hAnsi="Times New Roman" w:cs="Times New Roman"/>
          <w:bCs/>
          <w:sz w:val="24"/>
          <w:szCs w:val="24"/>
          <w:lang w:eastAsia="pl-PL"/>
        </w:rPr>
        <w:t xml:space="preserve">.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Należy w szczególności zaznaczyć, iż w projektowanej ustawie, jako zasadę ustrojową, wprowadza się losowość przydziału spraw, nie występującą dotychczas w polskim porządku prawnym. Warto wskazać, że zagadnienie związane z przydziałem spraw jest dostrzegane w</w:t>
      </w:r>
      <w:r w:rsidR="00AD1BFB"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niektórych systemach prawnych nie tylko jako kwestia administracji sądowej, lecz jako gwarancja prawidłowego rozpoznania sprawy. Jest to zagadnienie ujmowane w niektórych systemach prawnych pod nazwą sędziego naturalnego (judge natural, gesetzlichter Richter), jako jedna z gwarancji bezstronności i równości stron w postępowaniu sądowym. Prawo do sędziego naturalnego, a więc wskazanego w sposób abstrakcyjny, a nie ad hoc do danej sprawy, jest wyrazem równości broni i równości szans w toku postępowania sądowego. Jest to wyraz szerszej zasady prawa do sądu. Wprowadzenie zasad przydziału spraw wynika także z Zalecenia Nr R(94) Komitetu Ministrów dla Państw Członkowskich dotyczącego niezawisłości, sprawności i roli sędziów z dnia 13.10.1994 r. (przyjętego przez Komitet Ministrów w dniu 13.10.1994 r.).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Dobry sędzia powinien charakteryzować się wieloma pożądanymi cechami, lecz bezstronność jest najważniejszą z nich. Oczywiście wszystkie urzędy państwowe i</w:t>
      </w:r>
      <w:r w:rsidR="00F971E3"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samorządowe powinny być bezstronne, lecz urząd sędziego wymaga szczególnych gwarancji bezstronności. Dlatego sędziowie są nieusuwalni z urzędu, aby zminimalizować ryzyko wywierania na nich nacisku. Obecnie wymóg losowego przydziału obowiązuje tylko w postępowaniu karnym, i to w bardzo ograniczonym zakresie. Pozostałe sprawy przydzielają przewodniczący wydziałów i nie zawsze jest to przydział zapewniający pełną transparentność </w:t>
      </w:r>
      <w:r w:rsidRPr="00F749CA">
        <w:rPr>
          <w:rFonts w:ascii="Times New Roman" w:eastAsia="Times New Roman" w:hAnsi="Times New Roman" w:cs="Times New Roman"/>
          <w:bCs/>
          <w:sz w:val="24"/>
          <w:szCs w:val="24"/>
          <w:lang w:eastAsia="pl-PL"/>
        </w:rPr>
        <w:lastRenderedPageBreak/>
        <w:t>zewnętrzną. Nie trzeba dodawać, że system pozwala na nadużycia i nie buduje zaufania obywateli do wymiaru sprawiedliwości. Dopiero losowy przydział spraw, zwłaszcza w</w:t>
      </w:r>
      <w:r w:rsidR="00F971E3"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II</w:t>
      </w:r>
      <w:r w:rsidR="00F971E3"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instancji, daje gwarancję, że sprawa nie została przydzielona sędziemu wyznaczonemu w</w:t>
      </w:r>
      <w:r w:rsidR="00F971E3"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inny, niż losowy sposób, do danej sprawy.</w:t>
      </w:r>
    </w:p>
    <w:p w:rsidR="00EC0C2F"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W projekcie zdecydowano się połączyć zasadę losowości z zasadą równości przydziału, która ma gwarantować samym sędziom równe obciążenie obowiązkami w sądzie. Powyższa zasada stanowi wzmocnienie niezawisłości sędziego, który zyskuje pewność, że organy administracji sądowej podlegle Ministrowi Sprawiedliwości, nie będą mogły obciążać go ponad miarę i w sposób dowolny. Równość przydziału oznacza, że każdy sędzia w danej kategorii wylosuje niemal identyczną liczbę spraw.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Algorytm przydzielający sprawy</w:t>
      </w:r>
      <w:r w:rsidR="00EC0C2F" w:rsidRPr="00F749CA">
        <w:rPr>
          <w:rFonts w:ascii="Times New Roman" w:eastAsia="Times New Roman" w:hAnsi="Times New Roman" w:cs="Times New Roman"/>
          <w:bCs/>
          <w:sz w:val="24"/>
          <w:szCs w:val="24"/>
          <w:lang w:eastAsia="pl-PL"/>
        </w:rPr>
        <w:t xml:space="preserve"> (w ramach docelowego systemu teleinformatycznego)</w:t>
      </w:r>
      <w:r w:rsidRPr="00F749CA">
        <w:rPr>
          <w:rFonts w:ascii="Times New Roman" w:eastAsia="Times New Roman" w:hAnsi="Times New Roman" w:cs="Times New Roman"/>
          <w:bCs/>
          <w:sz w:val="24"/>
          <w:szCs w:val="24"/>
          <w:lang w:eastAsia="pl-PL"/>
        </w:rPr>
        <w:t xml:space="preserve"> będzie korzystał z generatora liczb losowych gwarantującego brak możliwości wpływania na losowanie. W algorytm zostanie wbudowany mechanizm umożliwiający przydział w</w:t>
      </w:r>
      <w:r w:rsidR="00F971E3"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mniejszym zakresie – ze względu na pełnioną funkcję lub uczestniczenie w przydziale spraw innej kategorii. Ten drugi przypadek będzie</w:t>
      </w:r>
      <w:r w:rsidRPr="00F749CA">
        <w:rPr>
          <w:rFonts w:ascii="Times New Roman" w:eastAsia="Times New Roman" w:hAnsi="Times New Roman" w:cs="Times New Roman"/>
          <w:b/>
          <w:bCs/>
          <w:i/>
          <w:sz w:val="24"/>
          <w:szCs w:val="24"/>
          <w:lang w:eastAsia="pl-PL"/>
        </w:rPr>
        <w:t xml:space="preserve"> </w:t>
      </w:r>
      <w:r w:rsidRPr="00F749CA">
        <w:rPr>
          <w:rFonts w:ascii="Times New Roman" w:eastAsia="Times New Roman" w:hAnsi="Times New Roman" w:cs="Times New Roman"/>
          <w:bCs/>
          <w:sz w:val="24"/>
          <w:szCs w:val="24"/>
          <w:lang w:eastAsia="pl-PL"/>
        </w:rPr>
        <w:t xml:space="preserve">podstawą specjalizacji sędziów. Algorytm przydzielający sprawy umożliwi sędziom wydziału podjęcie decyzji, o ile sędziom rozpoznającym sprawy specjalistyczne należy zmniejszyć przydział pozostałych spraw.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Losowość przydziału, w dłuższym okresie, gwarantuje równomierne obciążenie sędziów. Jednakże w krótszym okresie może się zdarzyć, że dany sędzia wylosuje pod rząd kilka pracochłonnych spraw. W celu skrócenia okresu, w którym algorytm przydziału spraw doprowadza do równomiernego obciążenia, losowanie będzie się odbywało odrębnie w</w:t>
      </w:r>
      <w:r w:rsidR="00F971E3"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różnych kategoriach spraw, co zmniejszy prawdopodobieństwo wylosowania przez jednego sędziego w krótkim okresie kilku spraw z tej samej kategorii.</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Odstępstwa od losowości dotyczą spraw opiekuńczych i nieletnich, gdyż w tych kategoriach spraw w wielu sądach wprowadzono terytorialny podział czynności. Sędzia jest wówczas lepiej obeznany z sytuacją rodziny poprzez stałą współpracę z kuratorem rodzinnym z danego terenu. Możliwość wprowadzenia odrębnych zasad przewidziano także dla spraw, które nie stanowią wymiaru sprawiedliwości sensu stricto, ale są sprawami z zakresu ochrony prawnej (wieczystoksięgowe, rejestrowe), a także dla spraw związanych z wykonaniem orzeczenia. Zasady przydziału w tych sprawach zostaną ustalone w rozporządzeniu Ministra Sprawiedliwości wydanym na podstawie art. 41 § 1 u.s.p. – Regulamin wewnętrznego urzędowania sądów powszechnych.</w:t>
      </w:r>
    </w:p>
    <w:p w:rsidR="00F971E3" w:rsidRPr="00F749CA" w:rsidRDefault="00F971E3" w:rsidP="00F971E3">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lastRenderedPageBreak/>
        <w:t>Warto wspomnieć, iż projekt przewidział możliwość wstrzymania przydziału spraw sędziemu z uwagi na ciężar sprawy odbiegający znacznie od standardowego. Chodzi o sprawę, która z uwagi na liczbę stron, świadków, czy materiał dowodowy, wyłączy sędziego na wiele miesięcy od rozpoznania innych spraw. Projekt zakłada, że organem, który może podjąć taką decyzję, jest</w:t>
      </w:r>
      <w:r w:rsidRPr="00F749CA">
        <w:rPr>
          <w:rFonts w:ascii="Times New Roman" w:eastAsia="Times New Roman" w:hAnsi="Times New Roman" w:cs="Times New Roman"/>
          <w:b/>
          <w:bCs/>
          <w:sz w:val="24"/>
          <w:szCs w:val="24"/>
          <w:lang w:eastAsia="pl-PL"/>
        </w:rPr>
        <w:t xml:space="preserve"> </w:t>
      </w:r>
      <w:r w:rsidRPr="00F749CA">
        <w:rPr>
          <w:rFonts w:ascii="Times New Roman" w:eastAsia="Times New Roman" w:hAnsi="Times New Roman" w:cs="Times New Roman"/>
          <w:bCs/>
          <w:sz w:val="24"/>
          <w:szCs w:val="24"/>
          <w:lang w:eastAsia="pl-PL"/>
        </w:rPr>
        <w:t>prezes sądu.</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Nadto projekt wprowadza zasadę niezmienności składu (art. 47b u.s.p.), która jest ściśle związana z zasadami losowości i równości</w:t>
      </w:r>
      <w:r w:rsidR="00F971E3" w:rsidRPr="00F749CA">
        <w:rPr>
          <w:rFonts w:ascii="Times New Roman" w:eastAsia="Times New Roman" w:hAnsi="Times New Roman" w:cs="Times New Roman"/>
          <w:bCs/>
          <w:sz w:val="24"/>
          <w:szCs w:val="24"/>
          <w:lang w:eastAsia="pl-PL"/>
        </w:rPr>
        <w:t xml:space="preserve"> przydziału spraw</w:t>
      </w:r>
      <w:r w:rsidRPr="00F749CA">
        <w:rPr>
          <w:rFonts w:ascii="Times New Roman" w:eastAsia="Times New Roman" w:hAnsi="Times New Roman" w:cs="Times New Roman"/>
          <w:bCs/>
          <w:sz w:val="24"/>
          <w:szCs w:val="24"/>
          <w:lang w:eastAsia="pl-PL"/>
        </w:rPr>
        <w:t>. Raz wylosowany skład sądu, niezależnie od tego czy jest jednoosobowy czy kilkuosobowy, nie powinien ulegać zmianie do zakończenia sprawy. Obecnie ta kwestia nie jest uregulowana i jest pozostawiona do decyzji prezesa sądu lub przewodniczącego wydziału. W</w:t>
      </w:r>
      <w:r w:rsidR="00F971E3" w:rsidRPr="00F749CA">
        <w:rPr>
          <w:rFonts w:ascii="Times New Roman" w:eastAsia="Times New Roman" w:hAnsi="Times New Roman" w:cs="Times New Roman"/>
          <w:bCs/>
          <w:sz w:val="24"/>
          <w:szCs w:val="24"/>
          <w:lang w:eastAsia="pl-PL"/>
        </w:rPr>
        <w:t xml:space="preserve"> konsekwencji w</w:t>
      </w:r>
      <w:r w:rsidRPr="00F749CA">
        <w:rPr>
          <w:rFonts w:ascii="Times New Roman" w:eastAsia="Times New Roman" w:hAnsi="Times New Roman" w:cs="Times New Roman"/>
          <w:bCs/>
          <w:sz w:val="24"/>
          <w:szCs w:val="24"/>
          <w:lang w:eastAsia="pl-PL"/>
        </w:rPr>
        <w:t xml:space="preserve"> wielu sądach nowemu sędziemu w</w:t>
      </w:r>
      <w:r w:rsidR="00F971E3"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wydziale przydziela się sprawy już rozpoczęte przez innych sędziów – ze szkodą dla sprawności postępowania.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Zasada niezmienności składu przewiduje zakaz zmiany składu poza przypadkami określonymi w ustawie. Nawet zmiana miejsca służbowego nie będzie co do zasady zwalniała sędziego z obowiązku zakończenia spraw już rozpoczętych w poprzednim sądzie. Należy zaznaczyć, że projektowane rozwiązanie przewiduje wyjątki podyktowane względami organizacyjnymi oraz sprawnością postępowania. I tak, sędziego delegowanego do innego sądu, sędziego przeniesionego albo sędziego, który awansował, z obowiązku rozpoznania</w:t>
      </w:r>
      <w:r w:rsidRPr="00F749CA">
        <w:rPr>
          <w:rFonts w:ascii="Times New Roman" w:eastAsia="Times New Roman" w:hAnsi="Times New Roman" w:cs="Times New Roman"/>
          <w:b/>
          <w:bCs/>
          <w:sz w:val="24"/>
          <w:szCs w:val="24"/>
          <w:lang w:eastAsia="pl-PL"/>
        </w:rPr>
        <w:t xml:space="preserve"> </w:t>
      </w:r>
      <w:r w:rsidRPr="00F749CA">
        <w:rPr>
          <w:rFonts w:ascii="Times New Roman" w:eastAsia="Times New Roman" w:hAnsi="Times New Roman" w:cs="Times New Roman"/>
          <w:bCs/>
          <w:sz w:val="24"/>
          <w:szCs w:val="24"/>
          <w:lang w:eastAsia="pl-PL"/>
        </w:rPr>
        <w:t>spraw można zwolnić. Organem decydującym będzie kolegium sądu (organ samorządu sędziowskiego). W przypadku choroby sędziego albo innych zdarzeń – skład sądu może zostać ponownie wylosowany. Szczegółowa regulacja w tym zakresie zostanie zawarta w</w:t>
      </w:r>
      <w:r w:rsidR="00F971E3" w:rsidRPr="00F749CA">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rozporządzeniu Ministra Sprawiedliwości – Regulamin urzędowania sadów powszechnych, godnie z treścią zmodyfikowanej delegacji ustawowej z art. 41 § 1 u.s.p..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Nadto, w konsekwencji,</w:t>
      </w:r>
      <w:r w:rsidR="00F971E3" w:rsidRPr="00F749CA">
        <w:rPr>
          <w:rFonts w:ascii="Times New Roman" w:eastAsia="Times New Roman" w:hAnsi="Times New Roman" w:cs="Times New Roman"/>
          <w:bCs/>
          <w:sz w:val="24"/>
          <w:szCs w:val="24"/>
          <w:lang w:eastAsia="pl-PL"/>
        </w:rPr>
        <w:t xml:space="preserve"> w</w:t>
      </w:r>
      <w:r w:rsidRPr="00F749CA">
        <w:rPr>
          <w:rFonts w:ascii="Times New Roman" w:eastAsia="Times New Roman" w:hAnsi="Times New Roman" w:cs="Times New Roman"/>
          <w:bCs/>
          <w:sz w:val="24"/>
          <w:szCs w:val="24"/>
          <w:lang w:eastAsia="pl-PL"/>
        </w:rPr>
        <w:t xml:space="preserve"> zmienianym art. 22a u.s.p. doprecyzowano możliwość objęcia podziałem czynności, dokonywanym przez prezesów sądów, </w:t>
      </w:r>
      <w:r w:rsidR="00C63A9A">
        <w:rPr>
          <w:rFonts w:ascii="Times New Roman" w:eastAsia="Times New Roman" w:hAnsi="Times New Roman" w:cs="Times New Roman"/>
          <w:bCs/>
          <w:sz w:val="24"/>
          <w:szCs w:val="24"/>
          <w:lang w:eastAsia="pl-PL"/>
        </w:rPr>
        <w:t>planu</w:t>
      </w:r>
      <w:r w:rsidRPr="00F749CA">
        <w:rPr>
          <w:rFonts w:ascii="Times New Roman" w:eastAsia="Times New Roman" w:hAnsi="Times New Roman" w:cs="Times New Roman"/>
          <w:bCs/>
          <w:sz w:val="24"/>
          <w:szCs w:val="24"/>
          <w:lang w:eastAsia="pl-PL"/>
        </w:rPr>
        <w:t xml:space="preserve"> pełnienia dyżurów sędziów, asesorów sądowych i referendarzy sądowych. Jednocześnie</w:t>
      </w:r>
      <w:r w:rsidR="00F971E3" w:rsidRPr="00F749CA">
        <w:rPr>
          <w:rFonts w:ascii="Times New Roman" w:eastAsia="Times New Roman" w:hAnsi="Times New Roman" w:cs="Times New Roman"/>
          <w:bCs/>
          <w:sz w:val="24"/>
          <w:szCs w:val="24"/>
          <w:lang w:eastAsia="pl-PL"/>
        </w:rPr>
        <w:t>,</w:t>
      </w:r>
      <w:r w:rsidRPr="00F749CA">
        <w:rPr>
          <w:rFonts w:ascii="Times New Roman" w:eastAsia="Times New Roman" w:hAnsi="Times New Roman" w:cs="Times New Roman"/>
          <w:bCs/>
          <w:sz w:val="24"/>
          <w:szCs w:val="24"/>
          <w:lang w:eastAsia="pl-PL"/>
        </w:rPr>
        <w:t xml:space="preserve"> w art. 22a § 4a</w:t>
      </w:r>
      <w:r w:rsidR="00F971E3" w:rsidRPr="00F749CA">
        <w:rPr>
          <w:rFonts w:ascii="Times New Roman" w:eastAsia="Times New Roman" w:hAnsi="Times New Roman" w:cs="Times New Roman"/>
          <w:bCs/>
          <w:sz w:val="24"/>
          <w:szCs w:val="24"/>
          <w:lang w:eastAsia="pl-PL"/>
        </w:rPr>
        <w:t>-4c</w:t>
      </w:r>
      <w:r w:rsidRPr="00F749CA">
        <w:rPr>
          <w:rFonts w:ascii="Times New Roman" w:eastAsia="Times New Roman" w:hAnsi="Times New Roman" w:cs="Times New Roman"/>
          <w:bCs/>
          <w:sz w:val="24"/>
          <w:szCs w:val="24"/>
          <w:lang w:eastAsia="pl-PL"/>
        </w:rPr>
        <w:t xml:space="preserve"> u.s.p. wprowadzono ścisłe zasady przeniesienia sędziego z jednego wydziału do innego wydziału. Jest oczywiste, że niekiedy przeniesienie może stanowić formę szykany sędziego (np. cywilisty do wydziału karnego). Projektowana regulacja znacznie ogranicza dyskrecjonalną władzę prezesa sądu </w:t>
      </w:r>
      <w:r w:rsidR="00003687" w:rsidRPr="00F749CA">
        <w:rPr>
          <w:rFonts w:ascii="Times New Roman" w:eastAsia="Times New Roman" w:hAnsi="Times New Roman" w:cs="Times New Roman"/>
          <w:bCs/>
          <w:sz w:val="24"/>
          <w:szCs w:val="24"/>
          <w:lang w:eastAsia="pl-PL"/>
        </w:rPr>
        <w:t xml:space="preserve">regulując sposób procedowania i </w:t>
      </w:r>
      <w:r w:rsidRPr="00F749CA">
        <w:rPr>
          <w:rFonts w:ascii="Times New Roman" w:eastAsia="Times New Roman" w:hAnsi="Times New Roman" w:cs="Times New Roman"/>
          <w:bCs/>
          <w:sz w:val="24"/>
          <w:szCs w:val="24"/>
          <w:lang w:eastAsia="pl-PL"/>
        </w:rPr>
        <w:t xml:space="preserve"> kryteria, którym organ administracji sądowej powinien się kierować przy podejmowaniu takiej decyzji</w:t>
      </w:r>
    </w:p>
    <w:p w:rsidR="00F971E3" w:rsidRPr="00F749CA" w:rsidRDefault="00F971E3"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073056"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lastRenderedPageBreak/>
        <w:t>Zmiany zaproponowane w art. 23-25 u.s.p. nakierowane są na stworzenie nowego modelu powoływania prezesów sądów powszechnych poprzez zwiększenie swobody Ministra Sprawiedliwości, jako organu odpowiadającego za zapewnienie właściwego funkcjonowania sądownictwa powszechnego w wymiarze administracyjnym. Projektowane regulacje przewidują odstąpienie od dotychczasowego, etapowego modelu powoływania prezesów sądów apelacyjnych i okręgowych po uzyskaniu opinii zgromadzenia ogólnego sędziów  apelacji – w przypadku stanowiska prezesa sądu apelacyjnego lub zgromadzenia ogólnego sędziów okręgu – w przypadku stanowiska prezesa sądu okręgowego, a w przypadku negatywnej opinii tych organów samorządu sędziowskiego, po uzyskaniu pozytywnej opinii Krajowej Rady Sądownictwa, która w obecnym stanie prawnym negatywną opinią, może zablokować możliwość powołania na stanowisko prezesa sądu apelacyjnego lub okręgowego kandydata wybranego przez Ministra Sprawiedliwości. Wedle proponowanych przepisów Minister Sprawiedliwości będzie powoływał prezesów sądów apelacyjnych i okręgowych bez konieczności uzyskiw</w:t>
      </w:r>
      <w:r w:rsidR="00073056" w:rsidRPr="00F749CA">
        <w:rPr>
          <w:rFonts w:ascii="Times New Roman" w:eastAsia="Times New Roman" w:hAnsi="Times New Roman" w:cs="Times New Roman"/>
          <w:bCs/>
          <w:sz w:val="24"/>
          <w:szCs w:val="24"/>
          <w:lang w:eastAsia="pl-PL"/>
        </w:rPr>
        <w:t>ania opinii o ich kandydaturach</w:t>
      </w:r>
      <w:r w:rsidRPr="00F749CA">
        <w:rPr>
          <w:rFonts w:ascii="Times New Roman" w:eastAsia="Times New Roman" w:hAnsi="Times New Roman" w:cs="Times New Roman"/>
          <w:bCs/>
          <w:sz w:val="24"/>
          <w:szCs w:val="24"/>
          <w:lang w:eastAsia="pl-PL"/>
        </w:rPr>
        <w:t>.</w:t>
      </w:r>
      <w:r w:rsidR="00073056" w:rsidRPr="00F749CA">
        <w:rPr>
          <w:rFonts w:ascii="Times New Roman" w:eastAsia="Times New Roman" w:hAnsi="Times New Roman" w:cs="Times New Roman"/>
          <w:bCs/>
          <w:sz w:val="24"/>
          <w:szCs w:val="24"/>
          <w:lang w:eastAsia="pl-PL"/>
        </w:rPr>
        <w:t xml:space="preserve"> Jednocześnie Minister Sprawiedliwości, po dokonaniu powołania, będzie </w:t>
      </w:r>
      <w:r w:rsidR="009E6312" w:rsidRPr="00F749CA">
        <w:rPr>
          <w:rFonts w:ascii="Times New Roman" w:eastAsia="Times New Roman" w:hAnsi="Times New Roman" w:cs="Times New Roman"/>
          <w:bCs/>
          <w:sz w:val="24"/>
          <w:szCs w:val="24"/>
          <w:lang w:eastAsia="pl-PL"/>
        </w:rPr>
        <w:t xml:space="preserve">dokonywał prezentacji powołanych prezesów </w:t>
      </w:r>
      <w:r w:rsidR="00073056" w:rsidRPr="00F749CA">
        <w:rPr>
          <w:rFonts w:ascii="Times New Roman" w:eastAsia="Times New Roman" w:hAnsi="Times New Roman" w:cs="Times New Roman"/>
          <w:bCs/>
          <w:sz w:val="24"/>
          <w:szCs w:val="24"/>
          <w:lang w:eastAsia="pl-PL"/>
        </w:rPr>
        <w:t>właściwym organom samorządu sędziowskiego – odpowiednio zgromadzeniu ogólnemu sędziów  apelacji oraz zgromadzeniu ogólnemu sędziów okręgu</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Jednocześnie przewiduje się, dla wzmocnienia nadzoru zewnętrznego sprawowanego przez Ministra Sprawiedliwości, odstąpienie od zasady powoływania prezesa sądu rejonowego przez prezesa właściwego sądu apelacyjnego z zastosowaniem tożsamej procedury opiniowania kandydata, jak w przypadku kandydatów na prezesów sądów apelacyjnych i okręgowych, na rzecz powołania go przez Ministra Sprawiedliwości </w:t>
      </w:r>
      <w:r w:rsidR="000128CD" w:rsidRPr="00F749CA">
        <w:rPr>
          <w:rFonts w:ascii="Times New Roman" w:eastAsia="Times New Roman" w:hAnsi="Times New Roman" w:cs="Times New Roman"/>
          <w:bCs/>
          <w:sz w:val="24"/>
          <w:szCs w:val="24"/>
          <w:lang w:eastAsia="pl-PL"/>
        </w:rPr>
        <w:t>i</w:t>
      </w:r>
      <w:r w:rsidR="00F971E3" w:rsidRPr="00F749CA">
        <w:rPr>
          <w:rFonts w:ascii="Times New Roman" w:eastAsia="Times New Roman" w:hAnsi="Times New Roman" w:cs="Times New Roman"/>
          <w:bCs/>
          <w:sz w:val="24"/>
          <w:szCs w:val="24"/>
          <w:lang w:eastAsia="pl-PL"/>
        </w:rPr>
        <w:t> </w:t>
      </w:r>
      <w:r w:rsidR="000128CD" w:rsidRPr="00F749CA">
        <w:rPr>
          <w:rFonts w:ascii="Times New Roman" w:eastAsia="Times New Roman" w:hAnsi="Times New Roman" w:cs="Times New Roman"/>
          <w:bCs/>
          <w:sz w:val="24"/>
          <w:szCs w:val="24"/>
          <w:lang w:eastAsia="pl-PL"/>
        </w:rPr>
        <w:t>prezentowania jego osoby (przez Ministra Sprawiedliwości, ewentualnie prezesa przełożonego sądu apelacyjnego albo okręgowego)</w:t>
      </w:r>
      <w:r w:rsidRPr="00F749CA">
        <w:rPr>
          <w:rFonts w:ascii="Times New Roman" w:eastAsia="Times New Roman" w:hAnsi="Times New Roman" w:cs="Times New Roman"/>
          <w:bCs/>
          <w:sz w:val="24"/>
          <w:szCs w:val="24"/>
          <w:lang w:eastAsia="pl-PL"/>
        </w:rPr>
        <w:t xml:space="preserve"> zebraniu sędziów danego sądu rejonowego.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Kierunkowo tożsame zmiany zaproponowano w odniesieniu do powoływania wiceprezesów sądów. Zrezygnowano bowiem z zasięgania opinii właściwych kolegiów sądów o kandydatach oraz opinii prezesa sądu apelacyjnego w odniesieniu do kandydata  na wiceprezesa sądu okręgowego oraz prezesa sądu apelacyjnego, w odniesieni do kandydata na wiceprezesa sądu rejonowego. Poszerzono przy tym </w:t>
      </w:r>
      <w:r w:rsidR="00F971E3" w:rsidRPr="00F749CA">
        <w:rPr>
          <w:rFonts w:ascii="Times New Roman" w:eastAsia="Times New Roman" w:hAnsi="Times New Roman" w:cs="Times New Roman"/>
          <w:bCs/>
          <w:sz w:val="24"/>
          <w:szCs w:val="24"/>
          <w:lang w:eastAsia="pl-PL"/>
        </w:rPr>
        <w:t xml:space="preserve">przesłanki </w:t>
      </w:r>
      <w:r w:rsidRPr="00F749CA">
        <w:rPr>
          <w:rFonts w:ascii="Times New Roman" w:eastAsia="Times New Roman" w:hAnsi="Times New Roman" w:cs="Times New Roman"/>
          <w:bCs/>
          <w:sz w:val="24"/>
          <w:szCs w:val="24"/>
          <w:lang w:eastAsia="pl-PL"/>
        </w:rPr>
        <w:t>podmiotow</w:t>
      </w:r>
      <w:r w:rsidR="00F971E3" w:rsidRPr="00F749CA">
        <w:rPr>
          <w:rFonts w:ascii="Times New Roman" w:eastAsia="Times New Roman" w:hAnsi="Times New Roman" w:cs="Times New Roman"/>
          <w:bCs/>
          <w:sz w:val="24"/>
          <w:szCs w:val="24"/>
          <w:lang w:eastAsia="pl-PL"/>
        </w:rPr>
        <w:t>e, jakie spełniać muszą</w:t>
      </w:r>
      <w:r w:rsidRPr="00F749CA">
        <w:rPr>
          <w:rFonts w:ascii="Times New Roman" w:eastAsia="Times New Roman" w:hAnsi="Times New Roman" w:cs="Times New Roman"/>
          <w:bCs/>
          <w:sz w:val="24"/>
          <w:szCs w:val="24"/>
          <w:lang w:eastAsia="pl-PL"/>
        </w:rPr>
        <w:t xml:space="preserve"> kandyda</w:t>
      </w:r>
      <w:r w:rsidR="00F971E3" w:rsidRPr="00F749CA">
        <w:rPr>
          <w:rFonts w:ascii="Times New Roman" w:eastAsia="Times New Roman" w:hAnsi="Times New Roman" w:cs="Times New Roman"/>
          <w:bCs/>
          <w:sz w:val="24"/>
          <w:szCs w:val="24"/>
          <w:lang w:eastAsia="pl-PL"/>
        </w:rPr>
        <w:t>ci</w:t>
      </w:r>
      <w:r w:rsidRPr="00F749CA">
        <w:rPr>
          <w:rFonts w:ascii="Times New Roman" w:eastAsia="Times New Roman" w:hAnsi="Times New Roman" w:cs="Times New Roman"/>
          <w:bCs/>
          <w:sz w:val="24"/>
          <w:szCs w:val="24"/>
          <w:lang w:eastAsia="pl-PL"/>
        </w:rPr>
        <w:t xml:space="preserve">, spośród których dojść może do wyboru wiceprezesa, zastępując związanie koniecznością wyboru sędziego danego sądu, możliwością wyboru sędziego dowolnego sądu </w:t>
      </w:r>
      <w:r w:rsidRPr="00F749CA">
        <w:rPr>
          <w:rFonts w:ascii="Times New Roman" w:eastAsia="Times New Roman" w:hAnsi="Times New Roman" w:cs="Times New Roman"/>
          <w:bCs/>
          <w:sz w:val="24"/>
          <w:szCs w:val="24"/>
          <w:lang w:eastAsia="pl-PL"/>
        </w:rPr>
        <w:lastRenderedPageBreak/>
        <w:t xml:space="preserve">apelacyjnego lub okręgowego, w odniesieniu do stanowiska wiceprezesa sądu apelacyjnego, sędziego dowolnego sądu apelacyjnego, okręgowego lub rejonowego, w odniesieniu do stanowiska wiceprezesa sądu okręgowego oraz sędziego dowolnego sądu okręgowego lub rejonowego, w odniesieniu do stanowiska wiceprezesa sądu rejonowego. Powołanie wiceprezesa sądu rejonowego powierzono nadto Ministrowi Sprawiedliwości, w miejsce prezesa właściwego sądu apelacyjnego.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t xml:space="preserve">Kolejno, w nowelizowanym art. 27 u.s.p., przewidziano zmianę zasad odwoływania prezesów i wiceprezesów sądów poprzez doprecyzowanie katalogu przesłanek uprawniających Ministra Sprawiedliwości do wydania decyzji w tym przedmiocie. Obok dotychczasowej przesłanki rażącego niewywiązywania się z obowiązków służbowych proponuje się wprowadzenie w art. 27 § 1 pkt 1 u.s.p. możliwości odwołania również w sytuacji uporczywego niewywiązywania się z obowiązków służbowych. W tym drugim przypadku odwołanie prezesa sądu będzie dopuszczalne w razie stwierdzenia niewykonywania obowiązków służbowych w sposób powtarzający się, w szczególności w razie celowego ignorowania wyraźnych zarządzeń nadzorczych wydawanych w ramach nadzoru zewnętrznego lub wewnętrznego. Projekt przewiduje też możliwość odwołania prezesa sądu w razie stwierdzenia szczególnie niskiej efektywności działań w zakresie pełnionego nadzoru administracyjnego lub organizacji pracy w sądzie lub sądach niższych (art. 27 § 1 pkt 3 u.s.p.). Dotychczas efektywność działań prezesa sądu nie była ocenia – projekt ma na celu zapełnienie tej luki. Efektywność działań prezesa podlegać będzie weryfikacji w szczególności w ramach dokonywania ocen informacji rocznych o działalności sądów, co przewiduje się w projekcie w ramach nowelizacji art. 37g § 1 pkt 1 u.s.p.  i art. 37h u.s.p. Odwołanie prezesa, jako środek najdalej idący, przewidziany jest tylko dla sytuacji, w której zostanie stwierdzony brak efektywności w stopniu szczególnym, tj. wyjątkowym na tle działalności innych prezesów sądów kierujących porównywalnymi jednostkami.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W celu zwiększenia skuteczności nadzoru zewnętrznego sprawowanego przez Ministra Sprawiedliwości projekt zakłada rozszerzenie uprawnień Ministra o uprawnienie do odwołania również prezesa lub wiceprezesa sądu rejonowego – w obecnym stanie prawnym Minister jest uprawniony tylko do odwołania prezesa lub wiceprezesa sądu apelacyjnego i okręgowego. Ponadto, z tego samego względu, przewiduje się rezygnację z wiążącego </w:t>
      </w:r>
      <w:r w:rsidRPr="00F749CA">
        <w:rPr>
          <w:rFonts w:ascii="Times New Roman" w:eastAsia="Times New Roman" w:hAnsi="Times New Roman" w:cs="Times New Roman"/>
          <w:bCs/>
          <w:sz w:val="24"/>
          <w:szCs w:val="24"/>
          <w:lang w:eastAsia="pl-PL"/>
        </w:rPr>
        <w:lastRenderedPageBreak/>
        <w:t>charakteru negatywnej opinii Krajowej Rady Sądownictwie w przedmiocie zamiaru odwołania prezesa lub wiceprezesa sądu.</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Proponuje się, by z chwilą wystąpienia o opinię do Krajowej Rady Sądownictwa, odwoływany prezes czy wiceprezes  mógł być zawieszony w pełnieniu czynności (art. 27 § 3 u.s.p.). Pozwoli to uniknąć sytuacji, kiedy pracę sądu kontroluje osoba, co do której istnieje co najmniej uzasadnione podejrzenie niekompetencji. Taki stan rzeczy negatywnie wpływa bowiem na autorytet sądu. Ponadto, dalsze pełnienie obowiązków przez osobę, co do której Minister zakomunikował zamiar odwołania, negatywnie wpływa na wykonywanie pracy przez sąd, którego to dotyczy.</w:t>
      </w:r>
    </w:p>
    <w:p w:rsidR="00377AA7" w:rsidRPr="00F749CA" w:rsidRDefault="00377AA7"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377AA7" w:rsidRPr="00F749CA" w:rsidRDefault="00377AA7"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Zmiany w art</w:t>
      </w:r>
      <w:r w:rsidR="00F749CA" w:rsidRPr="00F749CA">
        <w:rPr>
          <w:rFonts w:ascii="Times New Roman" w:eastAsia="Times New Roman" w:hAnsi="Times New Roman" w:cs="Times New Roman"/>
          <w:bCs/>
          <w:sz w:val="24"/>
          <w:szCs w:val="24"/>
          <w:lang w:eastAsia="pl-PL"/>
        </w:rPr>
        <w:t>.</w:t>
      </w:r>
      <w:r w:rsidRPr="00F749CA">
        <w:rPr>
          <w:rFonts w:ascii="Times New Roman" w:eastAsia="Times New Roman" w:hAnsi="Times New Roman" w:cs="Times New Roman"/>
          <w:bCs/>
          <w:sz w:val="24"/>
          <w:szCs w:val="24"/>
          <w:lang w:eastAsia="pl-PL"/>
        </w:rPr>
        <w:t xml:space="preserve"> 29 i 31 stanowią konsekwencję wyeliminowania z regulacji u.s.p. funkcji kierownika szkolenia w sądach</w:t>
      </w:r>
      <w:r w:rsidR="00F749CA" w:rsidRPr="00F749CA">
        <w:rPr>
          <w:rFonts w:ascii="Times New Roman" w:eastAsia="Times New Roman" w:hAnsi="Times New Roman" w:cs="Times New Roman"/>
          <w:bCs/>
          <w:sz w:val="24"/>
          <w:szCs w:val="24"/>
          <w:lang w:eastAsia="pl-PL"/>
        </w:rPr>
        <w:t xml:space="preserve"> – z uwagi na dążenie do zmniejszania liczby stanowisk funkcyjnych w sądach powszechnych w celu koncentracji na wykonywaniu przez sędziów obowiązków orzeczniczych, a także z uwagi na fakt, iż ciężar planowania i realizacji szkoleń sędziów winien spoczywać na Krajowej Szkole Sądownictwa i Prokuratury współpracującej w tym zakresie z prezesami sądów. </w:t>
      </w:r>
      <w:r w:rsidRPr="00F749CA">
        <w:rPr>
          <w:rFonts w:ascii="Times New Roman" w:eastAsia="Times New Roman" w:hAnsi="Times New Roman" w:cs="Times New Roman"/>
          <w:bCs/>
          <w:sz w:val="24"/>
          <w:szCs w:val="24"/>
          <w:lang w:eastAsia="pl-PL"/>
        </w:rPr>
        <w:t xml:space="preserve"> </w:t>
      </w:r>
    </w:p>
    <w:p w:rsidR="00377AA7" w:rsidRDefault="00377AA7"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Projekt</w:t>
      </w:r>
      <w:r>
        <w:rPr>
          <w:rFonts w:ascii="Times New Roman" w:eastAsia="Times New Roman" w:hAnsi="Times New Roman" w:cs="Times New Roman"/>
          <w:bCs/>
          <w:sz w:val="24"/>
          <w:szCs w:val="24"/>
          <w:lang w:eastAsia="pl-PL"/>
        </w:rPr>
        <w:t>,</w:t>
      </w:r>
      <w:r w:rsidRPr="00F749CA">
        <w:rPr>
          <w:rFonts w:ascii="Times New Roman" w:eastAsia="Times New Roman" w:hAnsi="Times New Roman" w:cs="Times New Roman"/>
          <w:bCs/>
          <w:sz w:val="24"/>
          <w:szCs w:val="24"/>
          <w:lang w:eastAsia="pl-PL"/>
        </w:rPr>
        <w:t xml:space="preserve"> poprzez zmiany dokonywane w art. 37c u.s.p. i w art. 37d u.s.p. przewiduje zmianę modelu wizytacji w sądach (odstąpienie od zasady wizytacji wydziałów co cztery lata na rzecz wizytacji warunkowanej potrzebami, w tym w szczególności wynikającymi z wyników sprawowanego nadzoru administracyjnego) oraz rozszerzenie korpusu sędziów wizytatorów o sędziów wybieranych spośród sędziów sądów rejonowych. Sędziowie wizytatorzy powoływani spośród sędziów sądów rejonowych dokonywać będą wizytacji na poziomie sądów rejonowych. W obecnym w stanie prawnym analogiczna sytuacja zachodzi w odniesieniu do wizytatorów wybieranych spośród sędziów sądów apelacyjnych, którzy, zgodnie z artykułem 37c § 2, przeprowadzają wizytacje w sądach apelacyjnych, a  zatem na tym samym szczeblu sądownictwa. Jednocześnie, celem zapobieżenia powoływaniu do pełnienia funkcji sędziego wizytatora sędziów o zbyt małym doświadczeniu, projekt zakłada warunek dziesięcioletniego stażu pracy na stanowisku sędziego w odniesieniu do kandydatów na sędziów wizytatorów. Warunek ten odnosi się do wszystkich sędziów, którzy będą powoływani do pełnienia funkcji sędziego wizytatora, to jest do sędziów sądów rejonowych, okręgowych i apelacyjnych (art 37 d § 1 u.s.p.).  </w:t>
      </w: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lastRenderedPageBreak/>
        <w:t>Zawarta w projekcie nowelizacja artykułu 37d u.s.p. wprowadza nadto konieczność pozyskiwania przez prezesa sądu apelacyjnego, obok dotychczas wymaganej opinii kolegium sądu apelacyjnego, również opinii Ministra Sprawiedliwości przed powołaniem sędziego wizytatora. Opinia Ministra Sprawiedliwości, zgodnie z projektowanym art. 37d § 2 u.s.p., ma dotyczyć nie tylko kompetencji danego kandydata do pełnienia funkcji sędziego wizytatora, ale również względów organizacyjnych, w szczególności potrzeby powołania sędziego lub kolejnego sędziego wizytatora danym sądzie. Opinia Ministra Sprawiedliwości ma mieć charakter wiążący dla prezesa sądu apelacyjnego. Uzyskanie wpływu przez Ministra Sprawiedliwości na proces powoływania sędziów wizytatorów ma na celu przede wszystkim zracjonalizowanie i ujednolicenie liczby sędziów wizytatorów w porównywalnych sądach, okręgach i apelacjach. Zakłada się, że Minister Sprawiedliwości będzie koncentrował się na opiniowaniu wniosków o powołanie sędziów wizytatorów z punktu widzenia potrzeby tworzenia lub utrzymywania danego stanowiska funkcyjnego pod kątem organizacyjnym, w tym w szczególności przy uwzględnieniu konieczności zachowania racjonalnej proporcji pomiędzy ilością sędziów orzekających w pełnym wymiarze wpływu spraw do referatu i ilością sędziów funkcyjnych, których działalność orzecznicza jest ograniczona. Zadaniem kolegium sądu okręgowego w zakresie kandydatów na wizytatorów wyłanianych spośród sędziów sądów okręgowych i rejonowych  pozostanie, co do zasady, opiniowanie przede wszystkim pod kątem cech osobowych i kompetencji od pełnienia tej funkcji. Celem uniknięcia ryzyka przedłużania się procesu powoływania sędziego wizytator z uwagi na brak opinii Ministra Sprawiedliwości, w projektowanym art. 37d § 3 u.s.p. przewidziano trzydziestodniowy termin na wydanie opinii oraz rygor w postaci uznania, że opinia jest pozytywna, jeżeli nie zostanie wydana we wskazanym terminie.</w:t>
      </w: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Wpływ na dobór kadrowy sędziów wizytatorów jest częścią realizowanej przez niniejszy projekt koncepcji zwiększenia uprawnień, w tym opiniodawczych, Ministra Sprawiedliwości, jako podmiotu odpowiedzialnego za nadzór zewnętrzny nad działalnością administracyjną sądów, w zakresie powoływania sędziów do pełnienia funkcji związanych z nadzorem wewnętrznym nad tą działalnością. Możliwość opiniowania kandydatów do pełnienia funkcji sędziów wizytatorów stanowi uzupełnienie uprawnienia powoływania   prezesów sądów.  </w:t>
      </w:r>
    </w:p>
    <w:p w:rsid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lastRenderedPageBreak/>
        <w:t>Projekt przewiduje rozszerzenie i rozbudowanie instytucji zwrócenia uwagi na nieprawidłowości w działalności administracyjnej sędziów wykonujących funkcje administracyjne w sądach. W obecnym stanie prawnym, zgodnie z artykułem 37 § 4 u.s.p., możliwe jest zwrócenie uwagi sędziemu przez prezesa sądu w przypadku stwierdzenia uchybienia w zakresie sprawności postępowania sądowego. Ponadto, zgodnie z aktualnie obowiązującym artykułem 37e § 1 i 3 u.s.p., dopuszczalne jest zwracanie uwagi prezesowi lub wiceprezesowi sądu przez prezesa sądu przełożonego na uchybienia w zakresie kierowania sądem albo sprawowania wewnętrznego nadzoru administracyjnego. Instytucja ta jednak jest ograniczona w porównaniu z rozwiązaniem w zakresie zwracania uwagi sędziemu przez prezesa sądu w trybie artykułu 37 § 4 u.s.p. W szczególności dotyczy to braku konsekwencji dla prezesa sądu wynikających ze stwierdzenia uchybienia, o którym mowa w artykule 37e § 1 i 3 u.s.p.. W takim kształcie przepisy art. 37e § 1 i 3 stanowią zatem stwierdzenie oczywistej kompetencji prezesa sądu przełożonego do zwrócenia uwagi prezesowi (i wiceprezesowi) sądu niższego, która to kompetencja wynika z art. 22 § 2 u.s.p., stanowiącego, że w zakresie kierowania działalnością administracyjną sądu, prezes sądu podlega prezesowi sądu przełożonego oraz Ministrowi Sprawiedliwości.</w:t>
      </w: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Projektowana ustawa, w nowelizowanym art. 37e u.s.p., likwiduje wskazany wyżej brak symetrii między analogicznymi instytucjami i wprowadza, w § 7, odesłanie do artykułów 37 § 6 i 7 u.s.p., które mają być stosowane odpowiednio. Zatem zwrócenie uwagi sędziemu sprawującemu funkcję administracyjną na uchybienia w zakresie kierowania sądem, sprawowania wewnętrznego nadzoru administracyjnego albo wykonywania innych czynności administracyjnych, będzie wiązało się z dołączeniem do akt osobowych danego sędziego pełniącego funkcję administracyjną odpisu pisma zawierającego stwierdzenie uchybienia.</w:t>
      </w: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Projekt zakłada nadto, w artykule 37e § 4 u.s.p., że zwracanie uwagi na uchybienia w zakresie pełnienia czynności administracyjnych będzie możliwe nie tylko w stosunku do prezesa i wiceprezesa sądu ale również w stosunku do każdego sędziego lub asesora sądowego wykonującego czynności administracyjne w sądzie. Z uwagi na to należało rozszerzyć zakres czynności wskazanych artykule 37e § 1 u.s.p., które mogą być przedmiotem oceny przed stwierdzeniem uchybienia, poprzez wskazanie, że stwierdzenie uwagi może wiązać się ze stwierdzeniem uchybienia również w zakresie wykonywania innych czynności administracyjnych. Część funkcji administracyjnych nie wiąże się bowiem ani z kierowaniem sądem, ani ze sprawowaniem wewnętrznego nadzoru administracyjnego.</w:t>
      </w: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lastRenderedPageBreak/>
        <w:t xml:space="preserve">Kolejną, obok pozostawienia w aktach osobowych sędziego odpisu pisma zawierającego stwierdzenie uchybienia, konsekwencją zwrócenia uwagi trybie artykułu 37e u.s.p.,  jednakże fakultatywną, jest przewidziana w projektowanym § 8 art. 37e u.s.p. możliwość obniżenia dodatku funkcyjnego w stopniu odpowiadającym wadze uchybienia, w granicach od 15% do 50% wysokości dodatku, na czas do sześciu miesięcy. </w:t>
      </w: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Należy podkreślić, że możliwość obniżenia dodatku funkcyjnego wiąże się ze zmianą tylko tego jednego elementu wynagrodzenia sędziego, który jest bezpośrednio związany z pełnieniem funkcji administracyjnej w sądzie. Co więcej, należy zwrócić uwagę, że dodatek funkcyjny jest ustalany w sposób uznaniowy przez prezesa sądu powołującego danego sędziego do pełnienia funkcji administracyjnej. Zatem również w obecnym stanie prawnym możliwe jest obniżenie dodatku funkcyjnego w razie stwierdzenia uchybienia w zakresie kierowania sądem, sprawowania wewnętrznego nadzoru administracyjnego albo wykonywania innych czynności administracyjnych (obniżenie dodatku funkcyjnego nie jest dopuszczalne w obecnym stanie prawnym jedynie w przypadku przyznania go od początku sprawowania funkcji na minimalnym poziomie przewidzianym w rozporządzeniu wydanym na podstawie art. 91 § 8 u.s.p.). Projekt nie dokonuje zatem fundamentalnej zmiany w przedmiotowym zakresie, lecz reguluje sposób postępowania w przypadku stwierdzenia uchybienia w działalności administracyjnej. </w:t>
      </w: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Należy nadto zwrócić uwagę,  że projektowana ustawa przewiduje możliwość złożenia zastrzeżenia, w związku ze zwróceniem uwagi, przez sędziego, którego działalności administracyjnej to zwrócenie uwagi dotyczy (art. 37e § 5 u.s.p.). Proponuje się, aby takie zastrzeżenie sędzia, którego dotyczy uwaga, mógł złożyć prezesowi zwracającemu uwagę. Na skutek złożenia zastrzeżenia, prezes zwracający uwagę będzie mógł uwagę tę uchylić albo przekazać sprawę do rozpoznania prezesowi sądu przełożonego. W przypadku, gdy uwagę zwróci prezes sądu apelacyjnego, organem, który powinien rozpoznać sprawę na skutek zgłoszenia zastrzeżenia, jest Minister Sprawiedliwości.</w:t>
      </w: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Analogiczną instytucję przewidziano w odniesieniu do prezesa sądu apelacyjnego w dodawanym art. 37ga. W przypadku stwierdzenia nieprawidłowości w działalności administracyjnej prezesa lub wiceprezesa sądu apelacyjnego podmiotem zwracającym uwagę będzie Minister Sprawiedliwości z uwagi na brak organu nadrzędnego nad prezesem sądu apelacyjnego w ramach wewnętrznego nadzoru administracyjnego. Podobne rozwiązanie zawierał art. 37g § 5 u.s.p., który został uznany za niekonstytucyjny w wyroku Trybunału </w:t>
      </w:r>
      <w:r w:rsidRPr="00F749CA">
        <w:rPr>
          <w:rFonts w:ascii="Times New Roman" w:eastAsia="Times New Roman" w:hAnsi="Times New Roman" w:cs="Times New Roman"/>
          <w:bCs/>
          <w:sz w:val="24"/>
          <w:szCs w:val="24"/>
          <w:lang w:eastAsia="pl-PL"/>
        </w:rPr>
        <w:lastRenderedPageBreak/>
        <w:t xml:space="preserve">Konstytucyjnego z dnia 7 listopada 2013 r. (sygn. K 31/12). Biorąc pod uwagę przyczyny uznania tego przepisu za niekonstytucyjny, projekt zakłada, że prezes sądu apelacyjnego, którego będzie dotyczyć zwrócona uwaga, będzie mógł złożyć Ministrowi Sprawiedliwości pisemne zastrzeżenie (art. 37ga § 2 u.s.p.). W takim przypadku Minister Sprawiedliwości albo uchyli uwagę, albo przekaże sprawę do rozpoznania Krajowej Radzie Sądownictwa. Przekazanie sprawy Krajowej Radzie Sądownictwa jest uzasadnione tym, że w działalność prezesa sądu ingeruje przedstawiciel władzy wykonawczej, jakim jest Minister Sprawiedliwości. Podobnie jak w przypadku osób objętych zastosowaniem art. 37e u.s.p. ustawy, również w przypadku prezesa sądu apelacyjnego zwrócenie uwagi skutkuje złożeniem do akt osobowych odpisu pisma zawierającego uwagę, jak też może skutkować obniżeniem dodatku funkcyjnego w stopniu odpowiadającym wadze uchybienia, w granicach od 15% do 50% wysokości dodatku, na czas do sześciu miesięcy. </w:t>
      </w:r>
    </w:p>
    <w:p w:rsidR="00F749CA" w:rsidRP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Zarówno w przypadku zwrócenia uwagi w trybie art. 37e u.s.p.  jak i 37ga u.s.p. przewidziano, że w razie uchylenia uwagi bądź przez podmiot, który zwrócił uwagę, bądź też przez podmiot, który rozpatrywał sprawę na skutek przekazania zastrzeżenia, dokonuje się wyrównania dodatku do poprzedniej wysokości (art. 37e § 8 u.s.p. zdanie ostatnie i art. 37ga § 5 zdanie ostatnie u.s.p.).</w:t>
      </w:r>
    </w:p>
    <w:p w:rsidR="00F749CA" w:rsidRDefault="00F749CA"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Projekt zakłada wprowadzenie instytucji ocen informacji rocznych o działalności sądów przygotowywanych przez prezesów sądów.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W obecnym stanie prawnym informacje takie są sporządzane przez prezesów sądów apelacyjnych na podstawie art. 37h u.s.p. Podlegają one zaopiniowaniu przez zgromadzenie ogólne sędziów apelacji, jak również są przedmiotem analizy ze strony Ministra Sprawiedliwości. Wskazane uregulowanie należy uznać za niewystarczające dla zapewnienia skutecznego nadzoru zewnętrznego i wewnętrznego, w szczególności wobec utraty mocy przepisu art. 37h § 2 na skutek wyroku Trybunału Konstytucyjnego z dnia 7 listopada 2013 r. (sygn. K 31/12). Wskazany przepis przewidywał możliwość odmowy przyjęcia informacji rocznej prezesa sądu, jeżeli z informacji wynikało, że prezes sądu apelacyjnego nie podejmował w okresie sprawozdawczym niezbędnych czynności zmierzających do usunięcia uchybień w działalności administracyjnej sądów. Dokonywanie obecnie przez Ministra Sprawiedliwości jedynie analizy informacj</w:t>
      </w:r>
      <w:r w:rsidR="00377AA7" w:rsidRPr="00F749CA">
        <w:rPr>
          <w:rFonts w:ascii="Times New Roman" w:eastAsia="Times New Roman" w:hAnsi="Times New Roman" w:cs="Times New Roman"/>
          <w:bCs/>
          <w:sz w:val="24"/>
          <w:szCs w:val="24"/>
          <w:lang w:eastAsia="pl-PL"/>
        </w:rPr>
        <w:t>i rocznych o działalności sądów</w:t>
      </w:r>
      <w:r w:rsidRPr="00F749CA">
        <w:rPr>
          <w:rFonts w:ascii="Times New Roman" w:eastAsia="Times New Roman" w:hAnsi="Times New Roman" w:cs="Times New Roman"/>
          <w:bCs/>
          <w:sz w:val="24"/>
          <w:szCs w:val="24"/>
          <w:lang w:eastAsia="pl-PL"/>
        </w:rPr>
        <w:t xml:space="preserve"> składanych przez prezesów sądów apelacyjnych należy uznać za działanie niewystarczające, choćby z uwagi na </w:t>
      </w:r>
      <w:r w:rsidRPr="00F749CA">
        <w:rPr>
          <w:rFonts w:ascii="Times New Roman" w:eastAsia="Times New Roman" w:hAnsi="Times New Roman" w:cs="Times New Roman"/>
          <w:bCs/>
          <w:sz w:val="24"/>
          <w:szCs w:val="24"/>
          <w:lang w:eastAsia="pl-PL"/>
        </w:rPr>
        <w:lastRenderedPageBreak/>
        <w:t xml:space="preserve">to, że działaniu prezesów sądów wykonujących ustawowy obowiązek złożenia informacji rocznej nie towarzyszy reakcja Ministra Sprawiedliwości, do którego informacja roczna jest kierowana. Prezesi sądów apelacyjnych nie otrzymują informacji zwrotnej odnośnie swojej działalności, co z pewnością nie może być uznane za czynnik korzystnie wpływający na motywację do podejmowania działań celem zwiększenia efektywności pracy sądów.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Projekt zakłada ponadto rozszerzenie obowiązku składania informacji rocznych również na prezesów sądów okręgowych i rejonowych, przy czym informacje te mają być składane prezesowi sądu przełożonego, a zatem prezesowi sądu apelacyjnego przez prezesa sądu okręgowego i prezesowi sądu okręgowego przez prezesa sądu rejonowego.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Informacje roczne, zgodnie z projektem, mają podlegać ocenie przez podmioty do których są kierowane (art. 37g § 1 pkt 1 u.s.p. oraz art. 37h § 4 u.s.p.). Informacja prezesa sądu apelacyjnego ma podlegać ocenie dokonywanej przez Ministra Sprawiedliwości, informacje składane przez prezesów pozostałych sądów niższych szczebli mają zaś podlegać ocenom dokonywanym przez prezesów sądów przełożonych. Projekt wprowadza przy tym cztery możliwe oceny informacji rocznej. Może ona, zgodnie z art. 37h § 6, być: pozytywna z wyróżnieniem, pozytywna, pozytywna z zastrzeżeniem lub zastrzeżeniami albo negatywna. Przy formułowaniu projektowanych rozwiązań uwzględniono treść wskazanego wyżej wyroku TK w sprawie K 31/12, w którym niekonstytucyjność art. 37h § 2 stwierdzono z uwagi na to, że nie przewidziano możliwości odwołania się od odmowy przyjęcia przez organ władzy wykonawczej – Ministra Sprawiedliwości informacji rocznej o działalności sądów, działających na obszarze apelacji, w zakresie powierzonych prezesowi zadań, przy jednoczesnym założeniu, że taka dwukrotna odmowa oznacza rażące niewywiązywanie się przez prezesa z obowiązków służbowych. W projektowanym art. 37h § 8 i 9 przewiduje się, że prezes sądu apelacyjnego, którego informacja zostanie oceniona negatywnie, będzie mógł w terminie czternastu dni od dnia poinformowania go o tym, złożyć Ministrowi Sprawiedliwości pisemne zastrzeżenie, natomiast Minister Sprawiedliwości w terminie jednego miesiąca będzie mógł zmienić ocenę albo przekazać sprawę do rozpoznania Krajowej Radzie Sądownictwa, zawiadamiając prezesa sądu o sposobie rozpatrzenia zastrzeżenia.</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Tryb wniesienia zastrzeżenia w razie negatywnej oceny informacji przewidziano również na rzecz prezesów sądów okręgowych i rejonowych, przy czym – biorąc pod uwagę, że ocen tych nie będzie dokonywał organ władzy wykonawczej, jakim jest Minister </w:t>
      </w:r>
      <w:r w:rsidRPr="00F749CA">
        <w:rPr>
          <w:rFonts w:ascii="Times New Roman" w:eastAsia="Times New Roman" w:hAnsi="Times New Roman" w:cs="Times New Roman"/>
          <w:bCs/>
          <w:sz w:val="24"/>
          <w:szCs w:val="24"/>
          <w:lang w:eastAsia="pl-PL"/>
        </w:rPr>
        <w:lastRenderedPageBreak/>
        <w:t>Sprawiedliwości, lecz prezes właściwego sądu przełożonego – zastrzeżenie ma być rozpatrywane przez Ministra Sprawiedliwości w przypadku dokonania przez prezesa sądu apelacyjnego negatywnej oceny informacji prezesa sądu okręgowego  albo przez prezesa sądu apelacyjnego w przypadku dokonania przez prezesa sądu okręgowego negatywnej oceny informacji prezesa sądu rejonowego (art. 37h § 10 i 11 u.s.p.).</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Celem nadania większej wagi ocenie informacji rocznych składanych przez prezesów sądów projekt przewiduje możliwość powiązania dwóch skrajnych ocen z podwyższeniem albo obniżeniem dodatku funkcyjnego należnego prezesowi sądu. W przypadku oceny pozytywnej z wyróżnieniem projektowany przepis art. 37h § 13 u.s.p. przewiduje możliwość połączenia tej oceny z podwyższeniem dodatku funkcyjnego do wysokości 150% maksymalnej wysokości dodatku wskazanej w rozporządzeniu wydanym na podstawie art. 91 § 8 u.s.p., na okres do jednego roku. Z kolei ocena negatywna będzie mogła być połączona z obniżeniem dodatku funkcyjnego w stopniu odpowiadającym wadze uchybień, w granicach od 15% do 50% wysokości dodatku, na czas do jednego roku (art. 37h § 12 u.s.p.) przy zastrzeżeniu, że w razie zmiany oceny na inną niż negatywna dokonuje się wyrównania dodatku do poprzedniej wysokości.</w:t>
      </w:r>
    </w:p>
    <w:p w:rsidR="00F749CA" w:rsidRDefault="005F04CE"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Nadto, w zakresie trybu opiniowania informacji rocznej sporządzanej przez prezesa sądu apelacyjnego projekt przewiduje korektę co do tego, kto powinien przewodniczyć zgromadzeniu ogólnemu sędziów apelacji, na którym ma być wyrażona opinia o informacji rocznej o działalności sądów. W obecnym stanie prawnym przewodniczącym tego zgromadzenia jest prezes sądu apelacyjnego, któremu kompetencję w tym zakresie przyznaje art. 33 § 2 u.s.p.. Prezes sądu jest zatem przewodniczącym zgromadzenia, które wyraża opinię o informacji rocznej sporządzonej przez tegoż prezesa. Celem zapewnienia większej autonomii zgromadzenia w zakresie wyrażania opinii o przedmiotowej informacji rocznej proponuje się wprowadzenie regulacji (art. 33 § 2a u.s.p.), zgodnie z którą zgromadzeniu, na którym ma być wyrażona opinia o informacji rocznej o działalności sądów, przewodniczy sędzia wybrany na tym zgromadzeniu. Rolą prezesa sądu apelacyjnego na tym zgromadzeniu będzie zatem przedstawienie informacji i wyjaśnienie ewentualnych wątpliwości w zakresie informacji rocznej zgłaszanych w toku zgromadzenia, natomiast kierowanie zgromadzeniem i głosowaniem będzie przekazane w ręce przewodniczącego wybranego ad hoc na danym zgromadzeniu.</w:t>
      </w:r>
    </w:p>
    <w:p w:rsid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F749CA" w:rsidRDefault="00F749CA"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A30EED" w:rsidRPr="00F749CA" w:rsidRDefault="00A30EED" w:rsidP="00F749CA">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Projektowana zmiana dokonywana w artykule 37g § 3 u.s.p. zakłada wprowadzenie możliwości zarządzenia przeprowadzenia czynności nadzorczych przez służbę nadzoru, o której mowa w art. 9a § 2 u.s.p. Zgodnie z tym przepisem służbę nadzoru stanowią sędziowie delegowani w trybie art. 77 u.s.p.  do pełnienia czynności administracyjnych w Ministerstwie Sprawiedliwości. Obecnie, zgodnie z art. 37g § 2 i 3 u.s.p.,  Minister Sprawiedliwości może zarządzić przeprowadzenie lustracji sądu, wydziału albo działalności administracyjnej prezesa sądu, zlecając przeprowadzenie tych czynności prezesowi sądu apelacyjnego lub, w uzasadnionych przypadkach, również sędziom wizytatorom z obszaru innej apelacji, przy czym we wskazanych czynnościach może brać udział sędzia delegowany do pełnienia czynności administracyjnych w Ministerstwie Sprawiedliwości. Rozwiązanie to w odniesieniu do konieczności przeprowadzenia lustracji działalności administracyjnej prezesa sądu, w szczególności prezesa sądu apelacyjnego, należy uznać za nieefektywne z tego względu, że prezes sądu apelacyjnego, co oczywiste, nie powinien wykonywać czynności nadzorczych w odniesieniu do własnych działań. Natomiast sędziowie wizytatorzy z obszaru innej apelacji z reguły związani są zaplanowanym planem wizytacji koniecznych do przeprowadzenia na obszarze własnej apelacji. Przede wszystkim jednak, doświadczenie tych sędziów wizytatorów dotyczy co do zasady czynności z zakresu wewnętrznego nadzoru administracyjnego, tj. wizytacji, obejmujących pełną działalność administracyjną sądu lub wydziału sądu oraz lustracji, obejmujących wybrane zagadnienia z działalności administracyjnej sądu lub wydziału sądu (art. 37b § 2 u.s.p.). Czynności podejmowane przez sędziów wizytatorów nie dotyczą z zasady działalności administracyjnej prezesa sądu. Z uwagi na to zachodzi potrzeba wprowadzenia rozwiązania pozwalającego Ministrowi Sprawiedliwości na zlecenie podjęcia czynności nadzorczych wskazanych w art. 37g § 2 u.s.p. przez działającą już obecnie i składającą się  z sędziów służbę nadzoru, o której mowa w art. 9a § 2 u.s.p.</w:t>
      </w:r>
    </w:p>
    <w:p w:rsidR="00A30EED" w:rsidRPr="00F749CA" w:rsidRDefault="00A30EED"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t xml:space="preserve">W art. 40 u.s.p. przewidziano dodatkowe, obok złożenia wyjaśnień, uprawnienie dla sędziego, któremu sąd apelacyjny lub sąd okręgowy jako sąd odwoławczy wytknął uchybienie w związku ze stwierdzeniem, przy rozpoznawaniu sprawy, oczywistej obrazy przepisów. Sędzia lub asesor sądowy wchodzący w skład sądu orzekającego będzie mógł, w przypadku braku zgodny na ocenę dokonana przez sąd kontrolujący wydane orzeczenie,  </w:t>
      </w:r>
      <w:r w:rsidRPr="00F749CA">
        <w:rPr>
          <w:rFonts w:ascii="Times New Roman" w:eastAsia="Times New Roman" w:hAnsi="Times New Roman" w:cs="Times New Roman"/>
          <w:bCs/>
          <w:sz w:val="24"/>
          <w:szCs w:val="24"/>
          <w:lang w:eastAsia="pl-PL"/>
        </w:rPr>
        <w:lastRenderedPageBreak/>
        <w:t xml:space="preserve">wnieść odwołanie do Sądu Najwyższego (art. 40 § 2a u.s.p.). Sąd Najwyższy, dokonując oceny odwołania, będzie uprawniony do utrzymania w mocy postanowienia zawierającego wytknięcie uchybienia bądź jego uchylenia, kończącego rozpoznawanie sprawy w tym zakresie, w całości lub w części. Powyższe pozwoli na zapewnienie kontroli zasadności udzielonego „wytyku”, w tym w zakresie oceny, czy rzeczywiście doszło do obrazy przepisów noszącej znamiona oczywistości. Ponadto orzecznictwo Sądu Najwyższego w tym zakresie pozwoli na wypracowanie jednolitych kryteriów orzekania przez sądy odwoławcze niniejszej instytucji, co wpłynie na generalną poprawę jakości orzecznictwa sądów.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t xml:space="preserve">Zmiany przewidziane w art. 40 § 3 i 4 u.s.p. stanowią konsekwencję uzupełnienia możliwości reakcji sędziego na udzielone wytknięcie uchybienia o instytucję odwołania do Sądu Najwyższego.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t xml:space="preserve">Kolejno, w art. 41 § 1 u.s.p. przewidziano doprecyzowanie upoważnienia ustawowego do wydania przez Ministra Sprawiedliwości rozporządzenia w sprawie określenia regulaminu wewnętrznego urzędowania sądów powszechnych. Projektowana zmiana ma w szczególności na celu dostosowanie upoważnienia do regulacji przewidzianych w nowelizowanym art. 22a i dodawanych art. 47a i 47b u.s.p. Projekt ustawy przenosi bowiem na poziom ustawowy reguły </w:t>
      </w:r>
      <w:r w:rsidR="0093731B" w:rsidRPr="00F749CA">
        <w:rPr>
          <w:rFonts w:ascii="Times New Roman" w:eastAsia="Times New Roman" w:hAnsi="Times New Roman" w:cs="Times New Roman"/>
          <w:bCs/>
          <w:sz w:val="24"/>
          <w:szCs w:val="24"/>
          <w:lang w:eastAsia="pl-PL"/>
        </w:rPr>
        <w:t>i</w:t>
      </w:r>
      <w:r w:rsidRPr="00F749CA">
        <w:rPr>
          <w:rFonts w:ascii="Times New Roman" w:eastAsia="Times New Roman" w:hAnsi="Times New Roman" w:cs="Times New Roman"/>
          <w:bCs/>
          <w:sz w:val="24"/>
          <w:szCs w:val="24"/>
          <w:lang w:eastAsia="pl-PL"/>
        </w:rPr>
        <w:t xml:space="preserve"> zasady przydziału spraw sędziom oraz wyjątki w tym zakresie, a także zasady zmian składu orzekającego, których doprecyzowanie nastąpi w akcie wykonawczym. </w:t>
      </w:r>
    </w:p>
    <w:p w:rsidR="0093731B" w:rsidRPr="00F749CA" w:rsidRDefault="0093731B"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t xml:space="preserve">Art. 41 § 1a u.s.p. stanowi novum normatywne mające na celu umożliwienie Ministrowi Sprawiedliwości, po uzyskaniu uprzedniej zgody właściwych organów samorządu sędziowskiego oraz po pozytywnym zaopiniowaniu przez Krajową Radę Sądownictwa, pilotażowe określenie regulaminu wewnętrznego urzędowania sądów powszechnych, odmiennego od obowiązującego powszechnie, na obszarze danej apelacji, okręgu albo sądu. Rozwiązanie to umożliwi testowanie nowych rozwiązań organizacyjno-administracyjnych, przekazanych do uregulowania w akcie wykonawczym, na obszarach jedynie wybranych sądów i dokonanie oceny ich funkcjonalności przed wdrożeniem do stosowania we wszystkich sądach. Regulacja ta winna korzystnie wpłynąć na organizacje pracy sądów powszechnych, pozwalając zawczasu dostrzec ewentualne niedostatki nowych regulacji i usunąć je przed objęciem taką regulacja wszystkich jednostek organizacyjnych sądownictwa.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93731B" w:rsidRPr="00F749CA" w:rsidRDefault="0093731B"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Zmiana art. 47 § 1 u.s.p. jest konsekwencją wprowadzenia zasady losowego przydziału spraw, co winno objąć także dodatkowych sędziów lub asesorów sądowych. </w:t>
      </w:r>
      <w:r w:rsidR="004226B4" w:rsidRPr="00F749CA">
        <w:rPr>
          <w:rFonts w:ascii="Times New Roman" w:eastAsia="Times New Roman" w:hAnsi="Times New Roman" w:cs="Times New Roman"/>
          <w:bCs/>
          <w:sz w:val="24"/>
          <w:szCs w:val="24"/>
          <w:lang w:eastAsia="pl-PL"/>
        </w:rPr>
        <w:t>Stąd proponuje</w:t>
      </w:r>
      <w:r w:rsidRPr="00F749CA">
        <w:rPr>
          <w:rFonts w:ascii="Times New Roman" w:eastAsia="Times New Roman" w:hAnsi="Times New Roman" w:cs="Times New Roman"/>
          <w:bCs/>
          <w:sz w:val="24"/>
          <w:szCs w:val="24"/>
          <w:lang w:eastAsia="pl-PL"/>
        </w:rPr>
        <w:t xml:space="preserve"> się, by właściwy prezes sądu zarządzał przydzielenie dodatkowego sędziego lub asesora, jeż</w:t>
      </w:r>
      <w:r w:rsidR="004226B4" w:rsidRPr="00F749CA">
        <w:rPr>
          <w:rFonts w:ascii="Times New Roman" w:eastAsia="Times New Roman" w:hAnsi="Times New Roman" w:cs="Times New Roman"/>
          <w:bCs/>
          <w:sz w:val="24"/>
          <w:szCs w:val="24"/>
          <w:lang w:eastAsia="pl-PL"/>
        </w:rPr>
        <w:t>e</w:t>
      </w:r>
      <w:r w:rsidRPr="00F749CA">
        <w:rPr>
          <w:rFonts w:ascii="Times New Roman" w:eastAsia="Times New Roman" w:hAnsi="Times New Roman" w:cs="Times New Roman"/>
          <w:bCs/>
          <w:sz w:val="24"/>
          <w:szCs w:val="24"/>
          <w:lang w:eastAsia="pl-PL"/>
        </w:rPr>
        <w:t xml:space="preserve">li istnieją ustawowe </w:t>
      </w:r>
      <w:r w:rsidR="004226B4" w:rsidRPr="00F749CA">
        <w:rPr>
          <w:rFonts w:ascii="Times New Roman" w:eastAsia="Times New Roman" w:hAnsi="Times New Roman" w:cs="Times New Roman"/>
          <w:bCs/>
          <w:sz w:val="24"/>
          <w:szCs w:val="24"/>
          <w:lang w:eastAsia="pl-PL"/>
        </w:rPr>
        <w:t>przesłanki ku temu, w miejsce ich wyznaczania (rozumianego jako wskazanie konkretnej osoby).</w:t>
      </w:r>
      <w:r w:rsidR="00F749CA">
        <w:rPr>
          <w:rFonts w:ascii="Times New Roman" w:eastAsia="Times New Roman" w:hAnsi="Times New Roman" w:cs="Times New Roman"/>
          <w:bCs/>
          <w:sz w:val="24"/>
          <w:szCs w:val="24"/>
          <w:lang w:eastAsia="pl-PL"/>
        </w:rPr>
        <w:t xml:space="preserve"> Wybór konkretnego sędziego lub asesora będzie następował </w:t>
      </w:r>
      <w:r w:rsidR="00DB12D7" w:rsidRPr="00F749CA">
        <w:rPr>
          <w:rFonts w:ascii="Times New Roman" w:eastAsia="Times New Roman" w:hAnsi="Times New Roman" w:cs="Times New Roman"/>
          <w:bCs/>
          <w:sz w:val="24"/>
          <w:szCs w:val="24"/>
          <w:lang w:eastAsia="pl-PL"/>
        </w:rPr>
        <w:t xml:space="preserve"> </w:t>
      </w:r>
      <w:r w:rsidR="00F749CA">
        <w:rPr>
          <w:rFonts w:ascii="Times New Roman" w:eastAsia="Times New Roman" w:hAnsi="Times New Roman" w:cs="Times New Roman"/>
          <w:bCs/>
          <w:sz w:val="24"/>
          <w:szCs w:val="24"/>
          <w:lang w:eastAsia="pl-PL"/>
        </w:rPr>
        <w:t xml:space="preserve">w drodze losowania. </w:t>
      </w:r>
      <w:r w:rsidR="00DB12D7" w:rsidRPr="00F749CA">
        <w:rPr>
          <w:rFonts w:ascii="Times New Roman" w:eastAsia="Times New Roman" w:hAnsi="Times New Roman" w:cs="Times New Roman"/>
          <w:bCs/>
          <w:sz w:val="24"/>
          <w:szCs w:val="24"/>
          <w:lang w:eastAsia="pl-PL"/>
        </w:rPr>
        <w:t xml:space="preserve">Tożsama zmiana </w:t>
      </w:r>
      <w:r w:rsidR="00F749CA">
        <w:rPr>
          <w:rFonts w:ascii="Times New Roman" w:eastAsia="Times New Roman" w:hAnsi="Times New Roman" w:cs="Times New Roman"/>
          <w:bCs/>
          <w:sz w:val="24"/>
          <w:szCs w:val="24"/>
          <w:lang w:eastAsia="pl-PL"/>
        </w:rPr>
        <w:t xml:space="preserve">została wprowadzona w odniesieniu do </w:t>
      </w:r>
      <w:r w:rsidR="00DB12D7" w:rsidRPr="00F749CA">
        <w:rPr>
          <w:rFonts w:ascii="Times New Roman" w:eastAsia="Times New Roman" w:hAnsi="Times New Roman" w:cs="Times New Roman"/>
          <w:bCs/>
          <w:sz w:val="24"/>
          <w:szCs w:val="24"/>
          <w:lang w:eastAsia="pl-PL"/>
        </w:rPr>
        <w:t>ławników (art.</w:t>
      </w:r>
      <w:r w:rsidR="00F749CA">
        <w:rPr>
          <w:rFonts w:ascii="Times New Roman" w:eastAsia="Times New Roman" w:hAnsi="Times New Roman" w:cs="Times New Roman"/>
          <w:bCs/>
          <w:sz w:val="24"/>
          <w:szCs w:val="24"/>
          <w:lang w:eastAsia="pl-PL"/>
        </w:rPr>
        <w:t> </w:t>
      </w:r>
      <w:r w:rsidR="00DB12D7" w:rsidRPr="00F749CA">
        <w:rPr>
          <w:rFonts w:ascii="Times New Roman" w:eastAsia="Times New Roman" w:hAnsi="Times New Roman" w:cs="Times New Roman"/>
          <w:bCs/>
          <w:sz w:val="24"/>
          <w:szCs w:val="24"/>
          <w:lang w:eastAsia="pl-PL"/>
        </w:rPr>
        <w:t>170 i 171 u.s.p.).</w:t>
      </w:r>
    </w:p>
    <w:p w:rsidR="004226B4" w:rsidRPr="00F749CA" w:rsidRDefault="004226B4"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662D86" w:rsidRDefault="004226B4" w:rsidP="00662D8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Celem dodania art. 47c u.s.p jest zwiększenie poziomu bezpieczeństwa i porządku na sali sądowej poprzez umożliwienie sądowi weryfikacji tożsamoś</w:t>
      </w:r>
      <w:r w:rsidR="008C1485">
        <w:rPr>
          <w:rFonts w:ascii="Times New Roman" w:eastAsia="Times New Roman" w:hAnsi="Times New Roman" w:cs="Times New Roman"/>
          <w:bCs/>
          <w:sz w:val="24"/>
          <w:szCs w:val="24"/>
          <w:lang w:eastAsia="pl-PL"/>
        </w:rPr>
        <w:t xml:space="preserve">ci osób obecnych na posiedzeniu, co już samo w sobie winno oddziaływać prewencyjnie na zachowania mogące nie licować z powagą sądu. </w:t>
      </w:r>
    </w:p>
    <w:p w:rsidR="008C1485" w:rsidRPr="00F749CA" w:rsidRDefault="008C1485" w:rsidP="00662D8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662D86" w:rsidRPr="00F749CA" w:rsidRDefault="00662D86" w:rsidP="00662D8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W zakresie dotyczącym dodania art 51a i 51b u.s.p. (oraz uchylenia art 1116 i 1143 k.p.c.) należy wskazać, że przepisy dotyczące stosowania prawa obcego przez sądy, pozyskiwania informacji w tym zakresie, a także w zakresie istniejących immunitetów lub przywilejów wynikających z prawa międzynarodowego mają charakter bardziej ustrojowy niż procesowy i są szczegółowo uregulowane w przepisach wykonawczych do u.s.p (rozporządzeniu wydanym na podstawie art 41 § 2 u.s.p.). Co najważniejsze zaś kwestie te powinny być uregulowane jednolicie niezależnie od tego jakiego postępowania dotyczą (cywilnego czy karnego). Z tych względów najwłaściwszym miejscem dla wskazanych regulacji jest u.s.p. </w:t>
      </w:r>
    </w:p>
    <w:p w:rsidR="00662D86" w:rsidRPr="00F749CA" w:rsidRDefault="00662D86" w:rsidP="00662D8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Redakcja art. 51a u.s.p. wzorowana jest na art. 1143 k.p.c., który sprawdził się w</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praktyce na tle postępowania cywilnego. W przeciwieństwie do Kodeksu postępowania cywilnego, Kodeks postępowania karnego nie zawiera przepisów regulujących stwierdzenie obcego prawa i wzajemności. W praktyce sądy karne zwracają się do Ministerstwa Sprawiedliwości o udzielenie takich informacji bądź nie wskazując podstawy prawnej wniosku bądź powołując się wyłącznie na rozporządzenie wydane na podstawie art 41 § 2 u.s.p.</w:t>
      </w:r>
      <w:r w:rsidRPr="00F749CA">
        <w:rPr>
          <w:rFonts w:ascii="Times New Roman" w:eastAsia="Times New Roman" w:hAnsi="Times New Roman" w:cs="Times New Roman"/>
          <w:bCs/>
          <w:sz w:val="24"/>
          <w:szCs w:val="24"/>
          <w:lang w:eastAsia="pl-PL"/>
        </w:rPr>
        <w:tab/>
        <w:t xml:space="preserve">Rozciągnięcie regulacji z Kodeksu postępowania cywilnego na wszystkie postępowania sądowe będzie mieć nie tylko charakter porządkujący (wskaże jednoznaczną </w:t>
      </w:r>
      <w:r w:rsidRPr="00F749CA">
        <w:rPr>
          <w:rFonts w:ascii="Times New Roman" w:eastAsia="Times New Roman" w:hAnsi="Times New Roman" w:cs="Times New Roman"/>
          <w:bCs/>
          <w:sz w:val="24"/>
          <w:szCs w:val="24"/>
          <w:lang w:eastAsia="pl-PL"/>
        </w:rPr>
        <w:lastRenderedPageBreak/>
        <w:t>podstawę na jakiej Ministerstwo Sprawiedliwości udziela informacji o obcym prawie, praktyce i wzajemności) ale przede wszystkim przesądzi, że takie ustalenia mogą być dokonane za pomocą opinii biegłych oraz wszelkich innych środków dowodowych.  Obecnie to czy możliwe jest dopuszczenie dowodu z dokumentu lub z opinii biegłego na okoliczność treści prawa obcego, obcej praktyki lub wzajemności nie jest jednoznacznie przesądzone w</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przepisach o postępowaniu karnym. Z praktyki wynika, że niejednokrotnie sądy zwracają się o informacje o prawie obcym chociaż znajdują się już one w aktach sprawy, zostały zebrane na etapie postępowania przygotowawczego a pochodzą np. z prokuratorskiego punktu kontaktowego Europejskiej Sieci Sądowej lub z właściwej placówki dyplomatycznej. Sądy niekiedy nie uznają ich za miarodajne żądając od Ministerstwa Sprawiedliwości swoistego ich potwierdzenia bądź uwierzytelnienia. Czynności związane z przesyłaniem do MS akt sprawy opóźniają jej merytoryczne rozpoznanie. </w:t>
      </w:r>
    </w:p>
    <w:p w:rsidR="00662D86" w:rsidRPr="00F749CA" w:rsidRDefault="00662D86" w:rsidP="00662D8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t>Propozycja art. 53b u.s.p. wzorowana jest na treści art. 1116 k.p.c. ze zmianami dostosowującymi do potrzeb praktyki.</w:t>
      </w:r>
      <w:r w:rsidR="008C1485">
        <w:rPr>
          <w:rFonts w:ascii="Times New Roman" w:eastAsia="Times New Roman" w:hAnsi="Times New Roman" w:cs="Times New Roman"/>
          <w:bCs/>
          <w:sz w:val="24"/>
          <w:szCs w:val="24"/>
          <w:lang w:eastAsia="pl-PL"/>
        </w:rPr>
        <w:t xml:space="preserve"> </w:t>
      </w:r>
      <w:r w:rsidRPr="00F749CA">
        <w:rPr>
          <w:rFonts w:ascii="Times New Roman" w:eastAsia="Times New Roman" w:hAnsi="Times New Roman" w:cs="Times New Roman"/>
          <w:bCs/>
          <w:sz w:val="24"/>
          <w:szCs w:val="24"/>
          <w:lang w:eastAsia="pl-PL"/>
        </w:rPr>
        <w:t>Używane w Kodeksie postępowania cywilnego pojęcie „immunitet sądowy lub egzekucyjny” zostało zastąpione pojęciem „przywilej lub immunitet wynikający z prawa międzynarodowego”, aby usunąć pojawiające się niekiedy w praktyce wątpliwości odnośnie do tego czy chodzi tylko o immunitet dyplomatyczny i konsularny, czy też odrębny od nich immunitet państwa lub organizacji międzynarodowej. Kwestia ta była podnoszona była przez Doradczy Komitety Prawny przy Ministerstwie Spraw Zagranicznych.</w:t>
      </w:r>
      <w:r w:rsidR="008C1485">
        <w:rPr>
          <w:rFonts w:ascii="Times New Roman" w:eastAsia="Times New Roman" w:hAnsi="Times New Roman" w:cs="Times New Roman"/>
          <w:bCs/>
          <w:sz w:val="24"/>
          <w:szCs w:val="24"/>
          <w:lang w:eastAsia="pl-PL"/>
        </w:rPr>
        <w:t xml:space="preserve"> </w:t>
      </w:r>
      <w:r w:rsidRPr="00F749CA">
        <w:rPr>
          <w:rFonts w:ascii="Times New Roman" w:eastAsia="Times New Roman" w:hAnsi="Times New Roman" w:cs="Times New Roman"/>
          <w:bCs/>
          <w:sz w:val="24"/>
          <w:szCs w:val="24"/>
          <w:lang w:eastAsia="pl-PL"/>
        </w:rPr>
        <w:t>Dodanie przed słowem „immunitet” słowa „przywilej” synchronizuje terminologię ustawy z</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aktualnie obowiązującymi przepisami Konwencji wiedeńskiej o</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stosunkach dyplomatycznych, Konwencji wiedeńskiej o stosunkach konsularnych i</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rozporządzenia o</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obrocie z zagranicą. Zwrot „prawo międzynarodowe” obejmuje syntetycznie całość wiążącego RP prawa międzynarodowego, niezależnie od źródła, a więc zarówno wiążące Rzeczpospolitą Polską umowy międzynarodowe, prawo stanowione przez organizację międzynarodową jeżeli z wiążącej Rzeczpospolitą Polską umowy ją konstytuującej wynika, że jest ono stosowane bezpośrednio jak i prawo zwyczajowe. Umiejscowienie przepisu w</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u.s.p., przy proponowanym ogólnym brzmieniu, przesądzi, że chodzi tu o wszelkie przywileje i immunitety prawnomiędzynarodowe, jurysdykcyjne i</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egzekucyjne, zarówno w</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sprawach karnych jak i cywilnych, dotyczące osób fizycznych, prawnych i innych jednostek organizacyjnych występujących w obrocie, w tym państw i</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organizacji międzynarodowych. Pozwoli też na ustalenie istnienia przywilejów i</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immunitetów </w:t>
      </w:r>
      <w:r w:rsidRPr="00F749CA">
        <w:rPr>
          <w:rFonts w:ascii="Times New Roman" w:eastAsia="Times New Roman" w:hAnsi="Times New Roman" w:cs="Times New Roman"/>
          <w:bCs/>
          <w:sz w:val="24"/>
          <w:szCs w:val="24"/>
          <w:lang w:eastAsia="pl-PL"/>
        </w:rPr>
        <w:lastRenderedPageBreak/>
        <w:t>w</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sprawach karnych (obecnie w Kodeksie postępowania karnego brak jest stosownej regulacji).</w:t>
      </w:r>
    </w:p>
    <w:p w:rsidR="00662D86" w:rsidRPr="00F749CA" w:rsidRDefault="00662D86" w:rsidP="00662D86">
      <w:pPr>
        <w:ind w:firstLine="708"/>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Projektowany przepis art. 53c § 1 u.s.p.  przewiduje, zawierającą odesłanie do ustaw szczególnych, ogólną zasadę, że akta sprawy udostępnia się upoważnionym podmiotom w celu i zakresie określon</w:t>
      </w:r>
      <w:r w:rsidR="008C1485">
        <w:rPr>
          <w:rFonts w:ascii="Times New Roman" w:eastAsia="Times New Roman" w:hAnsi="Times New Roman" w:cs="Times New Roman"/>
          <w:bCs/>
          <w:sz w:val="24"/>
          <w:szCs w:val="24"/>
          <w:lang w:eastAsia="pl-PL"/>
        </w:rPr>
        <w:t>ym w przepisach odrębnych. W § 4</w:t>
      </w:r>
      <w:r w:rsidRPr="00F749CA">
        <w:rPr>
          <w:rFonts w:ascii="Times New Roman" w:eastAsia="Times New Roman" w:hAnsi="Times New Roman" w:cs="Times New Roman"/>
          <w:bCs/>
          <w:sz w:val="24"/>
          <w:szCs w:val="24"/>
          <w:lang w:eastAsia="pl-PL"/>
        </w:rPr>
        <w:t xml:space="preserve"> wskazanego artykułu przewiduje się natomiast, niezależnie od regulacji ustaw szczególnych, możliwość udostępniania akt jednostkom organizacyjnym prowadzącym działalność naukową lub badawczo-rozwojową dla celów naukowych i badawczych, a także Krajowej Szkole Sądownictwa i Prokuratury dla celów dydaktycznych.</w:t>
      </w:r>
      <w:r w:rsidR="008C1485">
        <w:rPr>
          <w:rFonts w:ascii="Times New Roman" w:eastAsia="Times New Roman" w:hAnsi="Times New Roman" w:cs="Times New Roman"/>
          <w:bCs/>
          <w:sz w:val="24"/>
          <w:szCs w:val="24"/>
          <w:lang w:eastAsia="pl-PL"/>
        </w:rPr>
        <w:t xml:space="preserve"> Art 53c § 2 i 3 u.s.p. służą zaś zapewnieniu Ministrowi Sprawiedliwości możliwości skutecznego realizowania zadań związanych  z reprezentowaniem Rzeczypospolitej Polskiej na arenie międzynarodowej w konkretnych sprawach, jak też zapewnieniu możliwości efektywnego i adekwatnego udzielenia tekstu prawa obcego, informacji o obcej praktyce lub wzajemności w stosunkach z innym państwem.</w:t>
      </w:r>
      <w:r w:rsidRPr="00F749CA">
        <w:rPr>
          <w:rFonts w:ascii="Times New Roman" w:eastAsia="Times New Roman" w:hAnsi="Times New Roman" w:cs="Times New Roman"/>
          <w:bCs/>
          <w:sz w:val="24"/>
          <w:szCs w:val="24"/>
          <w:lang w:eastAsia="pl-PL"/>
        </w:rPr>
        <w:t xml:space="preserve"> Szczegółowe warunki i tryb udostępniania i przesyłania akt</w:t>
      </w:r>
      <w:r w:rsidR="0093731B" w:rsidRPr="00F749CA">
        <w:rPr>
          <w:rFonts w:ascii="Times New Roman" w:eastAsia="Times New Roman" w:hAnsi="Times New Roman" w:cs="Times New Roman"/>
          <w:bCs/>
          <w:sz w:val="24"/>
          <w:szCs w:val="24"/>
          <w:lang w:eastAsia="pl-PL"/>
        </w:rPr>
        <w:t>,</w:t>
      </w:r>
      <w:r w:rsidRPr="00F749CA">
        <w:rPr>
          <w:rFonts w:ascii="Times New Roman" w:eastAsia="Times New Roman" w:hAnsi="Times New Roman" w:cs="Times New Roman"/>
          <w:bCs/>
          <w:sz w:val="24"/>
          <w:szCs w:val="24"/>
          <w:lang w:eastAsia="pl-PL"/>
        </w:rPr>
        <w:t xml:space="preserve"> jak też dokumentów z akt zostaną uregulowane w</w:t>
      </w:r>
      <w:r w:rsidR="008C148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rozporządzeniu Ministra Sprawiedliwości określającego regulamin wewnętrznego u</w:t>
      </w:r>
      <w:r w:rsidR="0093731B" w:rsidRPr="00F749CA">
        <w:rPr>
          <w:rFonts w:ascii="Times New Roman" w:eastAsia="Times New Roman" w:hAnsi="Times New Roman" w:cs="Times New Roman"/>
          <w:bCs/>
          <w:sz w:val="24"/>
          <w:szCs w:val="24"/>
          <w:lang w:eastAsia="pl-PL"/>
        </w:rPr>
        <w:t>rzędowania sądów powszechnych</w:t>
      </w:r>
      <w:r w:rsidRPr="00F749CA">
        <w:rPr>
          <w:rFonts w:ascii="Times New Roman" w:eastAsia="Times New Roman" w:hAnsi="Times New Roman" w:cs="Times New Roman"/>
          <w:bCs/>
          <w:sz w:val="24"/>
          <w:szCs w:val="24"/>
          <w:lang w:eastAsia="pl-PL"/>
        </w:rPr>
        <w:t>.</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t xml:space="preserve">Zmiana brzmienia przepisu art. 64 zakłada zmodyfikowanie przesłanek powoływania na stanowisko sędziego sądu apelacyjnego. W ocenie projektodawcy nie znajduje uzasadnienia warunkowanie objęcia tego stanowiska przez sędziego wcześniejszym zajmowaniem stanowiska sędziego sądu okręgowego, wojskowego sądu okręgowego,  prokuratora prokuratury okręgowej, czy też warunkowanie objęcia go przez prokuratora wcześniejszym zajmowaniem stanowiska prokuratora prokuratury okręgowej, prokuratora wojskowej prokuratury okręgowej, sędziego sądu okręgowego, sędziego wojskowego sądu okręgowego lub prokuratora prokuratury apelacyjnej, Prokuratury Krajowej, Prokuratury Generalnej, Naczelnej Prokuratury Wojskowej lub prokuratora Instytutu Pamięci Narodowej – Komisji Ścigania Zbrodni przeciwko Narodowi Polskiemu. Decydujące dla powołania na stanowisko sędziego sądu apelacyjnego winno być przede wszystkim doświadczenie zawodowe zdobyte w toku służby, nie zaś szczebel sądownictwa lub prokuratury, na którym zostało ono osiągnięte. Trudno bowiem zaakceptować sytuację, w której przesłanki umożliwiające uzyskanie stanowiska sędziego sądu apelacyjnego spełnia np. notariusz </w:t>
      </w:r>
      <w:r w:rsidRPr="00F749CA">
        <w:rPr>
          <w:rFonts w:ascii="Times New Roman" w:eastAsia="Times New Roman" w:hAnsi="Times New Roman" w:cs="Times New Roman"/>
          <w:bCs/>
          <w:sz w:val="24"/>
          <w:szCs w:val="24"/>
          <w:lang w:eastAsia="pl-PL"/>
        </w:rPr>
        <w:lastRenderedPageBreak/>
        <w:t xml:space="preserve">z ośmioletni stażem zawodowym, czy zatrudniony w szkole wyższej doktor habilitowany nauk prawnych, a nie spełnia ich orzekający od dziesięciu lat sędzia sądu rejonowego.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Mając na względzie powyższe projekt przewiduje podwyższenie do 10 lat minimalnego stażu pracy na stanowisku sędziowskim lub prokuratorskim, warunkującego uzyskanie prawa ubiegania się o stanowisko sędziego sądu apelacyjnego, przy jednoczesnym wyeliminowaniu  konieczności pełnienia służby na wyższych szczeblach sądownictwa lub prokuratury. Konsekwentnie, dla zapewnienia by okres wykonywania zawodu innego, niż zawód sędziego, umożliwiający ubieganie się o stanowisko sędziego sądu apelacyjnego, nie był krótszy, niż wymagany staż sędziowski, dokonano zmiany art. 64 § 2 pkt 1 i 1a u.s.p.  poprzez podniesienie wymagań dotyczących czasu wykonywania zawodu adwokata, radcy prawnego, notariusza, a także zajmowania stanowiska prezesa, wiceprezesa oraz radcy Prokuratorii Generalnej Rzeczypospolitej Polskiej.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r>
    </w:p>
    <w:p w:rsidR="00D30826"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t>Nową instytucję stanowi wprowadzany w art. 71a</w:t>
      </w:r>
      <w:r w:rsidR="0040410F" w:rsidRPr="00F749CA">
        <w:rPr>
          <w:rFonts w:ascii="Times New Roman" w:eastAsia="Times New Roman" w:hAnsi="Times New Roman" w:cs="Times New Roman"/>
          <w:bCs/>
          <w:sz w:val="24"/>
          <w:szCs w:val="24"/>
          <w:lang w:eastAsia="pl-PL"/>
        </w:rPr>
        <w:t>-71f</w:t>
      </w:r>
      <w:r w:rsidRPr="00F749CA">
        <w:rPr>
          <w:rFonts w:ascii="Times New Roman" w:eastAsia="Times New Roman" w:hAnsi="Times New Roman" w:cs="Times New Roman"/>
          <w:bCs/>
          <w:sz w:val="24"/>
          <w:szCs w:val="24"/>
          <w:lang w:eastAsia="pl-PL"/>
        </w:rPr>
        <w:t xml:space="preserve"> u.s.p., urlop rehabilitacyjny sędziego. Istota projektowanego rozwiązania </w:t>
      </w:r>
      <w:r w:rsidR="0040410F" w:rsidRPr="00F749CA">
        <w:rPr>
          <w:rFonts w:ascii="Times New Roman" w:eastAsia="Times New Roman" w:hAnsi="Times New Roman" w:cs="Times New Roman"/>
          <w:bCs/>
          <w:sz w:val="24"/>
          <w:szCs w:val="24"/>
          <w:lang w:eastAsia="pl-PL"/>
        </w:rPr>
        <w:t>sprowadza się do zmiany zasad korzystania ze zwolnie</w:t>
      </w:r>
      <w:r w:rsidR="00D30826">
        <w:rPr>
          <w:rFonts w:ascii="Times New Roman" w:eastAsia="Times New Roman" w:hAnsi="Times New Roman" w:cs="Times New Roman"/>
          <w:bCs/>
          <w:sz w:val="24"/>
          <w:szCs w:val="24"/>
          <w:lang w:eastAsia="pl-PL"/>
        </w:rPr>
        <w:t xml:space="preserve">nia od konieczności wykonywania obowiązków służbowych </w:t>
      </w:r>
      <w:r w:rsidR="0040410F" w:rsidRPr="00F749CA">
        <w:rPr>
          <w:rFonts w:ascii="Times New Roman" w:eastAsia="Times New Roman" w:hAnsi="Times New Roman" w:cs="Times New Roman"/>
          <w:bCs/>
          <w:sz w:val="24"/>
          <w:szCs w:val="24"/>
          <w:lang w:eastAsia="pl-PL"/>
        </w:rPr>
        <w:t xml:space="preserve">po okresie </w:t>
      </w:r>
      <w:r w:rsidR="00D30826">
        <w:rPr>
          <w:rFonts w:ascii="Times New Roman" w:eastAsia="Times New Roman" w:hAnsi="Times New Roman" w:cs="Times New Roman"/>
          <w:bCs/>
          <w:sz w:val="24"/>
          <w:szCs w:val="24"/>
          <w:lang w:eastAsia="pl-PL"/>
        </w:rPr>
        <w:t>sześciu miesięcy korzystania ze zwolnienia lekarskiego lub urlopu dla poratowania zdrowia</w:t>
      </w:r>
      <w:r w:rsidR="0040410F" w:rsidRPr="00F749CA">
        <w:rPr>
          <w:rFonts w:ascii="Times New Roman" w:eastAsia="Times New Roman" w:hAnsi="Times New Roman" w:cs="Times New Roman"/>
          <w:bCs/>
          <w:sz w:val="24"/>
          <w:szCs w:val="24"/>
          <w:lang w:eastAsia="pl-PL"/>
        </w:rPr>
        <w:t xml:space="preserve">, wprowadzenia instytucji urlopu rehabilitacyjnego i w konsekwencji zmiany zasad przechodzenia w stan spoczynku przez sędziego, który nie posiada orzeczenia lekarza orzecznika Zakładu Ubezpieczeń Społecznych o trwałej niezdolności do pełnienia służby. </w:t>
      </w:r>
    </w:p>
    <w:p w:rsidR="009A5AF5" w:rsidRDefault="0040410F" w:rsidP="009A5AF5">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Celem projektowanych rozwiązań jest </w:t>
      </w:r>
      <w:r w:rsidR="00D30826">
        <w:rPr>
          <w:rFonts w:ascii="Times New Roman" w:eastAsia="Times New Roman" w:hAnsi="Times New Roman" w:cs="Times New Roman"/>
          <w:bCs/>
          <w:sz w:val="24"/>
          <w:szCs w:val="24"/>
          <w:lang w:eastAsia="pl-PL"/>
        </w:rPr>
        <w:t xml:space="preserve">zapewnienie sędziom możliwości korzystania, po upływie sześciu miesięcy niezdolności do pracy spowodowanej chorobą, z dalszych 12 miesięcy zwolnienia od konieczności wykonywania obowiązków służbowych w trybie urlopu rehabilitacyjnego, o ile ich stan zdrowia nie daje podstaw do stwierdzenia trwałej niezdolności do służby. Pozwoli to jednocześnie na </w:t>
      </w:r>
      <w:r w:rsidRPr="00F749CA">
        <w:rPr>
          <w:rFonts w:ascii="Times New Roman" w:eastAsia="Times New Roman" w:hAnsi="Times New Roman" w:cs="Times New Roman"/>
          <w:bCs/>
          <w:sz w:val="24"/>
          <w:szCs w:val="24"/>
          <w:lang w:eastAsia="pl-PL"/>
        </w:rPr>
        <w:t>wyeliminowanie</w:t>
      </w:r>
      <w:r w:rsidR="009A5AF5">
        <w:rPr>
          <w:rFonts w:ascii="Times New Roman" w:eastAsia="Times New Roman" w:hAnsi="Times New Roman" w:cs="Times New Roman"/>
          <w:bCs/>
          <w:sz w:val="24"/>
          <w:szCs w:val="24"/>
          <w:lang w:eastAsia="pl-PL"/>
        </w:rPr>
        <w:t xml:space="preserve"> obecnej</w:t>
      </w:r>
      <w:r w:rsidRPr="00F749CA">
        <w:rPr>
          <w:rFonts w:ascii="Times New Roman" w:eastAsia="Times New Roman" w:hAnsi="Times New Roman" w:cs="Times New Roman"/>
          <w:bCs/>
          <w:sz w:val="24"/>
          <w:szCs w:val="24"/>
          <w:lang w:eastAsia="pl-PL"/>
        </w:rPr>
        <w:t xml:space="preserve"> sytuacji, w której sędziowie, bez uzyskania orzeczenia</w:t>
      </w:r>
      <w:r w:rsidR="009A5AF5">
        <w:rPr>
          <w:rFonts w:ascii="Times New Roman" w:eastAsia="Times New Roman" w:hAnsi="Times New Roman" w:cs="Times New Roman"/>
          <w:bCs/>
          <w:sz w:val="24"/>
          <w:szCs w:val="24"/>
          <w:lang w:eastAsia="pl-PL"/>
        </w:rPr>
        <w:t xml:space="preserve"> o</w:t>
      </w:r>
      <w:r w:rsidR="009A5AF5" w:rsidRPr="009A5AF5">
        <w:rPr>
          <w:rFonts w:ascii="Times New Roman" w:eastAsia="Times New Roman" w:hAnsi="Times New Roman" w:cs="Times New Roman"/>
          <w:bCs/>
          <w:sz w:val="24"/>
          <w:szCs w:val="24"/>
          <w:lang w:eastAsia="pl-PL"/>
        </w:rPr>
        <w:t xml:space="preserve"> </w:t>
      </w:r>
      <w:r w:rsidR="009A5AF5">
        <w:rPr>
          <w:rFonts w:ascii="Times New Roman" w:eastAsia="Times New Roman" w:hAnsi="Times New Roman" w:cs="Times New Roman"/>
          <w:bCs/>
          <w:sz w:val="24"/>
          <w:szCs w:val="24"/>
          <w:lang w:eastAsia="pl-PL"/>
        </w:rPr>
        <w:t>trwałej niezdolności do służby</w:t>
      </w:r>
      <w:r w:rsidRPr="00F749CA">
        <w:rPr>
          <w:rFonts w:ascii="Times New Roman" w:eastAsia="Times New Roman" w:hAnsi="Times New Roman" w:cs="Times New Roman"/>
          <w:bCs/>
          <w:sz w:val="24"/>
          <w:szCs w:val="24"/>
          <w:lang w:eastAsia="pl-PL"/>
        </w:rPr>
        <w:t>, mogą przechodzić w</w:t>
      </w:r>
      <w:r w:rsidR="009A5AF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stan spoczynku i w sposób trwały korzystać z przysługującego im uposażenia, nawet po odzyskaniu stanu zdrowia, który umożliwiałby powrót do służby. Instytucja urlopu rehabilitacyjnego, w toku którego sędzia będzie podlegał obligatoryjnym badaniom, a także obowiązek poddawania się im po zakończeniu urlopu i w toku korzystania ze stanu spoczynku, </w:t>
      </w:r>
      <w:r w:rsidR="009A5AF5">
        <w:rPr>
          <w:rFonts w:ascii="Times New Roman" w:eastAsia="Times New Roman" w:hAnsi="Times New Roman" w:cs="Times New Roman"/>
          <w:bCs/>
          <w:sz w:val="24"/>
          <w:szCs w:val="24"/>
          <w:lang w:eastAsia="pl-PL"/>
        </w:rPr>
        <w:t xml:space="preserve">gdy został on przyznany </w:t>
      </w:r>
      <w:r w:rsidRPr="00F749CA">
        <w:rPr>
          <w:rFonts w:ascii="Times New Roman" w:eastAsia="Times New Roman" w:hAnsi="Times New Roman" w:cs="Times New Roman"/>
          <w:bCs/>
          <w:sz w:val="24"/>
          <w:szCs w:val="24"/>
          <w:lang w:eastAsia="pl-PL"/>
        </w:rPr>
        <w:t xml:space="preserve">bez orzeczenia o trwałej niezdolności do pracy, winna pozwolić na uniknięcie takich sytuacji. </w:t>
      </w:r>
    </w:p>
    <w:p w:rsidR="009A5AF5" w:rsidRDefault="009A5AF5" w:rsidP="009A5AF5">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40410F" w:rsidRPr="00F749CA" w:rsidRDefault="008023C1" w:rsidP="009A5AF5">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Zmiana art. 77 sprowadza się do poszerzenia zakresu </w:t>
      </w:r>
      <w:r w:rsidR="009A5AF5">
        <w:rPr>
          <w:rFonts w:ascii="Times New Roman" w:eastAsia="Times New Roman" w:hAnsi="Times New Roman" w:cs="Times New Roman"/>
          <w:bCs/>
          <w:sz w:val="24"/>
          <w:szCs w:val="24"/>
          <w:lang w:eastAsia="pl-PL"/>
        </w:rPr>
        <w:t>jednostek organizacyjnych</w:t>
      </w:r>
      <w:r w:rsidRPr="00F749CA">
        <w:rPr>
          <w:rFonts w:ascii="Times New Roman" w:eastAsia="Times New Roman" w:hAnsi="Times New Roman" w:cs="Times New Roman"/>
          <w:bCs/>
          <w:sz w:val="24"/>
          <w:szCs w:val="24"/>
          <w:lang w:eastAsia="pl-PL"/>
        </w:rPr>
        <w:t>, do których możliwe jest delegowanie sędziego</w:t>
      </w:r>
      <w:r w:rsidR="009A5AF5">
        <w:rPr>
          <w:rFonts w:ascii="Times New Roman" w:eastAsia="Times New Roman" w:hAnsi="Times New Roman" w:cs="Times New Roman"/>
          <w:bCs/>
          <w:sz w:val="24"/>
          <w:szCs w:val="24"/>
          <w:lang w:eastAsia="pl-PL"/>
        </w:rPr>
        <w:t>,</w:t>
      </w:r>
      <w:r w:rsidRPr="00F749CA">
        <w:rPr>
          <w:rFonts w:ascii="Times New Roman" w:eastAsia="Times New Roman" w:hAnsi="Times New Roman" w:cs="Times New Roman"/>
          <w:bCs/>
          <w:sz w:val="24"/>
          <w:szCs w:val="24"/>
          <w:lang w:eastAsia="pl-PL"/>
        </w:rPr>
        <w:t xml:space="preserve"> o Kancelarię Prezydenta RP oraz urząd obsługujący ministra właściwego do spraw zagranicznych – w związku z potrzebą zapewnienia wsparcie ze strony sędziów, w szczególności w sprawach międzynarodowych, dotyczących zagadnień tworzenia, wykładni i stosowania  prawa. Co do zasady tryb i sposób delegacji będzie tożsamy, jak przewidziany dla delegacji sędziów do Ministerstwa Sprawiedliwości</w:t>
      </w:r>
      <w:r w:rsidR="009A5AF5">
        <w:rPr>
          <w:rFonts w:ascii="Times New Roman" w:eastAsia="Times New Roman" w:hAnsi="Times New Roman" w:cs="Times New Roman"/>
          <w:bCs/>
          <w:sz w:val="24"/>
          <w:szCs w:val="24"/>
          <w:lang w:eastAsia="pl-PL"/>
        </w:rPr>
        <w:t xml:space="preserve">, z tym że delegacja będzie odbywała się na wniosek </w:t>
      </w:r>
      <w:r w:rsidR="009A5AF5" w:rsidRPr="00F749CA">
        <w:rPr>
          <w:rFonts w:ascii="Times New Roman" w:eastAsia="Times New Roman" w:hAnsi="Times New Roman" w:cs="Times New Roman"/>
          <w:bCs/>
          <w:sz w:val="24"/>
          <w:szCs w:val="24"/>
          <w:lang w:eastAsia="pl-PL"/>
        </w:rPr>
        <w:t>Prezydenta RP</w:t>
      </w:r>
      <w:r w:rsidR="009A5AF5">
        <w:rPr>
          <w:rFonts w:ascii="Times New Roman" w:eastAsia="Times New Roman" w:hAnsi="Times New Roman" w:cs="Times New Roman"/>
          <w:bCs/>
          <w:sz w:val="24"/>
          <w:szCs w:val="24"/>
          <w:lang w:eastAsia="pl-PL"/>
        </w:rPr>
        <w:t xml:space="preserve"> albo Ministra Spraw Zagranicznych</w:t>
      </w:r>
      <w:r w:rsidRPr="00F749CA">
        <w:rPr>
          <w:rFonts w:ascii="Times New Roman" w:eastAsia="Times New Roman" w:hAnsi="Times New Roman" w:cs="Times New Roman"/>
          <w:bCs/>
          <w:sz w:val="24"/>
          <w:szCs w:val="24"/>
          <w:lang w:eastAsia="pl-PL"/>
        </w:rPr>
        <w:t xml:space="preserve">. Projektowana zmiana wymaga nadto wprowadzenia zmian wynikowych, obejmujących </w:t>
      </w:r>
      <w:r w:rsidR="009A5AF5">
        <w:rPr>
          <w:rFonts w:ascii="Times New Roman" w:eastAsia="Times New Roman" w:hAnsi="Times New Roman" w:cs="Times New Roman"/>
          <w:bCs/>
          <w:sz w:val="24"/>
          <w:szCs w:val="24"/>
          <w:lang w:eastAsia="pl-PL"/>
        </w:rPr>
        <w:t>a</w:t>
      </w:r>
      <w:r w:rsidRPr="00F749CA">
        <w:rPr>
          <w:rFonts w:ascii="Times New Roman" w:eastAsia="Times New Roman" w:hAnsi="Times New Roman" w:cs="Times New Roman"/>
          <w:bCs/>
          <w:sz w:val="24"/>
          <w:szCs w:val="24"/>
          <w:lang w:eastAsia="pl-PL"/>
        </w:rPr>
        <w:t>rt</w:t>
      </w:r>
      <w:r w:rsidR="009A5AF5">
        <w:rPr>
          <w:rFonts w:ascii="Times New Roman" w:eastAsia="Times New Roman" w:hAnsi="Times New Roman" w:cs="Times New Roman"/>
          <w:bCs/>
          <w:sz w:val="24"/>
          <w:szCs w:val="24"/>
          <w:lang w:eastAsia="pl-PL"/>
        </w:rPr>
        <w:t>.</w:t>
      </w:r>
      <w:r w:rsidRPr="00F749CA">
        <w:rPr>
          <w:rFonts w:ascii="Times New Roman" w:eastAsia="Times New Roman" w:hAnsi="Times New Roman" w:cs="Times New Roman"/>
          <w:bCs/>
          <w:sz w:val="24"/>
          <w:szCs w:val="24"/>
          <w:lang w:eastAsia="pl-PL"/>
        </w:rPr>
        <w:t xml:space="preserve"> 57a § 7, </w:t>
      </w:r>
      <w:r w:rsidR="009A5AF5">
        <w:rPr>
          <w:rFonts w:ascii="Times New Roman" w:eastAsia="Times New Roman" w:hAnsi="Times New Roman" w:cs="Times New Roman"/>
          <w:bCs/>
          <w:sz w:val="24"/>
          <w:szCs w:val="24"/>
          <w:lang w:eastAsia="pl-PL"/>
        </w:rPr>
        <w:t>a</w:t>
      </w:r>
      <w:r w:rsidR="009A5AF5" w:rsidRPr="00F749CA">
        <w:rPr>
          <w:rFonts w:ascii="Times New Roman" w:eastAsia="Times New Roman" w:hAnsi="Times New Roman" w:cs="Times New Roman"/>
          <w:bCs/>
          <w:sz w:val="24"/>
          <w:szCs w:val="24"/>
          <w:lang w:eastAsia="pl-PL"/>
        </w:rPr>
        <w:t>rt</w:t>
      </w:r>
      <w:r w:rsidR="009A5AF5">
        <w:rPr>
          <w:rFonts w:ascii="Times New Roman" w:eastAsia="Times New Roman" w:hAnsi="Times New Roman" w:cs="Times New Roman"/>
          <w:bCs/>
          <w:sz w:val="24"/>
          <w:szCs w:val="24"/>
          <w:lang w:eastAsia="pl-PL"/>
        </w:rPr>
        <w:t>.</w:t>
      </w:r>
      <w:r w:rsidRPr="00F749CA">
        <w:rPr>
          <w:rFonts w:ascii="Times New Roman" w:eastAsia="Times New Roman" w:hAnsi="Times New Roman" w:cs="Times New Roman"/>
          <w:bCs/>
          <w:sz w:val="24"/>
          <w:szCs w:val="24"/>
          <w:lang w:eastAsia="pl-PL"/>
        </w:rPr>
        <w:t>78</w:t>
      </w:r>
      <w:r w:rsidR="00DB12D7" w:rsidRPr="00F749CA">
        <w:rPr>
          <w:rFonts w:ascii="Times New Roman" w:eastAsia="Times New Roman" w:hAnsi="Times New Roman" w:cs="Times New Roman"/>
          <w:bCs/>
          <w:sz w:val="24"/>
          <w:szCs w:val="24"/>
          <w:lang w:eastAsia="pl-PL"/>
        </w:rPr>
        <w:t>,</w:t>
      </w:r>
      <w:r w:rsidR="009A5AF5" w:rsidRPr="009A5AF5">
        <w:rPr>
          <w:rFonts w:ascii="Times New Roman" w:eastAsia="Times New Roman" w:hAnsi="Times New Roman" w:cs="Times New Roman"/>
          <w:bCs/>
          <w:sz w:val="24"/>
          <w:szCs w:val="24"/>
          <w:lang w:eastAsia="pl-PL"/>
        </w:rPr>
        <w:t xml:space="preserve"> </w:t>
      </w:r>
      <w:r w:rsidR="009A5AF5">
        <w:rPr>
          <w:rFonts w:ascii="Times New Roman" w:eastAsia="Times New Roman" w:hAnsi="Times New Roman" w:cs="Times New Roman"/>
          <w:bCs/>
          <w:sz w:val="24"/>
          <w:szCs w:val="24"/>
          <w:lang w:eastAsia="pl-PL"/>
        </w:rPr>
        <w:t>a</w:t>
      </w:r>
      <w:r w:rsidR="009A5AF5" w:rsidRPr="00F749CA">
        <w:rPr>
          <w:rFonts w:ascii="Times New Roman" w:eastAsia="Times New Roman" w:hAnsi="Times New Roman" w:cs="Times New Roman"/>
          <w:bCs/>
          <w:sz w:val="24"/>
          <w:szCs w:val="24"/>
          <w:lang w:eastAsia="pl-PL"/>
        </w:rPr>
        <w:t>rt</w:t>
      </w:r>
      <w:r w:rsidR="009A5AF5">
        <w:rPr>
          <w:rFonts w:ascii="Times New Roman" w:eastAsia="Times New Roman" w:hAnsi="Times New Roman" w:cs="Times New Roman"/>
          <w:bCs/>
          <w:sz w:val="24"/>
          <w:szCs w:val="24"/>
          <w:lang w:eastAsia="pl-PL"/>
        </w:rPr>
        <w:t>.</w:t>
      </w:r>
      <w:r w:rsidR="00DB12D7" w:rsidRPr="00F749CA">
        <w:rPr>
          <w:rFonts w:ascii="Times New Roman" w:eastAsia="Times New Roman" w:hAnsi="Times New Roman" w:cs="Times New Roman"/>
          <w:bCs/>
          <w:sz w:val="24"/>
          <w:szCs w:val="24"/>
          <w:lang w:eastAsia="pl-PL"/>
        </w:rPr>
        <w:t xml:space="preserve"> 94b</w:t>
      </w:r>
      <w:r w:rsidRPr="00F749CA">
        <w:rPr>
          <w:rFonts w:ascii="Times New Roman" w:eastAsia="Times New Roman" w:hAnsi="Times New Roman" w:cs="Times New Roman"/>
          <w:bCs/>
          <w:sz w:val="24"/>
          <w:szCs w:val="24"/>
          <w:lang w:eastAsia="pl-PL"/>
        </w:rPr>
        <w:t xml:space="preserve">. </w:t>
      </w:r>
    </w:p>
    <w:p w:rsidR="008023C1" w:rsidRPr="00F749CA" w:rsidRDefault="008023C1"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ab/>
        <w:t xml:space="preserve">Propozycja </w:t>
      </w:r>
      <w:r w:rsidR="0004666C" w:rsidRPr="00F749CA">
        <w:rPr>
          <w:rFonts w:ascii="Times New Roman" w:eastAsia="Times New Roman" w:hAnsi="Times New Roman" w:cs="Times New Roman"/>
          <w:bCs/>
          <w:sz w:val="24"/>
          <w:szCs w:val="24"/>
          <w:lang w:eastAsia="pl-PL"/>
        </w:rPr>
        <w:t xml:space="preserve">nadania nowego brzmienia </w:t>
      </w:r>
      <w:r w:rsidRPr="00F749CA">
        <w:rPr>
          <w:rFonts w:ascii="Times New Roman" w:eastAsia="Times New Roman" w:hAnsi="Times New Roman" w:cs="Times New Roman"/>
          <w:bCs/>
          <w:sz w:val="24"/>
          <w:szCs w:val="24"/>
          <w:lang w:eastAsia="pl-PL"/>
        </w:rPr>
        <w:t xml:space="preserve">art. 78 </w:t>
      </w:r>
      <w:r w:rsidR="0004666C" w:rsidRPr="00F749CA">
        <w:rPr>
          <w:rFonts w:ascii="Times New Roman" w:eastAsia="Times New Roman" w:hAnsi="Times New Roman" w:cs="Times New Roman"/>
          <w:bCs/>
          <w:sz w:val="24"/>
          <w:szCs w:val="24"/>
          <w:lang w:eastAsia="pl-PL"/>
        </w:rPr>
        <w:t xml:space="preserve">wynika z faktu umożliwienia delegowania sędziego do Kancelarii Prezydenta RP oraz urzędu obsługującego ministra właściwego do spraw zagranicznych, zaś w zakresie </w:t>
      </w:r>
      <w:r w:rsidR="009A5AF5">
        <w:rPr>
          <w:rFonts w:ascii="Times New Roman" w:eastAsia="Times New Roman" w:hAnsi="Times New Roman" w:cs="Times New Roman"/>
          <w:bCs/>
          <w:sz w:val="24"/>
          <w:szCs w:val="24"/>
          <w:lang w:eastAsia="pl-PL"/>
        </w:rPr>
        <w:t>dodania nowych regulacji, zawartych w </w:t>
      </w:r>
      <w:r w:rsidRPr="00F749CA">
        <w:rPr>
          <w:rFonts w:ascii="Times New Roman" w:eastAsia="Times New Roman" w:hAnsi="Times New Roman" w:cs="Times New Roman"/>
          <w:bCs/>
          <w:sz w:val="24"/>
          <w:szCs w:val="24"/>
          <w:lang w:eastAsia="pl-PL"/>
        </w:rPr>
        <w:t xml:space="preserve">§ </w:t>
      </w:r>
      <w:r w:rsidR="00353AA2" w:rsidRPr="00F749CA">
        <w:rPr>
          <w:rFonts w:ascii="Times New Roman" w:eastAsia="Times New Roman" w:hAnsi="Times New Roman" w:cs="Times New Roman"/>
          <w:bCs/>
          <w:sz w:val="24"/>
          <w:szCs w:val="24"/>
          <w:lang w:eastAsia="pl-PL"/>
        </w:rPr>
        <w:t>7 i 8</w:t>
      </w:r>
      <w:r w:rsidRPr="00F749CA">
        <w:rPr>
          <w:rFonts w:ascii="Times New Roman" w:eastAsia="Times New Roman" w:hAnsi="Times New Roman" w:cs="Times New Roman"/>
          <w:bCs/>
          <w:sz w:val="24"/>
          <w:szCs w:val="24"/>
          <w:lang w:eastAsia="pl-PL"/>
        </w:rPr>
        <w:t xml:space="preserve"> u.s.p.</w:t>
      </w:r>
      <w:r w:rsidR="009A5AF5">
        <w:rPr>
          <w:rFonts w:ascii="Times New Roman" w:eastAsia="Times New Roman" w:hAnsi="Times New Roman" w:cs="Times New Roman"/>
          <w:bCs/>
          <w:sz w:val="24"/>
          <w:szCs w:val="24"/>
          <w:lang w:eastAsia="pl-PL"/>
        </w:rPr>
        <w:t>,</w:t>
      </w:r>
      <w:r w:rsidRPr="00F749CA">
        <w:rPr>
          <w:rFonts w:ascii="Times New Roman" w:eastAsia="Times New Roman" w:hAnsi="Times New Roman" w:cs="Times New Roman"/>
          <w:bCs/>
          <w:sz w:val="24"/>
          <w:szCs w:val="24"/>
          <w:lang w:eastAsia="pl-PL"/>
        </w:rPr>
        <w:t xml:space="preserve"> ma na celu umożliwienie kierowania sędziego delegowanego do Ministerstwa Sprawiedliwości, za jego zgodą, na szkolenie nakierowane na podnoszenie kwalifikacji zawodowych związanych z problematyką dotyczącą zadań powierzanych w miejscu delegowania. Szkolenie takie miałoby odmienny charakter od szkoleń określonych w art. 82a u.s.p., albowiem byłoby ściśle powiązane z obowiązkami związanymi z delegacją do Ministerstwa Sprawiedliwości. Z tego też względu koszty szkolenia byłyby pokrywane z</w:t>
      </w:r>
      <w:r w:rsidR="009A5AF5">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części budżetowej przeznaczonej na finansowanie urzędu obsługującego Ministra Sprawiedliwości. Konsekwencją tej zmiany są także zmiany art. 151a § 5 oraz 155e § 2 u.s.p. przewidujące, poprzez odesłanie do odpowiedniego stosowania art. 78</w:t>
      </w:r>
      <w:r w:rsidR="00DB12D7" w:rsidRPr="00F749CA">
        <w:rPr>
          <w:rFonts w:ascii="Times New Roman" w:eastAsia="Times New Roman" w:hAnsi="Times New Roman" w:cs="Times New Roman"/>
          <w:bCs/>
          <w:sz w:val="24"/>
          <w:szCs w:val="24"/>
          <w:lang w:eastAsia="pl-PL"/>
        </w:rPr>
        <w:t xml:space="preserve"> §</w:t>
      </w:r>
      <w:r w:rsidRPr="00F749CA">
        <w:rPr>
          <w:rFonts w:ascii="Times New Roman" w:eastAsia="Times New Roman" w:hAnsi="Times New Roman" w:cs="Times New Roman"/>
          <w:bCs/>
          <w:sz w:val="24"/>
          <w:szCs w:val="24"/>
          <w:lang w:eastAsia="pl-PL"/>
        </w:rPr>
        <w:t xml:space="preserve"> </w:t>
      </w:r>
      <w:r w:rsidR="00353AA2" w:rsidRPr="00F749CA">
        <w:rPr>
          <w:rFonts w:ascii="Times New Roman" w:eastAsia="Times New Roman" w:hAnsi="Times New Roman" w:cs="Times New Roman"/>
          <w:bCs/>
          <w:sz w:val="24"/>
          <w:szCs w:val="24"/>
          <w:lang w:eastAsia="pl-PL"/>
        </w:rPr>
        <w:t>7 i 8</w:t>
      </w:r>
      <w:r w:rsidRPr="00F749CA">
        <w:rPr>
          <w:rFonts w:ascii="Times New Roman" w:eastAsia="Times New Roman" w:hAnsi="Times New Roman" w:cs="Times New Roman"/>
          <w:bCs/>
          <w:sz w:val="24"/>
          <w:szCs w:val="24"/>
          <w:lang w:eastAsia="pl-PL"/>
        </w:rPr>
        <w:t xml:space="preserve">, możliwość szkoleń związanych z zadaniami powierzonymi w miejscu delegowania (Ministerstwie Sprawiedliwości) referendarzy sądowych oraz asystentów sędziów. </w:t>
      </w:r>
    </w:p>
    <w:p w:rsidR="009A5AF5" w:rsidRPr="00F749CA" w:rsidRDefault="009A5AF5"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9A5AF5" w:rsidRPr="00F749CA" w:rsidRDefault="00353AA2"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Zmiany art 87 i 88 u.s.p. zakładają poszerzenie zakresu informacji ujawnianych w oświadczeniach majątkowych składanych przez sędziów, a także objęcie obowiązkiem ich składania dyrektorów sądów powszechnych. </w:t>
      </w:r>
    </w:p>
    <w:p w:rsidR="009A5AF5" w:rsidRDefault="00353AA2"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Poszerzenie zakresu informacji dotyczy jednoznacznego wskazania obowiązku ujawnienia posiadanych ruchomości o wartości powyżej 10.000 zł oraz ujawnienia </w:t>
      </w:r>
      <w:r w:rsidRPr="00F749CA">
        <w:rPr>
          <w:rFonts w:ascii="Times New Roman" w:eastAsia="Times New Roman" w:hAnsi="Times New Roman" w:cs="Times New Roman"/>
          <w:bCs/>
          <w:sz w:val="24"/>
          <w:szCs w:val="24"/>
          <w:lang w:eastAsia="pl-PL"/>
        </w:rPr>
        <w:lastRenderedPageBreak/>
        <w:t>uzyskiwanych dochodów ze źródeł innych niż związane z pełnieniem urzędu na stanowisku sędziowskim lub z zatrudnieniem na stanowisku dyrektora sądu, o ile ich łącz</w:t>
      </w:r>
      <w:r w:rsidR="009A5AF5">
        <w:rPr>
          <w:rFonts w:ascii="Times New Roman" w:eastAsia="Times New Roman" w:hAnsi="Times New Roman" w:cs="Times New Roman"/>
          <w:bCs/>
          <w:sz w:val="24"/>
          <w:szCs w:val="24"/>
          <w:lang w:eastAsia="pl-PL"/>
        </w:rPr>
        <w:t>na wartość przekracza 10.000 zł – w celu zapewnienia jeszcze większej transparentności osób wykonujących zawód sędziego oraz zajmujących się kierowaniem sądami w wymiarze administracyjnym.</w:t>
      </w:r>
      <w:r w:rsidRPr="00F749CA">
        <w:rPr>
          <w:rFonts w:ascii="Times New Roman" w:eastAsia="Times New Roman" w:hAnsi="Times New Roman" w:cs="Times New Roman"/>
          <w:bCs/>
          <w:sz w:val="24"/>
          <w:szCs w:val="24"/>
          <w:lang w:eastAsia="pl-PL"/>
        </w:rPr>
        <w:t xml:space="preserve"> </w:t>
      </w:r>
    </w:p>
    <w:p w:rsidR="00353AA2" w:rsidRPr="00F749CA" w:rsidRDefault="00353AA2"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W związku z powyższym przewiduje się także</w:t>
      </w:r>
      <w:r w:rsidR="009A5AF5">
        <w:rPr>
          <w:rFonts w:ascii="Times New Roman" w:eastAsia="Times New Roman" w:hAnsi="Times New Roman" w:cs="Times New Roman"/>
          <w:bCs/>
          <w:sz w:val="24"/>
          <w:szCs w:val="24"/>
          <w:lang w:eastAsia="pl-PL"/>
        </w:rPr>
        <w:t xml:space="preserve">, w miejsce odesłania do formularza </w:t>
      </w:r>
      <w:r w:rsidRPr="00F749CA">
        <w:rPr>
          <w:rFonts w:ascii="Times New Roman" w:eastAsia="Times New Roman" w:hAnsi="Times New Roman" w:cs="Times New Roman"/>
          <w:bCs/>
          <w:sz w:val="24"/>
          <w:szCs w:val="24"/>
          <w:lang w:eastAsia="pl-PL"/>
        </w:rPr>
        <w:t xml:space="preserve"> </w:t>
      </w:r>
      <w:r w:rsidR="009A5AF5">
        <w:rPr>
          <w:rFonts w:ascii="Times New Roman" w:eastAsia="Times New Roman" w:hAnsi="Times New Roman" w:cs="Times New Roman"/>
          <w:bCs/>
          <w:sz w:val="24"/>
          <w:szCs w:val="24"/>
          <w:lang w:eastAsia="pl-PL"/>
        </w:rPr>
        <w:t>oświadczenia o stanie majątkowym określonego przepisami o ograniczeniu prowadzenia  działalności gospodarczej przez osoby pełniące funkcje publiczne, w</w:t>
      </w:r>
      <w:r w:rsidRPr="00F749CA">
        <w:rPr>
          <w:rFonts w:ascii="Times New Roman" w:eastAsia="Times New Roman" w:hAnsi="Times New Roman" w:cs="Times New Roman"/>
          <w:bCs/>
          <w:sz w:val="24"/>
          <w:szCs w:val="24"/>
          <w:lang w:eastAsia="pl-PL"/>
        </w:rPr>
        <w:t>prowadzenie upoważnienia ustawowego do określenia przez Ministra Sprawiedliwości wzoru oświadczenia majątkowego dla sędziów. Tożsame zmiany przewidziano w odniesieniu do prokuratorów, w art. 104 i 105 ustawy – Prawo o prokuraturze.</w:t>
      </w:r>
    </w:p>
    <w:p w:rsidR="00353AA2" w:rsidRPr="00F749CA" w:rsidRDefault="00353AA2"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W zakresie dotyczącym dodania art. 89 § 3 u.s.p.  należy wskazać, że w obecnym stanie prawnym, zgodnie z art. 89 § 1 u.s.p., sędzia może wnosić tylko w drodze służbowej żądania, wystąpienia i zażalenia w sprawach związanych z pełnionym urzędem, natomiast nie może zwracać się w takich sprawach do instytucji i osób postronnych ani podawać tych spraw do wiadomości publicznej. Przyjmuje się, że zachowanie drogi służbowej oznacza zwracanie się do właściwych organów za pośrednictwem organów niższego rzędu (np. sędzia sądu rejonowego zwraca się do prezesa sądu okręgowego za pośrednictwem prezesa sądu rejonowego). Zwracanie się przez sędziego w sprawach związanych z pełnionym urzędem do instytucji postronnych jest co do zasady zabronione przez cytowany art. 89 § 1 u.s.p.. Nie jest przy tym jasno określone, które instytucje można wyłączyć z zakresu pojęcia „instytucji postronnych” wobec sędziego, jak też czy zwracanie się do określonych instytucji (np. do Krajowej Rady Sądownictwa albo do Ministra Sprawiedliwości) jest czy też nie jest wystąpieniem w drodze służbowej. W tej sytuacji sędzia dostrzegający potrzebę zwrócenia uwagi na nieprawidłowości w działaniu organu, do którego powinien na zasadzie wyłączności kierować swoje wystąpienie w drodze służbowej, stoi przed dylematem, czy nieprawidłowości te zgłaszać temu organowi, czy też kierować swoje wystąpienie do innego organu ryzykując zarzut naruszenia przepisu art. 89 § 1 u.s.p..</w:t>
      </w:r>
    </w:p>
    <w:p w:rsidR="005F04CE"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Nowelizacja art. 89 poprzez dodanie § 3 ma na celu przynajmniej w części zlikwidować stan niepewności we wskazanym powyżej zakresie poprzez sprecyzowanie, że zakaz zwracania się do „instytucji postronnych” nie dotyczy kierowania żądań, wystąpień i zażaleń </w:t>
      </w:r>
      <w:r w:rsidRPr="00F749CA">
        <w:rPr>
          <w:rFonts w:ascii="Times New Roman" w:eastAsia="Times New Roman" w:hAnsi="Times New Roman" w:cs="Times New Roman"/>
          <w:bCs/>
          <w:sz w:val="24"/>
          <w:szCs w:val="24"/>
          <w:lang w:eastAsia="pl-PL"/>
        </w:rPr>
        <w:lastRenderedPageBreak/>
        <w:t>przez sędziego bezpośrednio do Krajowej Rady Sądownictwa, Rzecznika Praw Obywatelskich lub Ministra Sprawiedliwości.</w:t>
      </w:r>
    </w:p>
    <w:p w:rsidR="009A5AF5" w:rsidRDefault="009A5AF5"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BC76D9" w:rsidRDefault="00BC76D9"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Nowelizowany art 92 u.s.p., w dodawanym § 6, przewiduje zapewnienie sędziom, gratyfikacji jubileuszowej także wtedy, gdy do osiągniecia stażu pracy uprawniającego do jej nabycia, brakuje mniej niż 12 miesięcy.</w:t>
      </w:r>
    </w:p>
    <w:p w:rsidR="00BC76D9" w:rsidRDefault="00BC76D9"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9A5AF5" w:rsidRPr="00F749CA" w:rsidRDefault="009A5AF5"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Intencją zmiany art 105 § 1 u.s.p. jest odesłanie także do regulacji dotyczące możliwości przyznania dodatku specjalnego </w:t>
      </w:r>
      <w:r w:rsidR="00BC76D9">
        <w:rPr>
          <w:rFonts w:ascii="Times New Roman" w:eastAsia="Times New Roman" w:hAnsi="Times New Roman" w:cs="Times New Roman"/>
          <w:bCs/>
          <w:sz w:val="24"/>
          <w:szCs w:val="24"/>
          <w:lang w:eastAsia="pl-PL"/>
        </w:rPr>
        <w:t xml:space="preserve">sędziemu w stanie spoczynku, któremu powierzono pełnienie funkcji wizytatora. </w:t>
      </w:r>
    </w:p>
    <w:p w:rsidR="009E511D" w:rsidRDefault="009E511D"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Kolejno należy wskazać, iż przygotowany projekt ustawy przewiduje uchylenie przepisów Rozdziału 2a w dziale II: „System oceny pracy i planowania rozwoju zawodowego sędziego”. Jest to wynikiem oceny braku efektywności przyjętych rozwiązań legislacyjnych w procesie zarządzania kadrą sędziowską. </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 System ten przede wszystkim nie zapewnia porównywalności ocen w związku z</w:t>
      </w:r>
      <w:r w:rsidR="00D30826">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aktualną strukturą organizacyjną sądownictwa powszechnego. Ponadto oceny okresowe sędziów w ocenie projektodawców mogą naruszać niezawisłość sędziowską poprzez zagrożenie dokonywania oceny orzecznictwa przez innego sędziego nie wchodzącego w</w:t>
      </w:r>
      <w:r w:rsidR="00D30826">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skład orzekający sądu w toku kontroli instancyjnej. Zgodnie zaś z  Art. 178 ust 1 Konstytucji RP  sędziowie w sprawowaniu swojego urzędu są niezawiśli i podlegają tylko Konstytucji oraz ustawom. Aktualnie oceny okresowe sędziów są zbędne i bardzo kosztowne, angażując do ich realizacji znaczącą liczbę wizytatorów, których kompetencje powinny być wykorzystane do bieżącego efektywnego zarządzania sądami przez prezesów sądów.  W</w:t>
      </w:r>
      <w:r w:rsidR="00D30826">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istocie  ocena pracy sędziego dokonuje się nieustannie w sposób ciągły i na wiele sposobów, obejmując wszystkie aspekty pracy sędziego. Po pierwsze przed sądem odwoławczym, który dokonuje oceny  i jest uprawniony do udzielenia wytyku orzeczniczego. Po drugie prezes sądu jest wyposażony w kompetencje do zwracania uwagi w trybie nadzoru wewnętrznego. Ponadto sędzia może ponosić odpowiedzialność dyscyplinarną. Wyniki statystyczne sędziów są przy tym analizowane i porównywane przez przewodniczących i</w:t>
      </w:r>
      <w:r w:rsidR="00D30826">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prezesów sądów jak też przez samych sędziów, których one dotyczą, w cyklach o wiele </w:t>
      </w:r>
      <w:r w:rsidRPr="00F749CA">
        <w:rPr>
          <w:rFonts w:ascii="Times New Roman" w:eastAsia="Times New Roman" w:hAnsi="Times New Roman" w:cs="Times New Roman"/>
          <w:bCs/>
          <w:sz w:val="24"/>
          <w:szCs w:val="24"/>
          <w:lang w:eastAsia="pl-PL"/>
        </w:rPr>
        <w:lastRenderedPageBreak/>
        <w:t>częstszych (z reguły miesięcznych) niż te, w jakich odbywają się oparte na danych statycznych oceny sędziów (co cztery lata). Powyższy system odpowiedzialności jest w</w:t>
      </w:r>
      <w:r w:rsidR="00D30826">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ocenie projektodawców komplementarny i nie zachodzi potrzeba jego uzupełniania przez czasochłonny, biurokratyczny system oceny okresowej, który nie przynosi żadnych efektywnych i wymiernych korzyści zarządczych. Aktualnie także z uwagi na istniejący system ocen okresowych nastąpiło powiększenie liczby wizytatorów w sądownictwie, a</w:t>
      </w:r>
      <w:r w:rsidR="00D30826">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eliminacja niniejszej instytucji pozwoli na skierowanie części sędziów wizytatorów do pracy orzeczniczej, co poprawi sprawność postępowań sądowych. Można zasadnie przyjąć, że zmiany pozwolą na ograniczenie liczby wizytatorów o około 150 stanowisk, co pozwoli na ich   przesunięcie do bieżącej pracy orzeczniczej. </w:t>
      </w:r>
    </w:p>
    <w:p w:rsidR="005F04CE"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Również negatywnie należy ocenić </w:t>
      </w:r>
      <w:r w:rsidR="008E39A9" w:rsidRPr="00F749CA">
        <w:rPr>
          <w:rFonts w:ascii="Times New Roman" w:eastAsia="Times New Roman" w:hAnsi="Times New Roman" w:cs="Times New Roman"/>
          <w:bCs/>
          <w:sz w:val="24"/>
          <w:szCs w:val="24"/>
          <w:lang w:eastAsia="pl-PL"/>
        </w:rPr>
        <w:t>działanie przepisów dotyczących</w:t>
      </w:r>
      <w:r w:rsidRPr="00F749CA">
        <w:rPr>
          <w:rFonts w:ascii="Times New Roman" w:eastAsia="Times New Roman" w:hAnsi="Times New Roman" w:cs="Times New Roman"/>
          <w:bCs/>
          <w:sz w:val="24"/>
          <w:szCs w:val="24"/>
          <w:lang w:eastAsia="pl-PL"/>
        </w:rPr>
        <w:t xml:space="preserve"> „indywidualnego planu rozwoju sędziego”. Plany te nie mają realnego przełożenia na proces podnoszenia kwalifikacji zawodowych sędziów, które odbywa się głównie poprzez uczestnictwo w</w:t>
      </w:r>
      <w:r w:rsidR="00D30826">
        <w:rPr>
          <w:rFonts w:ascii="Times New Roman" w:eastAsia="Times New Roman" w:hAnsi="Times New Roman" w:cs="Times New Roman"/>
          <w:bCs/>
          <w:sz w:val="24"/>
          <w:szCs w:val="24"/>
          <w:lang w:eastAsia="pl-PL"/>
        </w:rPr>
        <w:t> </w:t>
      </w:r>
      <w:r w:rsidRPr="00F749CA">
        <w:rPr>
          <w:rFonts w:ascii="Times New Roman" w:eastAsia="Times New Roman" w:hAnsi="Times New Roman" w:cs="Times New Roman"/>
          <w:bCs/>
          <w:sz w:val="24"/>
          <w:szCs w:val="24"/>
          <w:lang w:eastAsia="pl-PL"/>
        </w:rPr>
        <w:t xml:space="preserve">szkoleniach i ma oparcie w treści przepisu art. 82a ustawy. </w:t>
      </w:r>
    </w:p>
    <w:p w:rsidR="00D30826" w:rsidRPr="00F749CA" w:rsidRDefault="00D30826"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Konsekwencją powyższej zmiany jest nowelizacja brzmienia art. 57b § 6 u.s.p. poprzez wyeliminowanie z dokumentów podlegających załączeniu do oceny kwalifikacji kandydata na stanowisko sędziowskie zajmującego stanowisko sędziego, ocen pracy oraz indywidualnych planów rozwoju zawodowego.</w:t>
      </w:r>
    </w:p>
    <w:p w:rsidR="005F04CE" w:rsidRPr="00F749CA" w:rsidRDefault="005F04CE"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DB12D7" w:rsidRPr="00F749CA" w:rsidRDefault="00DB12D7"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Zmiany w art. 149a i 151a</w:t>
      </w:r>
      <w:r w:rsidR="009E511D">
        <w:rPr>
          <w:rFonts w:ascii="Times New Roman" w:eastAsia="Times New Roman" w:hAnsi="Times New Roman" w:cs="Times New Roman"/>
          <w:bCs/>
          <w:sz w:val="24"/>
          <w:szCs w:val="24"/>
          <w:lang w:eastAsia="pl-PL"/>
        </w:rPr>
        <w:t xml:space="preserve"> u.s.p.</w:t>
      </w:r>
      <w:r w:rsidRPr="00F749CA">
        <w:rPr>
          <w:rFonts w:ascii="Times New Roman" w:eastAsia="Times New Roman" w:hAnsi="Times New Roman" w:cs="Times New Roman"/>
          <w:bCs/>
          <w:sz w:val="24"/>
          <w:szCs w:val="24"/>
          <w:lang w:eastAsia="pl-PL"/>
        </w:rPr>
        <w:t xml:space="preserve"> mają na celu</w:t>
      </w:r>
      <w:r w:rsidR="009E511D">
        <w:rPr>
          <w:rFonts w:ascii="Times New Roman" w:eastAsia="Times New Roman" w:hAnsi="Times New Roman" w:cs="Times New Roman"/>
          <w:bCs/>
          <w:sz w:val="24"/>
          <w:szCs w:val="24"/>
          <w:lang w:eastAsia="pl-PL"/>
        </w:rPr>
        <w:t xml:space="preserve"> uregulowanie procedury</w:t>
      </w:r>
      <w:r w:rsidRPr="00F749CA">
        <w:rPr>
          <w:rFonts w:ascii="Times New Roman" w:eastAsia="Times New Roman" w:hAnsi="Times New Roman" w:cs="Times New Roman"/>
          <w:bCs/>
          <w:sz w:val="24"/>
          <w:szCs w:val="24"/>
          <w:lang w:eastAsia="pl-PL"/>
        </w:rPr>
        <w:t xml:space="preserve"> umożliwi</w:t>
      </w:r>
      <w:r w:rsidR="009E511D">
        <w:rPr>
          <w:rFonts w:ascii="Times New Roman" w:eastAsia="Times New Roman" w:hAnsi="Times New Roman" w:cs="Times New Roman"/>
          <w:bCs/>
          <w:sz w:val="24"/>
          <w:szCs w:val="24"/>
          <w:lang w:eastAsia="pl-PL"/>
        </w:rPr>
        <w:t>ającej obsadze</w:t>
      </w:r>
      <w:r w:rsidRPr="00F749CA">
        <w:rPr>
          <w:rFonts w:ascii="Times New Roman" w:eastAsia="Times New Roman" w:hAnsi="Times New Roman" w:cs="Times New Roman"/>
          <w:bCs/>
          <w:sz w:val="24"/>
          <w:szCs w:val="24"/>
          <w:lang w:eastAsia="pl-PL"/>
        </w:rPr>
        <w:t>ni</w:t>
      </w:r>
      <w:r w:rsidR="009E511D">
        <w:rPr>
          <w:rFonts w:ascii="Times New Roman" w:eastAsia="Times New Roman" w:hAnsi="Times New Roman" w:cs="Times New Roman"/>
          <w:bCs/>
          <w:sz w:val="24"/>
          <w:szCs w:val="24"/>
          <w:lang w:eastAsia="pl-PL"/>
        </w:rPr>
        <w:t>e wolnego</w:t>
      </w:r>
      <w:r w:rsidRPr="00F749CA">
        <w:rPr>
          <w:rFonts w:ascii="Times New Roman" w:eastAsia="Times New Roman" w:hAnsi="Times New Roman" w:cs="Times New Roman"/>
          <w:bCs/>
          <w:sz w:val="24"/>
          <w:szCs w:val="24"/>
          <w:lang w:eastAsia="pl-PL"/>
        </w:rPr>
        <w:t xml:space="preserve"> stanowisk</w:t>
      </w:r>
      <w:r w:rsidR="009E511D">
        <w:rPr>
          <w:rFonts w:ascii="Times New Roman" w:eastAsia="Times New Roman" w:hAnsi="Times New Roman" w:cs="Times New Roman"/>
          <w:bCs/>
          <w:sz w:val="24"/>
          <w:szCs w:val="24"/>
          <w:lang w:eastAsia="pl-PL"/>
        </w:rPr>
        <w:t>a</w:t>
      </w:r>
      <w:r w:rsidRPr="00F749CA">
        <w:rPr>
          <w:rFonts w:ascii="Times New Roman" w:eastAsia="Times New Roman" w:hAnsi="Times New Roman" w:cs="Times New Roman"/>
          <w:bCs/>
          <w:sz w:val="24"/>
          <w:szCs w:val="24"/>
          <w:lang w:eastAsia="pl-PL"/>
        </w:rPr>
        <w:t xml:space="preserve"> referendar</w:t>
      </w:r>
      <w:r w:rsidR="009E511D">
        <w:rPr>
          <w:rFonts w:ascii="Times New Roman" w:eastAsia="Times New Roman" w:hAnsi="Times New Roman" w:cs="Times New Roman"/>
          <w:bCs/>
          <w:sz w:val="24"/>
          <w:szCs w:val="24"/>
          <w:lang w:eastAsia="pl-PL"/>
        </w:rPr>
        <w:t>za</w:t>
      </w:r>
      <w:r w:rsidRPr="00F749CA">
        <w:rPr>
          <w:rFonts w:ascii="Times New Roman" w:eastAsia="Times New Roman" w:hAnsi="Times New Roman" w:cs="Times New Roman"/>
          <w:bCs/>
          <w:sz w:val="24"/>
          <w:szCs w:val="24"/>
          <w:lang w:eastAsia="pl-PL"/>
        </w:rPr>
        <w:t xml:space="preserve"> sądow</w:t>
      </w:r>
      <w:r w:rsidR="009E511D">
        <w:rPr>
          <w:rFonts w:ascii="Times New Roman" w:eastAsia="Times New Roman" w:hAnsi="Times New Roman" w:cs="Times New Roman"/>
          <w:bCs/>
          <w:sz w:val="24"/>
          <w:szCs w:val="24"/>
          <w:lang w:eastAsia="pl-PL"/>
        </w:rPr>
        <w:t>ego</w:t>
      </w:r>
      <w:r w:rsidRPr="00F749CA">
        <w:rPr>
          <w:rFonts w:ascii="Times New Roman" w:eastAsia="Times New Roman" w:hAnsi="Times New Roman" w:cs="Times New Roman"/>
          <w:bCs/>
          <w:sz w:val="24"/>
          <w:szCs w:val="24"/>
          <w:lang w:eastAsia="pl-PL"/>
        </w:rPr>
        <w:t xml:space="preserve"> w drodze przeniesienia referendarza z dot</w:t>
      </w:r>
      <w:r w:rsidR="009E511D">
        <w:rPr>
          <w:rFonts w:ascii="Times New Roman" w:eastAsia="Times New Roman" w:hAnsi="Times New Roman" w:cs="Times New Roman"/>
          <w:bCs/>
          <w:sz w:val="24"/>
          <w:szCs w:val="24"/>
          <w:lang w:eastAsia="pl-PL"/>
        </w:rPr>
        <w:t xml:space="preserve">ychczasowego miejsca służbowego, na jego wniosek </w:t>
      </w:r>
    </w:p>
    <w:p w:rsidR="00DB12D7" w:rsidRDefault="00DB12D7"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9E511D" w:rsidRPr="00F749CA" w:rsidRDefault="009E511D" w:rsidP="009E511D">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Zmiana dokonywana w treści art. 155 § 3b u.s.p.  ma charakter jedynie porządkujący, polegający na usunięciu zbędnego zapisu (wprowadzonego wraz z całą treścią art. 155 § 3b ustawą z dnia 9 kwietnia 2015 r. o zmianie ustawy o Krajowej Szkole Sądownictwa i Prokuratury oraz niektórych innych ustaw, Dz. U. poz. 694, z późn. zm.) dotyczącego wymogu braku karalności za przewinienia dyscyplinarne wobec osób, które miałyby zostać zatrudnione na stanowisku starszego asystenta sędziego. Nowela ta wprowadziła m.in. stanowisko starszego asystenta sędziego i prokuratora, warunkując awans w tym zakresie </w:t>
      </w:r>
      <w:r w:rsidRPr="00F749CA">
        <w:rPr>
          <w:rFonts w:ascii="Times New Roman" w:eastAsia="Times New Roman" w:hAnsi="Times New Roman" w:cs="Times New Roman"/>
          <w:bCs/>
          <w:sz w:val="24"/>
          <w:szCs w:val="24"/>
          <w:lang w:eastAsia="pl-PL"/>
        </w:rPr>
        <w:lastRenderedPageBreak/>
        <w:t>przesłanką niekaralności za przewinienia dyscyplinarne oraz uzyskiwaniem pozytywnych okresowych ocen.</w:t>
      </w:r>
    </w:p>
    <w:p w:rsidR="009E511D" w:rsidRPr="00F749CA" w:rsidRDefault="009E511D" w:rsidP="009E511D">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Wadliwość dotychczasowej regulacji zawartej w art. 155 § 3b u.s.p. polega na wprowadzeniu wymagania braku karalności za przewinienia dyscyplinarne w przypadku ubiegania się przez asystenta sędziego o stanowisko starszego asystenta sędziego w sytuacji braku regulacji dotyczących odpowiedzialności dyscyplinarnej asystentów sędziów. Odpowiedzialność asystentów sędziów jest bowiem ograniczona do odpowiedzialności pracowniczej (odpowiedzialności przed sędzią oraz w ramach dokonywania oceny pracowniczej), co jest uregulowane w obecnie obowiązującym u.s.p. i – biorąc pod uwagę zakres i charakter czynności asystenta sędziego – należy uznać za wystarczające. W tym sensie wskazany zapis jest zbędny i należy dokonać jego korekty poprzez wykreślenie wymogu braku karalności za przewinienie dyscyplinarne.</w:t>
      </w:r>
    </w:p>
    <w:p w:rsidR="009E511D" w:rsidRDefault="009E511D"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014DF6" w:rsidRPr="00014DF6" w:rsidRDefault="00014DF6" w:rsidP="00014DF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zakresie dotyczącym dodania art. 175d u.s.p. należy wskazać, że </w:t>
      </w:r>
      <w:r w:rsidRPr="00014DF6">
        <w:rPr>
          <w:rFonts w:ascii="Times New Roman" w:eastAsia="Times New Roman" w:hAnsi="Times New Roman" w:cs="Times New Roman"/>
          <w:bCs/>
          <w:sz w:val="24"/>
          <w:szCs w:val="24"/>
          <w:lang w:eastAsia="pl-PL"/>
        </w:rPr>
        <w:t>Minister Sprawiedliwości zapewnia techniczną obsługę w zakresie dział</w:t>
      </w:r>
      <w:r>
        <w:rPr>
          <w:rFonts w:ascii="Times New Roman" w:eastAsia="Times New Roman" w:hAnsi="Times New Roman" w:cs="Times New Roman"/>
          <w:bCs/>
          <w:sz w:val="24"/>
          <w:szCs w:val="24"/>
          <w:lang w:eastAsia="pl-PL"/>
        </w:rPr>
        <w:t>alności administracyjnej sądów</w:t>
      </w:r>
      <w:r w:rsidRPr="00014DF6">
        <w:rPr>
          <w:rFonts w:ascii="Times New Roman" w:eastAsia="Times New Roman" w:hAnsi="Times New Roman" w:cs="Times New Roman"/>
          <w:bCs/>
          <w:sz w:val="24"/>
          <w:szCs w:val="24"/>
          <w:lang w:eastAsia="pl-PL"/>
        </w:rPr>
        <w:t xml:space="preserve">. Tym samym do jego kompetencji i odpowiedzialności należy zapewnienie sądom powszechnym dostępu do danych Systemu Informacyjnego Schengen II (SIS II SAD). Czyni to na podstawie art. 27 ust 2 ust 2 rozporządzenia nr 1987/2006 WE i Rady z dnia 20 grudnia 2006 oraz art. 40 ust 2 decyzji Rady nr 2007/533/WSiSW z dnia 12 czerwca 2007. Zgodnie z powyższymi przepisami, prawo do bezpośredniego przeszukiwania danych w systemie SIS II realizują krajowe organy sądownicze, w tym właściwe w sprawie roszczeń z oskarżenia publicznego w postępowaniu karnym. Organem, który pełni funkcję koordynująca dla realizacji powyższych zadań, jest Minister Sprawiedliwości. Umocowanie prawa krajowego dla Ministra Sprawiedliwości do tych zadań, </w:t>
      </w:r>
      <w:r>
        <w:rPr>
          <w:rFonts w:ascii="Times New Roman" w:eastAsia="Times New Roman" w:hAnsi="Times New Roman" w:cs="Times New Roman"/>
          <w:bCs/>
          <w:sz w:val="24"/>
          <w:szCs w:val="24"/>
          <w:lang w:eastAsia="pl-PL"/>
        </w:rPr>
        <w:t xml:space="preserve">wynikające z dyspozycji art. 8 </w:t>
      </w:r>
      <w:r w:rsidRPr="00014DF6">
        <w:rPr>
          <w:rFonts w:ascii="Times New Roman" w:eastAsia="Times New Roman" w:hAnsi="Times New Roman" w:cs="Times New Roman"/>
          <w:bCs/>
          <w:sz w:val="24"/>
          <w:szCs w:val="24"/>
          <w:lang w:eastAsia="pl-PL"/>
        </w:rPr>
        <w:t>u.s.</w:t>
      </w:r>
      <w:r>
        <w:rPr>
          <w:rFonts w:ascii="Times New Roman" w:eastAsia="Times New Roman" w:hAnsi="Times New Roman" w:cs="Times New Roman"/>
          <w:bCs/>
          <w:sz w:val="24"/>
          <w:szCs w:val="24"/>
          <w:lang w:eastAsia="pl-PL"/>
        </w:rPr>
        <w:t xml:space="preserve">p.  w związku z art. 1 § 2 i 3 </w:t>
      </w:r>
      <w:r w:rsidRPr="00014DF6">
        <w:rPr>
          <w:rFonts w:ascii="Times New Roman" w:eastAsia="Times New Roman" w:hAnsi="Times New Roman" w:cs="Times New Roman"/>
          <w:bCs/>
          <w:sz w:val="24"/>
          <w:szCs w:val="24"/>
          <w:lang w:eastAsia="pl-PL"/>
        </w:rPr>
        <w:t>u.s.p.  bywa kwestionowane jako niewystarczające. Natomiast szczegółowe unormowanie</w:t>
      </w:r>
      <w:r w:rsidR="00465F32">
        <w:rPr>
          <w:rFonts w:ascii="Times New Roman" w:eastAsia="Times New Roman" w:hAnsi="Times New Roman" w:cs="Times New Roman"/>
          <w:bCs/>
          <w:sz w:val="24"/>
          <w:szCs w:val="24"/>
          <w:lang w:eastAsia="pl-PL"/>
        </w:rPr>
        <w:t xml:space="preserve"> zawarte w przepisach art. 175a–</w:t>
      </w:r>
      <w:r w:rsidRPr="00014DF6">
        <w:rPr>
          <w:rFonts w:ascii="Times New Roman" w:eastAsia="Times New Roman" w:hAnsi="Times New Roman" w:cs="Times New Roman"/>
          <w:bCs/>
          <w:sz w:val="24"/>
          <w:szCs w:val="24"/>
          <w:lang w:eastAsia="pl-PL"/>
        </w:rPr>
        <w:t>175c nie uwzględnia zadań i funkcji Ministra Sprawiedliwości w przedmiotowym zakresie, co uzasadnia w ocenie projektodawcy dokonanie projektowanej</w:t>
      </w:r>
      <w:r>
        <w:rPr>
          <w:rFonts w:ascii="Times New Roman" w:eastAsia="Times New Roman" w:hAnsi="Times New Roman" w:cs="Times New Roman"/>
          <w:bCs/>
          <w:sz w:val="24"/>
          <w:szCs w:val="24"/>
          <w:lang w:eastAsia="pl-PL"/>
        </w:rPr>
        <w:t xml:space="preserve"> zmiany. </w:t>
      </w:r>
      <w:r w:rsidRPr="00014DF6">
        <w:rPr>
          <w:rFonts w:ascii="Times New Roman" w:eastAsia="Times New Roman" w:hAnsi="Times New Roman" w:cs="Times New Roman"/>
          <w:bCs/>
          <w:sz w:val="24"/>
          <w:szCs w:val="24"/>
          <w:lang w:eastAsia="pl-PL"/>
        </w:rPr>
        <w:t xml:space="preserve">Istnieją więc przesłanki z art. 7 Konstytucji Rzeczypospolitej Polskiej, aby w imię legalizmu oraz dookreśloności prawa wprowadzić do porządku prawnego przepis, który położy kres wątpliwościom oraz ostatecznie przesądzi podstawy prawne wykonywanym przez Ministra Sprawiedliwości funkcjom; koordynującej oraz zapewnienia dostępu  organom sądowniczym do danych SIS II. </w:t>
      </w:r>
    </w:p>
    <w:p w:rsidR="00014DF6" w:rsidRDefault="00014DF6" w:rsidP="00014DF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014DF6">
        <w:rPr>
          <w:rFonts w:ascii="Times New Roman" w:eastAsia="Times New Roman" w:hAnsi="Times New Roman" w:cs="Times New Roman"/>
          <w:bCs/>
          <w:sz w:val="24"/>
          <w:szCs w:val="24"/>
          <w:lang w:eastAsia="pl-PL"/>
        </w:rPr>
        <w:lastRenderedPageBreak/>
        <w:t>Projektowany przepis w pełni uprawni Ministra Sprawiedliwości do wykonywanych przez niego zadań w oparciu o art. 27 ust</w:t>
      </w:r>
      <w:r>
        <w:rPr>
          <w:rFonts w:ascii="Times New Roman" w:eastAsia="Times New Roman" w:hAnsi="Times New Roman" w:cs="Times New Roman"/>
          <w:bCs/>
          <w:sz w:val="24"/>
          <w:szCs w:val="24"/>
          <w:lang w:eastAsia="pl-PL"/>
        </w:rPr>
        <w:t>.</w:t>
      </w:r>
      <w:r w:rsidRPr="00014DF6">
        <w:rPr>
          <w:rFonts w:ascii="Times New Roman" w:eastAsia="Times New Roman" w:hAnsi="Times New Roman" w:cs="Times New Roman"/>
          <w:bCs/>
          <w:sz w:val="24"/>
          <w:szCs w:val="24"/>
          <w:lang w:eastAsia="pl-PL"/>
        </w:rPr>
        <w:t xml:space="preserve"> 2 rozporządzenia nr 1987/2006 WE i Rady z dnia 20 grudnia 2006 oraz art. 40 ust 2 decyzji Rady nr 2007/533/WSiSW z dnia 12 czerwca 2007, rów</w:t>
      </w:r>
      <w:r>
        <w:rPr>
          <w:rFonts w:ascii="Times New Roman" w:eastAsia="Times New Roman" w:hAnsi="Times New Roman" w:cs="Times New Roman"/>
          <w:bCs/>
          <w:sz w:val="24"/>
          <w:szCs w:val="24"/>
          <w:lang w:eastAsia="pl-PL"/>
        </w:rPr>
        <w:t xml:space="preserve">nież na gruncie prawa krajowego. </w:t>
      </w:r>
      <w:r w:rsidRPr="00014DF6">
        <w:rPr>
          <w:rFonts w:ascii="Times New Roman" w:eastAsia="Times New Roman" w:hAnsi="Times New Roman" w:cs="Times New Roman"/>
          <w:bCs/>
          <w:sz w:val="24"/>
          <w:szCs w:val="24"/>
          <w:lang w:eastAsia="pl-PL"/>
        </w:rPr>
        <w:t xml:space="preserve"> </w:t>
      </w:r>
    </w:p>
    <w:p w:rsidR="00014DF6" w:rsidRDefault="00014DF6" w:rsidP="00014DF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014DF6" w:rsidRDefault="00014DF6" w:rsidP="00014DF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Art. 175e umożliwia Ministrowi Sprawiedliwości powołanie koordynatora do spraw informatyzacji sądownictwa powszechnego, w celu usprawnienia procesu informatyzacyjnego. W przypadku powierzenia tego zadania sędziemu, w myśl art 175e § 2 u.s.p., przysługiwać mu będzie dodatek funkcyjny z racji wykon</w:t>
      </w:r>
      <w:r w:rsidR="00465F32">
        <w:rPr>
          <w:rFonts w:ascii="Times New Roman" w:eastAsia="Times New Roman" w:hAnsi="Times New Roman" w:cs="Times New Roman"/>
          <w:bCs/>
          <w:sz w:val="24"/>
          <w:szCs w:val="24"/>
          <w:lang w:eastAsia="pl-PL"/>
        </w:rPr>
        <w:t>ywania dodatkowych zadań.</w:t>
      </w:r>
    </w:p>
    <w:p w:rsidR="00014DF6" w:rsidRDefault="00014DF6"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465F32" w:rsidRDefault="00465F32"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dodawanych przepisach art. 175f i art. 175g ustawy – Prawo o ustroju sądów powszechnych</w:t>
      </w:r>
      <w:r w:rsidR="00690196">
        <w:rPr>
          <w:rFonts w:ascii="Times New Roman" w:eastAsia="Times New Roman" w:hAnsi="Times New Roman" w:cs="Times New Roman"/>
          <w:bCs/>
          <w:sz w:val="24"/>
          <w:szCs w:val="24"/>
          <w:lang w:eastAsia="pl-PL"/>
        </w:rPr>
        <w:t xml:space="preserve"> zaproponowano rozwiązanie, które umożliwi przeniesienie na Skarb Państwa – w drodze decyzji administracyjnej i za wynagrodzeniem – niektórych uprawnień </w:t>
      </w:r>
      <w:r w:rsidR="006D3279" w:rsidRPr="006D3279">
        <w:rPr>
          <w:rFonts w:ascii="Times New Roman" w:eastAsia="Times New Roman" w:hAnsi="Times New Roman" w:cs="Times New Roman"/>
          <w:bCs/>
          <w:sz w:val="24"/>
          <w:szCs w:val="24"/>
          <w:lang w:eastAsia="pl-PL"/>
        </w:rPr>
        <w:t>wynikających z autorskich praw majątkowych do programu komputerowego obsługującego sądowe systemy informatyczne</w:t>
      </w:r>
      <w:r>
        <w:rPr>
          <w:rFonts w:ascii="Times New Roman" w:eastAsia="Times New Roman" w:hAnsi="Times New Roman" w:cs="Times New Roman"/>
          <w:bCs/>
          <w:sz w:val="24"/>
          <w:szCs w:val="24"/>
          <w:lang w:eastAsia="pl-PL"/>
        </w:rPr>
        <w:t xml:space="preserve">. </w:t>
      </w:r>
      <w:r w:rsidR="006D3279">
        <w:rPr>
          <w:rFonts w:ascii="Times New Roman" w:eastAsia="Times New Roman" w:hAnsi="Times New Roman" w:cs="Times New Roman"/>
          <w:bCs/>
          <w:sz w:val="24"/>
          <w:szCs w:val="24"/>
          <w:lang w:eastAsia="pl-PL"/>
        </w:rPr>
        <w:t xml:space="preserve">Rozwiązanie to pozwoli na zachowanie sprawności działania i ciągłości funkcjonowania sądowych systemów informatycznych w tych przypadkach, gdy osiągnięcie porozumienia z </w:t>
      </w:r>
      <w:r w:rsidR="006D3279" w:rsidRPr="003A5C2D">
        <w:rPr>
          <w:rFonts w:ascii="Times New Roman" w:eastAsia="Times New Roman" w:hAnsi="Times New Roman" w:cs="Times New Roman"/>
          <w:bCs/>
          <w:sz w:val="24"/>
          <w:szCs w:val="24"/>
          <w:lang w:eastAsia="pl-PL"/>
        </w:rPr>
        <w:t xml:space="preserve">osobą, której przysługują majątkowe prawa autorskie do danego programu komputerowego, napotyka na przeszkody, a ważny interes państwa lub dobro wymiaru sprawiedliwości przesądza o konieczności </w:t>
      </w:r>
      <w:r w:rsidR="003A5C2D" w:rsidRPr="003A5C2D">
        <w:rPr>
          <w:rFonts w:ascii="Times New Roman" w:eastAsia="Times New Roman" w:hAnsi="Times New Roman" w:cs="Times New Roman"/>
          <w:bCs/>
          <w:sz w:val="24"/>
          <w:szCs w:val="24"/>
          <w:lang w:eastAsia="pl-PL"/>
        </w:rPr>
        <w:t xml:space="preserve">podjęcia określonych działań, </w:t>
      </w:r>
      <w:r w:rsidR="006D3279" w:rsidRPr="003A5C2D">
        <w:rPr>
          <w:rFonts w:ascii="Times New Roman" w:eastAsia="Times New Roman" w:hAnsi="Times New Roman" w:cs="Times New Roman"/>
          <w:bCs/>
          <w:sz w:val="24"/>
          <w:szCs w:val="24"/>
          <w:lang w:eastAsia="pl-PL"/>
        </w:rPr>
        <w:t>np.</w:t>
      </w:r>
      <w:r w:rsidR="003A5C2D">
        <w:rPr>
          <w:rFonts w:ascii="Times New Roman" w:eastAsia="Times New Roman" w:hAnsi="Times New Roman" w:cs="Times New Roman"/>
          <w:bCs/>
          <w:sz w:val="24"/>
          <w:szCs w:val="24"/>
          <w:lang w:eastAsia="pl-PL"/>
        </w:rPr>
        <w:t> </w:t>
      </w:r>
      <w:r w:rsidR="006D3279" w:rsidRPr="003A5C2D">
        <w:rPr>
          <w:rFonts w:ascii="Times New Roman" w:eastAsia="Times New Roman" w:hAnsi="Times New Roman" w:cs="Times New Roman"/>
          <w:bCs/>
          <w:sz w:val="24"/>
          <w:szCs w:val="24"/>
          <w:lang w:eastAsia="pl-PL"/>
        </w:rPr>
        <w:t>dokonania zmian w programie</w:t>
      </w:r>
      <w:r w:rsidR="003A5C2D" w:rsidRPr="003A5C2D">
        <w:rPr>
          <w:rFonts w:ascii="Times New Roman" w:eastAsia="Times New Roman" w:hAnsi="Times New Roman" w:cs="Times New Roman"/>
          <w:bCs/>
          <w:sz w:val="24"/>
          <w:szCs w:val="24"/>
          <w:lang w:eastAsia="pl-PL"/>
        </w:rPr>
        <w:t>, niezbędnych do zapewnienia prawidłowego działania programu lub systemu.</w:t>
      </w:r>
      <w:r w:rsidR="006D3279">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Analogiczne rozwiązanie zaproponowano w stosunku do</w:t>
      </w:r>
      <w:r w:rsidR="00690196">
        <w:rPr>
          <w:rFonts w:ascii="Times New Roman" w:eastAsia="Times New Roman" w:hAnsi="Times New Roman" w:cs="Times New Roman"/>
          <w:bCs/>
          <w:sz w:val="24"/>
          <w:szCs w:val="24"/>
          <w:lang w:eastAsia="pl-PL"/>
        </w:rPr>
        <w:t xml:space="preserve"> programów komputerowych obsługujących prokuratorskie oraz komornicze systemy informatyczne.</w:t>
      </w:r>
    </w:p>
    <w:p w:rsidR="00465F32" w:rsidRDefault="00465F32"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465F32" w:rsidRDefault="00465F32"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Zmiany ustawy – Prawo o ustroju sądów wojskowych i ustawy o Sądzie Najwyższym służą wprowadzeniu odpowiednich rozwiązań w stosunku do tych, które zaproponowano w ustawie – Prawo o ustroju sądów powszechnych.</w:t>
      </w:r>
    </w:p>
    <w:p w:rsidR="00683232" w:rsidRDefault="00683232" w:rsidP="005F04CE">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683232" w:rsidRDefault="00683232" w:rsidP="00683232">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683232">
        <w:rPr>
          <w:rFonts w:ascii="Times New Roman" w:eastAsia="Times New Roman" w:hAnsi="Times New Roman" w:cs="Times New Roman"/>
          <w:bCs/>
          <w:sz w:val="24"/>
          <w:szCs w:val="24"/>
          <w:lang w:eastAsia="pl-PL"/>
        </w:rPr>
        <w:t xml:space="preserve">W art. 43 ustawy – Prawo o prokuraturze niezbędne jest dokonanie uzupełnienia zakresu kompetencji Krajowej Rady Prokuratorów przy Prokuratorze Generalnym poprzez dodanie uprawnienia do uchwalania zasad etyki zawodowej prokuratorów oraz obowiązku czuwania nad ich przestrzeganiem. Uprawnienie takie, które zgodnie z art. 14 pkt 15 poprzednio </w:t>
      </w:r>
      <w:r w:rsidRPr="00683232">
        <w:rPr>
          <w:rFonts w:ascii="Times New Roman" w:eastAsia="Times New Roman" w:hAnsi="Times New Roman" w:cs="Times New Roman"/>
          <w:bCs/>
          <w:sz w:val="24"/>
          <w:szCs w:val="24"/>
          <w:lang w:eastAsia="pl-PL"/>
        </w:rPr>
        <w:lastRenderedPageBreak/>
        <w:t>obowiązującej ustawy z dnia 20 czerwca 1985 r. o prokuraturze posiadała Krajowa Rada Prokuratury, stanowi ważny instrument kształtowania pożądanych postaw zawodowych osób wykonujących zawód prokuratora, oddziaływujący zarówno informacyjnie, jak i motywacyjnie, jak również służący unikaniu przez prokuratorów zachowań, które mogą być oceniane jako podważające ich profesjon</w:t>
      </w:r>
      <w:r>
        <w:rPr>
          <w:rFonts w:ascii="Times New Roman" w:eastAsia="Times New Roman" w:hAnsi="Times New Roman" w:cs="Times New Roman"/>
          <w:bCs/>
          <w:sz w:val="24"/>
          <w:szCs w:val="24"/>
          <w:lang w:eastAsia="pl-PL"/>
        </w:rPr>
        <w:t>alizm, uczciwość i obiektywizm.</w:t>
      </w:r>
    </w:p>
    <w:p w:rsidR="00683232" w:rsidRPr="00683232" w:rsidRDefault="00683232" w:rsidP="00683232">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683232">
        <w:rPr>
          <w:rFonts w:ascii="Times New Roman" w:eastAsia="Times New Roman" w:hAnsi="Times New Roman" w:cs="Times New Roman"/>
          <w:bCs/>
          <w:sz w:val="24"/>
          <w:szCs w:val="24"/>
          <w:lang w:eastAsia="pl-PL"/>
        </w:rPr>
        <w:t>Potrzeba wprowadzenia do ustawy - Prawo o prokuraturze art. 106a w proponowanym brzmieniu wynika z braku jednoznacznie wyrażonej podstawy normatywnej delegowania prokuratorów Instytutu Pamięci Narodowej, pomimo występujących wypadków, w których delegowanie prokuratorów tego pionu do innej jednostki organizacyjnej Instytutu Pamięci Narodowej jest niezbędne dla efektywnego wykonywania ustawowych zadań tego organu.</w:t>
      </w:r>
    </w:p>
    <w:p w:rsidR="00683232" w:rsidRPr="00683232" w:rsidRDefault="00683232" w:rsidP="00683232">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683232">
        <w:rPr>
          <w:rFonts w:ascii="Times New Roman" w:eastAsia="Times New Roman" w:hAnsi="Times New Roman" w:cs="Times New Roman"/>
          <w:bCs/>
          <w:sz w:val="24"/>
          <w:szCs w:val="24"/>
          <w:lang w:eastAsia="pl-PL"/>
        </w:rPr>
        <w:t xml:space="preserve">W ustawie – Prawo o prokuraturze ustawodawca dokonał modyfikacji terminów przedawnienia przewinień dyscyplinarnych, w szczególności w odniesieniu do przypadków, w których nastąpiło wszczęcie postępowania dyscyplinarnego (art. 141). Brak przepisu stanowiącego podstawę do zastosowania nowych terminów przedawnienia do czynów popełnionych uprzednio stanowi deficyt obowiązującego stanu prawnego, na który wskazywano m.in. w orzecznictwie sądów dyscyplinarnych. Z tej przyczyny konieczne jest wprowadzenie do ustawy – Przepisy wprowadzające ustawę – Prawo o prokuraturze przepisu </w:t>
      </w:r>
      <w:r>
        <w:rPr>
          <w:rFonts w:ascii="Times New Roman" w:eastAsia="Times New Roman" w:hAnsi="Times New Roman" w:cs="Times New Roman"/>
          <w:bCs/>
          <w:sz w:val="24"/>
          <w:szCs w:val="24"/>
          <w:lang w:eastAsia="pl-PL"/>
        </w:rPr>
        <w:t xml:space="preserve">art. 64a, </w:t>
      </w:r>
      <w:r w:rsidRPr="00683232">
        <w:rPr>
          <w:rFonts w:ascii="Times New Roman" w:eastAsia="Times New Roman" w:hAnsi="Times New Roman" w:cs="Times New Roman"/>
          <w:bCs/>
          <w:sz w:val="24"/>
          <w:szCs w:val="24"/>
          <w:lang w:eastAsia="pl-PL"/>
        </w:rPr>
        <w:t xml:space="preserve">wskazującego jednoznacznie na obowiązek stosowania prawa nowego do tych czynów, których termin przedawnienia jeszcze nie upłynął. </w:t>
      </w:r>
    </w:p>
    <w:p w:rsidR="00683232" w:rsidRPr="00683232" w:rsidRDefault="00683232" w:rsidP="00683232">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p>
    <w:p w:rsidR="008E39A9" w:rsidRPr="00F749CA" w:rsidRDefault="008E39A9" w:rsidP="008E39A9">
      <w:pPr>
        <w:spacing w:after="200" w:line="360" w:lineRule="auto"/>
        <w:ind w:firstLine="510"/>
        <w:contextualSpacing/>
        <w:jc w:val="both"/>
        <w:rPr>
          <w:rFonts w:ascii="Times New Roman" w:hAnsi="Times New Roman" w:cs="Times New Roman"/>
          <w:sz w:val="24"/>
          <w:szCs w:val="24"/>
        </w:rPr>
      </w:pPr>
      <w:r w:rsidRPr="00F749CA">
        <w:rPr>
          <w:rFonts w:ascii="Times New Roman" w:hAnsi="Times New Roman" w:cs="Times New Roman"/>
          <w:sz w:val="24"/>
          <w:szCs w:val="24"/>
        </w:rPr>
        <w:t>Projektowane zmiany w ustawie Kodeks karny wykonawczym mają na celu zwiększenie efektywności wykorzystywania środków zgromadzonych w ramach świadczeń pieniężnych zasądzanych od sprawców przestępstw na fundusz celowy –  Fundusz Pomocy Pokrzywdzonym oraz Pomocy Postpenitencjarnej.</w:t>
      </w:r>
    </w:p>
    <w:p w:rsidR="008E39A9" w:rsidRPr="00F749CA" w:rsidRDefault="008E39A9" w:rsidP="008E39A9">
      <w:pPr>
        <w:spacing w:after="200" w:line="360" w:lineRule="auto"/>
        <w:ind w:firstLine="708"/>
        <w:contextualSpacing/>
        <w:jc w:val="both"/>
        <w:rPr>
          <w:rFonts w:ascii="Times New Roman" w:hAnsi="Times New Roman" w:cs="Times New Roman"/>
          <w:sz w:val="24"/>
          <w:szCs w:val="24"/>
        </w:rPr>
      </w:pPr>
      <w:r w:rsidRPr="00F749CA">
        <w:rPr>
          <w:rFonts w:ascii="Times New Roman" w:hAnsi="Times New Roman" w:cs="Times New Roman"/>
          <w:sz w:val="24"/>
          <w:szCs w:val="24"/>
        </w:rPr>
        <w:t xml:space="preserve">Fundusz ten, w zakresie pomocy pokrzywdzonym i przeciwdziałania przestępczości, ma wpływać na usprawnienie systemu pomocy pokrzywdzonym oraz rozszerzenie oferty o nowe formy pomocy. Zasadność wprowadzenia powyższych regulacji wynika z wcześniejszych zmian w ustawie Kodeks karnym polegających na wprowadzeniu nowych zasad orzekania nawiązek oraz świadczeń pieniężnych na rzecz Funduszu Pomocy Pokrzywdzonym oraz Pomocy Postpenitencjarnej.  </w:t>
      </w:r>
    </w:p>
    <w:p w:rsidR="008E39A9" w:rsidRPr="00F749CA" w:rsidRDefault="008E39A9" w:rsidP="008E39A9">
      <w:pPr>
        <w:spacing w:after="200" w:line="360" w:lineRule="auto"/>
        <w:ind w:firstLine="708"/>
        <w:contextualSpacing/>
        <w:jc w:val="both"/>
        <w:rPr>
          <w:rFonts w:ascii="Times New Roman" w:hAnsi="Times New Roman" w:cs="Times New Roman"/>
          <w:sz w:val="24"/>
          <w:szCs w:val="24"/>
        </w:rPr>
      </w:pPr>
      <w:r w:rsidRPr="00F749CA">
        <w:rPr>
          <w:rFonts w:ascii="Times New Roman" w:hAnsi="Times New Roman" w:cs="Times New Roman"/>
          <w:sz w:val="24"/>
          <w:szCs w:val="24"/>
        </w:rPr>
        <w:t xml:space="preserve">W szczególności brzmienie art. 43a § 2 Kodeksu karnego, przewidującego orzeczenie świadczenia pieniężnego na rzecz Funduszu w razie skazania sprawcy za przestępstwo </w:t>
      </w:r>
      <w:r w:rsidRPr="00F749CA">
        <w:rPr>
          <w:rFonts w:ascii="Times New Roman" w:hAnsi="Times New Roman" w:cs="Times New Roman"/>
          <w:sz w:val="24"/>
          <w:szCs w:val="24"/>
        </w:rPr>
        <w:lastRenderedPageBreak/>
        <w:t xml:space="preserve">określone w art. 178a § 1 i 4 Kodeksu karnego, spowodowało znaczny wzrost przychodów środków finansowych znajdujących się w dyspozycji Funduszu. </w:t>
      </w:r>
    </w:p>
    <w:p w:rsidR="008E39A9" w:rsidRPr="00F749CA" w:rsidRDefault="008E39A9" w:rsidP="008E39A9">
      <w:pPr>
        <w:autoSpaceDE w:val="0"/>
        <w:autoSpaceDN w:val="0"/>
        <w:adjustRightInd w:val="0"/>
        <w:spacing w:after="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t>Istniejące formy i cele przeznaczania środków Funduszu pozwalają obecnie jedynie na częściowo efektywne wydatkowanie środków. Wyższe przychody umożliwiają utrzymanie programu realizowanego przez organizacje pozarządowe w ramach konkursu ofert na powierzenie realizacji zadań z Funduszu w zakresie pomocy pokrzywdzonym a nadto wprowadzenie dodatkowych form pomocy pokrzywdzonym.  Istnieją możliwości rozszerzenia działalności Funduszu także na funkcje prewencyjne, edukacyjne i związane z alternatywnymi metodami rozstrzygania sporów, które mają skutkować zapobieganiu przestępstwom. W szczególności dotyczy to mediacji w sprawach rodzinnych, nieletnich oraz karnych.</w:t>
      </w:r>
    </w:p>
    <w:p w:rsidR="008E39A9" w:rsidRPr="00F749CA" w:rsidRDefault="008E39A9" w:rsidP="008E39A9">
      <w:pPr>
        <w:autoSpaceDE w:val="0"/>
        <w:autoSpaceDN w:val="0"/>
        <w:adjustRightInd w:val="0"/>
        <w:spacing w:after="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t>Mając na względzie powyższe intencje projektodawców przewiduje się zmianę treści przepisu art. 43 § 2 poprzez rozszerzenie celów Funduszu  o przeciwdziałanie przestępczości, a co za tym idzie rozszerzenie zakresu działalności Funduszu.</w:t>
      </w:r>
    </w:p>
    <w:p w:rsidR="008E39A9" w:rsidRPr="00F749CA" w:rsidRDefault="008E39A9" w:rsidP="008E39A9">
      <w:pPr>
        <w:autoSpaceDE w:val="0"/>
        <w:autoSpaceDN w:val="0"/>
        <w:adjustRightInd w:val="0"/>
        <w:spacing w:after="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t xml:space="preserve">Ponadto w  art. 43 w § 8  Kodeksu Karnego wykonawczego planuje się dopuszczenie możliwości udzielania i finansowania pomocy osobom pokrzywdzonym ze środków Funduszu także poprzez jednostki zaliczane do sektora finansów publicznych. Pomoc,  która do tej pory była udzielana tylko przez organizacje pozarządowe będzie mogła być także udzielana przez jednostki zaliczane do sektora finansów publicznych. Celem tego rozwiązania jest umożliwienie udzielania świadczeń określonego rodzaju przez jednostki publiczne w miejscach oddalonych od najbliższej organizacji pozarządowej, która wygrała konkurs. W ten sposób zmniejszą się koszty finansowe po stronie funduszu i uciążliwości dla beneficjentów związane z dojazdem do najbliższej siedziby organizacji. </w:t>
      </w:r>
    </w:p>
    <w:p w:rsidR="008E39A9" w:rsidRPr="00F749CA" w:rsidRDefault="008E39A9" w:rsidP="008E39A9">
      <w:pPr>
        <w:spacing w:after="20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t xml:space="preserve">Założeniem nowelizacji jest możliwość realizacji przez jednostki sektora finansów publicznych w oparciu o dysponowanie środkami Funduszu, zadań mających związek z podnoszeniem kwalifikacji zawodowych dla organów prowadzących postępowanie karne i ich pracowników w zakresie postępowania z pokrzywdzonymi i świadkami oraz propagowania alternatywnych metod rozwiązywania sporów, w szczególności mediacji. Zdobyte umiejętności spowodują podniesienie kompetencji osób wykonujących czynności z udziałem pokrzywdzonych i świadków, co zapewni pełniejszą realizację praw uczestników postępowania karnego. Za konieczne uznać należy upowszechnienie wiedzy dotyczącej polubownych form zakończenia sporów. </w:t>
      </w:r>
    </w:p>
    <w:p w:rsidR="008E39A9" w:rsidRPr="00F749CA" w:rsidRDefault="008E39A9" w:rsidP="008E39A9">
      <w:pPr>
        <w:spacing w:after="20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lastRenderedPageBreak/>
        <w:t>Ponadto dysponowanie środkami Funduszu na rzecz jednostek finansów publicznych umożliwi m.in. finansowanie zadań związanych z zapobieganiem przestępczości, powstawaniem i wyposażaniem tzw. przyjaznych pokoi przesłuchań w jednostkach wymiaru sprawiedliwości oraz rozwinięcie systemu mediacji. Za szczególnie istotne należy uznać możliwość zapewnienia finansowania potrzeb związanych z tworzeniem, modernizacją oraz wyposażaniem tzw. „przyjaznych pokoi przesłuchań” w jednostkach organów ścigania i w sądach oraz wydzielenie w sądach pomieszczeń dla świadków, jak również odrębnych pomieszczeń dla pokrzywdzonych. Istotne mogą okazać się również możliwości przeciwdziałaniu przestępstwom poprzez dofinansowanie i zakup sprzętu specjalistycznego dla jednostek takich jak Policja, służba zdrowia itp.</w:t>
      </w:r>
    </w:p>
    <w:p w:rsidR="008E39A9" w:rsidRPr="00F749CA" w:rsidRDefault="008E39A9" w:rsidP="008E39A9">
      <w:pPr>
        <w:spacing w:after="20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t>Biorąc pod uwagę racjonalność wydatkowania proponuje się usunięcie możliwości udzielenia pomocy prawnej dla świadków, gdyż powyższa forma  pomocy jest nieefektywna i niedostoswana do realiów postępowania karnego. Powyższa regulacja utrzymuje  równocześnie zapewnienie pomocy psychologicznej dla świadków.</w:t>
      </w:r>
    </w:p>
    <w:p w:rsidR="008E39A9" w:rsidRPr="00F749CA" w:rsidRDefault="008E39A9" w:rsidP="008E39A9">
      <w:pPr>
        <w:autoSpaceDE w:val="0"/>
        <w:autoSpaceDN w:val="0"/>
        <w:adjustRightInd w:val="0"/>
        <w:spacing w:after="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t xml:space="preserve">Mając na uwadze potrzebę rozpowszechnienia wśród pokrzywdzonych informacji dotyczącej możliwości uzyskania pomocy z Funduszu Pomocy Pokrzywdzonym oraz Pomocy Postpenitencjarnej dodaje się wprost możliwość przeprowadzenia kampanii informacyjnych o Funduszu. Celem rozpowszechnienia informacji dotyczącej możliwości uzyskania pomocy sfinansowanej ze środków Funduszu Pomocy Pokrzywdzonym oraz Pomocy Postpenitencjarnej jest zwiększenie liczby beneficjantów programu. </w:t>
      </w:r>
    </w:p>
    <w:p w:rsidR="008E39A9" w:rsidRPr="00F749CA" w:rsidRDefault="008E39A9" w:rsidP="008E39A9">
      <w:pPr>
        <w:autoSpaceDE w:val="0"/>
        <w:autoSpaceDN w:val="0"/>
        <w:adjustRightInd w:val="0"/>
        <w:spacing w:after="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t xml:space="preserve">Uwzględniając konieczność prowadzenia wyodrębnionej ewidencji księgowej przewiduje  się obowiązek posiadania przez podmioty niezaliczone do sektora finansów publicznych osobnego konta w banku dla środków pochodzących z Funduszu tylko dla obsługi tych środków. </w:t>
      </w:r>
    </w:p>
    <w:p w:rsidR="008E39A9" w:rsidRPr="00F749CA" w:rsidRDefault="008E39A9" w:rsidP="008E39A9">
      <w:pPr>
        <w:spacing w:after="20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t xml:space="preserve">Nadto w projekcie przewidziano regulację, iż w wypadku wykorzystania dotacji niezgodnie z przeznaczaniem lub pobranych nienależnie lub w nadmiernej wysokości będzie mieć zastosowanie wprost ustawa z dnia 27 sierpnia 2009 r. o finansach publicznych (Dz. U. z 2013 r. poz. 885 z późn. zm). Nowelizacja przewiduje także, iż w przypadku wykorzystania przez podmiot dotacji niezgodnie z przeznaczeniem, podmiot taki nie będzie uprawniony do udziału w otwartym konkursie ofert do dnia zwrotu środków wraz z odsetkami w zależności od zakresu nieprawidłowości. </w:t>
      </w:r>
    </w:p>
    <w:p w:rsidR="008E39A9" w:rsidRDefault="008E39A9" w:rsidP="008E39A9">
      <w:pPr>
        <w:spacing w:after="200" w:line="360" w:lineRule="auto"/>
        <w:ind w:firstLine="708"/>
        <w:jc w:val="both"/>
        <w:rPr>
          <w:rFonts w:ascii="Times New Roman" w:hAnsi="Times New Roman" w:cs="Times New Roman"/>
          <w:sz w:val="24"/>
          <w:szCs w:val="24"/>
        </w:rPr>
      </w:pPr>
      <w:r w:rsidRPr="00F749CA">
        <w:rPr>
          <w:rFonts w:ascii="Times New Roman" w:hAnsi="Times New Roman" w:cs="Times New Roman"/>
          <w:sz w:val="24"/>
          <w:szCs w:val="24"/>
        </w:rPr>
        <w:lastRenderedPageBreak/>
        <w:t>Istotnym jest również potrzeba uregulowania kosztów obsługi Funduszu w taki sposób aby Skarb Państwa nie ponosił tych kosztów. Znaczne przychody pozwalają na pokrycie działalności Fundusz z jego środków.</w:t>
      </w:r>
    </w:p>
    <w:p w:rsidR="00014DF6" w:rsidRDefault="00014DF6" w:rsidP="008E39A9">
      <w:pPr>
        <w:spacing w:after="200" w:line="360" w:lineRule="auto"/>
        <w:ind w:firstLine="708"/>
        <w:jc w:val="both"/>
        <w:rPr>
          <w:rFonts w:ascii="Times New Roman" w:hAnsi="Times New Roman" w:cs="Times New Roman"/>
          <w:sz w:val="24"/>
          <w:szCs w:val="24"/>
        </w:rPr>
      </w:pPr>
    </w:p>
    <w:p w:rsidR="00014DF6" w:rsidRDefault="00014DF6" w:rsidP="008E39A9">
      <w:pPr>
        <w:spacing w:after="20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Zmiany w ustawie – Kodeks postępowania karnego oraz w ustawie </w:t>
      </w:r>
      <w:r w:rsidRPr="00014DF6">
        <w:rPr>
          <w:rFonts w:ascii="Times New Roman" w:hAnsi="Times New Roman" w:cs="Times New Roman"/>
          <w:sz w:val="24"/>
          <w:szCs w:val="24"/>
        </w:rPr>
        <w:t>o zmianie ustawy – Kodeks postępowania karneg</w:t>
      </w:r>
      <w:r>
        <w:rPr>
          <w:rFonts w:ascii="Times New Roman" w:hAnsi="Times New Roman" w:cs="Times New Roman"/>
          <w:sz w:val="24"/>
          <w:szCs w:val="24"/>
        </w:rPr>
        <w:t xml:space="preserve">o oraz niektórych innych ustaw są wynikiem przeniesienia do u.s.p. regulacji dotyczących losowego przydziału spraw. </w:t>
      </w:r>
    </w:p>
    <w:p w:rsidR="00014DF6" w:rsidRPr="00F749CA" w:rsidRDefault="00014DF6" w:rsidP="00014DF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Ustawa z dnia 16 listopada 2016 r. o zmianie ustawy o emeryturach i rentach z Funduszu Ubezpieczeń Społecznych oraz niektórych innych ustaw (Dz. U. z 2017 r. poz. 38),  przewiduje powrót do rozwiązań prawnych określających zasadniczy wiek przejścia przez sędziego w stan spoczynku z dniem osiągnięcia 65 roku życia (w przypadku sędziów Sądu Najwyższego odbywa się to na wniosek). Jednocześnie ustawa utrzymuje obowiązujące obecnie rozwiązanie prawne, w myśl którego z uprawnienia do wcześniejszego stanu spoczynku mogą skorzystać jedynie sędziowie, którzy do końca 2017 r. nabędą uprawnienia warunkowane wiekiem (60 lat dla mężczyzn i 55 lat dla kobiet) oraz stażem pracy na stanowisku sędziego lub prokuratora (25 lat dla kobiet i 30 lat dla mężczyzn). W przypadku sędziów Sądu Najwyższego wiek ten wynosi 60 lat, zaś staż zawodowy – 9 lat na stanowisku sędziego Sądu Najwyższego. </w:t>
      </w:r>
    </w:p>
    <w:p w:rsidR="00014DF6" w:rsidRPr="00F749CA" w:rsidRDefault="00014DF6" w:rsidP="00014DF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Uwzględniając powyższe, od 1 stycznia 2018 r. sytuacja zawodowa sędziów – kobiet będzie mniej korzystna, aniżeli przewidziana w powszechnym systemie zabezpieczenia społecznego. Doprowadzi bowiem do sytuacji, w której będą one zmuszone, bez względu na staż pracy, do wykonywania zawodu do 65 roku życia, podczas gdy zasadniczy wiek emerytalny dla kobiet wynosić będzie co najmniej 60 lat.</w:t>
      </w:r>
    </w:p>
    <w:p w:rsidR="00014DF6" w:rsidRPr="00F749CA" w:rsidRDefault="00014DF6" w:rsidP="00014DF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Wobec powyższego za uzasadnione należy uznać zapewnienie równowagi pomiędzy uprawnieniami emerytalnymi obowiązującymi w ramach powszechnego systemu emerytalnego, a uprawnieniami do stanu spoczynku sędziów. Proponowane zmiany ustawy o zmianie ustawy o emeryturach i rentach z Funduszu Ubezpieczeń Społecznych oraz niektórych innych ustaw przewidują zatem uprawnienie nabywania prawa do stanu spoczynku dla kobiet – sędziów, po osiągnięciu 60 roku życia. Konsekwencją proponowanych zmian merytorycznych jest konieczność dostosowania do ich treści przepisów zawartych w art. 100 u.s.p.,  przepisów art. 30 ustawy o Sądzie Najwyższym oraz </w:t>
      </w:r>
      <w:r w:rsidRPr="00F749CA">
        <w:rPr>
          <w:rFonts w:ascii="Times New Roman" w:eastAsia="Times New Roman" w:hAnsi="Times New Roman" w:cs="Times New Roman"/>
          <w:bCs/>
          <w:sz w:val="24"/>
          <w:szCs w:val="24"/>
          <w:lang w:eastAsia="pl-PL"/>
        </w:rPr>
        <w:lastRenderedPageBreak/>
        <w:t xml:space="preserve">przepisów art. 43 § 5 i art. 127 ustawy – Prawo o Prokuraturze,  nowelizowanych odpowiednio art. 7, art. 8 i art. 16 ustawy nowelizującej, a także przepisów przejściowych tej ustawy – art. 26 i 27 – w sposób uwzględniający określony na nowo wiek uprawniający do stanu spoczynku sędziów-kobiety. </w:t>
      </w:r>
    </w:p>
    <w:p w:rsidR="00014DF6" w:rsidRPr="00F749CA" w:rsidRDefault="00014DF6" w:rsidP="00014DF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F749CA">
        <w:rPr>
          <w:rFonts w:ascii="Times New Roman" w:eastAsia="Times New Roman" w:hAnsi="Times New Roman" w:cs="Times New Roman"/>
          <w:bCs/>
          <w:sz w:val="24"/>
          <w:szCs w:val="24"/>
          <w:lang w:eastAsia="pl-PL"/>
        </w:rPr>
        <w:t xml:space="preserve">Proponowane przepisy znajdą zastosowanie do sędziów: sądów powszechnych, Sądu Najwyższego, Naczelnego Sądu Administracyjnego, wojewódzkich sądów administracyjnych, sądów wojskowych, a także prokuratorów. </w:t>
      </w:r>
    </w:p>
    <w:p w:rsidR="00014DF6" w:rsidRDefault="00014DF6" w:rsidP="008E39A9">
      <w:pPr>
        <w:spacing w:after="200" w:line="360" w:lineRule="auto"/>
        <w:ind w:firstLine="708"/>
        <w:jc w:val="both"/>
        <w:rPr>
          <w:rFonts w:ascii="Times New Roman" w:hAnsi="Times New Roman" w:cs="Times New Roman"/>
          <w:sz w:val="24"/>
          <w:szCs w:val="24"/>
        </w:rPr>
      </w:pPr>
    </w:p>
    <w:p w:rsidR="00E23B63" w:rsidRDefault="00E23B63" w:rsidP="00E23B63">
      <w:pPr>
        <w:pStyle w:val="NIEARTTEKSTtekstnieartykuowanynppodstprawnarozplubpreambua"/>
      </w:pPr>
      <w:r>
        <w:t xml:space="preserve">Projektowana zmiana </w:t>
      </w:r>
      <w:r w:rsidRPr="007579B9">
        <w:t>art. 66 usta</w:t>
      </w:r>
      <w:r>
        <w:t>wy z dnia 30 kwietnia 2010 r. o </w:t>
      </w:r>
      <w:r w:rsidRPr="007579B9">
        <w:t>instytutach badawczych</w:t>
      </w:r>
      <w:r>
        <w:t xml:space="preserve"> (Dz.U z 2016 r. poz. 371, z późn. zm.</w:t>
      </w:r>
      <w:r w:rsidRPr="007579B9">
        <w:t>)</w:t>
      </w:r>
      <w:r>
        <w:t xml:space="preserve"> </w:t>
      </w:r>
      <w:r w:rsidRPr="007579B9">
        <w:t xml:space="preserve">ma na celu umożliwienie używania przez </w:t>
      </w:r>
      <w:r>
        <w:t>państwowe jednostki organizacyjne podległe Ministrowi Sprawiedliwości, które prowadzą działalność naukową i badawczo-rozwojową,</w:t>
      </w:r>
      <w:r w:rsidRPr="007579B9">
        <w:t xml:space="preserve"> okrągłej pieczęci z wizerunkiem godła Rzecz</w:t>
      </w:r>
      <w:r>
        <w:t>ypospolitej Polskiej pośrodku i </w:t>
      </w:r>
      <w:r w:rsidRPr="007579B9">
        <w:t xml:space="preserve">nazwą instytutu w otoku, w szczególności w związku opracowywaniem przez Instytut Ekspertyz Sądowych </w:t>
      </w:r>
      <w:r>
        <w:t>opinii i ekspertyz dla sądów i </w:t>
      </w:r>
      <w:r w:rsidRPr="007579B9">
        <w:t xml:space="preserve">prokuratur w konkretnych sprawach karnych i cywilnych. Na etapie wcześniejszych nowelizacji ustawy </w:t>
      </w:r>
      <w:r>
        <w:t>jednostki wskazane w art. </w:t>
      </w:r>
      <w:r w:rsidRPr="007579B9">
        <w:t>66</w:t>
      </w:r>
      <w:r>
        <w:t xml:space="preserve"> ustawy</w:t>
      </w:r>
      <w:r w:rsidRPr="007579B9">
        <w:t xml:space="preserve"> utraciły możliwość posługiwania się wskazaną pieczęcią, co było wielokrotnie sygnalizowane jako nieintencjonalne pominięcie</w:t>
      </w:r>
      <w:r>
        <w:t>, sprzeczne z </w:t>
      </w:r>
      <w:r w:rsidRPr="007579B9">
        <w:t>potrzebami ich bieżącego funkcjonowania.</w:t>
      </w:r>
    </w:p>
    <w:p w:rsidR="00E23B63" w:rsidRPr="00586407" w:rsidRDefault="00E23B63" w:rsidP="00E23B63">
      <w:pPr>
        <w:pStyle w:val="NIEARTTEKSTtekstnieartykuowanynppodstprawnarozplubpreambua"/>
      </w:pPr>
      <w:r>
        <w:t xml:space="preserve">Dodatkowo projekt przewiduje, iż w stosunku do </w:t>
      </w:r>
      <w:r w:rsidRPr="00586407">
        <w:t>jednostek wskazanych w art. 66</w:t>
      </w:r>
      <w:r>
        <w:t xml:space="preserve"> ww. ustawy odpowiednio stosowane będą </w:t>
      </w:r>
      <w:r w:rsidRPr="00586407">
        <w:t>przepisy określające p</w:t>
      </w:r>
      <w:r>
        <w:t>odstawowy zakres działalności i </w:t>
      </w:r>
      <w:r w:rsidRPr="00586407">
        <w:t>zadania instytutów badawczych oraz państwowych instytutów badawczych</w:t>
      </w:r>
      <w:r>
        <w:t xml:space="preserve"> (art. 2 i 22 ustawy)</w:t>
      </w:r>
      <w:r w:rsidRPr="00586407">
        <w:t>.</w:t>
      </w:r>
    </w:p>
    <w:p w:rsidR="00E23B63" w:rsidRDefault="00E23B63" w:rsidP="00E23B63">
      <w:pPr>
        <w:pStyle w:val="NIEARTTEKSTtekstnieartykuowanynppodstprawnarozplubpreambua"/>
      </w:pPr>
      <w:r>
        <w:t xml:space="preserve">Projekt zakłada </w:t>
      </w:r>
      <w:r w:rsidRPr="007579B9">
        <w:t>wzmocnienie potencjału wskazanych jednostek poprzez przyznanie odpowiednio ministrowi nadzorującemu oraz dyrekto</w:t>
      </w:r>
      <w:r>
        <w:t>rowi jednostki szerszych uprawnień w </w:t>
      </w:r>
      <w:r w:rsidRPr="007579B9">
        <w:t xml:space="preserve">zakresie kształtowania struktury kadrowej instytutu. Dotychczasowa praktyka działalności jednostek wskazanych w art. 66 </w:t>
      </w:r>
      <w:r>
        <w:t xml:space="preserve">ustawy </w:t>
      </w:r>
      <w:r w:rsidRPr="007579B9">
        <w:t>wskazuje, że działalność konkurencyjna, której zakres jest ukształtowany w stałej linii orzecznictwa Sądu Najwyższego, w rzeczywistości nie stanowi osłabienia czy zagrożenia dla działalności instytutów, a wręcz może być korzyst</w:t>
      </w:r>
      <w:r>
        <w:t>na dla interesu publicznego. W </w:t>
      </w:r>
      <w:r w:rsidRPr="007579B9">
        <w:t xml:space="preserve">konsekwencji </w:t>
      </w:r>
      <w:r>
        <w:t>projekt</w:t>
      </w:r>
      <w:r w:rsidRPr="007579B9">
        <w:t xml:space="preserve"> formułuje odpowiednio wobec minis</w:t>
      </w:r>
      <w:r>
        <w:t>tra nadzorującego oraz dyrektor</w:t>
      </w:r>
      <w:r w:rsidRPr="007579B9">
        <w:t>a jednostki nie obowiązek</w:t>
      </w:r>
      <w:r>
        <w:t>, ale możliwość zawarcia umów o </w:t>
      </w:r>
      <w:r w:rsidRPr="007579B9">
        <w:t>zakazie działalności konkurencyjnej.</w:t>
      </w:r>
    </w:p>
    <w:p w:rsidR="00936CEB" w:rsidRPr="005676E4" w:rsidRDefault="00936CEB" w:rsidP="005676E4">
      <w:pPr>
        <w:pStyle w:val="NIEARTTEKSTtekstnieartykuowanynppodstprawnarozplubpreambua"/>
      </w:pPr>
    </w:p>
    <w:p w:rsidR="00936CEB" w:rsidRPr="005676E4" w:rsidRDefault="005676E4" w:rsidP="005676E4">
      <w:pPr>
        <w:pStyle w:val="NIEARTTEKSTtekstnieartykuowanynppodstprawnarozplubpreambua"/>
      </w:pPr>
      <w:r>
        <w:t>P</w:t>
      </w:r>
      <w:r w:rsidR="00936CEB" w:rsidRPr="005676E4">
        <w:t xml:space="preserve">rojekt przewiduje </w:t>
      </w:r>
      <w:r w:rsidR="0011166D" w:rsidRPr="005676E4">
        <w:t xml:space="preserve">trudne do oszacowania skutki finansowe. Projekt zakłada m.in. </w:t>
      </w:r>
      <w:r w:rsidR="00936CEB" w:rsidRPr="005676E4">
        <w:t>obniżenie wieku nabywania prawa do przejści</w:t>
      </w:r>
      <w:r w:rsidR="0089039F" w:rsidRPr="005676E4">
        <w:t>a</w:t>
      </w:r>
      <w:r w:rsidR="00936CEB" w:rsidRPr="005676E4">
        <w:t xml:space="preserve"> w stan spoczynku dla kobiet – sędziów z 65 do 60 lat. Przed 1 stycznia 2013 r. - czyli dniem wejścia w życie przepisów podnoszących wiek emerytalny do 67 lat - wiek przejścia w stan spoczynku sędziów i prokuratorów wynosił co do zasady 65 lat niezależnie od płci. Obowiązywały jednak uprawnienia do zróżnicowanego ze względu na płeć przechodzenia </w:t>
      </w:r>
      <w:r w:rsidR="0089039F" w:rsidRPr="005676E4">
        <w:t>w stan spoczynku</w:t>
      </w:r>
      <w:r w:rsidR="00936CEB" w:rsidRPr="005676E4">
        <w:t xml:space="preserve"> w wieku 55 lat w przypadku kobiet i 60 lat w przypadku mężczyzn, uzależnione od sędziowskiego i prokuratorskiego stażu pracy. Jednocześnie zachowany pozostaje przepis przejściowy, pozwalający na skorzystanie z uprawnienia określonego w art.</w:t>
      </w:r>
      <w:r w:rsidR="0089039F" w:rsidRPr="005676E4">
        <w:t xml:space="preserve"> </w:t>
      </w:r>
      <w:r w:rsidR="00936CEB" w:rsidRPr="005676E4">
        <w:t>69 § 2 u.s.p., zgodnie z którym sędzia przechodzi na swój wniosek w stan spoczynku, z zachowaniem prawa do uposażenia określonego w art. 100 § 2, po ukończeniu 55 lat przez kobietę, jeżeli przepracowała na stanowisku sędziego lub pr</w:t>
      </w:r>
      <w:r w:rsidR="0089039F" w:rsidRPr="005676E4">
        <w:t>okuratora nie mniej niż 25 lat, przez osoby, które warunki te spełnią do dnia 31 grudnia 2017 r.</w:t>
      </w:r>
    </w:p>
    <w:p w:rsidR="00936CEB" w:rsidRPr="005676E4" w:rsidRDefault="00936CEB" w:rsidP="005676E4">
      <w:pPr>
        <w:pStyle w:val="NIEARTTEKSTtekstnieartykuowanynppodstprawnarozplubpreambua"/>
      </w:pPr>
      <w:r w:rsidRPr="005676E4">
        <w:t>Z uwagi na powyższe, skutki finansowe rozpatrywanego projektu, wystąpią dopiero począwszy od roku 2023. Kobiety - sędziowie, których przejście w stan spoczynku w latach 2017 – 2022, w wieku 60 lat, generowałoby skutki finansowe dla budżetu państwa, mogą w świetle obowiązujących aktualnie przepisów</w:t>
      </w:r>
      <w:r w:rsidR="0089039F" w:rsidRPr="005676E4">
        <w:t>,</w:t>
      </w:r>
      <w:r w:rsidRPr="005676E4">
        <w:t xml:space="preserve"> skorzystać z prawa do wcześniejszego przejścia w stan spoczynku - w wieku 55 lat (zakłada się, że absolutna większość kobiet – sędziów, których ten przepis może dotyczyć, spełnia wymagania odnośnie stażu na stanowisku sędziowskim). Dlatego też, w latach 2017 </w:t>
      </w:r>
      <w:r w:rsidRPr="005676E4">
        <w:noBreakHyphen/>
        <w:t> 2022 zaproponowana zmiana nie spowoduje istotnych skutków finansowych. </w:t>
      </w:r>
    </w:p>
    <w:p w:rsidR="00936CEB" w:rsidRPr="005676E4" w:rsidRDefault="00936CEB" w:rsidP="005676E4">
      <w:pPr>
        <w:pStyle w:val="NIEARTTEKSTtekstnieartykuowanynppodstprawnarozplubpreambua"/>
      </w:pPr>
      <w:r w:rsidRPr="005676E4">
        <w:t xml:space="preserve">Należy jednak liczyć się ze </w:t>
      </w:r>
      <w:r w:rsidR="0089039F" w:rsidRPr="005676E4">
        <w:t xml:space="preserve">możliwością </w:t>
      </w:r>
      <w:r w:rsidRPr="005676E4">
        <w:t>zwiększ</w:t>
      </w:r>
      <w:r w:rsidR="0089039F" w:rsidRPr="005676E4">
        <w:t xml:space="preserve">enia </w:t>
      </w:r>
      <w:r w:rsidRPr="005676E4">
        <w:t>liczbą przypadków odejścia w stan spoczynku z końcem roku 2017 i na początku roku 2018. </w:t>
      </w:r>
    </w:p>
    <w:p w:rsidR="00936CEB" w:rsidRPr="005676E4" w:rsidRDefault="00936CEB" w:rsidP="005676E4">
      <w:pPr>
        <w:pStyle w:val="NIEARTTEKSTtekstnieartykuowanynppodstprawnarozplubpreambua"/>
      </w:pPr>
      <w:r w:rsidRPr="005676E4">
        <w:t>Natomiast kalkulacja skutków finansowych dla lat 2023 – 2027 kształtuje się następująco:</w:t>
      </w:r>
    </w:p>
    <w:p w:rsidR="0011166D" w:rsidRPr="005676E4" w:rsidRDefault="00936CEB" w:rsidP="005676E4">
      <w:pPr>
        <w:pStyle w:val="NIEARTTEKSTtekstnieartykuowanynppodstprawnarozplubpreambua"/>
      </w:pPr>
      <w:r w:rsidRPr="005676E4">
        <w:t>2023 r. -    9.773 tys. zł</w:t>
      </w:r>
    </w:p>
    <w:p w:rsidR="00936CEB" w:rsidRPr="005676E4" w:rsidRDefault="00936CEB" w:rsidP="005676E4">
      <w:pPr>
        <w:pStyle w:val="NIEARTTEKSTtekstnieartykuowanynppodstprawnarozplubpreambua"/>
      </w:pPr>
      <w:r w:rsidRPr="005676E4">
        <w:t>2024 r. -  28.847 tys. zł</w:t>
      </w:r>
    </w:p>
    <w:p w:rsidR="00936CEB" w:rsidRPr="005676E4" w:rsidRDefault="00936CEB" w:rsidP="005676E4">
      <w:pPr>
        <w:pStyle w:val="NIEARTTEKSTtekstnieartykuowanynppodstprawnarozplubpreambua"/>
      </w:pPr>
      <w:r w:rsidRPr="005676E4">
        <w:t>2025 r. -  46.431 tys. zł</w:t>
      </w:r>
    </w:p>
    <w:p w:rsidR="00936CEB" w:rsidRPr="005676E4" w:rsidRDefault="00936CEB" w:rsidP="005676E4">
      <w:pPr>
        <w:pStyle w:val="NIEARTTEKSTtekstnieartykuowanynppodstprawnarozplubpreambua"/>
      </w:pPr>
      <w:r w:rsidRPr="005676E4">
        <w:t>2026 r. -  64.791 tys. zł</w:t>
      </w:r>
    </w:p>
    <w:p w:rsidR="0011166D" w:rsidRPr="005676E4" w:rsidRDefault="00936CEB" w:rsidP="005676E4">
      <w:pPr>
        <w:pStyle w:val="NIEARTTEKSTtekstnieartykuowanynppodstprawnarozplubpreambua"/>
      </w:pPr>
      <w:r w:rsidRPr="005676E4">
        <w:lastRenderedPageBreak/>
        <w:t>2027 r. -  85.035 tys. zł</w:t>
      </w:r>
    </w:p>
    <w:p w:rsidR="00936CEB" w:rsidRPr="005676E4" w:rsidRDefault="00936CEB" w:rsidP="005676E4">
      <w:pPr>
        <w:pStyle w:val="NIEARTTEKSTtekstnieartykuowanynppodstprawnarozplubpreambua"/>
      </w:pPr>
      <w:r w:rsidRPr="005676E4">
        <w:t xml:space="preserve"> Należy podkreślić, że powyższe wyliczenia mają </w:t>
      </w:r>
      <w:r w:rsidR="0011166D" w:rsidRPr="005676E4">
        <w:t>orientacyjny</w:t>
      </w:r>
      <w:r w:rsidRPr="005676E4">
        <w:t xml:space="preserve"> charakter. Do ich sporządzenia przyjęto wysokość wynagrodzeń i dodatków stażowych według stanu na dzień 18 lutego 2016 r. Nie uwzględniono zmian wysokości wynagrodzeń zasadniczych sędziów, których podstawę, stosownie do postanowień art. 91  § 1c u.s.p., stanowi w danym roku  przeciętne wynagrodzenie w drugim kwartale roku poprzedniego, ogłaszane  przez Prezesa Głównego Urzędu Statystycznego na podstawie art. 20 pkt 2 ustawy o emeryturach i rentach z FUS, a także wielu innych trudnych do oszacowania czynników, takich jak</w:t>
      </w:r>
      <w:r w:rsidR="0011166D" w:rsidRPr="005676E4">
        <w:t>:</w:t>
      </w:r>
      <w:r w:rsidRPr="005676E4">
        <w:t xml:space="preserve"> indywidualne decyzje o późniejszym przejściu w stan spoczynku (założono, że sędziowie przechodzić będą w stan spoczynku </w:t>
      </w:r>
      <w:r w:rsidR="0011166D" w:rsidRPr="005676E4">
        <w:t xml:space="preserve">w chwili nabycia uprawnień), </w:t>
      </w:r>
      <w:r w:rsidRPr="005676E4">
        <w:t xml:space="preserve"> śmiertelność sędziów</w:t>
      </w:r>
      <w:r w:rsidR="0011166D" w:rsidRPr="005676E4">
        <w:t xml:space="preserve">, czy też  </w:t>
      </w:r>
      <w:r w:rsidRPr="005676E4">
        <w:t>przeciętny wiek „wejścia do zawodu” sędziego</w:t>
      </w:r>
      <w:r w:rsidR="0011166D" w:rsidRPr="005676E4">
        <w:t xml:space="preserve">, który </w:t>
      </w:r>
      <w:r w:rsidRPr="005676E4">
        <w:t xml:space="preserve"> w ostatnich latach znacząco wzrósł. W 2016 r. przeciętny wiek powołanego sędziego wynosił </w:t>
      </w:r>
      <w:r w:rsidR="009F046A" w:rsidRPr="005676E4">
        <w:t xml:space="preserve">ok. </w:t>
      </w:r>
      <w:r w:rsidRPr="005676E4">
        <w:t>36</w:t>
      </w:r>
      <w:r w:rsidR="009F046A" w:rsidRPr="005676E4">
        <w:t xml:space="preserve"> lat</w:t>
      </w:r>
      <w:r w:rsidR="0011166D" w:rsidRPr="005676E4">
        <w:t xml:space="preserve">, zaś w 2012 roku wynosił </w:t>
      </w:r>
      <w:r w:rsidR="009F046A" w:rsidRPr="005676E4">
        <w:t xml:space="preserve">ok. </w:t>
      </w:r>
      <w:r w:rsidR="0011166D" w:rsidRPr="005676E4">
        <w:t>3</w:t>
      </w:r>
      <w:r w:rsidR="009F046A" w:rsidRPr="005676E4">
        <w:t>3 lat</w:t>
      </w:r>
      <w:r w:rsidRPr="005676E4">
        <w:t>.</w:t>
      </w:r>
    </w:p>
    <w:p w:rsidR="00936CEB" w:rsidRPr="005676E4" w:rsidRDefault="00936CEB" w:rsidP="005676E4">
      <w:pPr>
        <w:pStyle w:val="NIEARTTEKSTtekstnieartykuowanynppodstprawnarozplubpreambua"/>
      </w:pPr>
      <w:r w:rsidRPr="005676E4">
        <w:t>Potencjalne skutki finansowe wprowadzenia instytucji urlopu rehabilitacyjnego zależeć będą od praktyki jego stosowania. Z jednej strony sędzia</w:t>
      </w:r>
      <w:r w:rsidR="0089039F" w:rsidRPr="005676E4">
        <w:t xml:space="preserve"> – </w:t>
      </w:r>
      <w:r w:rsidRPr="005676E4">
        <w:t>w przypadku przejścia w stan spoczynku z powodu choroby lub utraty sił, skutkujących trwałą niezdolnością do pełnienia obowiązków orzeczniczych, którą to okoliczność stwierdza lekarz orzecznik Zakładu Ubezpieczeń Społecznych (art. 70 § 1 u.s.p.) lub na wniosek kolegium właściwego sądu, jeżeli z powodu choroby lub płatnego urlopu dla poratowania zdrowia nie pełnił służby przez okres roku, przy czym do okresu tego wlicza się okresy poprzedniej przerwy w pełnieniu służby z powodu choroby lub płatnego urlopu dla poratowania zdrowia, jeżeli okres czynnej służby nie przekroc</w:t>
      </w:r>
      <w:r w:rsidR="0089039F" w:rsidRPr="005676E4">
        <w:t>zył 30 dni (art. 71 § 1 u.s.p.) –</w:t>
      </w:r>
      <w:r w:rsidRPr="005676E4">
        <w:t xml:space="preserve"> otrzymuje uposażenie w wysokości 75% wynagrodzenia zasadniczego i dodatku za wysługę lat pobieranych na ostatnio zajmowanym stanowisku.</w:t>
      </w:r>
      <w:r w:rsidR="005676E4">
        <w:t xml:space="preserve"> </w:t>
      </w:r>
      <w:r w:rsidRPr="005676E4">
        <w:t>Z tytułu urlopu rehabilitacyjnego zgodnie z projektem, sędzia otrzymywać ma 75% wynagrodzenia</w:t>
      </w:r>
      <w:r w:rsidR="005676E4">
        <w:t xml:space="preserve"> </w:t>
      </w:r>
      <w:r w:rsidRPr="005676E4">
        <w:t>(projektowany art. </w:t>
      </w:r>
      <w:r w:rsidR="005676E4">
        <w:t>71a § 4).</w:t>
      </w:r>
      <w:r w:rsidRPr="005676E4">
        <w:t xml:space="preserve"> Z drugiej strony należy zauważyć że uposażenie tzw. spoczynkowe sędziego, podwyższa się stosownie do zmian wysokości wynagrodzeń zasadniczych sędziów czynnych zawodowo (art. 100 § 3).</w:t>
      </w:r>
    </w:p>
    <w:p w:rsidR="00B760EE" w:rsidRPr="005676E4" w:rsidRDefault="00936CEB" w:rsidP="005676E4">
      <w:pPr>
        <w:pStyle w:val="NIEARTTEKSTtekstnieartykuowanynppodstprawnarozplubpreambua"/>
      </w:pPr>
      <w:r w:rsidRPr="005676E4">
        <w:t>W przypadku gdy sędzia po urlopie rehabilitacyjn</w:t>
      </w:r>
      <w:r w:rsidR="005676E4">
        <w:t>ym odzyska sprawność do pracy i </w:t>
      </w:r>
      <w:r w:rsidRPr="005676E4">
        <w:t xml:space="preserve">wróci na poprzednio zajmowane stanowisko służbowe, będzie mógł kontynuować swoją służbę co jest niewątpliwie korzystne z punktu widzenia wymiaru sprawiedliwości (zważywszy, że poważne problemy zdrowotne dotykają przeważnie doświadczonych sędziów). Jednocześnie, w czasie dalszego trwania służby, wynagrodzenie zasadnicze </w:t>
      </w:r>
      <w:r w:rsidRPr="005676E4">
        <w:lastRenderedPageBreak/>
        <w:t>sędziego wzrasta stosownie do zapisów art. 91 u.s.p. tj. stosownie do wzrostu przeciętnego wynagrodzenia w drugim kwartale roku poprzedniego, wzrostu dodatku za długoletnią pracę. Ze wzrostem stażu pracy na stanowisku sędziego wiążą się również inne świadczenia w tym, np. nagrody jubileuszowe, jak również wzrost podstawy wyliczenia świadczenia „spoczynkowego”. Sędziemu przechodzącemu w stan spoczynku przysługuje również  jednorazowa odprawa w wysokości sześciomiesięcznego wynagrodzenia art. 100 § 4 u.s.p.). Z punktu widzenia sędziego, który jest długotrwale chory, jednak istnieją przesłanki pozwalające stwierdzić możliwość odzyskania zdolności do pracy może być to zatem korzystne rozwiązanie nie powodujące jednak istotnych skutków finansowych dla budżetu sądownictwa, jak również pozostające z korzyścią dla samego wymiaru sprawiedliwości.</w:t>
      </w:r>
    </w:p>
    <w:p w:rsidR="00B760EE" w:rsidRPr="005676E4" w:rsidRDefault="00B760EE" w:rsidP="005676E4">
      <w:pPr>
        <w:pStyle w:val="NIEARTTEKSTtekstnieartykuowanynppodstprawnarozplubpreambua"/>
      </w:pPr>
      <w:r w:rsidRPr="005676E4">
        <w:t>Projekt ustawy wywołuje pozytywne skutki społ</w:t>
      </w:r>
      <w:r w:rsidR="005676E4">
        <w:t>eczne, gospodarcze, finansowe i </w:t>
      </w:r>
      <w:r w:rsidRPr="005676E4">
        <w:t>prawne.</w:t>
      </w:r>
    </w:p>
    <w:p w:rsidR="00E23B63" w:rsidRPr="005676E4" w:rsidRDefault="00B760EE" w:rsidP="005676E4">
      <w:pPr>
        <w:pStyle w:val="NIEARTTEKSTtekstnieartykuowanynppodstprawnarozplubpreambua"/>
      </w:pPr>
      <w:r w:rsidRPr="005676E4">
        <w:t>Przedmiot projektowanej regulacji nie jest objęty prawem Unii Europejskiej.</w:t>
      </w:r>
    </w:p>
    <w:sectPr w:rsidR="00E23B63" w:rsidRPr="005676E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B7F" w:rsidRDefault="00CD3B7F" w:rsidP="0089342D">
      <w:pPr>
        <w:spacing w:after="0" w:line="240" w:lineRule="auto"/>
      </w:pPr>
      <w:r>
        <w:separator/>
      </w:r>
    </w:p>
  </w:endnote>
  <w:endnote w:type="continuationSeparator" w:id="0">
    <w:p w:rsidR="00CD3B7F" w:rsidRDefault="00CD3B7F" w:rsidP="00893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B7F" w:rsidRDefault="00CD3B7F" w:rsidP="0089342D">
      <w:pPr>
        <w:spacing w:after="0" w:line="240" w:lineRule="auto"/>
      </w:pPr>
      <w:r>
        <w:separator/>
      </w:r>
    </w:p>
  </w:footnote>
  <w:footnote w:type="continuationSeparator" w:id="0">
    <w:p w:rsidR="00CD3B7F" w:rsidRDefault="00CD3B7F" w:rsidP="008934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2E30E9" w:rsidP="00B371CC">
    <w:pPr>
      <w:pStyle w:val="Nagwek"/>
      <w:jc w:val="center"/>
    </w:pPr>
    <w:r>
      <w:t xml:space="preserve">– </w:t>
    </w:r>
    <w:r>
      <w:fldChar w:fldCharType="begin"/>
    </w:r>
    <w:r>
      <w:instrText xml:space="preserve"> PAGE  \* MERGEFORMAT </w:instrText>
    </w:r>
    <w:r>
      <w:fldChar w:fldCharType="separate"/>
    </w:r>
    <w:r w:rsidR="00367BBD">
      <w:rPr>
        <w:noProof/>
      </w:rPr>
      <w:t>38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D4508"/>
    <w:multiLevelType w:val="hybridMultilevel"/>
    <w:tmpl w:val="F822D30A"/>
    <w:lvl w:ilvl="0" w:tplc="7A0C98FA">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4CE"/>
    <w:rsid w:val="00003687"/>
    <w:rsid w:val="000128CD"/>
    <w:rsid w:val="00014DF6"/>
    <w:rsid w:val="0004666C"/>
    <w:rsid w:val="00073056"/>
    <w:rsid w:val="00073567"/>
    <w:rsid w:val="0011166D"/>
    <w:rsid w:val="002E30E9"/>
    <w:rsid w:val="002E5817"/>
    <w:rsid w:val="002E6F82"/>
    <w:rsid w:val="00317F89"/>
    <w:rsid w:val="00353AA2"/>
    <w:rsid w:val="00367BBD"/>
    <w:rsid w:val="00375CF1"/>
    <w:rsid w:val="00377AA7"/>
    <w:rsid w:val="003A5C2D"/>
    <w:rsid w:val="003D7C17"/>
    <w:rsid w:val="0040410F"/>
    <w:rsid w:val="0041191A"/>
    <w:rsid w:val="004226B4"/>
    <w:rsid w:val="004545CE"/>
    <w:rsid w:val="00465F32"/>
    <w:rsid w:val="004D04C1"/>
    <w:rsid w:val="00551403"/>
    <w:rsid w:val="005676E4"/>
    <w:rsid w:val="005F04CE"/>
    <w:rsid w:val="00662D86"/>
    <w:rsid w:val="00683232"/>
    <w:rsid w:val="00690196"/>
    <w:rsid w:val="006C08A7"/>
    <w:rsid w:val="006D3279"/>
    <w:rsid w:val="0070425F"/>
    <w:rsid w:val="007214E0"/>
    <w:rsid w:val="00736F33"/>
    <w:rsid w:val="007B27B1"/>
    <w:rsid w:val="008023C1"/>
    <w:rsid w:val="0089039F"/>
    <w:rsid w:val="0089342D"/>
    <w:rsid w:val="00894CA5"/>
    <w:rsid w:val="008C1485"/>
    <w:rsid w:val="008E39A9"/>
    <w:rsid w:val="00935411"/>
    <w:rsid w:val="009361FE"/>
    <w:rsid w:val="00936CEB"/>
    <w:rsid w:val="0093731B"/>
    <w:rsid w:val="009A5AF5"/>
    <w:rsid w:val="009E511D"/>
    <w:rsid w:val="009E6312"/>
    <w:rsid w:val="009F046A"/>
    <w:rsid w:val="00A30EED"/>
    <w:rsid w:val="00AD1BFB"/>
    <w:rsid w:val="00B36CB0"/>
    <w:rsid w:val="00B552F5"/>
    <w:rsid w:val="00B760EE"/>
    <w:rsid w:val="00BB20D0"/>
    <w:rsid w:val="00BC76D9"/>
    <w:rsid w:val="00BE4DF7"/>
    <w:rsid w:val="00C11555"/>
    <w:rsid w:val="00C42ED9"/>
    <w:rsid w:val="00C63A9A"/>
    <w:rsid w:val="00CD3B7F"/>
    <w:rsid w:val="00D25D18"/>
    <w:rsid w:val="00D30826"/>
    <w:rsid w:val="00D71766"/>
    <w:rsid w:val="00DA36AE"/>
    <w:rsid w:val="00DB12D7"/>
    <w:rsid w:val="00E23B63"/>
    <w:rsid w:val="00E84755"/>
    <w:rsid w:val="00EC0C2F"/>
    <w:rsid w:val="00F34656"/>
    <w:rsid w:val="00F749CA"/>
    <w:rsid w:val="00F84F35"/>
    <w:rsid w:val="00F971E3"/>
    <w:rsid w:val="00FC4C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F04CE"/>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5F04CE"/>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5F04CE"/>
  </w:style>
  <w:style w:type="paragraph" w:styleId="Akapitzlist">
    <w:name w:val="List Paragraph"/>
    <w:basedOn w:val="Normalny"/>
    <w:uiPriority w:val="34"/>
    <w:qFormat/>
    <w:rsid w:val="005F04CE"/>
    <w:pPr>
      <w:ind w:left="720"/>
      <w:contextualSpacing/>
    </w:pPr>
  </w:style>
  <w:style w:type="paragraph" w:styleId="Tekstprzypisudolnego">
    <w:name w:val="footnote text"/>
    <w:basedOn w:val="Normalny"/>
    <w:link w:val="TekstprzypisudolnegoZnak"/>
    <w:semiHidden/>
    <w:rsid w:val="0089342D"/>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89342D"/>
    <w:rPr>
      <w:rFonts w:ascii="Times New Roman" w:eastAsia="Times New Roman" w:hAnsi="Times New Roman" w:cs="Times New Roman"/>
      <w:sz w:val="20"/>
      <w:szCs w:val="20"/>
      <w:lang w:eastAsia="pl-PL"/>
    </w:rPr>
  </w:style>
  <w:style w:type="character" w:styleId="Odwoanieprzypisudolnego">
    <w:name w:val="footnote reference"/>
    <w:semiHidden/>
    <w:rsid w:val="0089342D"/>
    <w:rPr>
      <w:vertAlign w:val="superscript"/>
    </w:rPr>
  </w:style>
  <w:style w:type="paragraph" w:styleId="Tekstdymka">
    <w:name w:val="Balloon Text"/>
    <w:basedOn w:val="Normalny"/>
    <w:link w:val="TekstdymkaZnak"/>
    <w:uiPriority w:val="99"/>
    <w:semiHidden/>
    <w:unhideWhenUsed/>
    <w:rsid w:val="00F749C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49CA"/>
    <w:rPr>
      <w:rFonts w:ascii="Tahoma" w:hAnsi="Tahoma" w:cs="Tahoma"/>
      <w:sz w:val="16"/>
      <w:szCs w:val="16"/>
    </w:rPr>
  </w:style>
  <w:style w:type="paragraph" w:customStyle="1" w:styleId="NIEARTTEKSTtekstnieartykuowanynppodstprawnarozplubpreambua">
    <w:name w:val="NIEART_TEKST – tekst nieartykułowany (np. podst. prawna rozp. lub preambuła)"/>
    <w:basedOn w:val="Normalny"/>
    <w:next w:val="Normalny"/>
    <w:uiPriority w:val="7"/>
    <w:qFormat/>
    <w:rsid w:val="00E23B63"/>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F04CE"/>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5F04CE"/>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5F04CE"/>
  </w:style>
  <w:style w:type="paragraph" w:styleId="Akapitzlist">
    <w:name w:val="List Paragraph"/>
    <w:basedOn w:val="Normalny"/>
    <w:uiPriority w:val="34"/>
    <w:qFormat/>
    <w:rsid w:val="005F04CE"/>
    <w:pPr>
      <w:ind w:left="720"/>
      <w:contextualSpacing/>
    </w:pPr>
  </w:style>
  <w:style w:type="paragraph" w:styleId="Tekstprzypisudolnego">
    <w:name w:val="footnote text"/>
    <w:basedOn w:val="Normalny"/>
    <w:link w:val="TekstprzypisudolnegoZnak"/>
    <w:semiHidden/>
    <w:rsid w:val="0089342D"/>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89342D"/>
    <w:rPr>
      <w:rFonts w:ascii="Times New Roman" w:eastAsia="Times New Roman" w:hAnsi="Times New Roman" w:cs="Times New Roman"/>
      <w:sz w:val="20"/>
      <w:szCs w:val="20"/>
      <w:lang w:eastAsia="pl-PL"/>
    </w:rPr>
  </w:style>
  <w:style w:type="character" w:styleId="Odwoanieprzypisudolnego">
    <w:name w:val="footnote reference"/>
    <w:semiHidden/>
    <w:rsid w:val="0089342D"/>
    <w:rPr>
      <w:vertAlign w:val="superscript"/>
    </w:rPr>
  </w:style>
  <w:style w:type="paragraph" w:styleId="Tekstdymka">
    <w:name w:val="Balloon Text"/>
    <w:basedOn w:val="Normalny"/>
    <w:link w:val="TekstdymkaZnak"/>
    <w:uiPriority w:val="99"/>
    <w:semiHidden/>
    <w:unhideWhenUsed/>
    <w:rsid w:val="00F749C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49CA"/>
    <w:rPr>
      <w:rFonts w:ascii="Tahoma" w:hAnsi="Tahoma" w:cs="Tahoma"/>
      <w:sz w:val="16"/>
      <w:szCs w:val="16"/>
    </w:rPr>
  </w:style>
  <w:style w:type="paragraph" w:customStyle="1" w:styleId="NIEARTTEKSTtekstnieartykuowanynppodstprawnarozplubpreambua">
    <w:name w:val="NIEART_TEKST – tekst nieartykułowany (np. podst. prawna rozp. lub preambuła)"/>
    <w:basedOn w:val="Normalny"/>
    <w:next w:val="Normalny"/>
    <w:uiPriority w:val="7"/>
    <w:qFormat/>
    <w:rsid w:val="00E23B63"/>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534113">
      <w:bodyDiv w:val="1"/>
      <w:marLeft w:val="0"/>
      <w:marRight w:val="0"/>
      <w:marTop w:val="0"/>
      <w:marBottom w:val="0"/>
      <w:divBdr>
        <w:top w:val="none" w:sz="0" w:space="0" w:color="auto"/>
        <w:left w:val="none" w:sz="0" w:space="0" w:color="auto"/>
        <w:bottom w:val="none" w:sz="0" w:space="0" w:color="auto"/>
        <w:right w:val="none" w:sz="0" w:space="0" w:color="auto"/>
      </w:divBdr>
    </w:div>
    <w:div w:id="592082231">
      <w:bodyDiv w:val="1"/>
      <w:marLeft w:val="0"/>
      <w:marRight w:val="0"/>
      <w:marTop w:val="0"/>
      <w:marBottom w:val="0"/>
      <w:divBdr>
        <w:top w:val="none" w:sz="0" w:space="0" w:color="auto"/>
        <w:left w:val="none" w:sz="0" w:space="0" w:color="auto"/>
        <w:bottom w:val="none" w:sz="0" w:space="0" w:color="auto"/>
        <w:right w:val="none" w:sz="0" w:space="0" w:color="auto"/>
      </w:divBdr>
    </w:div>
    <w:div w:id="664819066">
      <w:bodyDiv w:val="1"/>
      <w:marLeft w:val="0"/>
      <w:marRight w:val="0"/>
      <w:marTop w:val="0"/>
      <w:marBottom w:val="0"/>
      <w:divBdr>
        <w:top w:val="none" w:sz="0" w:space="0" w:color="auto"/>
        <w:left w:val="none" w:sz="0" w:space="0" w:color="auto"/>
        <w:bottom w:val="none" w:sz="0" w:space="0" w:color="auto"/>
        <w:right w:val="none" w:sz="0" w:space="0" w:color="auto"/>
      </w:divBdr>
    </w:div>
    <w:div w:id="1574315727">
      <w:bodyDiv w:val="1"/>
      <w:marLeft w:val="0"/>
      <w:marRight w:val="0"/>
      <w:marTop w:val="0"/>
      <w:marBottom w:val="0"/>
      <w:divBdr>
        <w:top w:val="none" w:sz="0" w:space="0" w:color="auto"/>
        <w:left w:val="none" w:sz="0" w:space="0" w:color="auto"/>
        <w:bottom w:val="none" w:sz="0" w:space="0" w:color="auto"/>
        <w:right w:val="none" w:sz="0" w:space="0" w:color="auto"/>
      </w:divBdr>
      <w:divsChild>
        <w:div w:id="1012992460">
          <w:marLeft w:val="0"/>
          <w:marRight w:val="0"/>
          <w:marTop w:val="0"/>
          <w:marBottom w:val="0"/>
          <w:divBdr>
            <w:top w:val="none" w:sz="0" w:space="0" w:color="auto"/>
            <w:left w:val="none" w:sz="0" w:space="0" w:color="auto"/>
            <w:bottom w:val="none" w:sz="0" w:space="0" w:color="auto"/>
            <w:right w:val="none" w:sz="0" w:space="0" w:color="auto"/>
          </w:divBdr>
        </w:div>
      </w:divsChild>
    </w:div>
    <w:div w:id="1864054966">
      <w:bodyDiv w:val="1"/>
      <w:marLeft w:val="0"/>
      <w:marRight w:val="0"/>
      <w:marTop w:val="0"/>
      <w:marBottom w:val="0"/>
      <w:divBdr>
        <w:top w:val="none" w:sz="0" w:space="0" w:color="auto"/>
        <w:left w:val="none" w:sz="0" w:space="0" w:color="auto"/>
        <w:bottom w:val="none" w:sz="0" w:space="0" w:color="auto"/>
        <w:right w:val="none" w:sz="0" w:space="0" w:color="auto"/>
      </w:divBdr>
      <w:divsChild>
        <w:div w:id="2132818137">
          <w:marLeft w:val="0"/>
          <w:marRight w:val="0"/>
          <w:marTop w:val="0"/>
          <w:marBottom w:val="0"/>
          <w:divBdr>
            <w:top w:val="none" w:sz="0" w:space="0" w:color="auto"/>
            <w:left w:val="none" w:sz="0" w:space="0" w:color="auto"/>
            <w:bottom w:val="none" w:sz="0" w:space="0" w:color="auto"/>
            <w:right w:val="none" w:sz="0" w:space="0" w:color="auto"/>
          </w:divBdr>
        </w:div>
      </w:divsChild>
    </w:div>
    <w:div w:id="1887721702">
      <w:bodyDiv w:val="1"/>
      <w:marLeft w:val="0"/>
      <w:marRight w:val="0"/>
      <w:marTop w:val="0"/>
      <w:marBottom w:val="0"/>
      <w:divBdr>
        <w:top w:val="none" w:sz="0" w:space="0" w:color="auto"/>
        <w:left w:val="none" w:sz="0" w:space="0" w:color="auto"/>
        <w:bottom w:val="none" w:sz="0" w:space="0" w:color="auto"/>
        <w:right w:val="none" w:sz="0" w:space="0" w:color="auto"/>
      </w:divBdr>
    </w:div>
    <w:div w:id="2044286191">
      <w:bodyDiv w:val="1"/>
      <w:marLeft w:val="0"/>
      <w:marRight w:val="0"/>
      <w:marTop w:val="0"/>
      <w:marBottom w:val="0"/>
      <w:divBdr>
        <w:top w:val="none" w:sz="0" w:space="0" w:color="auto"/>
        <w:left w:val="none" w:sz="0" w:space="0" w:color="auto"/>
        <w:bottom w:val="none" w:sz="0" w:space="0" w:color="auto"/>
        <w:right w:val="none" w:sz="0" w:space="0" w:color="auto"/>
      </w:divBdr>
      <w:divsChild>
        <w:div w:id="829252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D81F8-B32F-4601-A074-895C35F8E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12919</Words>
  <Characters>77514</Characters>
  <Application>Microsoft Office Word</Application>
  <DocSecurity>0</DocSecurity>
  <Lines>645</Lines>
  <Paragraphs>180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2017-04-03T11:48:00Z</cp:lastPrinted>
  <dcterms:created xsi:type="dcterms:W3CDTF">2017-04-19T18:56:00Z</dcterms:created>
  <dcterms:modified xsi:type="dcterms:W3CDTF">2017-04-19T18:56:00Z</dcterms:modified>
</cp:coreProperties>
</file>