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6CCE" w:rsidRPr="009446E1" w:rsidRDefault="00A16CCE" w:rsidP="00A16CCE">
      <w:pPr>
        <w:spacing w:after="0" w:line="240" w:lineRule="auto"/>
        <w:jc w:val="right"/>
        <w:rPr>
          <w:rFonts w:ascii="Tahoma" w:eastAsia="Times New Roman" w:hAnsi="Tahoma" w:cs="Tahoma"/>
          <w:color w:val="000000"/>
          <w:sz w:val="24"/>
          <w:szCs w:val="24"/>
          <w:lang w:eastAsia="pl-PL"/>
        </w:rPr>
      </w:pPr>
      <w:bookmarkStart w:id="0" w:name="_GoBack"/>
      <w:bookmarkEnd w:id="0"/>
      <w:r w:rsidRPr="009446E1">
        <w:rPr>
          <w:rFonts w:ascii="Tahoma" w:eastAsia="Times New Roman" w:hAnsi="Tahoma" w:cs="Tahoma"/>
          <w:color w:val="000000"/>
          <w:sz w:val="24"/>
          <w:szCs w:val="24"/>
          <w:lang w:eastAsia="pl-PL"/>
        </w:rPr>
        <w:t xml:space="preserve">Projekt </w:t>
      </w:r>
    </w:p>
    <w:tbl>
      <w:tblPr>
        <w:tblW w:w="0" w:type="auto"/>
        <w:tblCellSpacing w:w="15" w:type="dxa"/>
        <w:tblCellMar>
          <w:left w:w="0" w:type="dxa"/>
          <w:right w:w="0" w:type="dxa"/>
        </w:tblCellMar>
        <w:tblLook w:val="04A0" w:firstRow="1" w:lastRow="0" w:firstColumn="1" w:lastColumn="0" w:noHBand="0" w:noVBand="1"/>
      </w:tblPr>
      <w:tblGrid>
        <w:gridCol w:w="66"/>
      </w:tblGrid>
      <w:tr w:rsidR="00A16CCE" w:rsidRPr="009446E1" w:rsidTr="00CE48EF">
        <w:trPr>
          <w:tblCellSpacing w:w="15" w:type="dxa"/>
        </w:trPr>
        <w:tc>
          <w:tcPr>
            <w:tcW w:w="0" w:type="auto"/>
            <w:vAlign w:val="center"/>
            <w:hideMark/>
          </w:tcPr>
          <w:p w:rsidR="00A16CCE" w:rsidRPr="009446E1" w:rsidRDefault="00A16CCE" w:rsidP="00CE48EF">
            <w:pPr>
              <w:spacing w:after="0" w:line="240" w:lineRule="auto"/>
              <w:rPr>
                <w:rFonts w:ascii="Tahoma" w:eastAsia="Times New Roman" w:hAnsi="Tahoma" w:cs="Tahoma"/>
                <w:color w:val="000000"/>
                <w:sz w:val="24"/>
                <w:szCs w:val="24"/>
                <w:lang w:eastAsia="pl-PL"/>
              </w:rPr>
            </w:pPr>
          </w:p>
        </w:tc>
      </w:tr>
    </w:tbl>
    <w:p w:rsidR="00A16CCE" w:rsidRPr="009446E1" w:rsidRDefault="00A16CCE" w:rsidP="00D80577">
      <w:pPr>
        <w:spacing w:after="120" w:line="240" w:lineRule="auto"/>
        <w:jc w:val="center"/>
        <w:rPr>
          <w:rFonts w:ascii="Tahoma" w:eastAsia="Times New Roman" w:hAnsi="Tahoma" w:cs="Tahoma"/>
          <w:b/>
          <w:bCs/>
          <w:color w:val="000000"/>
          <w:sz w:val="24"/>
          <w:szCs w:val="24"/>
          <w:lang w:eastAsia="pl-PL"/>
        </w:rPr>
      </w:pPr>
    </w:p>
    <w:p w:rsidR="00A16CCE" w:rsidRPr="009446E1" w:rsidRDefault="00A16CCE" w:rsidP="009446E1">
      <w:pPr>
        <w:spacing w:after="120" w:line="360" w:lineRule="auto"/>
        <w:jc w:val="center"/>
        <w:rPr>
          <w:rFonts w:ascii="Tahoma" w:eastAsia="Times New Roman" w:hAnsi="Tahoma" w:cs="Tahoma"/>
          <w:b/>
          <w:bCs/>
          <w:color w:val="000000"/>
          <w:sz w:val="24"/>
          <w:szCs w:val="24"/>
          <w:lang w:eastAsia="pl-PL"/>
        </w:rPr>
      </w:pPr>
      <w:r w:rsidRPr="009446E1">
        <w:rPr>
          <w:rFonts w:ascii="Tahoma" w:eastAsia="Times New Roman" w:hAnsi="Tahoma" w:cs="Tahoma"/>
          <w:b/>
          <w:bCs/>
          <w:color w:val="000000"/>
          <w:sz w:val="24"/>
          <w:szCs w:val="24"/>
          <w:lang w:eastAsia="pl-PL"/>
        </w:rPr>
        <w:t>USTAWA</w:t>
      </w:r>
    </w:p>
    <w:p w:rsidR="00A16CCE" w:rsidRPr="009446E1" w:rsidRDefault="00A16CCE" w:rsidP="009446E1">
      <w:pPr>
        <w:spacing w:after="120" w:line="360" w:lineRule="auto"/>
        <w:jc w:val="center"/>
        <w:rPr>
          <w:rFonts w:ascii="Tahoma" w:eastAsia="Times New Roman" w:hAnsi="Tahoma" w:cs="Tahoma"/>
          <w:b/>
          <w:bCs/>
          <w:color w:val="000000"/>
          <w:sz w:val="24"/>
          <w:szCs w:val="24"/>
          <w:lang w:eastAsia="pl-PL"/>
        </w:rPr>
      </w:pPr>
      <w:r w:rsidRPr="009446E1">
        <w:rPr>
          <w:rFonts w:ascii="Tahoma" w:eastAsia="Times New Roman" w:hAnsi="Tahoma" w:cs="Tahoma"/>
          <w:b/>
          <w:bCs/>
          <w:color w:val="000000"/>
          <w:sz w:val="24"/>
          <w:szCs w:val="24"/>
          <w:lang w:eastAsia="pl-PL"/>
        </w:rPr>
        <w:t>z dnia</w:t>
      </w:r>
      <w:r w:rsidR="00D80577" w:rsidRPr="009446E1">
        <w:rPr>
          <w:rFonts w:ascii="Tahoma" w:eastAsia="Times New Roman" w:hAnsi="Tahoma" w:cs="Tahoma"/>
          <w:b/>
          <w:bCs/>
          <w:color w:val="000000"/>
          <w:sz w:val="24"/>
          <w:szCs w:val="24"/>
          <w:lang w:eastAsia="pl-PL"/>
        </w:rPr>
        <w:t xml:space="preserve"> …</w:t>
      </w:r>
      <w:r w:rsidRPr="009446E1">
        <w:rPr>
          <w:rFonts w:ascii="Tahoma" w:eastAsia="Times New Roman" w:hAnsi="Tahoma" w:cs="Tahoma"/>
          <w:b/>
          <w:bCs/>
          <w:color w:val="000000"/>
          <w:sz w:val="24"/>
          <w:szCs w:val="24"/>
          <w:lang w:eastAsia="pl-PL"/>
        </w:rPr>
        <w:t>…</w:t>
      </w:r>
      <w:r w:rsidR="00D80577" w:rsidRPr="009446E1">
        <w:rPr>
          <w:rFonts w:ascii="Tahoma" w:eastAsia="Times New Roman" w:hAnsi="Tahoma" w:cs="Tahoma"/>
          <w:b/>
          <w:bCs/>
          <w:color w:val="000000"/>
          <w:sz w:val="24"/>
          <w:szCs w:val="24"/>
          <w:lang w:eastAsia="pl-PL"/>
        </w:rPr>
        <w:t>…</w:t>
      </w:r>
      <w:r w:rsidR="009446E1">
        <w:rPr>
          <w:rFonts w:ascii="Tahoma" w:eastAsia="Times New Roman" w:hAnsi="Tahoma" w:cs="Tahoma"/>
          <w:b/>
          <w:bCs/>
          <w:color w:val="000000"/>
          <w:sz w:val="24"/>
          <w:szCs w:val="24"/>
          <w:lang w:eastAsia="pl-PL"/>
        </w:rPr>
        <w:t>….</w:t>
      </w:r>
      <w:r w:rsidR="00D80577" w:rsidRPr="009446E1">
        <w:rPr>
          <w:rFonts w:ascii="Tahoma" w:eastAsia="Times New Roman" w:hAnsi="Tahoma" w:cs="Tahoma"/>
          <w:b/>
          <w:bCs/>
          <w:color w:val="000000"/>
          <w:sz w:val="24"/>
          <w:szCs w:val="24"/>
          <w:lang w:eastAsia="pl-PL"/>
        </w:rPr>
        <w:t xml:space="preserve">.. 2017 r. </w:t>
      </w:r>
    </w:p>
    <w:p w:rsidR="00A16CCE" w:rsidRPr="009446E1" w:rsidRDefault="00A16CCE" w:rsidP="00D80577">
      <w:pPr>
        <w:spacing w:after="120" w:line="360" w:lineRule="auto"/>
        <w:jc w:val="center"/>
        <w:rPr>
          <w:rFonts w:ascii="Tahoma" w:eastAsia="Times New Roman" w:hAnsi="Tahoma" w:cs="Tahoma"/>
          <w:b/>
          <w:color w:val="000000"/>
          <w:sz w:val="24"/>
          <w:szCs w:val="24"/>
          <w:lang w:eastAsia="pl-PL"/>
        </w:rPr>
      </w:pPr>
      <w:r w:rsidRPr="009446E1">
        <w:rPr>
          <w:rFonts w:ascii="Tahoma" w:eastAsia="Times New Roman" w:hAnsi="Tahoma" w:cs="Tahoma"/>
          <w:b/>
          <w:bCs/>
          <w:color w:val="000000"/>
          <w:sz w:val="24"/>
          <w:szCs w:val="24"/>
          <w:lang w:eastAsia="pl-PL"/>
        </w:rPr>
        <w:t>o zmianie ustawy Kodeks postępowania administracyjnego</w:t>
      </w:r>
    </w:p>
    <w:p w:rsidR="00A16CCE" w:rsidRPr="009446E1" w:rsidRDefault="00A16CCE" w:rsidP="00D80577">
      <w:pPr>
        <w:spacing w:after="120" w:line="360" w:lineRule="auto"/>
        <w:jc w:val="both"/>
        <w:rPr>
          <w:rFonts w:ascii="Tahoma" w:eastAsia="Times New Roman" w:hAnsi="Tahoma" w:cs="Tahoma"/>
          <w:color w:val="000000"/>
          <w:sz w:val="24"/>
          <w:szCs w:val="24"/>
          <w:lang w:eastAsia="pl-PL"/>
        </w:rPr>
      </w:pPr>
    </w:p>
    <w:p w:rsidR="00A16CCE" w:rsidRPr="009446E1" w:rsidRDefault="00A16CCE" w:rsidP="00D80577">
      <w:pPr>
        <w:spacing w:after="120" w:line="360" w:lineRule="auto"/>
        <w:ind w:firstLine="567"/>
        <w:jc w:val="both"/>
        <w:rPr>
          <w:rFonts w:ascii="Tahoma" w:eastAsia="Times New Roman" w:hAnsi="Tahoma" w:cs="Tahoma"/>
          <w:color w:val="000000"/>
          <w:sz w:val="24"/>
          <w:szCs w:val="24"/>
          <w:lang w:eastAsia="pl-PL"/>
        </w:rPr>
      </w:pPr>
      <w:r w:rsidRPr="009446E1">
        <w:rPr>
          <w:rFonts w:ascii="Tahoma" w:eastAsia="Times New Roman" w:hAnsi="Tahoma" w:cs="Tahoma"/>
          <w:b/>
          <w:bCs/>
          <w:color w:val="000000"/>
          <w:sz w:val="24"/>
          <w:szCs w:val="24"/>
          <w:lang w:eastAsia="pl-PL"/>
        </w:rPr>
        <w:t>Art. 1.</w:t>
      </w:r>
      <w:r w:rsidRPr="009446E1">
        <w:rPr>
          <w:rFonts w:ascii="Tahoma" w:eastAsia="Times New Roman" w:hAnsi="Tahoma" w:cs="Tahoma"/>
          <w:bCs/>
          <w:color w:val="000000"/>
          <w:sz w:val="24"/>
          <w:szCs w:val="24"/>
          <w:lang w:eastAsia="pl-PL"/>
        </w:rPr>
        <w:t xml:space="preserve"> W ustawie </w:t>
      </w:r>
      <w:r w:rsidRPr="009446E1">
        <w:rPr>
          <w:rFonts w:ascii="Tahoma" w:eastAsia="Times New Roman" w:hAnsi="Tahoma" w:cs="Tahoma"/>
          <w:color w:val="000000"/>
          <w:sz w:val="24"/>
          <w:szCs w:val="24"/>
          <w:lang w:eastAsia="pl-PL"/>
        </w:rPr>
        <w:t>z dnia 14 czerwca 1960 r</w:t>
      </w:r>
      <w:r w:rsidR="006D1883">
        <w:rPr>
          <w:rFonts w:ascii="Tahoma" w:eastAsia="Times New Roman" w:hAnsi="Tahoma" w:cs="Tahoma"/>
          <w:color w:val="000000"/>
          <w:sz w:val="24"/>
          <w:szCs w:val="24"/>
          <w:lang w:eastAsia="pl-PL"/>
        </w:rPr>
        <w:t>.</w:t>
      </w:r>
      <w:r w:rsidRPr="009446E1">
        <w:rPr>
          <w:rFonts w:ascii="Tahoma" w:eastAsia="Times New Roman" w:hAnsi="Tahoma" w:cs="Tahoma"/>
          <w:color w:val="000000"/>
          <w:sz w:val="24"/>
          <w:szCs w:val="24"/>
          <w:lang w:eastAsia="pl-PL"/>
        </w:rPr>
        <w:t xml:space="preserve"> </w:t>
      </w:r>
      <w:r w:rsidR="006D1883">
        <w:rPr>
          <w:rFonts w:ascii="Tahoma" w:eastAsia="Times New Roman" w:hAnsi="Tahoma" w:cs="Tahoma"/>
          <w:color w:val="000000"/>
          <w:sz w:val="24"/>
          <w:szCs w:val="24"/>
          <w:lang w:eastAsia="pl-PL"/>
        </w:rPr>
        <w:t xml:space="preserve">- </w:t>
      </w:r>
      <w:r w:rsidRPr="009446E1">
        <w:rPr>
          <w:rFonts w:ascii="Tahoma" w:eastAsia="Times New Roman" w:hAnsi="Tahoma" w:cs="Tahoma"/>
          <w:color w:val="000000"/>
          <w:sz w:val="24"/>
          <w:szCs w:val="24"/>
          <w:lang w:eastAsia="pl-PL"/>
        </w:rPr>
        <w:t xml:space="preserve">Kodeks postępowania administracyjnego </w:t>
      </w:r>
      <w:r w:rsidRPr="009446E1">
        <w:rPr>
          <w:rFonts w:ascii="Tahoma" w:eastAsia="Times New Roman" w:hAnsi="Tahoma" w:cs="Tahoma"/>
          <w:bCs/>
          <w:color w:val="000000"/>
          <w:sz w:val="24"/>
          <w:szCs w:val="24"/>
          <w:lang w:eastAsia="pl-PL"/>
        </w:rPr>
        <w:t>(Dz.U. z 2016 r.</w:t>
      </w:r>
      <w:r w:rsidR="00D80577" w:rsidRPr="009446E1">
        <w:rPr>
          <w:rFonts w:ascii="Tahoma" w:eastAsia="Times New Roman" w:hAnsi="Tahoma" w:cs="Tahoma"/>
          <w:bCs/>
          <w:color w:val="000000"/>
          <w:sz w:val="24"/>
          <w:szCs w:val="24"/>
          <w:lang w:eastAsia="pl-PL"/>
        </w:rPr>
        <w:t xml:space="preserve"> poz. </w:t>
      </w:r>
      <w:r w:rsidRPr="009446E1">
        <w:rPr>
          <w:rFonts w:ascii="Tahoma" w:eastAsia="Times New Roman" w:hAnsi="Tahoma" w:cs="Tahoma"/>
          <w:bCs/>
          <w:color w:val="000000"/>
          <w:sz w:val="24"/>
          <w:szCs w:val="24"/>
          <w:lang w:eastAsia="pl-PL"/>
        </w:rPr>
        <w:t>23)</w:t>
      </w:r>
      <w:r w:rsidR="00D80577" w:rsidRPr="009446E1">
        <w:rPr>
          <w:rFonts w:ascii="Tahoma" w:eastAsia="Times New Roman" w:hAnsi="Tahoma" w:cs="Tahoma"/>
          <w:bCs/>
          <w:color w:val="000000"/>
          <w:sz w:val="24"/>
          <w:szCs w:val="24"/>
          <w:lang w:eastAsia="pl-PL"/>
        </w:rPr>
        <w:t xml:space="preserve"> w </w:t>
      </w:r>
      <w:r w:rsidRPr="009446E1">
        <w:rPr>
          <w:rFonts w:ascii="Tahoma" w:eastAsia="Times New Roman" w:hAnsi="Tahoma" w:cs="Tahoma"/>
          <w:bCs/>
          <w:color w:val="000000"/>
          <w:sz w:val="24"/>
          <w:szCs w:val="24"/>
          <w:lang w:eastAsia="pl-PL"/>
        </w:rPr>
        <w:t>art. 105</w:t>
      </w:r>
      <w:r w:rsidR="00D80577" w:rsidRPr="009446E1">
        <w:rPr>
          <w:rFonts w:ascii="Tahoma" w:eastAsia="Times New Roman" w:hAnsi="Tahoma" w:cs="Tahoma"/>
          <w:bCs/>
          <w:color w:val="000000"/>
          <w:sz w:val="24"/>
          <w:szCs w:val="24"/>
          <w:lang w:eastAsia="pl-PL"/>
        </w:rPr>
        <w:t xml:space="preserve"> po §2 </w:t>
      </w:r>
      <w:r w:rsidRPr="009446E1">
        <w:rPr>
          <w:rFonts w:ascii="Tahoma" w:hAnsi="Tahoma" w:cs="Tahoma"/>
          <w:sz w:val="24"/>
          <w:szCs w:val="24"/>
        </w:rPr>
        <w:t xml:space="preserve">dodaje się </w:t>
      </w:r>
      <w:r w:rsidR="00D80577" w:rsidRPr="009446E1">
        <w:rPr>
          <w:rFonts w:ascii="Tahoma" w:hAnsi="Tahoma" w:cs="Tahoma"/>
          <w:sz w:val="24"/>
          <w:szCs w:val="24"/>
        </w:rPr>
        <w:t>§</w:t>
      </w:r>
      <w:r w:rsidRPr="009446E1">
        <w:rPr>
          <w:rFonts w:ascii="Tahoma" w:hAnsi="Tahoma" w:cs="Tahoma"/>
          <w:sz w:val="24"/>
          <w:szCs w:val="24"/>
        </w:rPr>
        <w:t>3 w brzmieniu:</w:t>
      </w:r>
    </w:p>
    <w:p w:rsidR="00A16CCE" w:rsidRPr="009446E1" w:rsidRDefault="00A16CCE" w:rsidP="00D80577">
      <w:pPr>
        <w:spacing w:before="120" w:after="120" w:line="360" w:lineRule="auto"/>
        <w:ind w:left="1134" w:firstLine="567"/>
        <w:jc w:val="both"/>
        <w:rPr>
          <w:rFonts w:ascii="Tahoma" w:hAnsi="Tahoma" w:cs="Tahoma"/>
          <w:sz w:val="24"/>
          <w:szCs w:val="24"/>
        </w:rPr>
      </w:pPr>
      <w:r w:rsidRPr="009446E1">
        <w:rPr>
          <w:rFonts w:ascii="Tahoma" w:hAnsi="Tahoma" w:cs="Tahoma"/>
          <w:sz w:val="24"/>
          <w:szCs w:val="24"/>
        </w:rPr>
        <w:t xml:space="preserve">„§3. Organ administracji publicznej może umorzyć zawieszone postępowanie po upływie trzech lat od dnia wydania postanowienia </w:t>
      </w:r>
      <w:r w:rsidR="009446E1">
        <w:rPr>
          <w:rFonts w:ascii="Tahoma" w:hAnsi="Tahoma" w:cs="Tahoma"/>
          <w:sz w:val="24"/>
          <w:szCs w:val="24"/>
        </w:rPr>
        <w:br/>
      </w:r>
      <w:r w:rsidRPr="009446E1">
        <w:rPr>
          <w:rFonts w:ascii="Tahoma" w:hAnsi="Tahoma" w:cs="Tahoma"/>
          <w:sz w:val="24"/>
          <w:szCs w:val="24"/>
        </w:rPr>
        <w:t>o zawieszeniu postępowania z powodu śmierci strony lub jednej ze stron, śmierci przedstawiciela ustawowego strony albo utraty przez stronę lub przez jej ustawowego przedstawiciela zdolności do czynności prawnych, jeżeli nie zagraża to uzasadnionemu interesowi stron lub interesowi społecznemu.”</w:t>
      </w:r>
    </w:p>
    <w:p w:rsidR="00A16CCE" w:rsidRPr="009446E1" w:rsidRDefault="00A16CCE" w:rsidP="00D80577">
      <w:pPr>
        <w:spacing w:after="120" w:line="360" w:lineRule="auto"/>
        <w:jc w:val="both"/>
        <w:rPr>
          <w:rFonts w:ascii="Tahoma" w:hAnsi="Tahoma" w:cs="Tahoma"/>
          <w:sz w:val="24"/>
          <w:szCs w:val="24"/>
        </w:rPr>
      </w:pPr>
    </w:p>
    <w:p w:rsidR="00A16CCE" w:rsidRPr="009446E1" w:rsidRDefault="00A16CCE" w:rsidP="00D80577">
      <w:pPr>
        <w:spacing w:after="120" w:line="360" w:lineRule="auto"/>
        <w:ind w:left="426" w:firstLine="141"/>
        <w:jc w:val="both"/>
        <w:rPr>
          <w:rFonts w:ascii="Tahoma" w:hAnsi="Tahoma" w:cs="Tahoma"/>
          <w:sz w:val="24"/>
          <w:szCs w:val="24"/>
        </w:rPr>
      </w:pPr>
      <w:r w:rsidRPr="009446E1">
        <w:rPr>
          <w:rFonts w:ascii="Tahoma" w:hAnsi="Tahoma" w:cs="Tahoma"/>
          <w:b/>
          <w:sz w:val="24"/>
          <w:szCs w:val="24"/>
        </w:rPr>
        <w:t>Art. 2.</w:t>
      </w:r>
      <w:r w:rsidRPr="009446E1">
        <w:rPr>
          <w:rFonts w:ascii="Tahoma" w:hAnsi="Tahoma" w:cs="Tahoma"/>
          <w:sz w:val="24"/>
          <w:szCs w:val="24"/>
        </w:rPr>
        <w:t xml:space="preserve"> Ustawa wchodzi w życie po </w:t>
      </w:r>
      <w:r w:rsidR="00D80577" w:rsidRPr="009446E1">
        <w:rPr>
          <w:rFonts w:ascii="Tahoma" w:hAnsi="Tahoma" w:cs="Tahoma"/>
          <w:sz w:val="24"/>
          <w:szCs w:val="24"/>
        </w:rPr>
        <w:t xml:space="preserve"> upływie 14 dni od </w:t>
      </w:r>
      <w:r w:rsidRPr="009446E1">
        <w:rPr>
          <w:rFonts w:ascii="Tahoma" w:hAnsi="Tahoma" w:cs="Tahoma"/>
          <w:sz w:val="24"/>
          <w:szCs w:val="24"/>
        </w:rPr>
        <w:t>dni</w:t>
      </w:r>
      <w:r w:rsidR="00D80577" w:rsidRPr="009446E1">
        <w:rPr>
          <w:rFonts w:ascii="Tahoma" w:hAnsi="Tahoma" w:cs="Tahoma"/>
          <w:sz w:val="24"/>
          <w:szCs w:val="24"/>
        </w:rPr>
        <w:t>a</w:t>
      </w:r>
      <w:r w:rsidRPr="009446E1">
        <w:rPr>
          <w:rFonts w:ascii="Tahoma" w:hAnsi="Tahoma" w:cs="Tahoma"/>
          <w:sz w:val="24"/>
          <w:szCs w:val="24"/>
        </w:rPr>
        <w:t xml:space="preserve"> ogłoszenia. </w:t>
      </w:r>
    </w:p>
    <w:p w:rsidR="00710C76" w:rsidRPr="009446E1" w:rsidRDefault="00710C76" w:rsidP="00D80577">
      <w:pPr>
        <w:spacing w:after="120" w:line="360" w:lineRule="auto"/>
        <w:rPr>
          <w:rFonts w:ascii="Tahoma" w:hAnsi="Tahoma" w:cs="Tahoma"/>
          <w:sz w:val="24"/>
          <w:szCs w:val="24"/>
        </w:rPr>
      </w:pPr>
    </w:p>
    <w:p w:rsidR="009446E1" w:rsidRPr="009446E1" w:rsidRDefault="009446E1" w:rsidP="00D80577">
      <w:pPr>
        <w:spacing w:after="120" w:line="360" w:lineRule="auto"/>
        <w:rPr>
          <w:rFonts w:ascii="Tahoma" w:hAnsi="Tahoma" w:cs="Tahoma"/>
          <w:sz w:val="24"/>
          <w:szCs w:val="24"/>
        </w:rPr>
      </w:pPr>
    </w:p>
    <w:p w:rsidR="009446E1" w:rsidRPr="009446E1" w:rsidRDefault="009446E1" w:rsidP="00D80577">
      <w:pPr>
        <w:spacing w:after="120" w:line="360" w:lineRule="auto"/>
        <w:rPr>
          <w:rFonts w:ascii="Tahoma" w:hAnsi="Tahoma" w:cs="Tahoma"/>
          <w:sz w:val="24"/>
          <w:szCs w:val="24"/>
        </w:rPr>
      </w:pPr>
    </w:p>
    <w:p w:rsidR="009446E1" w:rsidRPr="009446E1" w:rsidRDefault="009446E1" w:rsidP="00D80577">
      <w:pPr>
        <w:spacing w:after="120" w:line="360" w:lineRule="auto"/>
        <w:rPr>
          <w:rFonts w:ascii="Tahoma" w:hAnsi="Tahoma" w:cs="Tahoma"/>
          <w:sz w:val="24"/>
          <w:szCs w:val="24"/>
        </w:rPr>
      </w:pPr>
    </w:p>
    <w:p w:rsidR="009446E1" w:rsidRPr="009446E1" w:rsidRDefault="009446E1" w:rsidP="00D80577">
      <w:pPr>
        <w:spacing w:after="120" w:line="360" w:lineRule="auto"/>
        <w:rPr>
          <w:rFonts w:ascii="Tahoma" w:hAnsi="Tahoma" w:cs="Tahoma"/>
          <w:sz w:val="24"/>
          <w:szCs w:val="24"/>
        </w:rPr>
      </w:pPr>
    </w:p>
    <w:p w:rsidR="009446E1" w:rsidRDefault="009446E1" w:rsidP="00D80577">
      <w:pPr>
        <w:spacing w:after="120" w:line="360" w:lineRule="auto"/>
        <w:rPr>
          <w:rFonts w:ascii="Tahoma" w:hAnsi="Tahoma" w:cs="Tahoma"/>
          <w:sz w:val="24"/>
          <w:szCs w:val="24"/>
        </w:rPr>
      </w:pPr>
    </w:p>
    <w:p w:rsidR="009446E1" w:rsidRDefault="009446E1" w:rsidP="00D80577">
      <w:pPr>
        <w:spacing w:after="120" w:line="360" w:lineRule="auto"/>
        <w:rPr>
          <w:rFonts w:ascii="Tahoma" w:hAnsi="Tahoma" w:cs="Tahoma"/>
          <w:sz w:val="24"/>
          <w:szCs w:val="24"/>
        </w:rPr>
      </w:pPr>
    </w:p>
    <w:p w:rsidR="009446E1" w:rsidRPr="009446E1" w:rsidRDefault="009446E1" w:rsidP="00D80577">
      <w:pPr>
        <w:spacing w:after="120" w:line="360" w:lineRule="auto"/>
        <w:rPr>
          <w:rFonts w:ascii="Tahoma" w:hAnsi="Tahoma" w:cs="Tahoma"/>
          <w:sz w:val="24"/>
          <w:szCs w:val="24"/>
        </w:rPr>
      </w:pPr>
    </w:p>
    <w:p w:rsidR="009446E1" w:rsidRPr="009446E1" w:rsidRDefault="009446E1" w:rsidP="00D80577">
      <w:pPr>
        <w:spacing w:after="120" w:line="360" w:lineRule="auto"/>
        <w:rPr>
          <w:rFonts w:ascii="Tahoma" w:hAnsi="Tahoma" w:cs="Tahoma"/>
          <w:sz w:val="24"/>
          <w:szCs w:val="24"/>
        </w:rPr>
      </w:pPr>
    </w:p>
    <w:p w:rsidR="009446E1" w:rsidRPr="009446E1" w:rsidRDefault="009446E1" w:rsidP="009446E1">
      <w:pPr>
        <w:spacing w:before="240"/>
        <w:jc w:val="center"/>
        <w:rPr>
          <w:rFonts w:ascii="Tahoma" w:eastAsia="Calibri" w:hAnsi="Tahoma" w:cs="Tahoma"/>
          <w:sz w:val="24"/>
          <w:szCs w:val="24"/>
        </w:rPr>
      </w:pPr>
      <w:r w:rsidRPr="009446E1">
        <w:rPr>
          <w:rFonts w:ascii="Tahoma" w:eastAsia="Calibri" w:hAnsi="Tahoma" w:cs="Tahoma"/>
          <w:b/>
          <w:bCs/>
          <w:sz w:val="24"/>
          <w:szCs w:val="24"/>
        </w:rPr>
        <w:lastRenderedPageBreak/>
        <w:t xml:space="preserve">UZASADNIENIE </w:t>
      </w:r>
    </w:p>
    <w:p w:rsidR="009446E1" w:rsidRPr="009446E1" w:rsidRDefault="009446E1" w:rsidP="009446E1">
      <w:pPr>
        <w:spacing w:after="0" w:line="360" w:lineRule="auto"/>
        <w:jc w:val="both"/>
        <w:rPr>
          <w:rFonts w:ascii="Tahoma" w:eastAsia="Calibri" w:hAnsi="Tahoma" w:cs="Tahoma"/>
          <w:color w:val="000000"/>
          <w:sz w:val="24"/>
          <w:szCs w:val="24"/>
        </w:rPr>
      </w:pPr>
    </w:p>
    <w:p w:rsidR="009446E1" w:rsidRPr="009446E1" w:rsidRDefault="009446E1" w:rsidP="009446E1">
      <w:pPr>
        <w:spacing w:line="360" w:lineRule="auto"/>
        <w:jc w:val="both"/>
        <w:rPr>
          <w:rFonts w:ascii="Tahoma" w:eastAsia="Calibri" w:hAnsi="Tahoma" w:cs="Tahoma"/>
          <w:color w:val="000000"/>
          <w:sz w:val="24"/>
          <w:szCs w:val="24"/>
        </w:rPr>
      </w:pPr>
      <w:r w:rsidRPr="009446E1">
        <w:rPr>
          <w:rFonts w:ascii="Tahoma" w:eastAsia="Calibri" w:hAnsi="Tahoma" w:cs="Tahoma"/>
          <w:color w:val="000000"/>
          <w:sz w:val="24"/>
          <w:szCs w:val="24"/>
        </w:rPr>
        <w:t xml:space="preserve">W projekcie nowelizacji ustawy z dnia 14 czerwca 1960 r. </w:t>
      </w:r>
      <w:r w:rsidR="006D1883">
        <w:rPr>
          <w:rFonts w:ascii="Tahoma" w:eastAsia="Calibri" w:hAnsi="Tahoma" w:cs="Tahoma"/>
          <w:color w:val="000000"/>
          <w:sz w:val="24"/>
          <w:szCs w:val="24"/>
        </w:rPr>
        <w:t xml:space="preserve">- </w:t>
      </w:r>
      <w:r w:rsidRPr="009446E1">
        <w:rPr>
          <w:rFonts w:ascii="Tahoma" w:eastAsia="Calibri" w:hAnsi="Tahoma" w:cs="Tahoma"/>
          <w:color w:val="000000"/>
          <w:sz w:val="24"/>
          <w:szCs w:val="24"/>
        </w:rPr>
        <w:t xml:space="preserve">Kodeks postępowania administracyjnego (Dz. U. z 2016 r. poz. 23), główną zmianą jest nadanie organowi administracji publicznej prawa do umorzenia zawieszonego postępowania w wypadku śmierci strony, jej przedstawiciela ustawowego lub utraty przez stronę lub przedstawiciela ustawowego zdolności do czynności prawnych. </w:t>
      </w:r>
    </w:p>
    <w:p w:rsidR="009446E1" w:rsidRPr="009446E1" w:rsidRDefault="009446E1" w:rsidP="009446E1">
      <w:pPr>
        <w:spacing w:line="360" w:lineRule="auto"/>
        <w:jc w:val="both"/>
        <w:rPr>
          <w:rFonts w:ascii="Tahoma" w:eastAsia="Calibri" w:hAnsi="Tahoma" w:cs="Tahoma"/>
          <w:color w:val="000000"/>
          <w:sz w:val="24"/>
          <w:szCs w:val="24"/>
        </w:rPr>
      </w:pPr>
      <w:r w:rsidRPr="009446E1">
        <w:rPr>
          <w:rFonts w:ascii="Tahoma" w:eastAsia="Calibri" w:hAnsi="Tahoma" w:cs="Tahoma"/>
          <w:color w:val="000000"/>
          <w:sz w:val="24"/>
          <w:szCs w:val="24"/>
        </w:rPr>
        <w:t xml:space="preserve">Projekt ustawy przewiduje rozszerzenia możliwości umorzenia postępowania po upływie 3-letniego okresu zawieszenia postępowania także w przypadku zaistnienia innych przesłanek obligatoryjnego zawieszenia postępowania. </w:t>
      </w:r>
    </w:p>
    <w:p w:rsidR="009446E1" w:rsidRPr="009446E1" w:rsidRDefault="009446E1" w:rsidP="009446E1">
      <w:pPr>
        <w:spacing w:line="360" w:lineRule="auto"/>
        <w:jc w:val="both"/>
        <w:rPr>
          <w:rFonts w:ascii="Tahoma" w:eastAsia="Calibri" w:hAnsi="Tahoma" w:cs="Tahoma"/>
          <w:color w:val="000000"/>
          <w:sz w:val="24"/>
          <w:szCs w:val="24"/>
        </w:rPr>
      </w:pPr>
      <w:r w:rsidRPr="009446E1">
        <w:rPr>
          <w:rFonts w:ascii="Tahoma" w:eastAsia="Calibri" w:hAnsi="Tahoma" w:cs="Tahoma"/>
          <w:color w:val="000000"/>
          <w:sz w:val="24"/>
          <w:szCs w:val="24"/>
        </w:rPr>
        <w:t xml:space="preserve">Przepis art. 97 § 1 Kodeksu postępowania administracyjnego stanowi o obowiązku organu administracji publicznej obligatoryjnego zawieszenia postępowania </w:t>
      </w:r>
      <w:r>
        <w:rPr>
          <w:rFonts w:ascii="Tahoma" w:eastAsia="Calibri" w:hAnsi="Tahoma" w:cs="Tahoma"/>
          <w:color w:val="000000"/>
          <w:sz w:val="24"/>
          <w:szCs w:val="24"/>
        </w:rPr>
        <w:br/>
      </w:r>
      <w:r w:rsidRPr="009446E1">
        <w:rPr>
          <w:rFonts w:ascii="Tahoma" w:eastAsia="Calibri" w:hAnsi="Tahoma" w:cs="Tahoma"/>
          <w:color w:val="000000"/>
          <w:sz w:val="24"/>
          <w:szCs w:val="24"/>
        </w:rPr>
        <w:t>m. in. w razie śmierci strony lub jednej ze stron, jeżeli wezwanie spadkobierców zmarłej strony do udziału w postępowaniu nie jest możliwe i nie zachodzą okoliczności, o których mowa w art. 30 §5, a postępowanie nie podlega umorzeniu jako bezprzedmiotowe (art. 105);</w:t>
      </w:r>
    </w:p>
    <w:p w:rsidR="009446E1" w:rsidRPr="009446E1" w:rsidRDefault="009446E1" w:rsidP="009446E1">
      <w:pPr>
        <w:spacing w:line="360" w:lineRule="auto"/>
        <w:jc w:val="both"/>
        <w:rPr>
          <w:rFonts w:ascii="Tahoma" w:eastAsia="Calibri" w:hAnsi="Tahoma" w:cs="Tahoma"/>
          <w:color w:val="000000"/>
          <w:sz w:val="24"/>
          <w:szCs w:val="24"/>
        </w:rPr>
      </w:pPr>
      <w:r w:rsidRPr="009446E1">
        <w:rPr>
          <w:rFonts w:ascii="Tahoma" w:eastAsia="Calibri" w:hAnsi="Tahoma" w:cs="Tahoma"/>
          <w:color w:val="000000"/>
          <w:sz w:val="24"/>
          <w:szCs w:val="24"/>
        </w:rPr>
        <w:t>W przypadku zawieszenia postępowania z powodu śmierci strony lub jednej ze stron postępowania wydanie stosownego postanawiania poprzedza ustalenie przez organ administracji publicznej braku możliwości wezwania następców prawnych zmarłej strony. Niemożność wezwania spadkobierców wynika najczęściej z braku możliwości ich ustalenia.</w:t>
      </w:r>
      <w:r>
        <w:rPr>
          <w:rFonts w:ascii="Tahoma" w:eastAsia="Calibri" w:hAnsi="Tahoma" w:cs="Tahoma"/>
          <w:color w:val="000000"/>
          <w:sz w:val="24"/>
          <w:szCs w:val="24"/>
        </w:rPr>
        <w:t xml:space="preserve"> </w:t>
      </w:r>
    </w:p>
    <w:p w:rsidR="009446E1" w:rsidRPr="009446E1" w:rsidRDefault="009446E1" w:rsidP="009446E1">
      <w:pPr>
        <w:spacing w:line="360" w:lineRule="auto"/>
        <w:jc w:val="both"/>
        <w:rPr>
          <w:rFonts w:ascii="Tahoma" w:eastAsia="Calibri" w:hAnsi="Tahoma" w:cs="Tahoma"/>
          <w:i/>
          <w:color w:val="000000"/>
          <w:sz w:val="24"/>
          <w:szCs w:val="24"/>
        </w:rPr>
      </w:pPr>
      <w:r w:rsidRPr="009446E1">
        <w:rPr>
          <w:rFonts w:ascii="Tahoma" w:eastAsia="Calibri" w:hAnsi="Tahoma" w:cs="Tahoma"/>
          <w:color w:val="000000"/>
          <w:sz w:val="24"/>
          <w:szCs w:val="24"/>
        </w:rPr>
        <w:t>Zgodnie z przepisem art. 1027 ustawy z dnia 23 kwietnia 1964 r.</w:t>
      </w:r>
      <w:r>
        <w:rPr>
          <w:rFonts w:ascii="Tahoma" w:eastAsia="Calibri" w:hAnsi="Tahoma" w:cs="Tahoma"/>
          <w:color w:val="000000"/>
          <w:sz w:val="24"/>
          <w:szCs w:val="24"/>
        </w:rPr>
        <w:t>-</w:t>
      </w:r>
      <w:r w:rsidRPr="009446E1">
        <w:rPr>
          <w:rFonts w:ascii="Tahoma" w:eastAsia="Calibri" w:hAnsi="Tahoma" w:cs="Tahoma"/>
          <w:color w:val="000000"/>
          <w:sz w:val="24"/>
          <w:szCs w:val="24"/>
        </w:rPr>
        <w:t xml:space="preserve"> Kodeks cywilny:</w:t>
      </w:r>
      <w:r>
        <w:rPr>
          <w:rFonts w:ascii="Tahoma" w:eastAsia="Calibri" w:hAnsi="Tahoma" w:cs="Tahoma"/>
          <w:color w:val="000000"/>
          <w:sz w:val="24"/>
          <w:szCs w:val="24"/>
        </w:rPr>
        <w:t xml:space="preserve"> </w:t>
      </w:r>
      <w:r w:rsidRPr="009446E1">
        <w:rPr>
          <w:rFonts w:ascii="Tahoma" w:eastAsia="Calibri" w:hAnsi="Tahoma" w:cs="Tahoma"/>
          <w:i/>
          <w:color w:val="000000"/>
          <w:sz w:val="24"/>
          <w:szCs w:val="24"/>
        </w:rPr>
        <w:t>Względem osoby trzeciej, która nie rości sobie praw do spadku z tytułu dziedziczenia, spadkobierca może udowodnić swoje prawo wynikające z dziedziczenia tylko stwierdzeniem nabycia spadku albo zarejestrowanym aktem poświadczenia dziedziczenia.</w:t>
      </w:r>
    </w:p>
    <w:p w:rsidR="009446E1" w:rsidRPr="009446E1" w:rsidRDefault="009446E1" w:rsidP="009446E1">
      <w:pPr>
        <w:spacing w:line="360" w:lineRule="auto"/>
        <w:jc w:val="both"/>
        <w:rPr>
          <w:rFonts w:ascii="Tahoma" w:eastAsia="Calibri" w:hAnsi="Tahoma" w:cs="Tahoma"/>
          <w:color w:val="000000"/>
          <w:sz w:val="24"/>
          <w:szCs w:val="24"/>
        </w:rPr>
      </w:pPr>
      <w:r w:rsidRPr="009446E1">
        <w:rPr>
          <w:rFonts w:ascii="Tahoma" w:eastAsia="Calibri" w:hAnsi="Tahoma" w:cs="Tahoma"/>
          <w:color w:val="000000"/>
          <w:sz w:val="24"/>
          <w:szCs w:val="24"/>
        </w:rPr>
        <w:t xml:space="preserve">Orzecznictwo wskazuje na brak legitymacji procesowej organów administracji publicznej do inicjowania postępowań o nabycie spadku po zmarłych, w toku postępowania, stronach. Ponadto, w przeważającej większości przypadków brak jest także przesłanek do powołania kuratora spodku nieobjętego, bowiem zgodnie </w:t>
      </w:r>
      <w:r>
        <w:rPr>
          <w:rFonts w:ascii="Tahoma" w:eastAsia="Calibri" w:hAnsi="Tahoma" w:cs="Tahoma"/>
          <w:color w:val="000000"/>
          <w:sz w:val="24"/>
          <w:szCs w:val="24"/>
        </w:rPr>
        <w:br/>
      </w:r>
      <w:r w:rsidRPr="009446E1">
        <w:rPr>
          <w:rFonts w:ascii="Tahoma" w:eastAsia="Calibri" w:hAnsi="Tahoma" w:cs="Tahoma"/>
          <w:color w:val="000000"/>
          <w:sz w:val="24"/>
          <w:szCs w:val="24"/>
        </w:rPr>
        <w:lastRenderedPageBreak/>
        <w:t xml:space="preserve">z poglądem wyrażonym przez przedstawicieli judykatury, spadek uważa się za nie objęty, jeżeli spadkobierca lub spadkobiercy nie objęli spadku faktycznie </w:t>
      </w:r>
      <w:r>
        <w:rPr>
          <w:rFonts w:ascii="Tahoma" w:eastAsia="Calibri" w:hAnsi="Tahoma" w:cs="Tahoma"/>
          <w:color w:val="000000"/>
          <w:sz w:val="24"/>
          <w:szCs w:val="24"/>
        </w:rPr>
        <w:br/>
      </w:r>
      <w:r w:rsidRPr="009446E1">
        <w:rPr>
          <w:rFonts w:ascii="Tahoma" w:eastAsia="Calibri" w:hAnsi="Tahoma" w:cs="Tahoma"/>
          <w:color w:val="000000"/>
          <w:sz w:val="24"/>
          <w:szCs w:val="24"/>
        </w:rPr>
        <w:t>w przechowanie, zarząd lub użytkowanie.</w:t>
      </w:r>
    </w:p>
    <w:p w:rsidR="009446E1" w:rsidRPr="009446E1" w:rsidRDefault="009446E1" w:rsidP="009446E1">
      <w:pPr>
        <w:spacing w:line="360" w:lineRule="auto"/>
        <w:jc w:val="both"/>
        <w:rPr>
          <w:rFonts w:ascii="Tahoma" w:eastAsia="Calibri" w:hAnsi="Tahoma" w:cs="Tahoma"/>
          <w:color w:val="000000"/>
          <w:sz w:val="24"/>
          <w:szCs w:val="24"/>
        </w:rPr>
      </w:pPr>
      <w:r w:rsidRPr="009446E1">
        <w:rPr>
          <w:rFonts w:ascii="Tahoma" w:eastAsia="Calibri" w:hAnsi="Tahoma" w:cs="Tahoma"/>
          <w:color w:val="000000"/>
          <w:sz w:val="24"/>
          <w:szCs w:val="24"/>
        </w:rPr>
        <w:t>Brak zainteresowania spadkobierców zmarłej strony postępowania lub brak możliwości prawnych ustalenia tytułu dziedziczenia, skutkują brakiem możliwości podjęcia zawieszonego postępowania administracyjnego, co prowadzi do zawieszenia postepowań na czas nieskończony. W takim wypadku powstaje stan niepewności, niepożądany z punktu widzenia porządku prawnego, interesów pozostałych stron postępowania oraz sprzeczny z jedną z naczelnych zasad postępowania administracyjnego- zasadą szybkości postępowania zgodnie z którą organy administracji publicznej powinny działać w sprawie wnikliwie i szybko, posługując się możliwie najprostszymi środkami prowadzącymi do jej załatwienia.</w:t>
      </w:r>
    </w:p>
    <w:p w:rsidR="009446E1" w:rsidRPr="009446E1" w:rsidRDefault="009446E1" w:rsidP="009446E1">
      <w:pPr>
        <w:spacing w:line="360" w:lineRule="auto"/>
        <w:jc w:val="both"/>
        <w:rPr>
          <w:rFonts w:ascii="Tahoma" w:eastAsia="Calibri" w:hAnsi="Tahoma" w:cs="Tahoma"/>
          <w:color w:val="000000"/>
          <w:sz w:val="24"/>
          <w:szCs w:val="24"/>
        </w:rPr>
      </w:pPr>
      <w:r w:rsidRPr="009446E1">
        <w:rPr>
          <w:rFonts w:ascii="Tahoma" w:eastAsia="Calibri" w:hAnsi="Tahoma" w:cs="Tahoma"/>
          <w:color w:val="000000"/>
          <w:sz w:val="24"/>
          <w:szCs w:val="24"/>
        </w:rPr>
        <w:t>Proponowany w ustawie okres trzech lat na usunięcie przeszkody, jaką jest brak możliwości ustalenia spadkobierców, jest okresem wystarczająco długim do uzyskania postanowienia o nabyciu spadku lub aktu poświadczenia dziedziczenia albo tez wezwania do udziału w postępowaniu uprzednio ustalonych spadkobierców.</w:t>
      </w:r>
    </w:p>
    <w:p w:rsidR="009446E1" w:rsidRPr="009446E1" w:rsidRDefault="009446E1" w:rsidP="009446E1">
      <w:pPr>
        <w:spacing w:line="360" w:lineRule="auto"/>
        <w:jc w:val="both"/>
        <w:rPr>
          <w:rFonts w:ascii="Tahoma" w:eastAsia="Calibri" w:hAnsi="Tahoma" w:cs="Tahoma"/>
          <w:color w:val="000000"/>
          <w:sz w:val="24"/>
          <w:szCs w:val="24"/>
        </w:rPr>
      </w:pPr>
      <w:r w:rsidRPr="009446E1">
        <w:rPr>
          <w:rFonts w:ascii="Tahoma" w:eastAsia="Calibri" w:hAnsi="Tahoma" w:cs="Tahoma"/>
          <w:color w:val="000000"/>
          <w:sz w:val="24"/>
          <w:szCs w:val="24"/>
        </w:rPr>
        <w:t xml:space="preserve">Proponowanym warunkiem ograniczającym stosowanie instytucji umorzenia postępowania administracyjnego jest wykazanie przez organ administracji publicznej braku zagrożenia dla uzasadnionego interesu stron lub dla interesu społecznego. Ocena dokonywana byłaby każdorazowo przez organ administracji publicznej </w:t>
      </w:r>
      <w:r>
        <w:rPr>
          <w:rFonts w:ascii="Tahoma" w:eastAsia="Calibri" w:hAnsi="Tahoma" w:cs="Tahoma"/>
          <w:color w:val="000000"/>
          <w:sz w:val="24"/>
          <w:szCs w:val="24"/>
        </w:rPr>
        <w:br/>
      </w:r>
      <w:r w:rsidRPr="009446E1">
        <w:rPr>
          <w:rFonts w:ascii="Tahoma" w:eastAsia="Calibri" w:hAnsi="Tahoma" w:cs="Tahoma"/>
          <w:color w:val="000000"/>
          <w:sz w:val="24"/>
          <w:szCs w:val="24"/>
        </w:rPr>
        <w:t>i podlegałaby kontroli instancyjnej i sądowo administracyjnej.</w:t>
      </w:r>
    </w:p>
    <w:p w:rsidR="009446E1" w:rsidRPr="009446E1" w:rsidRDefault="009446E1" w:rsidP="009446E1">
      <w:pPr>
        <w:spacing w:line="360" w:lineRule="auto"/>
        <w:jc w:val="both"/>
        <w:rPr>
          <w:rFonts w:ascii="Tahoma" w:eastAsia="Calibri" w:hAnsi="Tahoma" w:cs="Tahoma"/>
          <w:i/>
          <w:color w:val="000000"/>
          <w:sz w:val="24"/>
          <w:szCs w:val="24"/>
          <w:shd w:val="clear" w:color="auto" w:fill="FFFFFF"/>
        </w:rPr>
      </w:pPr>
      <w:r w:rsidRPr="009446E1">
        <w:rPr>
          <w:rFonts w:ascii="Tahoma" w:eastAsia="Calibri" w:hAnsi="Tahoma" w:cs="Tahoma"/>
          <w:color w:val="000000"/>
          <w:sz w:val="24"/>
          <w:szCs w:val="24"/>
        </w:rPr>
        <w:t>Analogiczna regulacja z</w:t>
      </w:r>
      <w:r>
        <w:rPr>
          <w:rFonts w:ascii="Tahoma" w:eastAsia="Calibri" w:hAnsi="Tahoma" w:cs="Tahoma"/>
          <w:color w:val="000000"/>
          <w:sz w:val="24"/>
          <w:szCs w:val="24"/>
        </w:rPr>
        <w:t>awarta jest w przepisie 182 § 1</w:t>
      </w:r>
      <w:r w:rsidRPr="009446E1">
        <w:rPr>
          <w:rFonts w:ascii="Tahoma" w:eastAsia="Calibri" w:hAnsi="Tahoma" w:cs="Tahoma"/>
          <w:color w:val="000000"/>
          <w:sz w:val="24"/>
          <w:szCs w:val="24"/>
        </w:rPr>
        <w:t xml:space="preserve"> K</w:t>
      </w:r>
      <w:r>
        <w:rPr>
          <w:rFonts w:ascii="Tahoma" w:eastAsia="Calibri" w:hAnsi="Tahoma" w:cs="Tahoma"/>
          <w:color w:val="000000"/>
          <w:sz w:val="24"/>
          <w:szCs w:val="24"/>
        </w:rPr>
        <w:t xml:space="preserve">odeksu </w:t>
      </w:r>
      <w:r w:rsidRPr="009446E1">
        <w:rPr>
          <w:rFonts w:ascii="Tahoma" w:eastAsia="Calibri" w:hAnsi="Tahoma" w:cs="Tahoma"/>
          <w:color w:val="000000"/>
          <w:sz w:val="24"/>
          <w:szCs w:val="24"/>
        </w:rPr>
        <w:t>p</w:t>
      </w:r>
      <w:r>
        <w:rPr>
          <w:rFonts w:ascii="Tahoma" w:eastAsia="Calibri" w:hAnsi="Tahoma" w:cs="Tahoma"/>
          <w:color w:val="000000"/>
          <w:sz w:val="24"/>
          <w:szCs w:val="24"/>
        </w:rPr>
        <w:t xml:space="preserve">ostępowania </w:t>
      </w:r>
      <w:r w:rsidRPr="009446E1">
        <w:rPr>
          <w:rFonts w:ascii="Tahoma" w:eastAsia="Calibri" w:hAnsi="Tahoma" w:cs="Tahoma"/>
          <w:color w:val="000000"/>
          <w:sz w:val="24"/>
          <w:szCs w:val="24"/>
        </w:rPr>
        <w:t>c</w:t>
      </w:r>
      <w:r>
        <w:rPr>
          <w:rFonts w:ascii="Tahoma" w:eastAsia="Calibri" w:hAnsi="Tahoma" w:cs="Tahoma"/>
          <w:color w:val="000000"/>
          <w:sz w:val="24"/>
          <w:szCs w:val="24"/>
        </w:rPr>
        <w:t xml:space="preserve">ywilnego, zgodnie z którym: </w:t>
      </w:r>
      <w:r w:rsidRPr="009446E1">
        <w:rPr>
          <w:rFonts w:ascii="Tahoma" w:eastAsia="Calibri" w:hAnsi="Tahoma" w:cs="Tahoma"/>
          <w:i/>
          <w:color w:val="000000"/>
          <w:sz w:val="24"/>
          <w:szCs w:val="24"/>
          <w:shd w:val="clear" w:color="auto" w:fill="FFFFFF"/>
        </w:rPr>
        <w:t>Sąd umarza postępowanie zawieszone na zgodny wniosek stron lub na wniosek spadkobiercy, jak również z p</w:t>
      </w:r>
      <w:r>
        <w:rPr>
          <w:rFonts w:ascii="Tahoma" w:eastAsia="Calibri" w:hAnsi="Tahoma" w:cs="Tahoma"/>
          <w:i/>
          <w:color w:val="000000"/>
          <w:sz w:val="24"/>
          <w:szCs w:val="24"/>
          <w:shd w:val="clear" w:color="auto" w:fill="FFFFFF"/>
        </w:rPr>
        <w:t xml:space="preserve">rzyczyn wskazanych </w:t>
      </w:r>
      <w:r>
        <w:rPr>
          <w:rFonts w:ascii="Tahoma" w:eastAsia="Calibri" w:hAnsi="Tahoma" w:cs="Tahoma"/>
          <w:i/>
          <w:color w:val="000000"/>
          <w:sz w:val="24"/>
          <w:szCs w:val="24"/>
          <w:shd w:val="clear" w:color="auto" w:fill="FFFFFF"/>
        </w:rPr>
        <w:br/>
        <w:t>w art. 177 §</w:t>
      </w:r>
      <w:r w:rsidRPr="009446E1">
        <w:rPr>
          <w:rFonts w:ascii="Tahoma" w:eastAsia="Calibri" w:hAnsi="Tahoma" w:cs="Tahoma"/>
          <w:i/>
          <w:color w:val="000000"/>
          <w:sz w:val="24"/>
          <w:szCs w:val="24"/>
          <w:shd w:val="clear" w:color="auto" w:fill="FFFFFF"/>
        </w:rPr>
        <w:t xml:space="preserve">1 pkt 5 i 6, jeżeli wniosek o podjęcie postępowania nie został zgłoszony w ciągu roku od daty postanowienia o zawieszeniu. Ponadto sąd umorzy postępowanie w razie stwierdzenia braku następcy prawnego strony, która utraciła zdolność sądową, a w każdym razie po upływie roku od daty postanowienia o zawieszeniu z tej przyczyny. Sąd także umorzy postępowanie w razie śmierci strony </w:t>
      </w:r>
      <w:r w:rsidRPr="009446E1">
        <w:rPr>
          <w:rFonts w:ascii="Tahoma" w:eastAsia="Calibri" w:hAnsi="Tahoma" w:cs="Tahoma"/>
          <w:i/>
          <w:color w:val="000000"/>
          <w:sz w:val="24"/>
          <w:szCs w:val="24"/>
          <w:shd w:val="clear" w:color="auto" w:fill="FFFFFF"/>
        </w:rPr>
        <w:lastRenderedPageBreak/>
        <w:t>po upływie lat pięciu od daty postanowienia o zawieszeniu postępowania z tej przyczyny.</w:t>
      </w:r>
    </w:p>
    <w:p w:rsidR="009446E1" w:rsidRPr="009446E1" w:rsidRDefault="009446E1" w:rsidP="009446E1">
      <w:pPr>
        <w:spacing w:line="360" w:lineRule="auto"/>
        <w:jc w:val="both"/>
        <w:rPr>
          <w:rFonts w:ascii="Tahoma" w:eastAsia="Calibri" w:hAnsi="Tahoma" w:cs="Tahoma"/>
          <w:i/>
          <w:color w:val="000000"/>
          <w:sz w:val="24"/>
          <w:szCs w:val="24"/>
          <w:shd w:val="clear" w:color="auto" w:fill="FFFFFF"/>
        </w:rPr>
      </w:pPr>
      <w:r>
        <w:rPr>
          <w:rFonts w:ascii="Tahoma" w:eastAsia="Calibri" w:hAnsi="Tahoma" w:cs="Tahoma"/>
          <w:color w:val="000000"/>
          <w:sz w:val="24"/>
          <w:szCs w:val="24"/>
          <w:shd w:val="clear" w:color="auto" w:fill="FFFFFF"/>
        </w:rPr>
        <w:t>Ponadto art. 130 § 1 u</w:t>
      </w:r>
      <w:r w:rsidRPr="009446E1">
        <w:rPr>
          <w:rFonts w:ascii="Tahoma" w:eastAsia="Calibri" w:hAnsi="Tahoma" w:cs="Tahoma"/>
          <w:color w:val="000000"/>
          <w:sz w:val="24"/>
          <w:szCs w:val="24"/>
          <w:shd w:val="clear" w:color="auto" w:fill="FFFFFF"/>
        </w:rPr>
        <w:t>stawy z dnia 30 sierpnia 2002 r. Prawo o postępowaniu przed sądami administracyjnymi</w:t>
      </w:r>
      <w:r>
        <w:rPr>
          <w:rFonts w:ascii="Tahoma" w:eastAsia="Calibri" w:hAnsi="Tahoma" w:cs="Tahoma"/>
          <w:color w:val="000000"/>
          <w:sz w:val="24"/>
          <w:szCs w:val="24"/>
          <w:shd w:val="clear" w:color="auto" w:fill="FFFFFF"/>
        </w:rPr>
        <w:t xml:space="preserve"> stanowi, że s</w:t>
      </w:r>
      <w:r w:rsidRPr="009446E1">
        <w:rPr>
          <w:rFonts w:ascii="Tahoma" w:eastAsia="Calibri" w:hAnsi="Tahoma" w:cs="Tahoma"/>
          <w:i/>
          <w:color w:val="000000"/>
          <w:sz w:val="24"/>
          <w:szCs w:val="24"/>
          <w:shd w:val="clear" w:color="auto" w:fill="FFFFFF"/>
        </w:rPr>
        <w:t>ąd umarza zawieszone postępowanie</w:t>
      </w:r>
    </w:p>
    <w:p w:rsidR="009446E1" w:rsidRPr="009446E1" w:rsidRDefault="009446E1" w:rsidP="009446E1">
      <w:pPr>
        <w:numPr>
          <w:ilvl w:val="0"/>
          <w:numId w:val="8"/>
        </w:numPr>
        <w:spacing w:line="360" w:lineRule="auto"/>
        <w:contextualSpacing/>
        <w:jc w:val="both"/>
        <w:rPr>
          <w:rFonts w:ascii="Tahoma" w:eastAsia="Calibri" w:hAnsi="Tahoma" w:cs="Tahoma"/>
          <w:i/>
          <w:color w:val="000000"/>
          <w:sz w:val="24"/>
          <w:szCs w:val="24"/>
          <w:shd w:val="clear" w:color="auto" w:fill="FFFFFF"/>
        </w:rPr>
      </w:pPr>
      <w:r w:rsidRPr="009446E1">
        <w:rPr>
          <w:rFonts w:ascii="Tahoma" w:eastAsia="Calibri" w:hAnsi="Tahoma" w:cs="Tahoma"/>
          <w:i/>
          <w:color w:val="000000"/>
          <w:sz w:val="24"/>
          <w:szCs w:val="24"/>
          <w:shd w:val="clear" w:color="auto" w:fill="FFFFFF"/>
        </w:rPr>
        <w:t>jeżeli wniosek o podjęcie postępowania zawieszonego na zgodny wniosek stron albo z przyczyn wskazanych w art. 125 fakultatywne przesłanki zawieszenia postępowania § 1 pkt 3, nie został zgłoszony w ciągu trzech lat od dnia wydania postanowienia o zawieszeniu;</w:t>
      </w:r>
    </w:p>
    <w:p w:rsidR="009446E1" w:rsidRPr="009446E1" w:rsidRDefault="009446E1" w:rsidP="009446E1">
      <w:pPr>
        <w:numPr>
          <w:ilvl w:val="0"/>
          <w:numId w:val="8"/>
        </w:numPr>
        <w:spacing w:line="360" w:lineRule="auto"/>
        <w:contextualSpacing/>
        <w:jc w:val="both"/>
        <w:rPr>
          <w:rFonts w:ascii="Tahoma" w:eastAsia="Calibri" w:hAnsi="Tahoma" w:cs="Tahoma"/>
          <w:i/>
          <w:color w:val="000000"/>
          <w:sz w:val="24"/>
          <w:szCs w:val="24"/>
          <w:shd w:val="clear" w:color="auto" w:fill="FFFFFF"/>
        </w:rPr>
      </w:pPr>
      <w:r w:rsidRPr="009446E1">
        <w:rPr>
          <w:rFonts w:ascii="Tahoma" w:eastAsia="Calibri" w:hAnsi="Tahoma" w:cs="Tahoma"/>
          <w:i/>
          <w:color w:val="000000"/>
          <w:sz w:val="24"/>
          <w:szCs w:val="24"/>
          <w:shd w:val="clear" w:color="auto" w:fill="FFFFFF"/>
        </w:rPr>
        <w:t>w razie stwierdzenie braku następcy prawnego strony, która utraciła zdolność sądową, a w każdym razie po upływie trzech lat od dnia wydania postanowienia o zawieszeniu tej przyczyny;</w:t>
      </w:r>
    </w:p>
    <w:p w:rsidR="009446E1" w:rsidRPr="009446E1" w:rsidRDefault="009446E1" w:rsidP="009446E1">
      <w:pPr>
        <w:numPr>
          <w:ilvl w:val="0"/>
          <w:numId w:val="8"/>
        </w:numPr>
        <w:spacing w:line="360" w:lineRule="auto"/>
        <w:contextualSpacing/>
        <w:jc w:val="both"/>
        <w:rPr>
          <w:rFonts w:ascii="Tahoma" w:eastAsia="Calibri" w:hAnsi="Tahoma" w:cs="Tahoma"/>
          <w:i/>
          <w:color w:val="000000"/>
          <w:sz w:val="24"/>
          <w:szCs w:val="24"/>
          <w:shd w:val="clear" w:color="auto" w:fill="FFFFFF"/>
        </w:rPr>
      </w:pPr>
      <w:r w:rsidRPr="009446E1">
        <w:rPr>
          <w:rFonts w:ascii="Tahoma" w:eastAsia="Calibri" w:hAnsi="Tahoma" w:cs="Tahoma"/>
          <w:i/>
          <w:color w:val="000000"/>
          <w:sz w:val="24"/>
          <w:szCs w:val="24"/>
          <w:shd w:val="clear" w:color="auto" w:fill="FFFFFF"/>
        </w:rPr>
        <w:t xml:space="preserve">w razie śmierci strony, po upływie pięciu lat od dnia wydania postanowienia </w:t>
      </w:r>
      <w:r>
        <w:rPr>
          <w:rFonts w:ascii="Tahoma" w:eastAsia="Calibri" w:hAnsi="Tahoma" w:cs="Tahoma"/>
          <w:i/>
          <w:color w:val="000000"/>
          <w:sz w:val="24"/>
          <w:szCs w:val="24"/>
          <w:shd w:val="clear" w:color="auto" w:fill="FFFFFF"/>
        </w:rPr>
        <w:br/>
      </w:r>
      <w:r w:rsidRPr="009446E1">
        <w:rPr>
          <w:rFonts w:ascii="Tahoma" w:eastAsia="Calibri" w:hAnsi="Tahoma" w:cs="Tahoma"/>
          <w:i/>
          <w:color w:val="000000"/>
          <w:sz w:val="24"/>
          <w:szCs w:val="24"/>
          <w:shd w:val="clear" w:color="auto" w:fill="FFFFFF"/>
        </w:rPr>
        <w:t>o zawieszeniu postępowania z tej przyczyny.</w:t>
      </w:r>
    </w:p>
    <w:p w:rsidR="009446E1" w:rsidRDefault="009446E1" w:rsidP="009446E1">
      <w:pPr>
        <w:spacing w:line="360" w:lineRule="auto"/>
        <w:jc w:val="both"/>
        <w:rPr>
          <w:rFonts w:ascii="Tahoma" w:eastAsia="Calibri" w:hAnsi="Tahoma" w:cs="Tahoma"/>
          <w:color w:val="000000"/>
          <w:sz w:val="24"/>
          <w:szCs w:val="24"/>
          <w:shd w:val="clear" w:color="auto" w:fill="FFFFFF"/>
        </w:rPr>
      </w:pPr>
    </w:p>
    <w:p w:rsidR="009446E1" w:rsidRPr="009446E1" w:rsidRDefault="009446E1" w:rsidP="009446E1">
      <w:pPr>
        <w:spacing w:line="360" w:lineRule="auto"/>
        <w:jc w:val="both"/>
        <w:rPr>
          <w:rFonts w:ascii="Tahoma" w:eastAsia="Calibri" w:hAnsi="Tahoma" w:cs="Tahoma"/>
          <w:color w:val="000000"/>
          <w:sz w:val="24"/>
          <w:szCs w:val="24"/>
          <w:shd w:val="clear" w:color="auto" w:fill="FFFFFF"/>
        </w:rPr>
      </w:pPr>
      <w:r w:rsidRPr="009446E1">
        <w:rPr>
          <w:rFonts w:ascii="Tahoma" w:eastAsia="Calibri" w:hAnsi="Tahoma" w:cs="Tahoma"/>
          <w:color w:val="000000"/>
          <w:sz w:val="24"/>
          <w:szCs w:val="24"/>
          <w:shd w:val="clear" w:color="auto" w:fill="FFFFFF"/>
        </w:rPr>
        <w:t>Proponuje się z uwagi na wskazane powyżej argumenty, rozszerzyć możliwość umorzenia postępowania po upływie 3-letniego okresu zawieszenia postepowania także w wypadku zaistnienia innych przesłanek obligatoryjnych zawieszenia postępowania tj.: śmierci przedstawiciela ustawowego strony albo utraty przez stronę lub przez jej ustawowego przedstawiciela zdolności do czynności prawnych .</w:t>
      </w:r>
    </w:p>
    <w:p w:rsidR="009446E1" w:rsidRDefault="009446E1" w:rsidP="009446E1">
      <w:pPr>
        <w:spacing w:line="360" w:lineRule="auto"/>
        <w:jc w:val="both"/>
        <w:rPr>
          <w:rFonts w:ascii="Tahoma" w:eastAsia="Calibri" w:hAnsi="Tahoma" w:cs="Tahoma"/>
          <w:sz w:val="24"/>
          <w:szCs w:val="24"/>
        </w:rPr>
      </w:pPr>
      <w:r>
        <w:rPr>
          <w:rFonts w:ascii="Tahoma" w:eastAsia="Calibri" w:hAnsi="Tahoma" w:cs="Tahoma"/>
          <w:sz w:val="24"/>
          <w:szCs w:val="24"/>
        </w:rPr>
        <w:t xml:space="preserve">Wejście w życie projektowanej regulacji nie ma wpływu na budżet państwa. </w:t>
      </w:r>
    </w:p>
    <w:p w:rsidR="009446E1" w:rsidRPr="009446E1" w:rsidRDefault="009446E1" w:rsidP="009446E1">
      <w:pPr>
        <w:spacing w:line="360" w:lineRule="auto"/>
        <w:jc w:val="both"/>
        <w:rPr>
          <w:rFonts w:ascii="Tahoma" w:eastAsia="Calibri" w:hAnsi="Tahoma" w:cs="Tahoma"/>
          <w:sz w:val="24"/>
          <w:szCs w:val="24"/>
        </w:rPr>
      </w:pPr>
      <w:r w:rsidRPr="009446E1">
        <w:rPr>
          <w:rFonts w:ascii="Tahoma" w:eastAsia="Calibri" w:hAnsi="Tahoma" w:cs="Tahoma"/>
          <w:sz w:val="24"/>
          <w:szCs w:val="24"/>
        </w:rPr>
        <w:t xml:space="preserve">Projekt ustawy wywołuje pozytywne skutki </w:t>
      </w:r>
      <w:proofErr w:type="spellStart"/>
      <w:r w:rsidRPr="009446E1">
        <w:rPr>
          <w:rFonts w:ascii="Tahoma" w:eastAsia="Calibri" w:hAnsi="Tahoma" w:cs="Tahoma"/>
          <w:sz w:val="24"/>
          <w:szCs w:val="24"/>
        </w:rPr>
        <w:t>społeczno</w:t>
      </w:r>
      <w:proofErr w:type="spellEnd"/>
      <w:r w:rsidRPr="009446E1">
        <w:rPr>
          <w:rFonts w:ascii="Tahoma" w:eastAsia="Calibri" w:hAnsi="Tahoma" w:cs="Tahoma"/>
          <w:sz w:val="24"/>
          <w:szCs w:val="24"/>
        </w:rPr>
        <w:t xml:space="preserve"> – gospodarcze.</w:t>
      </w:r>
    </w:p>
    <w:p w:rsidR="009446E1" w:rsidRPr="009446E1" w:rsidRDefault="009446E1" w:rsidP="009446E1">
      <w:pPr>
        <w:spacing w:line="360" w:lineRule="auto"/>
        <w:jc w:val="both"/>
        <w:rPr>
          <w:rFonts w:ascii="Tahoma" w:eastAsia="Calibri" w:hAnsi="Tahoma" w:cs="Tahoma"/>
          <w:sz w:val="24"/>
          <w:szCs w:val="24"/>
        </w:rPr>
      </w:pPr>
      <w:r>
        <w:rPr>
          <w:rFonts w:ascii="Tahoma" w:eastAsia="Calibri" w:hAnsi="Tahoma" w:cs="Tahoma"/>
          <w:sz w:val="24"/>
          <w:szCs w:val="24"/>
        </w:rPr>
        <w:t xml:space="preserve">Projekt  nie jest objęty prawem Unii Europejskiej </w:t>
      </w:r>
    </w:p>
    <w:p w:rsidR="009446E1" w:rsidRPr="009446E1" w:rsidRDefault="009446E1" w:rsidP="009446E1">
      <w:pPr>
        <w:spacing w:after="120" w:line="360" w:lineRule="auto"/>
        <w:jc w:val="both"/>
        <w:rPr>
          <w:rFonts w:ascii="Tahoma" w:hAnsi="Tahoma" w:cs="Tahoma"/>
          <w:sz w:val="24"/>
          <w:szCs w:val="24"/>
        </w:rPr>
      </w:pPr>
    </w:p>
    <w:p w:rsidR="009446E1" w:rsidRPr="009446E1" w:rsidRDefault="009446E1" w:rsidP="009446E1">
      <w:pPr>
        <w:spacing w:after="120" w:line="360" w:lineRule="auto"/>
        <w:jc w:val="both"/>
        <w:rPr>
          <w:rFonts w:ascii="Tahoma" w:hAnsi="Tahoma" w:cs="Tahoma"/>
          <w:sz w:val="24"/>
          <w:szCs w:val="24"/>
        </w:rPr>
      </w:pPr>
    </w:p>
    <w:p w:rsidR="009446E1" w:rsidRPr="009446E1" w:rsidRDefault="009446E1" w:rsidP="009446E1">
      <w:pPr>
        <w:spacing w:after="120" w:line="360" w:lineRule="auto"/>
        <w:jc w:val="both"/>
        <w:rPr>
          <w:rFonts w:ascii="Tahoma" w:hAnsi="Tahoma" w:cs="Tahoma"/>
          <w:sz w:val="24"/>
          <w:szCs w:val="24"/>
        </w:rPr>
      </w:pPr>
    </w:p>
    <w:p w:rsidR="009446E1" w:rsidRPr="009446E1" w:rsidRDefault="009446E1" w:rsidP="009446E1">
      <w:pPr>
        <w:spacing w:after="120" w:line="360" w:lineRule="auto"/>
        <w:jc w:val="both"/>
        <w:rPr>
          <w:rFonts w:ascii="Tahoma" w:hAnsi="Tahoma" w:cs="Tahoma"/>
          <w:sz w:val="24"/>
          <w:szCs w:val="24"/>
        </w:rPr>
      </w:pPr>
    </w:p>
    <w:p w:rsidR="009446E1" w:rsidRPr="009446E1" w:rsidRDefault="009446E1" w:rsidP="009446E1">
      <w:pPr>
        <w:spacing w:after="120" w:line="360" w:lineRule="auto"/>
        <w:jc w:val="both"/>
        <w:rPr>
          <w:rFonts w:ascii="Tahoma" w:hAnsi="Tahoma" w:cs="Tahoma"/>
          <w:sz w:val="24"/>
          <w:szCs w:val="24"/>
        </w:rPr>
      </w:pPr>
    </w:p>
    <w:p w:rsidR="009446E1" w:rsidRPr="009446E1" w:rsidRDefault="009446E1" w:rsidP="009446E1">
      <w:pPr>
        <w:spacing w:after="120" w:line="360" w:lineRule="auto"/>
        <w:jc w:val="both"/>
        <w:rPr>
          <w:rFonts w:ascii="Tahoma" w:hAnsi="Tahoma" w:cs="Tahoma"/>
          <w:sz w:val="24"/>
          <w:szCs w:val="24"/>
        </w:rPr>
      </w:pPr>
    </w:p>
    <w:p w:rsidR="009446E1" w:rsidRPr="009446E1" w:rsidRDefault="009446E1" w:rsidP="009446E1">
      <w:pPr>
        <w:spacing w:after="120" w:line="360" w:lineRule="auto"/>
        <w:jc w:val="both"/>
        <w:rPr>
          <w:rFonts w:ascii="Tahoma" w:hAnsi="Tahoma" w:cs="Tahoma"/>
          <w:sz w:val="24"/>
          <w:szCs w:val="24"/>
        </w:rPr>
      </w:pPr>
    </w:p>
    <w:sectPr w:rsidR="009446E1" w:rsidRPr="009446E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02CA" w:rsidRDefault="001702CA" w:rsidP="00A16CCE">
      <w:pPr>
        <w:spacing w:after="0" w:line="240" w:lineRule="auto"/>
      </w:pPr>
      <w:r>
        <w:separator/>
      </w:r>
    </w:p>
  </w:endnote>
  <w:endnote w:type="continuationSeparator" w:id="0">
    <w:p w:rsidR="001702CA" w:rsidRDefault="001702CA" w:rsidP="00A16C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02CA" w:rsidRDefault="001702CA" w:rsidP="00A16CCE">
      <w:pPr>
        <w:spacing w:after="0" w:line="240" w:lineRule="auto"/>
      </w:pPr>
      <w:r>
        <w:separator/>
      </w:r>
    </w:p>
  </w:footnote>
  <w:footnote w:type="continuationSeparator" w:id="0">
    <w:p w:rsidR="001702CA" w:rsidRDefault="001702CA" w:rsidP="00A16CC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A0F43"/>
    <w:multiLevelType w:val="hybridMultilevel"/>
    <w:tmpl w:val="3E86299C"/>
    <w:lvl w:ilvl="0" w:tplc="04150011">
      <w:start w:val="1"/>
      <w:numFmt w:val="decimal"/>
      <w:lvlText w:val="%1)"/>
      <w:lvlJc w:val="left"/>
      <w:pPr>
        <w:ind w:left="1854" w:hanging="360"/>
      </w:pPr>
    </w:lvl>
    <w:lvl w:ilvl="1" w:tplc="04150019" w:tentative="1">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1">
    <w:nsid w:val="168C2069"/>
    <w:multiLevelType w:val="hybridMultilevel"/>
    <w:tmpl w:val="2F309E9A"/>
    <w:lvl w:ilvl="0" w:tplc="80C228AA">
      <w:start w:val="1"/>
      <w:numFmt w:val="bullet"/>
      <w:lvlText w:val=""/>
      <w:lvlJc w:val="left"/>
      <w:pPr>
        <w:ind w:left="2903" w:hanging="360"/>
      </w:pPr>
      <w:rPr>
        <w:rFonts w:ascii="Symbol" w:hAnsi="Symbol" w:hint="default"/>
      </w:rPr>
    </w:lvl>
    <w:lvl w:ilvl="1" w:tplc="04150003" w:tentative="1">
      <w:start w:val="1"/>
      <w:numFmt w:val="bullet"/>
      <w:lvlText w:val="o"/>
      <w:lvlJc w:val="left"/>
      <w:pPr>
        <w:ind w:left="3623" w:hanging="360"/>
      </w:pPr>
      <w:rPr>
        <w:rFonts w:ascii="Courier New" w:hAnsi="Courier New" w:cs="Courier New" w:hint="default"/>
      </w:rPr>
    </w:lvl>
    <w:lvl w:ilvl="2" w:tplc="04150005" w:tentative="1">
      <w:start w:val="1"/>
      <w:numFmt w:val="bullet"/>
      <w:lvlText w:val=""/>
      <w:lvlJc w:val="left"/>
      <w:pPr>
        <w:ind w:left="4343" w:hanging="360"/>
      </w:pPr>
      <w:rPr>
        <w:rFonts w:ascii="Wingdings" w:hAnsi="Wingdings" w:hint="default"/>
      </w:rPr>
    </w:lvl>
    <w:lvl w:ilvl="3" w:tplc="04150001" w:tentative="1">
      <w:start w:val="1"/>
      <w:numFmt w:val="bullet"/>
      <w:lvlText w:val=""/>
      <w:lvlJc w:val="left"/>
      <w:pPr>
        <w:ind w:left="5063" w:hanging="360"/>
      </w:pPr>
      <w:rPr>
        <w:rFonts w:ascii="Symbol" w:hAnsi="Symbol" w:hint="default"/>
      </w:rPr>
    </w:lvl>
    <w:lvl w:ilvl="4" w:tplc="04150003" w:tentative="1">
      <w:start w:val="1"/>
      <w:numFmt w:val="bullet"/>
      <w:lvlText w:val="o"/>
      <w:lvlJc w:val="left"/>
      <w:pPr>
        <w:ind w:left="5783" w:hanging="360"/>
      </w:pPr>
      <w:rPr>
        <w:rFonts w:ascii="Courier New" w:hAnsi="Courier New" w:cs="Courier New" w:hint="default"/>
      </w:rPr>
    </w:lvl>
    <w:lvl w:ilvl="5" w:tplc="04150005" w:tentative="1">
      <w:start w:val="1"/>
      <w:numFmt w:val="bullet"/>
      <w:lvlText w:val=""/>
      <w:lvlJc w:val="left"/>
      <w:pPr>
        <w:ind w:left="6503" w:hanging="360"/>
      </w:pPr>
      <w:rPr>
        <w:rFonts w:ascii="Wingdings" w:hAnsi="Wingdings" w:hint="default"/>
      </w:rPr>
    </w:lvl>
    <w:lvl w:ilvl="6" w:tplc="04150001" w:tentative="1">
      <w:start w:val="1"/>
      <w:numFmt w:val="bullet"/>
      <w:lvlText w:val=""/>
      <w:lvlJc w:val="left"/>
      <w:pPr>
        <w:ind w:left="7223" w:hanging="360"/>
      </w:pPr>
      <w:rPr>
        <w:rFonts w:ascii="Symbol" w:hAnsi="Symbol" w:hint="default"/>
      </w:rPr>
    </w:lvl>
    <w:lvl w:ilvl="7" w:tplc="04150003" w:tentative="1">
      <w:start w:val="1"/>
      <w:numFmt w:val="bullet"/>
      <w:lvlText w:val="o"/>
      <w:lvlJc w:val="left"/>
      <w:pPr>
        <w:ind w:left="7943" w:hanging="360"/>
      </w:pPr>
      <w:rPr>
        <w:rFonts w:ascii="Courier New" w:hAnsi="Courier New" w:cs="Courier New" w:hint="default"/>
      </w:rPr>
    </w:lvl>
    <w:lvl w:ilvl="8" w:tplc="04150005" w:tentative="1">
      <w:start w:val="1"/>
      <w:numFmt w:val="bullet"/>
      <w:lvlText w:val=""/>
      <w:lvlJc w:val="left"/>
      <w:pPr>
        <w:ind w:left="8663" w:hanging="360"/>
      </w:pPr>
      <w:rPr>
        <w:rFonts w:ascii="Wingdings" w:hAnsi="Wingdings" w:hint="default"/>
      </w:rPr>
    </w:lvl>
  </w:abstractNum>
  <w:abstractNum w:abstractNumId="2">
    <w:nsid w:val="1B20578D"/>
    <w:multiLevelType w:val="hybridMultilevel"/>
    <w:tmpl w:val="537414C2"/>
    <w:lvl w:ilvl="0" w:tplc="04150011">
      <w:start w:val="1"/>
      <w:numFmt w:val="decimal"/>
      <w:lvlText w:val="%1)"/>
      <w:lvlJc w:val="left"/>
      <w:pPr>
        <w:ind w:left="720" w:hanging="360"/>
      </w:pPr>
    </w:lvl>
    <w:lvl w:ilvl="1" w:tplc="80C228AA">
      <w:start w:val="1"/>
      <w:numFmt w:val="bullet"/>
      <w:lvlText w:val=""/>
      <w:lvlJc w:val="left"/>
      <w:pPr>
        <w:ind w:left="1440" w:hanging="360"/>
      </w:pPr>
      <w:rPr>
        <w:rFonts w:ascii="Symbol" w:hAnsi="Symbol" w:hint="default"/>
      </w:rPr>
    </w:lvl>
    <w:lvl w:ilvl="2" w:tplc="80C228AA">
      <w:start w:val="1"/>
      <w:numFmt w:val="bullet"/>
      <w:lvlText w:val=""/>
      <w:lvlJc w:val="left"/>
      <w:pPr>
        <w:ind w:left="2160" w:hanging="180"/>
      </w:pPr>
      <w:rPr>
        <w:rFonts w:ascii="Symbol" w:hAnsi="Symbol"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34B37E2E"/>
    <w:multiLevelType w:val="hybridMultilevel"/>
    <w:tmpl w:val="80DE270E"/>
    <w:lvl w:ilvl="0" w:tplc="DE502E52">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
    <w:nsid w:val="605C7574"/>
    <w:multiLevelType w:val="hybridMultilevel"/>
    <w:tmpl w:val="4EF47FF6"/>
    <w:lvl w:ilvl="0" w:tplc="04150011">
      <w:start w:val="1"/>
      <w:numFmt w:val="decimal"/>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68FF40EE"/>
    <w:multiLevelType w:val="hybridMultilevel"/>
    <w:tmpl w:val="44F277B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70B93F40"/>
    <w:multiLevelType w:val="hybridMultilevel"/>
    <w:tmpl w:val="72EAD7DC"/>
    <w:lvl w:ilvl="0" w:tplc="04150011">
      <w:start w:val="1"/>
      <w:numFmt w:val="decimal"/>
      <w:lvlText w:val="%1)"/>
      <w:lvlJc w:val="left"/>
      <w:pPr>
        <w:ind w:left="1854" w:hanging="360"/>
      </w:pPr>
    </w:lvl>
    <w:lvl w:ilvl="1" w:tplc="04150019" w:tentative="1">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7">
    <w:nsid w:val="724E74FC"/>
    <w:multiLevelType w:val="hybridMultilevel"/>
    <w:tmpl w:val="E5C2FFD6"/>
    <w:lvl w:ilvl="0" w:tplc="04150011">
      <w:start w:val="1"/>
      <w:numFmt w:val="decimal"/>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7"/>
  </w:num>
  <w:num w:numId="2">
    <w:abstractNumId w:val="2"/>
  </w:num>
  <w:num w:numId="3">
    <w:abstractNumId w:val="4"/>
  </w:num>
  <w:num w:numId="4">
    <w:abstractNumId w:val="1"/>
  </w:num>
  <w:num w:numId="5">
    <w:abstractNumId w:val="6"/>
  </w:num>
  <w:num w:numId="6">
    <w:abstractNumId w:val="0"/>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6CCE"/>
    <w:rsid w:val="001702CA"/>
    <w:rsid w:val="003E43B6"/>
    <w:rsid w:val="003F7967"/>
    <w:rsid w:val="004312DE"/>
    <w:rsid w:val="006071E7"/>
    <w:rsid w:val="006D1883"/>
    <w:rsid w:val="00710C76"/>
    <w:rsid w:val="007B310C"/>
    <w:rsid w:val="008102E2"/>
    <w:rsid w:val="00850718"/>
    <w:rsid w:val="009446E1"/>
    <w:rsid w:val="00A16CCE"/>
    <w:rsid w:val="00D8057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16CCE"/>
    <w:pPr>
      <w:spacing w:after="200" w:line="27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A16CCE"/>
    <w:pPr>
      <w:ind w:left="720"/>
      <w:contextualSpacing/>
    </w:pPr>
  </w:style>
  <w:style w:type="paragraph" w:styleId="Tekstprzypisudolnego">
    <w:name w:val="footnote text"/>
    <w:basedOn w:val="Normalny"/>
    <w:link w:val="TekstprzypisudolnegoZnak"/>
    <w:uiPriority w:val="99"/>
    <w:semiHidden/>
    <w:unhideWhenUsed/>
    <w:rsid w:val="00A16CCE"/>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A16CCE"/>
    <w:rPr>
      <w:sz w:val="20"/>
      <w:szCs w:val="20"/>
    </w:rPr>
  </w:style>
  <w:style w:type="character" w:styleId="Odwoanieprzypisudolnego">
    <w:name w:val="footnote reference"/>
    <w:basedOn w:val="Domylnaczcionkaakapitu"/>
    <w:uiPriority w:val="99"/>
    <w:semiHidden/>
    <w:unhideWhenUsed/>
    <w:rsid w:val="00A16CCE"/>
    <w:rPr>
      <w:vertAlign w:val="superscript"/>
    </w:rPr>
  </w:style>
  <w:style w:type="paragraph" w:styleId="Tekstdymka">
    <w:name w:val="Balloon Text"/>
    <w:basedOn w:val="Normalny"/>
    <w:link w:val="TekstdymkaZnak"/>
    <w:uiPriority w:val="99"/>
    <w:semiHidden/>
    <w:unhideWhenUsed/>
    <w:rsid w:val="009446E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446E1"/>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16CCE"/>
    <w:pPr>
      <w:spacing w:after="200" w:line="27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A16CCE"/>
    <w:pPr>
      <w:ind w:left="720"/>
      <w:contextualSpacing/>
    </w:pPr>
  </w:style>
  <w:style w:type="paragraph" w:styleId="Tekstprzypisudolnego">
    <w:name w:val="footnote text"/>
    <w:basedOn w:val="Normalny"/>
    <w:link w:val="TekstprzypisudolnegoZnak"/>
    <w:uiPriority w:val="99"/>
    <w:semiHidden/>
    <w:unhideWhenUsed/>
    <w:rsid w:val="00A16CCE"/>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A16CCE"/>
    <w:rPr>
      <w:sz w:val="20"/>
      <w:szCs w:val="20"/>
    </w:rPr>
  </w:style>
  <w:style w:type="character" w:styleId="Odwoanieprzypisudolnego">
    <w:name w:val="footnote reference"/>
    <w:basedOn w:val="Domylnaczcionkaakapitu"/>
    <w:uiPriority w:val="99"/>
    <w:semiHidden/>
    <w:unhideWhenUsed/>
    <w:rsid w:val="00A16CCE"/>
    <w:rPr>
      <w:vertAlign w:val="superscript"/>
    </w:rPr>
  </w:style>
  <w:style w:type="paragraph" w:styleId="Tekstdymka">
    <w:name w:val="Balloon Text"/>
    <w:basedOn w:val="Normalny"/>
    <w:link w:val="TekstdymkaZnak"/>
    <w:uiPriority w:val="99"/>
    <w:semiHidden/>
    <w:unhideWhenUsed/>
    <w:rsid w:val="009446E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446E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901</Words>
  <Characters>5406</Characters>
  <Application>Microsoft Office Word</Application>
  <DocSecurity>0</DocSecurity>
  <Lines>45</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Grażyna D. Grabowska</dc:creator>
  <cp:lastModifiedBy>Ewa A. Genert</cp:lastModifiedBy>
  <cp:revision>2</cp:revision>
  <cp:lastPrinted>2017-04-05T07:47:00Z</cp:lastPrinted>
  <dcterms:created xsi:type="dcterms:W3CDTF">2017-04-20T08:49:00Z</dcterms:created>
  <dcterms:modified xsi:type="dcterms:W3CDTF">2017-04-20T08:49:00Z</dcterms:modified>
</cp:coreProperties>
</file>