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40" w:rsidRPr="004D42C5" w:rsidRDefault="007B2772" w:rsidP="007B2772">
      <w:pPr>
        <w:spacing w:before="120" w:after="0" w:line="360" w:lineRule="auto"/>
        <w:jc w:val="center"/>
        <w:rPr>
          <w:rFonts w:ascii="Times New Roman" w:hAnsi="Times New Roman"/>
          <w:spacing w:val="4"/>
          <w:sz w:val="24"/>
          <w:szCs w:val="24"/>
        </w:rPr>
      </w:pPr>
      <w:bookmarkStart w:id="0" w:name="_GoBack"/>
      <w:bookmarkEnd w:id="0"/>
      <w:r w:rsidRPr="004D42C5">
        <w:rPr>
          <w:rFonts w:ascii="Times New Roman" w:hAnsi="Times New Roman"/>
          <w:spacing w:val="4"/>
          <w:sz w:val="24"/>
          <w:szCs w:val="24"/>
        </w:rPr>
        <w:t>UZASADNIENIE</w:t>
      </w:r>
    </w:p>
    <w:p w:rsidR="00507362" w:rsidRPr="004D42C5" w:rsidRDefault="00BE7940" w:rsidP="007B2772">
      <w:pPr>
        <w:spacing w:before="120" w:after="0" w:line="360" w:lineRule="auto"/>
        <w:jc w:val="both"/>
        <w:rPr>
          <w:rFonts w:ascii="Times New Roman" w:hAnsi="Times New Roman"/>
          <w:spacing w:val="4"/>
          <w:sz w:val="24"/>
          <w:szCs w:val="24"/>
        </w:rPr>
      </w:pPr>
      <w:r w:rsidRPr="004D42C5">
        <w:rPr>
          <w:rFonts w:ascii="Times New Roman" w:hAnsi="Times New Roman"/>
          <w:spacing w:val="4"/>
          <w:sz w:val="24"/>
          <w:szCs w:val="24"/>
        </w:rPr>
        <w:t>W niniejszym projekcie zaproponowano nowelizację przepisów ustawy z dnia 21</w:t>
      </w:r>
      <w:r w:rsidR="007B2772" w:rsidRPr="004D42C5">
        <w:rPr>
          <w:rFonts w:ascii="Times New Roman" w:hAnsi="Times New Roman"/>
          <w:spacing w:val="4"/>
          <w:sz w:val="24"/>
          <w:szCs w:val="24"/>
        </w:rPr>
        <w:t> </w:t>
      </w:r>
      <w:r w:rsidRPr="004D42C5">
        <w:rPr>
          <w:rFonts w:ascii="Times New Roman" w:hAnsi="Times New Roman"/>
          <w:spacing w:val="4"/>
          <w:sz w:val="24"/>
          <w:szCs w:val="24"/>
        </w:rPr>
        <w:t>sierpnia 1997 r. o gospodarce nieruchomościami (Dz. U. z 201</w:t>
      </w:r>
      <w:r w:rsidR="002B239C" w:rsidRPr="004D42C5">
        <w:rPr>
          <w:rFonts w:ascii="Times New Roman" w:hAnsi="Times New Roman"/>
          <w:spacing w:val="4"/>
          <w:sz w:val="24"/>
          <w:szCs w:val="24"/>
        </w:rPr>
        <w:t>6</w:t>
      </w:r>
      <w:r w:rsidRPr="004D42C5">
        <w:rPr>
          <w:rFonts w:ascii="Times New Roman" w:hAnsi="Times New Roman"/>
          <w:spacing w:val="4"/>
          <w:sz w:val="24"/>
          <w:szCs w:val="24"/>
        </w:rPr>
        <w:t xml:space="preserve"> r. poz. </w:t>
      </w:r>
      <w:r w:rsidR="002B239C" w:rsidRPr="004D42C5">
        <w:rPr>
          <w:rFonts w:ascii="Times New Roman" w:hAnsi="Times New Roman"/>
          <w:spacing w:val="4"/>
          <w:sz w:val="24"/>
          <w:szCs w:val="24"/>
        </w:rPr>
        <w:t>2147</w:t>
      </w:r>
      <w:r w:rsidRPr="004D42C5">
        <w:rPr>
          <w:rFonts w:ascii="Times New Roman" w:hAnsi="Times New Roman"/>
          <w:spacing w:val="4"/>
          <w:sz w:val="24"/>
          <w:szCs w:val="24"/>
        </w:rPr>
        <w:t>, z</w:t>
      </w:r>
      <w:r w:rsidR="007B2772" w:rsidRPr="004D42C5">
        <w:rPr>
          <w:rFonts w:ascii="Times New Roman" w:hAnsi="Times New Roman"/>
          <w:spacing w:val="4"/>
          <w:sz w:val="24"/>
          <w:szCs w:val="24"/>
        </w:rPr>
        <w:t> </w:t>
      </w:r>
      <w:r w:rsidRPr="004D42C5">
        <w:rPr>
          <w:rFonts w:ascii="Times New Roman" w:hAnsi="Times New Roman"/>
          <w:spacing w:val="4"/>
          <w:sz w:val="24"/>
          <w:szCs w:val="24"/>
        </w:rPr>
        <w:t>późn. zm.)</w:t>
      </w:r>
      <w:r w:rsidR="00B14C24" w:rsidRPr="004D42C5">
        <w:rPr>
          <w:rFonts w:ascii="Times New Roman" w:hAnsi="Times New Roman"/>
          <w:spacing w:val="4"/>
          <w:sz w:val="24"/>
          <w:szCs w:val="24"/>
        </w:rPr>
        <w:t>,</w:t>
      </w:r>
      <w:r w:rsidRPr="004D42C5">
        <w:rPr>
          <w:rFonts w:ascii="Times New Roman" w:hAnsi="Times New Roman"/>
          <w:spacing w:val="4"/>
          <w:sz w:val="24"/>
          <w:szCs w:val="24"/>
        </w:rPr>
        <w:t xml:space="preserve"> zwanej dalej „ugn”</w:t>
      </w:r>
      <w:r w:rsidR="00B14C24" w:rsidRPr="004D42C5">
        <w:rPr>
          <w:rFonts w:ascii="Times New Roman" w:hAnsi="Times New Roman"/>
          <w:spacing w:val="4"/>
          <w:sz w:val="24"/>
          <w:szCs w:val="24"/>
        </w:rPr>
        <w:t>,</w:t>
      </w:r>
      <w:r w:rsidRPr="004D42C5">
        <w:rPr>
          <w:rFonts w:ascii="Times New Roman" w:hAnsi="Times New Roman"/>
          <w:spacing w:val="4"/>
          <w:sz w:val="24"/>
          <w:szCs w:val="24"/>
        </w:rPr>
        <w:t xml:space="preserve"> w celu </w:t>
      </w:r>
      <w:r w:rsidRPr="004D42C5">
        <w:rPr>
          <w:rFonts w:ascii="Times New Roman" w:hAnsi="Times New Roman"/>
          <w:sz w:val="24"/>
          <w:szCs w:val="24"/>
        </w:rPr>
        <w:t xml:space="preserve">doprecyzowania niektórych przepisów budzących wątpliwości interpretacyjne oraz zdefiniowania działalności </w:t>
      </w:r>
      <w:r w:rsidR="00640C73" w:rsidRPr="004D42C5">
        <w:rPr>
          <w:rFonts w:ascii="Times New Roman" w:hAnsi="Times New Roman"/>
          <w:sz w:val="24"/>
          <w:szCs w:val="24"/>
        </w:rPr>
        <w:t>„</w:t>
      </w:r>
      <w:r w:rsidRPr="004D42C5">
        <w:rPr>
          <w:rFonts w:ascii="Times New Roman" w:hAnsi="Times New Roman"/>
          <w:sz w:val="24"/>
          <w:szCs w:val="24"/>
        </w:rPr>
        <w:t>zarządzani</w:t>
      </w:r>
      <w:r w:rsidR="004F5602">
        <w:rPr>
          <w:rFonts w:ascii="Times New Roman" w:hAnsi="Times New Roman"/>
          <w:sz w:val="24"/>
          <w:szCs w:val="24"/>
        </w:rPr>
        <w:t>e</w:t>
      </w:r>
      <w:r w:rsidRPr="004D42C5">
        <w:rPr>
          <w:rFonts w:ascii="Times New Roman" w:hAnsi="Times New Roman"/>
          <w:sz w:val="24"/>
          <w:szCs w:val="24"/>
        </w:rPr>
        <w:t xml:space="preserve"> nieruchomościami</w:t>
      </w:r>
      <w:r w:rsidR="00640C73" w:rsidRPr="004D42C5">
        <w:rPr>
          <w:rFonts w:ascii="Times New Roman" w:hAnsi="Times New Roman"/>
          <w:sz w:val="24"/>
          <w:szCs w:val="24"/>
        </w:rPr>
        <w:t>”</w:t>
      </w:r>
      <w:r w:rsidRPr="004D42C5">
        <w:rPr>
          <w:rFonts w:ascii="Times New Roman" w:hAnsi="Times New Roman"/>
          <w:sz w:val="24"/>
          <w:szCs w:val="24"/>
        </w:rPr>
        <w:t xml:space="preserve"> oraz </w:t>
      </w:r>
      <w:r w:rsidR="00640C73" w:rsidRPr="004D42C5">
        <w:rPr>
          <w:rFonts w:ascii="Times New Roman" w:hAnsi="Times New Roman"/>
          <w:sz w:val="24"/>
          <w:szCs w:val="24"/>
        </w:rPr>
        <w:t>„</w:t>
      </w:r>
      <w:r w:rsidRPr="004D42C5">
        <w:rPr>
          <w:rFonts w:ascii="Times New Roman" w:hAnsi="Times New Roman"/>
          <w:sz w:val="24"/>
          <w:szCs w:val="24"/>
        </w:rPr>
        <w:t>pośrednictw</w:t>
      </w:r>
      <w:r w:rsidR="004F5602">
        <w:rPr>
          <w:rFonts w:ascii="Times New Roman" w:hAnsi="Times New Roman"/>
          <w:sz w:val="24"/>
          <w:szCs w:val="24"/>
        </w:rPr>
        <w:t>o</w:t>
      </w:r>
      <w:r w:rsidRPr="004D42C5">
        <w:rPr>
          <w:rFonts w:ascii="Times New Roman" w:hAnsi="Times New Roman"/>
          <w:sz w:val="24"/>
          <w:szCs w:val="24"/>
        </w:rPr>
        <w:t xml:space="preserve"> w obrocie nieruchomościami</w:t>
      </w:r>
      <w:r w:rsidR="00640C73" w:rsidRPr="004D42C5">
        <w:rPr>
          <w:rFonts w:ascii="Times New Roman" w:hAnsi="Times New Roman"/>
          <w:sz w:val="24"/>
          <w:szCs w:val="24"/>
        </w:rPr>
        <w:t>”</w:t>
      </w:r>
      <w:r w:rsidR="00CD0ADF" w:rsidRPr="004D42C5">
        <w:rPr>
          <w:rFonts w:ascii="Times New Roman" w:hAnsi="Times New Roman"/>
          <w:sz w:val="24"/>
          <w:szCs w:val="24"/>
        </w:rPr>
        <w:t>, jak również ustawy z dnia 17 maja 1989 r. – Prawo geodezyjne i kartograficzne (Dz. U. z 201</w:t>
      </w:r>
      <w:r w:rsidR="006215BD" w:rsidRPr="004D42C5">
        <w:rPr>
          <w:rFonts w:ascii="Times New Roman" w:hAnsi="Times New Roman"/>
          <w:sz w:val="24"/>
          <w:szCs w:val="24"/>
        </w:rPr>
        <w:t>6</w:t>
      </w:r>
      <w:r w:rsidR="00CD0ADF" w:rsidRPr="004D42C5">
        <w:rPr>
          <w:rFonts w:ascii="Times New Roman" w:hAnsi="Times New Roman"/>
          <w:sz w:val="24"/>
          <w:szCs w:val="24"/>
        </w:rPr>
        <w:t xml:space="preserve"> r. poz. </w:t>
      </w:r>
      <w:r w:rsidR="006215BD" w:rsidRPr="004D42C5">
        <w:rPr>
          <w:rFonts w:ascii="Times New Roman" w:hAnsi="Times New Roman"/>
          <w:sz w:val="24"/>
          <w:szCs w:val="24"/>
        </w:rPr>
        <w:t>1629</w:t>
      </w:r>
      <w:r w:rsidR="002B239C" w:rsidRPr="004D42C5">
        <w:rPr>
          <w:rFonts w:ascii="Times New Roman" w:hAnsi="Times New Roman"/>
          <w:sz w:val="24"/>
          <w:szCs w:val="24"/>
        </w:rPr>
        <w:t>, z późn. zm.</w:t>
      </w:r>
      <w:r w:rsidR="00CD0ADF" w:rsidRPr="004D42C5">
        <w:rPr>
          <w:rFonts w:ascii="Times New Roman" w:hAnsi="Times New Roman"/>
          <w:sz w:val="24"/>
          <w:szCs w:val="24"/>
        </w:rPr>
        <w:t xml:space="preserve">), </w:t>
      </w:r>
      <w:r w:rsidR="001F5619">
        <w:rPr>
          <w:rFonts w:ascii="Times New Roman" w:hAnsi="Times New Roman"/>
          <w:sz w:val="24"/>
          <w:szCs w:val="24"/>
        </w:rPr>
        <w:t xml:space="preserve">zwanej </w:t>
      </w:r>
      <w:r w:rsidR="00CD0ADF" w:rsidRPr="004D42C5">
        <w:rPr>
          <w:rFonts w:ascii="Times New Roman" w:hAnsi="Times New Roman"/>
          <w:sz w:val="24"/>
          <w:szCs w:val="24"/>
        </w:rPr>
        <w:t>dalej „Pgik”</w:t>
      </w:r>
      <w:r w:rsidR="001076C6">
        <w:rPr>
          <w:rFonts w:ascii="Times New Roman" w:hAnsi="Times New Roman"/>
          <w:sz w:val="24"/>
          <w:szCs w:val="24"/>
        </w:rPr>
        <w:t>,</w:t>
      </w:r>
      <w:r w:rsidR="00CB7FAD" w:rsidRPr="004D42C5">
        <w:rPr>
          <w:rFonts w:ascii="Times New Roman" w:hAnsi="Times New Roman"/>
          <w:sz w:val="24"/>
          <w:szCs w:val="24"/>
        </w:rPr>
        <w:t xml:space="preserve"> oraz</w:t>
      </w:r>
      <w:r w:rsidR="00CB7FAD" w:rsidRPr="004D42C5">
        <w:rPr>
          <w:rFonts w:ascii="Times New Roman" w:hAnsi="Times New Roman"/>
          <w:color w:val="FF0000"/>
          <w:sz w:val="24"/>
          <w:szCs w:val="24"/>
        </w:rPr>
        <w:t xml:space="preserve"> </w:t>
      </w:r>
      <w:r w:rsidR="00CD0ADF" w:rsidRPr="004D42C5">
        <w:rPr>
          <w:rFonts w:ascii="Times New Roman" w:hAnsi="Times New Roman"/>
          <w:sz w:val="24"/>
          <w:szCs w:val="24"/>
        </w:rPr>
        <w:t>ustawy z dnia 8 lipca 2005 r. o</w:t>
      </w:r>
      <w:r w:rsidR="001F5619">
        <w:rPr>
          <w:rFonts w:ascii="Times New Roman" w:hAnsi="Times New Roman"/>
          <w:sz w:val="24"/>
          <w:szCs w:val="24"/>
        </w:rPr>
        <w:t> </w:t>
      </w:r>
      <w:r w:rsidR="00CD0ADF" w:rsidRPr="004D42C5">
        <w:rPr>
          <w:rFonts w:ascii="Times New Roman" w:hAnsi="Times New Roman"/>
          <w:sz w:val="24"/>
          <w:szCs w:val="24"/>
        </w:rPr>
        <w:t>realizacji prawa do rekompensaty z tytułu pozostawienia nieruchomości poza obecnymi granicami Rzeczypospolitej Polskiej (Dz. U. z 201</w:t>
      </w:r>
      <w:r w:rsidR="002B239C" w:rsidRPr="004D42C5">
        <w:rPr>
          <w:rFonts w:ascii="Times New Roman" w:hAnsi="Times New Roman"/>
          <w:sz w:val="24"/>
          <w:szCs w:val="24"/>
        </w:rPr>
        <w:t>6</w:t>
      </w:r>
      <w:r w:rsidR="00CD0ADF" w:rsidRPr="004D42C5">
        <w:rPr>
          <w:rFonts w:ascii="Times New Roman" w:hAnsi="Times New Roman"/>
          <w:sz w:val="24"/>
          <w:szCs w:val="24"/>
        </w:rPr>
        <w:t xml:space="preserve"> r. poz. </w:t>
      </w:r>
      <w:r w:rsidR="002B239C" w:rsidRPr="004D42C5">
        <w:rPr>
          <w:rFonts w:ascii="Times New Roman" w:hAnsi="Times New Roman"/>
          <w:sz w:val="24"/>
          <w:szCs w:val="24"/>
        </w:rPr>
        <w:t>2042,</w:t>
      </w:r>
      <w:r w:rsidR="00CD0ADF" w:rsidRPr="004D42C5">
        <w:rPr>
          <w:rFonts w:ascii="Times New Roman" w:hAnsi="Times New Roman"/>
          <w:sz w:val="24"/>
          <w:szCs w:val="24"/>
        </w:rPr>
        <w:t xml:space="preserve"> z późn. zm.), </w:t>
      </w:r>
      <w:r w:rsidR="001F5619">
        <w:rPr>
          <w:rFonts w:ascii="Times New Roman" w:hAnsi="Times New Roman"/>
          <w:sz w:val="24"/>
          <w:szCs w:val="24"/>
        </w:rPr>
        <w:t xml:space="preserve">zwanej </w:t>
      </w:r>
      <w:r w:rsidR="00CD0ADF" w:rsidRPr="004D42C5">
        <w:rPr>
          <w:rFonts w:ascii="Times New Roman" w:hAnsi="Times New Roman"/>
          <w:sz w:val="24"/>
          <w:szCs w:val="24"/>
        </w:rPr>
        <w:t>dalej „ustaw</w:t>
      </w:r>
      <w:r w:rsidR="001F5619">
        <w:rPr>
          <w:rFonts w:ascii="Times New Roman" w:hAnsi="Times New Roman"/>
          <w:sz w:val="24"/>
          <w:szCs w:val="24"/>
        </w:rPr>
        <w:t>ą</w:t>
      </w:r>
      <w:r w:rsidR="00CD0ADF" w:rsidRPr="004D42C5">
        <w:rPr>
          <w:rFonts w:ascii="Times New Roman" w:hAnsi="Times New Roman"/>
          <w:sz w:val="24"/>
          <w:szCs w:val="24"/>
        </w:rPr>
        <w:t xml:space="preserve"> o mieniu zabużańskim”</w:t>
      </w:r>
      <w:r w:rsidR="00CB7FAD" w:rsidRPr="004D42C5">
        <w:rPr>
          <w:rFonts w:ascii="Times New Roman" w:hAnsi="Times New Roman"/>
          <w:sz w:val="24"/>
          <w:szCs w:val="24"/>
        </w:rPr>
        <w:t>.</w:t>
      </w:r>
      <w:r w:rsidR="00507362" w:rsidRPr="004D42C5">
        <w:rPr>
          <w:rFonts w:ascii="Times New Roman" w:hAnsi="Times New Roman"/>
          <w:sz w:val="24"/>
          <w:szCs w:val="24"/>
        </w:rPr>
        <w:t xml:space="preserve"> </w:t>
      </w:r>
      <w:r w:rsidRPr="004D42C5">
        <w:rPr>
          <w:rFonts w:ascii="Times New Roman" w:hAnsi="Times New Roman"/>
          <w:spacing w:val="4"/>
          <w:sz w:val="24"/>
          <w:szCs w:val="24"/>
        </w:rPr>
        <w:t xml:space="preserve">Projekt uwzględnia wnioski Rzecznika Praw Obywatelskich, postulaty </w:t>
      </w:r>
      <w:r w:rsidR="00B65F1B" w:rsidRPr="004D42C5">
        <w:rPr>
          <w:rFonts w:ascii="Times New Roman" w:hAnsi="Times New Roman"/>
          <w:spacing w:val="4"/>
          <w:sz w:val="24"/>
          <w:szCs w:val="24"/>
        </w:rPr>
        <w:t>niektórych samorządów i organizacji zawodowych związanych z nieruchomościami.</w:t>
      </w:r>
      <w:r w:rsidRPr="004D42C5">
        <w:rPr>
          <w:rFonts w:ascii="Times New Roman" w:hAnsi="Times New Roman"/>
          <w:spacing w:val="4"/>
          <w:sz w:val="24"/>
          <w:szCs w:val="24"/>
        </w:rPr>
        <w:t xml:space="preserve"> </w:t>
      </w:r>
      <w:r w:rsidR="00250D68" w:rsidRPr="004D42C5">
        <w:rPr>
          <w:rFonts w:ascii="Times New Roman" w:hAnsi="Times New Roman"/>
          <w:spacing w:val="4"/>
          <w:sz w:val="24"/>
          <w:szCs w:val="24"/>
        </w:rPr>
        <w:t xml:space="preserve">Wdrożenie zaproponowanych zmian i wniosków </w:t>
      </w:r>
      <w:r w:rsidR="00B65F1B" w:rsidRPr="004D42C5">
        <w:rPr>
          <w:rFonts w:ascii="Times New Roman" w:hAnsi="Times New Roman"/>
          <w:spacing w:val="4"/>
          <w:sz w:val="24"/>
          <w:szCs w:val="24"/>
        </w:rPr>
        <w:t xml:space="preserve">ww. podmiotów </w:t>
      </w:r>
      <w:r w:rsidR="00250D68" w:rsidRPr="004D42C5">
        <w:rPr>
          <w:rFonts w:ascii="Times New Roman" w:hAnsi="Times New Roman"/>
          <w:spacing w:val="4"/>
          <w:sz w:val="24"/>
          <w:szCs w:val="24"/>
        </w:rPr>
        <w:t>może nastąpić wyłącznie poprzez podjęcie działań legislacyjnych.</w:t>
      </w:r>
    </w:p>
    <w:p w:rsidR="00BE7940" w:rsidRPr="004D42C5" w:rsidRDefault="00CD0ADF" w:rsidP="007B2772">
      <w:pPr>
        <w:spacing w:before="120" w:after="0" w:line="360" w:lineRule="auto"/>
        <w:jc w:val="both"/>
        <w:rPr>
          <w:rFonts w:ascii="Times New Roman" w:hAnsi="Times New Roman"/>
          <w:spacing w:val="4"/>
          <w:sz w:val="24"/>
          <w:szCs w:val="24"/>
        </w:rPr>
      </w:pPr>
      <w:r w:rsidRPr="004D42C5">
        <w:rPr>
          <w:rFonts w:ascii="Times New Roman" w:hAnsi="Times New Roman"/>
          <w:spacing w:val="4"/>
          <w:sz w:val="24"/>
          <w:szCs w:val="24"/>
        </w:rPr>
        <w:t>P</w:t>
      </w:r>
      <w:r w:rsidR="00BE7940" w:rsidRPr="004D42C5">
        <w:rPr>
          <w:rFonts w:ascii="Times New Roman" w:hAnsi="Times New Roman"/>
          <w:spacing w:val="4"/>
          <w:sz w:val="24"/>
          <w:szCs w:val="24"/>
        </w:rPr>
        <w:t>ropozycje</w:t>
      </w:r>
      <w:r w:rsidRPr="004D42C5">
        <w:rPr>
          <w:rFonts w:ascii="Times New Roman" w:hAnsi="Times New Roman"/>
          <w:spacing w:val="4"/>
          <w:sz w:val="24"/>
          <w:szCs w:val="24"/>
        </w:rPr>
        <w:t xml:space="preserve"> zmiany przepisów ugn</w:t>
      </w:r>
      <w:r w:rsidR="00BE7940" w:rsidRPr="004D42C5">
        <w:rPr>
          <w:rFonts w:ascii="Times New Roman" w:hAnsi="Times New Roman"/>
          <w:spacing w:val="4"/>
          <w:sz w:val="24"/>
          <w:szCs w:val="24"/>
        </w:rPr>
        <w:t xml:space="preserve"> dotyczą:</w:t>
      </w:r>
    </w:p>
    <w:p w:rsidR="000D7D37" w:rsidRPr="004D42C5" w:rsidRDefault="001C3F48" w:rsidP="007B2772">
      <w:pPr>
        <w:pStyle w:val="ZARTzmartartykuempunktem"/>
        <w:numPr>
          <w:ilvl w:val="1"/>
          <w:numId w:val="1"/>
        </w:numPr>
        <w:tabs>
          <w:tab w:val="num" w:pos="426"/>
        </w:tabs>
        <w:spacing w:before="120"/>
        <w:ind w:left="426" w:hanging="426"/>
        <w:rPr>
          <w:rFonts w:ascii="Times New Roman" w:eastAsia="Calibri" w:hAnsi="Times New Roman" w:cs="Times New Roman"/>
          <w:bCs/>
          <w:szCs w:val="24"/>
        </w:rPr>
      </w:pPr>
      <w:r w:rsidRPr="004D42C5">
        <w:rPr>
          <w:rFonts w:ascii="Times New Roman" w:eastAsia="Calibri" w:hAnsi="Times New Roman" w:cs="Times New Roman"/>
          <w:b/>
          <w:bCs/>
          <w:szCs w:val="24"/>
        </w:rPr>
        <w:t>art. 4 pkt 15</w:t>
      </w:r>
      <w:r w:rsidR="00925252" w:rsidRPr="004D42C5">
        <w:rPr>
          <w:rFonts w:ascii="Times New Roman" w:eastAsia="Calibri" w:hAnsi="Times New Roman" w:cs="Times New Roman"/>
          <w:b/>
          <w:bCs/>
          <w:szCs w:val="24"/>
        </w:rPr>
        <w:t xml:space="preserve"> </w:t>
      </w:r>
      <w:r w:rsidR="007B2772" w:rsidRPr="004D42C5">
        <w:rPr>
          <w:rFonts w:ascii="Times New Roman" w:eastAsia="Calibri" w:hAnsi="Times New Roman" w:cs="Times New Roman"/>
          <w:b/>
          <w:bCs/>
          <w:szCs w:val="24"/>
        </w:rPr>
        <w:t>–</w:t>
      </w:r>
      <w:r w:rsidRPr="004D42C5">
        <w:rPr>
          <w:rFonts w:ascii="Times New Roman" w:eastAsia="Calibri" w:hAnsi="Times New Roman" w:cs="Times New Roman"/>
          <w:b/>
          <w:bCs/>
          <w:szCs w:val="24"/>
        </w:rPr>
        <w:t xml:space="preserve"> </w:t>
      </w:r>
      <w:r w:rsidR="00A742C8" w:rsidRPr="004D42C5">
        <w:rPr>
          <w:rFonts w:ascii="Times New Roman" w:eastAsia="Calibri" w:hAnsi="Times New Roman" w:cs="Times New Roman"/>
          <w:bCs/>
          <w:szCs w:val="24"/>
        </w:rPr>
        <w:t>zaproponowano rozszerzenie definicji organizacji zawodowych rzeczoznawców majątkowych o izby gospodarcze</w:t>
      </w:r>
      <w:r w:rsidRPr="004D42C5">
        <w:rPr>
          <w:rFonts w:ascii="Times New Roman" w:eastAsia="Calibri" w:hAnsi="Times New Roman" w:cs="Times New Roman"/>
          <w:bCs/>
          <w:szCs w:val="24"/>
        </w:rPr>
        <w:t>, które zrzeszają rzeczoznawców majątkowych prowadzących</w:t>
      </w:r>
      <w:r w:rsidR="00C40CB2" w:rsidRPr="004D42C5">
        <w:rPr>
          <w:rFonts w:ascii="Times New Roman" w:eastAsia="Calibri" w:hAnsi="Times New Roman" w:cs="Times New Roman"/>
          <w:bCs/>
          <w:szCs w:val="24"/>
        </w:rPr>
        <w:t xml:space="preserve"> we własnym imieniu</w:t>
      </w:r>
      <w:r w:rsidRPr="004D42C5">
        <w:rPr>
          <w:rFonts w:ascii="Times New Roman" w:eastAsia="Calibri" w:hAnsi="Times New Roman" w:cs="Times New Roman"/>
          <w:bCs/>
          <w:szCs w:val="24"/>
        </w:rPr>
        <w:t xml:space="preserve"> </w:t>
      </w:r>
      <w:r w:rsidR="00A742C8" w:rsidRPr="004D42C5">
        <w:rPr>
          <w:rFonts w:ascii="Times New Roman" w:eastAsia="Calibri" w:hAnsi="Times New Roman" w:cs="Times New Roman"/>
          <w:bCs/>
          <w:szCs w:val="24"/>
        </w:rPr>
        <w:t xml:space="preserve">działalność </w:t>
      </w:r>
      <w:r w:rsidR="00C40CB2" w:rsidRPr="004D42C5">
        <w:rPr>
          <w:rFonts w:ascii="Times New Roman" w:eastAsia="Calibri" w:hAnsi="Times New Roman" w:cs="Times New Roman"/>
          <w:bCs/>
          <w:szCs w:val="24"/>
        </w:rPr>
        <w:t xml:space="preserve">gospodarczą </w:t>
      </w:r>
      <w:r w:rsidRPr="004D42C5">
        <w:rPr>
          <w:rFonts w:ascii="Times New Roman" w:eastAsia="Calibri" w:hAnsi="Times New Roman" w:cs="Times New Roman"/>
          <w:bCs/>
          <w:szCs w:val="24"/>
        </w:rPr>
        <w:t>jednoosobow</w:t>
      </w:r>
      <w:r w:rsidR="00C40CB2" w:rsidRPr="004D42C5">
        <w:rPr>
          <w:rFonts w:ascii="Times New Roman" w:eastAsia="Calibri" w:hAnsi="Times New Roman" w:cs="Times New Roman"/>
          <w:bCs/>
          <w:szCs w:val="24"/>
        </w:rPr>
        <w:t>o</w:t>
      </w:r>
      <w:r w:rsidRPr="004D42C5">
        <w:rPr>
          <w:rFonts w:ascii="Times New Roman" w:eastAsia="Calibri" w:hAnsi="Times New Roman" w:cs="Times New Roman"/>
          <w:bCs/>
          <w:szCs w:val="24"/>
        </w:rPr>
        <w:t xml:space="preserve"> lub w ramach spółki </w:t>
      </w:r>
      <w:r w:rsidR="00C40CB2" w:rsidRPr="004D42C5">
        <w:rPr>
          <w:rFonts w:ascii="Times New Roman" w:eastAsia="Calibri" w:hAnsi="Times New Roman" w:cs="Times New Roman"/>
          <w:bCs/>
          <w:szCs w:val="24"/>
        </w:rPr>
        <w:t>osobowej</w:t>
      </w:r>
      <w:r w:rsidR="00D6717C" w:rsidRPr="004D42C5">
        <w:rPr>
          <w:rFonts w:ascii="Times New Roman" w:eastAsia="Calibri" w:hAnsi="Times New Roman" w:cs="Times New Roman"/>
          <w:bCs/>
          <w:szCs w:val="24"/>
        </w:rPr>
        <w:t xml:space="preserve"> </w:t>
      </w:r>
      <w:r w:rsidR="00C40CB2" w:rsidRPr="004D42C5">
        <w:rPr>
          <w:rFonts w:ascii="Times New Roman" w:eastAsia="Calibri" w:hAnsi="Times New Roman" w:cs="Times New Roman"/>
          <w:bCs/>
          <w:szCs w:val="24"/>
        </w:rPr>
        <w:t>w zakresie szacowania nieruchomości</w:t>
      </w:r>
      <w:r w:rsidRPr="004D42C5">
        <w:rPr>
          <w:rFonts w:ascii="Times New Roman" w:eastAsia="Calibri" w:hAnsi="Times New Roman" w:cs="Times New Roman"/>
          <w:bCs/>
          <w:szCs w:val="24"/>
        </w:rPr>
        <w:t xml:space="preserve">. </w:t>
      </w:r>
      <w:r w:rsidR="00361509" w:rsidRPr="004D42C5">
        <w:rPr>
          <w:rFonts w:ascii="Times New Roman" w:eastAsia="Calibri" w:hAnsi="Times New Roman" w:cs="Times New Roman"/>
          <w:bCs/>
          <w:szCs w:val="24"/>
        </w:rPr>
        <w:t>O</w:t>
      </w:r>
      <w:r w:rsidR="00B22E90" w:rsidRPr="004D42C5">
        <w:rPr>
          <w:rFonts w:ascii="Times New Roman" w:eastAsia="Calibri" w:hAnsi="Times New Roman" w:cs="Times New Roman"/>
          <w:bCs/>
          <w:szCs w:val="24"/>
        </w:rPr>
        <w:t xml:space="preserve">bowiązujące przepisy dopuszczają różne formy wykonywania zawodu przez rzeczoznawcę majątkowego. </w:t>
      </w:r>
      <w:r w:rsidR="006C7576" w:rsidRPr="004D42C5">
        <w:rPr>
          <w:rFonts w:ascii="Times New Roman" w:eastAsia="Calibri" w:hAnsi="Times New Roman" w:cs="Times New Roman"/>
          <w:bCs/>
          <w:szCs w:val="24"/>
        </w:rPr>
        <w:t>R</w:t>
      </w:r>
      <w:r w:rsidR="00B22E90" w:rsidRPr="004D42C5">
        <w:rPr>
          <w:rFonts w:ascii="Times New Roman" w:eastAsia="Calibri" w:hAnsi="Times New Roman" w:cs="Times New Roman"/>
          <w:bCs/>
          <w:szCs w:val="24"/>
        </w:rPr>
        <w:t xml:space="preserve">zeczoznawca majątkowy może </w:t>
      </w:r>
      <w:r w:rsidR="006C7576" w:rsidRPr="004D42C5">
        <w:rPr>
          <w:rFonts w:ascii="Times New Roman" w:eastAsia="Calibri" w:hAnsi="Times New Roman" w:cs="Times New Roman"/>
          <w:bCs/>
          <w:szCs w:val="24"/>
        </w:rPr>
        <w:t xml:space="preserve">bowiem </w:t>
      </w:r>
      <w:r w:rsidR="00B22E90" w:rsidRPr="004D42C5">
        <w:rPr>
          <w:rFonts w:ascii="Times New Roman" w:eastAsia="Calibri" w:hAnsi="Times New Roman" w:cs="Times New Roman"/>
          <w:bCs/>
          <w:szCs w:val="24"/>
        </w:rPr>
        <w:t xml:space="preserve">wykonywać czynności zawodowe jako przedsiębiorca prowadzący działalność gospodarczą w zakresie szacowania nieruchomości lub być zatrudniony (jako osoba fizyczna) u przedsiębiorcy prowadzącego tego rodzaju działalność. </w:t>
      </w:r>
      <w:r w:rsidR="00361509" w:rsidRPr="004D42C5">
        <w:rPr>
          <w:rFonts w:ascii="Times New Roman" w:eastAsia="Calibri" w:hAnsi="Times New Roman" w:cs="Times New Roman"/>
          <w:bCs/>
          <w:szCs w:val="24"/>
        </w:rPr>
        <w:t>Należy zauważyć, że osoby fizyczne zrzeszają się w stowarzyszeniach, natomiast przedsiębiorcy – w izbach gospodarczych.</w:t>
      </w:r>
      <w:r w:rsidR="007B2772" w:rsidRPr="004D42C5">
        <w:rPr>
          <w:rFonts w:ascii="Times New Roman" w:eastAsia="Calibri" w:hAnsi="Times New Roman" w:cs="Times New Roman"/>
          <w:bCs/>
          <w:szCs w:val="24"/>
        </w:rPr>
        <w:t xml:space="preserve"> </w:t>
      </w:r>
      <w:r w:rsidR="00361509" w:rsidRPr="004D42C5">
        <w:rPr>
          <w:rFonts w:ascii="Times New Roman" w:eastAsia="Calibri" w:hAnsi="Times New Roman" w:cs="Times New Roman"/>
          <w:bCs/>
          <w:szCs w:val="24"/>
        </w:rPr>
        <w:t>Jest to o tyle istotne, że zgodnie z</w:t>
      </w:r>
      <w:r w:rsidR="007B2772" w:rsidRPr="004D42C5">
        <w:rPr>
          <w:rFonts w:ascii="Times New Roman" w:eastAsia="Calibri" w:hAnsi="Times New Roman" w:cs="Times New Roman"/>
          <w:bCs/>
          <w:szCs w:val="24"/>
        </w:rPr>
        <w:t> </w:t>
      </w:r>
      <w:r w:rsidR="0025164C" w:rsidRPr="004D42C5">
        <w:rPr>
          <w:rFonts w:ascii="Times New Roman" w:eastAsia="Calibri" w:hAnsi="Times New Roman" w:cs="Times New Roman"/>
          <w:bCs/>
          <w:szCs w:val="24"/>
        </w:rPr>
        <w:t>obowiązującą</w:t>
      </w:r>
      <w:r w:rsidR="00361509" w:rsidRPr="004D42C5">
        <w:rPr>
          <w:rFonts w:ascii="Times New Roman" w:eastAsia="Calibri" w:hAnsi="Times New Roman" w:cs="Times New Roman"/>
          <w:bCs/>
          <w:szCs w:val="24"/>
        </w:rPr>
        <w:t xml:space="preserve"> definicją za organizację zawodową uważa się w</w:t>
      </w:r>
      <w:r w:rsidR="0025164C" w:rsidRPr="004D42C5">
        <w:rPr>
          <w:rFonts w:ascii="Times New Roman" w:eastAsia="Calibri" w:hAnsi="Times New Roman" w:cs="Times New Roman"/>
          <w:bCs/>
          <w:szCs w:val="24"/>
        </w:rPr>
        <w:t>y</w:t>
      </w:r>
      <w:r w:rsidR="00361509" w:rsidRPr="004D42C5">
        <w:rPr>
          <w:rFonts w:ascii="Times New Roman" w:eastAsia="Calibri" w:hAnsi="Times New Roman" w:cs="Times New Roman"/>
          <w:bCs/>
          <w:szCs w:val="24"/>
        </w:rPr>
        <w:t xml:space="preserve">łącznie stowarzyszenia lub związki stowarzyszeń zrzeszające osoby wykonujące zawodowo czynności </w:t>
      </w:r>
      <w:r w:rsidR="00C40CB2" w:rsidRPr="004D42C5">
        <w:rPr>
          <w:rFonts w:ascii="Times New Roman" w:eastAsia="Calibri" w:hAnsi="Times New Roman" w:cs="Times New Roman"/>
          <w:bCs/>
          <w:szCs w:val="24"/>
        </w:rPr>
        <w:t>rzeczoznawcy</w:t>
      </w:r>
      <w:r w:rsidR="00361509" w:rsidRPr="004D42C5">
        <w:rPr>
          <w:rFonts w:ascii="Times New Roman" w:eastAsia="Calibri" w:hAnsi="Times New Roman" w:cs="Times New Roman"/>
          <w:bCs/>
          <w:szCs w:val="24"/>
        </w:rPr>
        <w:t xml:space="preserve"> majątkowego, co w konsekwencji powoduje, że organizacja zawodowa reprezentuje wyłącznie rzeczoznawców majątkowych</w:t>
      </w:r>
      <w:r w:rsidR="006C7576" w:rsidRPr="004D42C5">
        <w:rPr>
          <w:rFonts w:ascii="Times New Roman" w:eastAsia="Calibri" w:hAnsi="Times New Roman" w:cs="Times New Roman"/>
          <w:bCs/>
          <w:szCs w:val="24"/>
        </w:rPr>
        <w:t xml:space="preserve">, którzy wykonują zawód na podstawie umów o pracę lub umów cywilnoprawnych </w:t>
      </w:r>
      <w:r w:rsidR="006C7576" w:rsidRPr="004D42C5">
        <w:rPr>
          <w:rFonts w:ascii="Times New Roman" w:eastAsia="Calibri" w:hAnsi="Times New Roman" w:cs="Times New Roman"/>
          <w:bCs/>
          <w:szCs w:val="24"/>
        </w:rPr>
        <w:lastRenderedPageBreak/>
        <w:t>u</w:t>
      </w:r>
      <w:r w:rsidR="007B2772" w:rsidRPr="004D42C5">
        <w:rPr>
          <w:rFonts w:ascii="Times New Roman" w:eastAsia="Calibri" w:hAnsi="Times New Roman" w:cs="Times New Roman"/>
          <w:bCs/>
          <w:szCs w:val="24"/>
        </w:rPr>
        <w:t> </w:t>
      </w:r>
      <w:r w:rsidR="006C7576" w:rsidRPr="004D42C5">
        <w:rPr>
          <w:rFonts w:ascii="Times New Roman" w:eastAsia="Calibri" w:hAnsi="Times New Roman" w:cs="Times New Roman"/>
          <w:bCs/>
          <w:szCs w:val="24"/>
        </w:rPr>
        <w:t>przedsiębiorców</w:t>
      </w:r>
      <w:r w:rsidR="00B65F1B" w:rsidRPr="004D42C5">
        <w:rPr>
          <w:rFonts w:ascii="Times New Roman" w:eastAsia="Calibri" w:hAnsi="Times New Roman" w:cs="Times New Roman"/>
          <w:bCs/>
          <w:szCs w:val="24"/>
        </w:rPr>
        <w:t>. N</w:t>
      </w:r>
      <w:r w:rsidR="00361509" w:rsidRPr="004D42C5">
        <w:rPr>
          <w:rFonts w:ascii="Times New Roman" w:eastAsia="Calibri" w:hAnsi="Times New Roman" w:cs="Times New Roman"/>
          <w:bCs/>
          <w:szCs w:val="24"/>
        </w:rPr>
        <w:t>ie obejmuje natomiast rzeczoznawców majątkowych, którzy wykonują swój zawód</w:t>
      </w:r>
      <w:r w:rsidR="001076C6">
        <w:rPr>
          <w:rFonts w:ascii="Times New Roman" w:eastAsia="Calibri" w:hAnsi="Times New Roman" w:cs="Times New Roman"/>
          <w:bCs/>
          <w:szCs w:val="24"/>
        </w:rPr>
        <w:t>,</w:t>
      </w:r>
      <w:r w:rsidR="00361509" w:rsidRPr="004D42C5">
        <w:rPr>
          <w:rFonts w:ascii="Times New Roman" w:eastAsia="Calibri" w:hAnsi="Times New Roman" w:cs="Times New Roman"/>
          <w:bCs/>
          <w:szCs w:val="24"/>
        </w:rPr>
        <w:t xml:space="preserve"> prowadząc działaln</w:t>
      </w:r>
      <w:r w:rsidR="0025164C" w:rsidRPr="004D42C5">
        <w:rPr>
          <w:rFonts w:ascii="Times New Roman" w:eastAsia="Calibri" w:hAnsi="Times New Roman" w:cs="Times New Roman"/>
          <w:bCs/>
          <w:szCs w:val="24"/>
        </w:rPr>
        <w:t>ość gospodarczą. Z tego względu</w:t>
      </w:r>
      <w:r w:rsidR="00361509" w:rsidRPr="004D42C5">
        <w:rPr>
          <w:rFonts w:ascii="Times New Roman" w:eastAsia="Calibri" w:hAnsi="Times New Roman" w:cs="Times New Roman"/>
          <w:bCs/>
          <w:szCs w:val="24"/>
        </w:rPr>
        <w:t xml:space="preserve"> zdecydowano o włączeniu do kręgu podmiot</w:t>
      </w:r>
      <w:r w:rsidR="006C7576" w:rsidRPr="004D42C5">
        <w:rPr>
          <w:rFonts w:ascii="Times New Roman" w:eastAsia="Calibri" w:hAnsi="Times New Roman" w:cs="Times New Roman"/>
          <w:bCs/>
          <w:szCs w:val="24"/>
        </w:rPr>
        <w:t>ów</w:t>
      </w:r>
      <w:r w:rsidR="00361509" w:rsidRPr="004D42C5">
        <w:rPr>
          <w:rFonts w:ascii="Times New Roman" w:eastAsia="Calibri" w:hAnsi="Times New Roman" w:cs="Times New Roman"/>
          <w:bCs/>
          <w:szCs w:val="24"/>
        </w:rPr>
        <w:t xml:space="preserve">, które będą uznawane za organizacje zawodowe, izb gospodarczych reprezentujących przedsiębiorców prowadzących </w:t>
      </w:r>
      <w:r w:rsidR="00C94410" w:rsidRPr="004D42C5">
        <w:rPr>
          <w:rFonts w:ascii="Times New Roman" w:eastAsia="Calibri" w:hAnsi="Times New Roman" w:cs="Times New Roman"/>
          <w:bCs/>
          <w:szCs w:val="24"/>
        </w:rPr>
        <w:t xml:space="preserve">we własnym imieniu </w:t>
      </w:r>
      <w:r w:rsidR="00361509" w:rsidRPr="004D42C5">
        <w:rPr>
          <w:rFonts w:ascii="Times New Roman" w:eastAsia="Calibri" w:hAnsi="Times New Roman" w:cs="Times New Roman"/>
          <w:bCs/>
          <w:szCs w:val="24"/>
        </w:rPr>
        <w:t>działalność</w:t>
      </w:r>
      <w:r w:rsidR="00C94410" w:rsidRPr="004D42C5">
        <w:rPr>
          <w:rFonts w:ascii="Times New Roman" w:eastAsia="Calibri" w:hAnsi="Times New Roman" w:cs="Times New Roman"/>
          <w:bCs/>
          <w:szCs w:val="24"/>
        </w:rPr>
        <w:t xml:space="preserve"> gospodarczą jednoosobowo lub w</w:t>
      </w:r>
      <w:r w:rsidR="007B2772" w:rsidRPr="004D42C5">
        <w:rPr>
          <w:rFonts w:ascii="Times New Roman" w:eastAsia="Calibri" w:hAnsi="Times New Roman" w:cs="Times New Roman"/>
          <w:bCs/>
          <w:szCs w:val="24"/>
        </w:rPr>
        <w:t> </w:t>
      </w:r>
      <w:r w:rsidR="00C94410" w:rsidRPr="004D42C5">
        <w:rPr>
          <w:rFonts w:ascii="Times New Roman" w:eastAsia="Calibri" w:hAnsi="Times New Roman" w:cs="Times New Roman"/>
          <w:bCs/>
          <w:szCs w:val="24"/>
        </w:rPr>
        <w:t xml:space="preserve">ramach spółki osobowej </w:t>
      </w:r>
      <w:r w:rsidR="00361509" w:rsidRPr="004D42C5">
        <w:rPr>
          <w:rFonts w:ascii="Times New Roman" w:eastAsia="Calibri" w:hAnsi="Times New Roman" w:cs="Times New Roman"/>
          <w:bCs/>
          <w:szCs w:val="24"/>
        </w:rPr>
        <w:t xml:space="preserve">w zakresie szacowania nieruchomości. </w:t>
      </w:r>
      <w:r w:rsidR="00925252" w:rsidRPr="004D42C5">
        <w:rPr>
          <w:rFonts w:ascii="Times New Roman" w:eastAsia="Calibri" w:hAnsi="Times New Roman" w:cs="Times New Roman"/>
          <w:bCs/>
          <w:szCs w:val="24"/>
        </w:rPr>
        <w:t>Ponadto w</w:t>
      </w:r>
      <w:r w:rsidR="000D7D37" w:rsidRPr="004D42C5">
        <w:rPr>
          <w:rFonts w:ascii="Times New Roman" w:eastAsia="Calibri" w:hAnsi="Times New Roman" w:cs="Times New Roman"/>
          <w:bCs/>
          <w:szCs w:val="24"/>
        </w:rPr>
        <w:t xml:space="preserve">prowadzono dodatkowy warunek, aby tacy przedsiębiorcy stanowili co najmniej połowę wszystkich członków izby. Analogiczne rozwiązanie zaproponowano również w odniesieniu do stowarzyszeń. </w:t>
      </w:r>
    </w:p>
    <w:p w:rsidR="0015314A" w:rsidRPr="004D42C5" w:rsidRDefault="0015314A"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12a</w:t>
      </w:r>
      <w:r w:rsidRPr="004D42C5">
        <w:rPr>
          <w:rFonts w:ascii="Times New Roman" w:eastAsia="Calibri" w:hAnsi="Times New Roman" w:cs="Times New Roman"/>
          <w:spacing w:val="4"/>
          <w:szCs w:val="24"/>
          <w:lang w:eastAsia="en-US"/>
        </w:rPr>
        <w:t xml:space="preserve"> </w:t>
      </w:r>
      <w:r w:rsidR="007B2772" w:rsidRPr="004D42C5">
        <w:rPr>
          <w:rFonts w:ascii="Times New Roman" w:eastAsia="Calibri" w:hAnsi="Times New Roman" w:cs="Times New Roman"/>
          <w:spacing w:val="4"/>
          <w:szCs w:val="24"/>
          <w:lang w:eastAsia="en-US"/>
        </w:rPr>
        <w:t xml:space="preserve">– </w:t>
      </w:r>
      <w:r w:rsidRPr="004D42C5">
        <w:rPr>
          <w:rFonts w:ascii="Times New Roman" w:eastAsia="Calibri" w:hAnsi="Times New Roman" w:cs="Times New Roman"/>
          <w:spacing w:val="4"/>
          <w:szCs w:val="24"/>
          <w:lang w:eastAsia="en-US"/>
        </w:rPr>
        <w:t xml:space="preserve">dodanie nowego przepisu ma na celu </w:t>
      </w:r>
      <w:r w:rsidRPr="004D42C5">
        <w:rPr>
          <w:rFonts w:ascii="Times New Roman" w:hAnsi="Times New Roman" w:cs="Times New Roman"/>
          <w:spacing w:val="4"/>
          <w:szCs w:val="24"/>
        </w:rPr>
        <w:t>uwzględnienie wniosków starostów oraz wojewodów w sprawie umożliwienia zastosowania przepisu art.</w:t>
      </w:r>
      <w:r w:rsidR="007B2772" w:rsidRPr="004D42C5">
        <w:rPr>
          <w:rFonts w:ascii="Times New Roman" w:hAnsi="Times New Roman" w:cs="Times New Roman"/>
          <w:spacing w:val="4"/>
          <w:szCs w:val="24"/>
        </w:rPr>
        <w:t> </w:t>
      </w:r>
      <w:r w:rsidRPr="004D42C5">
        <w:rPr>
          <w:rFonts w:ascii="Times New Roman" w:hAnsi="Times New Roman" w:cs="Times New Roman"/>
          <w:spacing w:val="4"/>
          <w:szCs w:val="24"/>
        </w:rPr>
        <w:t xml:space="preserve">55 </w:t>
      </w:r>
      <w:r w:rsidRPr="004D42C5">
        <w:rPr>
          <w:rFonts w:ascii="Times New Roman" w:hAnsi="Times New Roman" w:cs="Times New Roman"/>
          <w:iCs/>
          <w:spacing w:val="4"/>
          <w:szCs w:val="24"/>
        </w:rPr>
        <w:t xml:space="preserve">ustawy </w:t>
      </w:r>
      <w:r w:rsidR="00B14C24" w:rsidRPr="004D42C5">
        <w:rPr>
          <w:rFonts w:ascii="Times New Roman" w:hAnsi="Times New Roman" w:cs="Times New Roman"/>
          <w:iCs/>
          <w:spacing w:val="4"/>
          <w:szCs w:val="24"/>
        </w:rPr>
        <w:t xml:space="preserve">z dnia 27 sierpnia 2009 r. </w:t>
      </w:r>
      <w:r w:rsidRPr="004D42C5">
        <w:rPr>
          <w:rFonts w:ascii="Times New Roman" w:hAnsi="Times New Roman" w:cs="Times New Roman"/>
          <w:iCs/>
          <w:spacing w:val="4"/>
          <w:szCs w:val="24"/>
        </w:rPr>
        <w:t xml:space="preserve">o finansach publicznych </w:t>
      </w:r>
      <w:r w:rsidR="004F5602">
        <w:rPr>
          <w:rFonts w:ascii="Times New Roman" w:hAnsi="Times New Roman" w:cs="Times New Roman"/>
          <w:iCs/>
          <w:spacing w:val="4"/>
          <w:szCs w:val="24"/>
        </w:rPr>
        <w:t xml:space="preserve">(Dz. U. z 2016 r. poz. 1870, z późn. zm.) </w:t>
      </w:r>
      <w:r w:rsidRPr="004D42C5">
        <w:rPr>
          <w:rFonts w:ascii="Times New Roman" w:hAnsi="Times New Roman" w:cs="Times New Roman"/>
          <w:spacing w:val="4"/>
          <w:szCs w:val="24"/>
        </w:rPr>
        <w:t xml:space="preserve">do należności </w:t>
      </w:r>
      <w:r w:rsidR="005652B3" w:rsidRPr="004D42C5">
        <w:rPr>
          <w:rFonts w:ascii="Times New Roman" w:hAnsi="Times New Roman" w:cs="Times New Roman"/>
          <w:spacing w:val="4"/>
          <w:szCs w:val="24"/>
        </w:rPr>
        <w:t xml:space="preserve">pieniężnych </w:t>
      </w:r>
      <w:r w:rsidRPr="004D42C5">
        <w:rPr>
          <w:rFonts w:ascii="Times New Roman" w:hAnsi="Times New Roman" w:cs="Times New Roman"/>
          <w:spacing w:val="4"/>
          <w:szCs w:val="24"/>
        </w:rPr>
        <w:t xml:space="preserve">m.in. z tytułu opłat za użytkowanie wieczyste nieruchomości Skarbu Państwa bądź czynszu za najem lub dzierżawę, a także wskazania organu lub podmiotu uprawnionego do umarzania, odraczania terminów spłaty lub rozkładania spłaty na raty tych należności. W wielu bowiem przypadkach koszty wyegzekwowania ww. należności rażąco (czasami kilkaset razy) przewyższają kwotę należności wraz z </w:t>
      </w:r>
      <w:r w:rsidR="001F5619">
        <w:rPr>
          <w:rFonts w:ascii="Times New Roman" w:hAnsi="Times New Roman" w:cs="Times New Roman"/>
          <w:spacing w:val="4"/>
          <w:szCs w:val="24"/>
        </w:rPr>
        <w:t>odsetkami.</w:t>
      </w:r>
    </w:p>
    <w:p w:rsidR="0015314A" w:rsidRPr="004D42C5" w:rsidRDefault="0015314A" w:rsidP="007B2772">
      <w:pPr>
        <w:pStyle w:val="ZARTzmartartykuempunktem"/>
        <w:spacing w:before="120"/>
        <w:ind w:left="426" w:firstLine="0"/>
        <w:rPr>
          <w:rFonts w:ascii="Times New Roman" w:eastAsia="Calibri" w:hAnsi="Times New Roman" w:cs="Times New Roman"/>
          <w:spacing w:val="4"/>
          <w:szCs w:val="24"/>
          <w:lang w:eastAsia="en-US"/>
        </w:rPr>
      </w:pPr>
      <w:r w:rsidRPr="004D42C5">
        <w:rPr>
          <w:rFonts w:ascii="Times New Roman" w:hAnsi="Times New Roman" w:cs="Times New Roman"/>
          <w:spacing w:val="4"/>
          <w:szCs w:val="24"/>
        </w:rPr>
        <w:t xml:space="preserve">Aktualnie resort finansów prezentuje stanowisko, iż przepisy </w:t>
      </w:r>
      <w:r w:rsidRPr="004D42C5">
        <w:rPr>
          <w:rFonts w:ascii="Times New Roman" w:hAnsi="Times New Roman" w:cs="Times New Roman"/>
          <w:iCs/>
          <w:spacing w:val="4"/>
          <w:szCs w:val="24"/>
        </w:rPr>
        <w:t xml:space="preserve">ustawy o finansach publicznych </w:t>
      </w:r>
      <w:r w:rsidRPr="004D42C5">
        <w:rPr>
          <w:rFonts w:ascii="Times New Roman" w:hAnsi="Times New Roman" w:cs="Times New Roman"/>
          <w:spacing w:val="4"/>
          <w:szCs w:val="24"/>
        </w:rPr>
        <w:t xml:space="preserve">nie mają zastosowania do nieściągalnych należności wynikających z </w:t>
      </w:r>
      <w:r w:rsidR="00B14C24" w:rsidRPr="004D42C5">
        <w:rPr>
          <w:rFonts w:ascii="Times New Roman" w:hAnsi="Times New Roman" w:cs="Times New Roman"/>
          <w:iCs/>
          <w:spacing w:val="4"/>
          <w:szCs w:val="24"/>
        </w:rPr>
        <w:t>ugn</w:t>
      </w:r>
      <w:r w:rsidRPr="004D42C5">
        <w:rPr>
          <w:rFonts w:ascii="Times New Roman" w:hAnsi="Times New Roman" w:cs="Times New Roman"/>
          <w:spacing w:val="4"/>
          <w:szCs w:val="24"/>
        </w:rPr>
        <w:t>, gdyż kwestie te powinna regulować ustawa szczególna (</w:t>
      </w:r>
      <w:r w:rsidR="00B14C24" w:rsidRPr="004D42C5">
        <w:rPr>
          <w:rFonts w:ascii="Times New Roman" w:hAnsi="Times New Roman" w:cs="Times New Roman"/>
          <w:spacing w:val="4"/>
          <w:szCs w:val="24"/>
        </w:rPr>
        <w:t>ugn</w:t>
      </w:r>
      <w:r w:rsidRPr="004D42C5">
        <w:rPr>
          <w:rFonts w:ascii="Times New Roman" w:hAnsi="Times New Roman" w:cs="Times New Roman"/>
          <w:spacing w:val="4"/>
          <w:szCs w:val="24"/>
        </w:rPr>
        <w:t>). W związku z powyższym zgodnie z sugestią resortu finansów zaproponowano dodanie w</w:t>
      </w:r>
      <w:r w:rsidR="007B2772" w:rsidRPr="004D42C5">
        <w:rPr>
          <w:rFonts w:ascii="Times New Roman" w:hAnsi="Times New Roman" w:cs="Times New Roman"/>
          <w:spacing w:val="4"/>
          <w:szCs w:val="24"/>
        </w:rPr>
        <w:t> </w:t>
      </w:r>
      <w:r w:rsidR="00B14C24" w:rsidRPr="004D42C5">
        <w:rPr>
          <w:rFonts w:ascii="Times New Roman" w:hAnsi="Times New Roman" w:cs="Times New Roman"/>
          <w:spacing w:val="4"/>
          <w:szCs w:val="24"/>
        </w:rPr>
        <w:t>ugn</w:t>
      </w:r>
      <w:r w:rsidRPr="004D42C5">
        <w:rPr>
          <w:rFonts w:ascii="Times New Roman" w:hAnsi="Times New Roman" w:cs="Times New Roman"/>
          <w:spacing w:val="4"/>
          <w:szCs w:val="24"/>
        </w:rPr>
        <w:t xml:space="preserve"> przepisu, który jednoznacznie rozstrzygnie o możliwości umarzania, odraczania </w:t>
      </w:r>
      <w:r w:rsidR="004F5602">
        <w:rPr>
          <w:rFonts w:ascii="Times New Roman" w:hAnsi="Times New Roman" w:cs="Times New Roman"/>
          <w:spacing w:val="4"/>
          <w:szCs w:val="24"/>
        </w:rPr>
        <w:t xml:space="preserve">terminu </w:t>
      </w:r>
      <w:r w:rsidRPr="004D42C5">
        <w:rPr>
          <w:rFonts w:ascii="Times New Roman" w:hAnsi="Times New Roman" w:cs="Times New Roman"/>
          <w:spacing w:val="4"/>
          <w:szCs w:val="24"/>
        </w:rPr>
        <w:t>spłaty</w:t>
      </w:r>
      <w:r w:rsidR="004F5602">
        <w:rPr>
          <w:rFonts w:ascii="Times New Roman" w:hAnsi="Times New Roman" w:cs="Times New Roman"/>
          <w:spacing w:val="4"/>
          <w:szCs w:val="24"/>
        </w:rPr>
        <w:t xml:space="preserve"> oraz</w:t>
      </w:r>
      <w:r w:rsidRPr="004D42C5">
        <w:rPr>
          <w:rFonts w:ascii="Times New Roman" w:hAnsi="Times New Roman" w:cs="Times New Roman"/>
          <w:spacing w:val="4"/>
          <w:szCs w:val="24"/>
        </w:rPr>
        <w:t xml:space="preserve"> rozkładania na raty </w:t>
      </w:r>
      <w:r w:rsidR="004F5602">
        <w:rPr>
          <w:rFonts w:ascii="Times New Roman" w:hAnsi="Times New Roman" w:cs="Times New Roman"/>
          <w:spacing w:val="4"/>
          <w:szCs w:val="24"/>
        </w:rPr>
        <w:t>spłaty</w:t>
      </w:r>
      <w:r w:rsidR="004F5602" w:rsidRPr="004D42C5">
        <w:rPr>
          <w:rFonts w:ascii="Times New Roman" w:hAnsi="Times New Roman" w:cs="Times New Roman"/>
          <w:spacing w:val="4"/>
          <w:szCs w:val="24"/>
        </w:rPr>
        <w:t xml:space="preserve"> </w:t>
      </w:r>
      <w:r w:rsidRPr="004D42C5">
        <w:rPr>
          <w:rFonts w:ascii="Times New Roman" w:hAnsi="Times New Roman" w:cs="Times New Roman"/>
          <w:spacing w:val="4"/>
          <w:szCs w:val="24"/>
        </w:rPr>
        <w:t xml:space="preserve">należności pieniężnych mających charakter cywilnoprawny, </w:t>
      </w:r>
      <w:r w:rsidR="00EC4732" w:rsidRPr="004D42C5">
        <w:rPr>
          <w:rFonts w:ascii="Times New Roman" w:hAnsi="Times New Roman" w:cs="Times New Roman"/>
          <w:spacing w:val="4"/>
          <w:szCs w:val="24"/>
        </w:rPr>
        <w:t xml:space="preserve">przypadających Skarbowi Państwa reprezentowanemu przez starostę wykonującego zadania z zakresu administracji rządowej albo </w:t>
      </w:r>
      <w:r w:rsidR="006215BD" w:rsidRPr="004D42C5">
        <w:rPr>
          <w:rFonts w:ascii="Times New Roman" w:hAnsi="Times New Roman" w:cs="Times New Roman"/>
          <w:spacing w:val="4"/>
          <w:szCs w:val="24"/>
        </w:rPr>
        <w:t>m</w:t>
      </w:r>
      <w:r w:rsidR="00EC4732" w:rsidRPr="004D42C5">
        <w:rPr>
          <w:rFonts w:ascii="Times New Roman" w:hAnsi="Times New Roman" w:cs="Times New Roman"/>
          <w:spacing w:val="4"/>
          <w:szCs w:val="24"/>
        </w:rPr>
        <w:t xml:space="preserve">inistra właściwego do spraw </w:t>
      </w:r>
      <w:r w:rsidR="00096EE3" w:rsidRPr="004D42C5">
        <w:rPr>
          <w:rFonts w:ascii="Times New Roman" w:hAnsi="Times New Roman" w:cs="Times New Roman"/>
          <w:spacing w:val="4"/>
          <w:szCs w:val="24"/>
        </w:rPr>
        <w:t>budownictwa, planowania i</w:t>
      </w:r>
      <w:r w:rsidR="007B2772" w:rsidRPr="004D42C5">
        <w:rPr>
          <w:rFonts w:ascii="Times New Roman" w:hAnsi="Times New Roman" w:cs="Times New Roman"/>
          <w:spacing w:val="4"/>
          <w:szCs w:val="24"/>
        </w:rPr>
        <w:t> </w:t>
      </w:r>
      <w:r w:rsidR="00096EE3" w:rsidRPr="004D42C5">
        <w:rPr>
          <w:rFonts w:ascii="Times New Roman" w:hAnsi="Times New Roman" w:cs="Times New Roman"/>
          <w:spacing w:val="4"/>
          <w:szCs w:val="24"/>
        </w:rPr>
        <w:t>zagospodarowania przestrzennego oraz mieszkalnictwa</w:t>
      </w:r>
      <w:r w:rsidR="001F5619">
        <w:rPr>
          <w:rFonts w:ascii="Times New Roman" w:hAnsi="Times New Roman" w:cs="Times New Roman"/>
          <w:spacing w:val="4"/>
          <w:szCs w:val="24"/>
        </w:rPr>
        <w:t>.</w:t>
      </w:r>
    </w:p>
    <w:p w:rsidR="00BE7940" w:rsidRPr="004D42C5"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16 ust. 1</w:t>
      </w:r>
      <w:r w:rsidRPr="004D42C5">
        <w:rPr>
          <w:rFonts w:ascii="Times New Roman" w:eastAsia="Calibri" w:hAnsi="Times New Roman" w:cs="Times New Roman"/>
          <w:spacing w:val="4"/>
          <w:szCs w:val="24"/>
          <w:lang w:eastAsia="en-US"/>
        </w:rPr>
        <w:t xml:space="preserve"> – przepis wymaga doprecyzowania, gdyż obecne brzmienie </w:t>
      </w:r>
      <w:r w:rsidR="008C654A" w:rsidRPr="004D42C5">
        <w:rPr>
          <w:rFonts w:ascii="Times New Roman" w:eastAsia="Calibri" w:hAnsi="Times New Roman" w:cs="Times New Roman"/>
          <w:spacing w:val="4"/>
          <w:szCs w:val="24"/>
          <w:lang w:eastAsia="en-US"/>
        </w:rPr>
        <w:t>budzi uzasadnione wątpliwości</w:t>
      </w:r>
      <w:r w:rsidRPr="004D42C5">
        <w:rPr>
          <w:rFonts w:ascii="Times New Roman" w:eastAsia="Calibri" w:hAnsi="Times New Roman" w:cs="Times New Roman"/>
          <w:spacing w:val="4"/>
          <w:szCs w:val="24"/>
          <w:lang w:eastAsia="en-US"/>
        </w:rPr>
        <w:t xml:space="preserve">. Specyfika instytucji użytkowania wieczystego, które jest prawem ustanawianym na gruncie stanowiącym własność Skarbu Państwa </w:t>
      </w:r>
      <w:r w:rsidRPr="004D42C5">
        <w:rPr>
          <w:rFonts w:ascii="Times New Roman" w:eastAsia="Calibri" w:hAnsi="Times New Roman" w:cs="Times New Roman"/>
          <w:spacing w:val="4"/>
          <w:szCs w:val="24"/>
          <w:lang w:eastAsia="en-US"/>
        </w:rPr>
        <w:lastRenderedPageBreak/>
        <w:t>lub jednostki samorządu terytorialnego powoduje, że w przypadku zrzeczenia się użytkowania wieczystego przez państwową lub samorządową osobę prawną na rzecz odpowiednio Skarbu Państwa lub jednostki samorządu terytorialnego następuje konfuzja praw, która skutkuje wygaśnięciem zrzeczonego prawa</w:t>
      </w:r>
      <w:r w:rsidR="006215BD" w:rsidRPr="004D42C5">
        <w:rPr>
          <w:rFonts w:ascii="Times New Roman" w:eastAsia="Calibri" w:hAnsi="Times New Roman" w:cs="Times New Roman"/>
          <w:spacing w:val="4"/>
          <w:szCs w:val="24"/>
          <w:lang w:eastAsia="en-US"/>
        </w:rPr>
        <w:t>,</w:t>
      </w:r>
      <w:r w:rsidRPr="004D42C5">
        <w:rPr>
          <w:rFonts w:ascii="Times New Roman" w:eastAsia="Calibri" w:hAnsi="Times New Roman" w:cs="Times New Roman"/>
          <w:spacing w:val="4"/>
          <w:szCs w:val="24"/>
          <w:lang w:eastAsia="en-US"/>
        </w:rPr>
        <w:t xml:space="preserve"> gdyż np. gmina nie może być użytkownikiem wieczystym gruntu stanowiącego jej własność. Powstaje natomiast pytanie, czy w sytuacji zrzeczenia się przez państwową osobę prawną użytkowania wieczystego obciążającego grunt gminy prawo wygasa, czy też przechodzi na rzecz Skarbu Państwa. W celu wyeliminowania wątpliwości zaproponowano zatem</w:t>
      </w:r>
      <w:r w:rsidR="007B2772" w:rsidRPr="004D42C5">
        <w:rPr>
          <w:rFonts w:ascii="Times New Roman" w:eastAsia="Calibri" w:hAnsi="Times New Roman" w:cs="Times New Roman"/>
          <w:spacing w:val="4"/>
          <w:szCs w:val="24"/>
          <w:lang w:eastAsia="en-US"/>
        </w:rPr>
        <w:t xml:space="preserve"> </w:t>
      </w:r>
      <w:r w:rsidR="00AF123A" w:rsidRPr="004D42C5">
        <w:rPr>
          <w:rFonts w:ascii="Times New Roman" w:eastAsia="Calibri" w:hAnsi="Times New Roman" w:cs="Times New Roman"/>
          <w:spacing w:val="4"/>
          <w:szCs w:val="24"/>
          <w:lang w:eastAsia="en-US"/>
        </w:rPr>
        <w:t>jednoznaczne</w:t>
      </w:r>
      <w:r w:rsidRPr="004D42C5">
        <w:rPr>
          <w:rFonts w:ascii="Times New Roman" w:eastAsia="Calibri" w:hAnsi="Times New Roman" w:cs="Times New Roman"/>
          <w:spacing w:val="4"/>
          <w:szCs w:val="24"/>
          <w:lang w:eastAsia="en-US"/>
        </w:rPr>
        <w:t xml:space="preserve"> rozstrzyg</w:t>
      </w:r>
      <w:r w:rsidR="00AF123A" w:rsidRPr="004D42C5">
        <w:rPr>
          <w:rFonts w:ascii="Times New Roman" w:eastAsia="Calibri" w:hAnsi="Times New Roman" w:cs="Times New Roman"/>
          <w:spacing w:val="4"/>
          <w:szCs w:val="24"/>
          <w:lang w:eastAsia="en-US"/>
        </w:rPr>
        <w:t>nięcie</w:t>
      </w:r>
      <w:r w:rsidRPr="004D42C5">
        <w:rPr>
          <w:rFonts w:ascii="Times New Roman" w:eastAsia="Calibri" w:hAnsi="Times New Roman" w:cs="Times New Roman"/>
          <w:spacing w:val="4"/>
          <w:szCs w:val="24"/>
          <w:lang w:eastAsia="en-US"/>
        </w:rPr>
        <w:t xml:space="preserve">, że w sytuacji zrzeczenia </w:t>
      </w:r>
      <w:r w:rsidR="004F5602">
        <w:rPr>
          <w:rFonts w:ascii="Times New Roman" w:eastAsia="Calibri" w:hAnsi="Times New Roman" w:cs="Times New Roman"/>
          <w:spacing w:val="4"/>
          <w:szCs w:val="24"/>
          <w:lang w:eastAsia="en-US"/>
        </w:rPr>
        <w:t xml:space="preserve">się </w:t>
      </w:r>
      <w:r w:rsidRPr="004D42C5">
        <w:rPr>
          <w:rFonts w:ascii="Times New Roman" w:eastAsia="Calibri" w:hAnsi="Times New Roman" w:cs="Times New Roman"/>
          <w:spacing w:val="4"/>
          <w:szCs w:val="24"/>
          <w:lang w:eastAsia="en-US"/>
        </w:rPr>
        <w:t>prawa użytkowania wieczystego prawo to wygasa.</w:t>
      </w:r>
    </w:p>
    <w:p w:rsidR="00BA119C" w:rsidRPr="004D42C5"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23 ust. 2</w:t>
      </w:r>
      <w:r w:rsidR="00EC25F3" w:rsidRPr="004D42C5">
        <w:rPr>
          <w:rFonts w:ascii="Times New Roman" w:eastAsia="Calibri" w:hAnsi="Times New Roman" w:cs="Times New Roman"/>
          <w:b/>
          <w:spacing w:val="4"/>
          <w:szCs w:val="24"/>
          <w:lang w:eastAsia="en-US"/>
        </w:rPr>
        <w:t>,</w:t>
      </w:r>
      <w:r w:rsidRPr="004D42C5">
        <w:rPr>
          <w:rFonts w:ascii="Times New Roman" w:eastAsia="Calibri" w:hAnsi="Times New Roman" w:cs="Times New Roman"/>
          <w:b/>
          <w:spacing w:val="4"/>
          <w:szCs w:val="24"/>
          <w:lang w:eastAsia="en-US"/>
        </w:rPr>
        <w:t xml:space="preserve"> art. 25 ust. 3</w:t>
      </w:r>
      <w:r w:rsidR="00EC25F3" w:rsidRPr="004D42C5">
        <w:rPr>
          <w:rFonts w:ascii="Times New Roman" w:eastAsia="Calibri" w:hAnsi="Times New Roman" w:cs="Times New Roman"/>
          <w:b/>
          <w:spacing w:val="4"/>
          <w:szCs w:val="24"/>
          <w:lang w:eastAsia="en-US"/>
        </w:rPr>
        <w:t>, art. 25b i art. 25d</w:t>
      </w:r>
      <w:r w:rsidRPr="004D42C5">
        <w:rPr>
          <w:rFonts w:ascii="Times New Roman" w:eastAsia="Calibri" w:hAnsi="Times New Roman" w:cs="Times New Roman"/>
          <w:spacing w:val="4"/>
          <w:szCs w:val="24"/>
          <w:lang w:eastAsia="en-US"/>
        </w:rPr>
        <w:t xml:space="preserve"> –</w:t>
      </w:r>
      <w:r w:rsidR="00EC25F3" w:rsidRPr="004D42C5">
        <w:rPr>
          <w:rFonts w:ascii="Times New Roman" w:eastAsia="Calibri" w:hAnsi="Times New Roman" w:cs="Times New Roman"/>
          <w:spacing w:val="4"/>
          <w:szCs w:val="24"/>
          <w:lang w:eastAsia="en-US"/>
        </w:rPr>
        <w:t xml:space="preserve"> w związku z</w:t>
      </w:r>
      <w:r w:rsidR="007B2772" w:rsidRPr="004D42C5">
        <w:rPr>
          <w:rFonts w:ascii="Times New Roman" w:eastAsia="Calibri" w:hAnsi="Times New Roman" w:cs="Times New Roman"/>
          <w:spacing w:val="4"/>
          <w:szCs w:val="24"/>
          <w:lang w:eastAsia="en-US"/>
        </w:rPr>
        <w:t xml:space="preserve"> </w:t>
      </w:r>
      <w:r w:rsidR="00EC25F3" w:rsidRPr="004D42C5">
        <w:rPr>
          <w:rFonts w:ascii="Times New Roman" w:eastAsia="Calibri" w:hAnsi="Times New Roman" w:cs="Times New Roman"/>
          <w:spacing w:val="4"/>
          <w:szCs w:val="24"/>
          <w:lang w:eastAsia="en-US"/>
        </w:rPr>
        <w:t>u</w:t>
      </w:r>
      <w:r w:rsidRPr="004D42C5">
        <w:rPr>
          <w:rFonts w:ascii="Times New Roman" w:hAnsi="Times New Roman" w:cs="Times New Roman"/>
          <w:szCs w:val="24"/>
        </w:rPr>
        <w:t>chwaleni</w:t>
      </w:r>
      <w:r w:rsidR="008C654A" w:rsidRPr="004D42C5">
        <w:rPr>
          <w:rFonts w:ascii="Times New Roman" w:hAnsi="Times New Roman" w:cs="Times New Roman"/>
          <w:szCs w:val="24"/>
        </w:rPr>
        <w:t>e</w:t>
      </w:r>
      <w:r w:rsidR="00EC25F3" w:rsidRPr="004D42C5">
        <w:rPr>
          <w:rFonts w:ascii="Times New Roman" w:hAnsi="Times New Roman" w:cs="Times New Roman"/>
          <w:szCs w:val="24"/>
        </w:rPr>
        <w:t>m</w:t>
      </w:r>
      <w:r w:rsidRPr="004D42C5">
        <w:rPr>
          <w:rFonts w:ascii="Times New Roman" w:hAnsi="Times New Roman" w:cs="Times New Roman"/>
          <w:szCs w:val="24"/>
        </w:rPr>
        <w:t xml:space="preserve"> ustawy z dnia 13 czerwca 2013 r. o zmianie ustaw regulujących wykonywanie niektórych zawodów (Dz. U. poz. 829), z przepisów ugn </w:t>
      </w:r>
      <w:r w:rsidR="00EC25F3" w:rsidRPr="004D42C5">
        <w:rPr>
          <w:rFonts w:ascii="Times New Roman" w:hAnsi="Times New Roman" w:cs="Times New Roman"/>
          <w:szCs w:val="24"/>
        </w:rPr>
        <w:t>usunięto</w:t>
      </w:r>
      <w:r w:rsidR="00EC25F3" w:rsidRPr="004D42C5">
        <w:rPr>
          <w:rFonts w:ascii="Times New Roman" w:hAnsi="Times New Roman" w:cs="Times New Roman"/>
          <w:b/>
          <w:szCs w:val="24"/>
        </w:rPr>
        <w:t xml:space="preserve"> </w:t>
      </w:r>
      <w:r w:rsidR="00640C73" w:rsidRPr="004D42C5">
        <w:rPr>
          <w:rFonts w:ascii="Times New Roman" w:hAnsi="Times New Roman" w:cs="Times New Roman"/>
          <w:szCs w:val="24"/>
        </w:rPr>
        <w:t xml:space="preserve">większość regulacji dotyczących </w:t>
      </w:r>
      <w:r w:rsidRPr="004D42C5">
        <w:rPr>
          <w:rFonts w:ascii="Times New Roman" w:hAnsi="Times New Roman" w:cs="Times New Roman"/>
          <w:szCs w:val="24"/>
        </w:rPr>
        <w:t>zaw</w:t>
      </w:r>
      <w:r w:rsidR="00640C73" w:rsidRPr="004D42C5">
        <w:rPr>
          <w:rFonts w:ascii="Times New Roman" w:hAnsi="Times New Roman" w:cs="Times New Roman"/>
          <w:szCs w:val="24"/>
        </w:rPr>
        <w:t>o</w:t>
      </w:r>
      <w:r w:rsidRPr="004D42C5">
        <w:rPr>
          <w:rFonts w:ascii="Times New Roman" w:hAnsi="Times New Roman" w:cs="Times New Roman"/>
          <w:szCs w:val="24"/>
        </w:rPr>
        <w:t>d</w:t>
      </w:r>
      <w:r w:rsidR="00640C73" w:rsidRPr="004D42C5">
        <w:rPr>
          <w:rFonts w:ascii="Times New Roman" w:hAnsi="Times New Roman" w:cs="Times New Roman"/>
          <w:szCs w:val="24"/>
        </w:rPr>
        <w:t>u</w:t>
      </w:r>
      <w:r w:rsidRPr="004D42C5">
        <w:rPr>
          <w:rFonts w:ascii="Times New Roman" w:hAnsi="Times New Roman" w:cs="Times New Roman"/>
          <w:szCs w:val="24"/>
        </w:rPr>
        <w:t xml:space="preserve"> pośrednika w obrocie</w:t>
      </w:r>
      <w:r w:rsidR="005434D8" w:rsidRPr="004D42C5">
        <w:rPr>
          <w:rFonts w:ascii="Times New Roman" w:hAnsi="Times New Roman" w:cs="Times New Roman"/>
          <w:szCs w:val="24"/>
        </w:rPr>
        <w:t xml:space="preserve"> nieruchomościami</w:t>
      </w:r>
      <w:r w:rsidRPr="004D42C5">
        <w:rPr>
          <w:rFonts w:ascii="Times New Roman" w:hAnsi="Times New Roman" w:cs="Times New Roman"/>
          <w:szCs w:val="24"/>
        </w:rPr>
        <w:t xml:space="preserve"> i zarządcy nieruchomości</w:t>
      </w:r>
      <w:r w:rsidR="00EC25F3" w:rsidRPr="004D42C5">
        <w:rPr>
          <w:rFonts w:ascii="Times New Roman" w:hAnsi="Times New Roman" w:cs="Times New Roman"/>
          <w:szCs w:val="24"/>
        </w:rPr>
        <w:t>.</w:t>
      </w:r>
      <w:r w:rsidRPr="004D42C5">
        <w:rPr>
          <w:rFonts w:ascii="Times New Roman" w:hAnsi="Times New Roman" w:cs="Times New Roman"/>
          <w:szCs w:val="24"/>
        </w:rPr>
        <w:t xml:space="preserve"> </w:t>
      </w:r>
      <w:r w:rsidR="00EC25F3" w:rsidRPr="004D42C5">
        <w:rPr>
          <w:rFonts w:ascii="Times New Roman" w:hAnsi="Times New Roman" w:cs="Times New Roman"/>
          <w:szCs w:val="24"/>
        </w:rPr>
        <w:t>S</w:t>
      </w:r>
      <w:r w:rsidR="008C654A" w:rsidRPr="004D42C5">
        <w:rPr>
          <w:rFonts w:ascii="Times New Roman" w:hAnsi="Times New Roman" w:cs="Times New Roman"/>
          <w:szCs w:val="24"/>
        </w:rPr>
        <w:t>powodowało</w:t>
      </w:r>
      <w:r w:rsidRPr="004D42C5">
        <w:rPr>
          <w:rFonts w:ascii="Times New Roman" w:hAnsi="Times New Roman" w:cs="Times New Roman"/>
          <w:szCs w:val="24"/>
        </w:rPr>
        <w:t xml:space="preserve"> </w:t>
      </w:r>
      <w:r w:rsidR="00EC25F3" w:rsidRPr="004D42C5">
        <w:rPr>
          <w:rFonts w:ascii="Times New Roman" w:hAnsi="Times New Roman" w:cs="Times New Roman"/>
          <w:szCs w:val="24"/>
        </w:rPr>
        <w:t xml:space="preserve">to </w:t>
      </w:r>
      <w:r w:rsidRPr="004D42C5">
        <w:rPr>
          <w:rFonts w:ascii="Times New Roman" w:hAnsi="Times New Roman" w:cs="Times New Roman"/>
          <w:szCs w:val="24"/>
        </w:rPr>
        <w:t>wyłączenie możliwości powierzenia niektórych czynności gospodarowania zasobem publicznym</w:t>
      </w:r>
      <w:r w:rsidR="00B65F1B" w:rsidRPr="004D42C5">
        <w:rPr>
          <w:rFonts w:ascii="Times New Roman" w:hAnsi="Times New Roman" w:cs="Times New Roman"/>
          <w:szCs w:val="24"/>
        </w:rPr>
        <w:t xml:space="preserve"> osobom wykonującym te zawody</w:t>
      </w:r>
      <w:r w:rsidRPr="004D42C5">
        <w:rPr>
          <w:rFonts w:ascii="Times New Roman" w:hAnsi="Times New Roman" w:cs="Times New Roman"/>
          <w:szCs w:val="24"/>
        </w:rPr>
        <w:t xml:space="preserve">. W konsekwencji powyższego </w:t>
      </w:r>
      <w:r w:rsidR="008C654A" w:rsidRPr="004D42C5">
        <w:rPr>
          <w:rFonts w:ascii="Times New Roman" w:hAnsi="Times New Roman" w:cs="Times New Roman"/>
          <w:szCs w:val="24"/>
        </w:rPr>
        <w:t>obowiązując</w:t>
      </w:r>
      <w:r w:rsidR="00EC25F3" w:rsidRPr="004D42C5">
        <w:rPr>
          <w:rFonts w:ascii="Times New Roman" w:eastAsia="Calibri" w:hAnsi="Times New Roman" w:cs="Times New Roman"/>
          <w:spacing w:val="4"/>
          <w:szCs w:val="24"/>
          <w:lang w:eastAsia="en-US"/>
        </w:rPr>
        <w:t xml:space="preserve">e </w:t>
      </w:r>
      <w:r w:rsidR="008C654A" w:rsidRPr="004D42C5">
        <w:rPr>
          <w:rFonts w:ascii="Times New Roman" w:eastAsia="Calibri" w:hAnsi="Times New Roman" w:cs="Times New Roman"/>
          <w:spacing w:val="4"/>
          <w:szCs w:val="24"/>
          <w:lang w:eastAsia="en-US"/>
        </w:rPr>
        <w:t>przepis</w:t>
      </w:r>
      <w:r w:rsidR="00EC25F3" w:rsidRPr="004D42C5">
        <w:rPr>
          <w:rFonts w:ascii="Times New Roman" w:eastAsia="Calibri" w:hAnsi="Times New Roman" w:cs="Times New Roman"/>
          <w:spacing w:val="4"/>
          <w:szCs w:val="24"/>
          <w:lang w:eastAsia="en-US"/>
        </w:rPr>
        <w:t>y</w:t>
      </w:r>
      <w:r w:rsidRPr="004D42C5">
        <w:rPr>
          <w:rFonts w:ascii="Times New Roman" w:eastAsia="Calibri" w:hAnsi="Times New Roman" w:cs="Times New Roman"/>
          <w:spacing w:val="4"/>
          <w:szCs w:val="24"/>
          <w:lang w:eastAsia="en-US"/>
        </w:rPr>
        <w:t xml:space="preserve"> </w:t>
      </w:r>
      <w:r w:rsidR="008C654A" w:rsidRPr="004D42C5">
        <w:rPr>
          <w:rFonts w:ascii="Times New Roman" w:eastAsia="Calibri" w:hAnsi="Times New Roman" w:cs="Times New Roman"/>
          <w:spacing w:val="4"/>
          <w:szCs w:val="24"/>
          <w:lang w:eastAsia="en-US"/>
        </w:rPr>
        <w:t>przewiduj</w:t>
      </w:r>
      <w:r w:rsidR="00EC25F3" w:rsidRPr="004D42C5">
        <w:rPr>
          <w:rFonts w:ascii="Times New Roman" w:eastAsia="Calibri" w:hAnsi="Times New Roman" w:cs="Times New Roman"/>
          <w:spacing w:val="4"/>
          <w:szCs w:val="24"/>
          <w:lang w:eastAsia="en-US"/>
        </w:rPr>
        <w:t>ą</w:t>
      </w:r>
      <w:r w:rsidRPr="004D42C5">
        <w:rPr>
          <w:rFonts w:ascii="Times New Roman" w:eastAsia="Calibri" w:hAnsi="Times New Roman" w:cs="Times New Roman"/>
          <w:spacing w:val="4"/>
          <w:szCs w:val="24"/>
          <w:lang w:eastAsia="en-US"/>
        </w:rPr>
        <w:t xml:space="preserve"> możliwość scedowania </w:t>
      </w:r>
      <w:r w:rsidR="00EC25F3" w:rsidRPr="004D42C5">
        <w:rPr>
          <w:rFonts w:ascii="Times New Roman" w:eastAsia="Calibri" w:hAnsi="Times New Roman" w:cs="Times New Roman"/>
          <w:spacing w:val="4"/>
          <w:szCs w:val="24"/>
          <w:lang w:eastAsia="en-US"/>
        </w:rPr>
        <w:t xml:space="preserve">niektórych </w:t>
      </w:r>
      <w:r w:rsidRPr="004D42C5">
        <w:rPr>
          <w:rFonts w:ascii="Times New Roman" w:eastAsia="Calibri" w:hAnsi="Times New Roman" w:cs="Times New Roman"/>
          <w:spacing w:val="4"/>
          <w:szCs w:val="24"/>
          <w:lang w:eastAsia="en-US"/>
        </w:rPr>
        <w:t xml:space="preserve">czynności z zakresu gospodarowania nieruchomościami wyłącznie na rzeczoznawców majątkowych bądź podmioty, które zatrudniają rzeczoznawców majątkowych. </w:t>
      </w:r>
      <w:r w:rsidRPr="004D42C5">
        <w:rPr>
          <w:rFonts w:ascii="Times New Roman" w:hAnsi="Times New Roman" w:cs="Times New Roman"/>
          <w:szCs w:val="24"/>
        </w:rPr>
        <w:t xml:space="preserve">Postulowane jest uelastycznienie przepisu w </w:t>
      </w:r>
      <w:r w:rsidR="00AF123A" w:rsidRPr="004D42C5">
        <w:rPr>
          <w:rFonts w:ascii="Times New Roman" w:hAnsi="Times New Roman" w:cs="Times New Roman"/>
          <w:szCs w:val="24"/>
        </w:rPr>
        <w:t xml:space="preserve">celu umożliwienia </w:t>
      </w:r>
      <w:r w:rsidRPr="004D42C5">
        <w:rPr>
          <w:rFonts w:ascii="Times New Roman" w:hAnsi="Times New Roman" w:cs="Times New Roman"/>
          <w:szCs w:val="24"/>
        </w:rPr>
        <w:t>organom samodzieln</w:t>
      </w:r>
      <w:r w:rsidR="00274C01" w:rsidRPr="004D42C5">
        <w:rPr>
          <w:rFonts w:ascii="Times New Roman" w:hAnsi="Times New Roman" w:cs="Times New Roman"/>
          <w:szCs w:val="24"/>
        </w:rPr>
        <w:t>ego</w:t>
      </w:r>
      <w:r w:rsidR="007B2772" w:rsidRPr="004D42C5">
        <w:rPr>
          <w:rFonts w:ascii="Times New Roman" w:hAnsi="Times New Roman" w:cs="Times New Roman"/>
          <w:szCs w:val="24"/>
        </w:rPr>
        <w:t xml:space="preserve"> </w:t>
      </w:r>
      <w:r w:rsidRPr="004D42C5">
        <w:rPr>
          <w:rFonts w:ascii="Times New Roman" w:hAnsi="Times New Roman" w:cs="Times New Roman"/>
          <w:szCs w:val="24"/>
        </w:rPr>
        <w:t>wyb</w:t>
      </w:r>
      <w:r w:rsidR="00274C01" w:rsidRPr="004D42C5">
        <w:rPr>
          <w:rFonts w:ascii="Times New Roman" w:hAnsi="Times New Roman" w:cs="Times New Roman"/>
          <w:szCs w:val="24"/>
        </w:rPr>
        <w:t>oru</w:t>
      </w:r>
      <w:r w:rsidRPr="004D42C5">
        <w:rPr>
          <w:rFonts w:ascii="Times New Roman" w:hAnsi="Times New Roman" w:cs="Times New Roman"/>
          <w:szCs w:val="24"/>
        </w:rPr>
        <w:t xml:space="preserve"> podmiotu, któremu zostaną powierzone czynności gospodarowania zasobem publicznym. </w:t>
      </w:r>
      <w:r w:rsidR="00EC4732" w:rsidRPr="004D42C5">
        <w:rPr>
          <w:rFonts w:ascii="Times New Roman" w:eastAsia="Calibri" w:hAnsi="Times New Roman" w:cs="Times New Roman"/>
          <w:spacing w:val="4"/>
          <w:szCs w:val="24"/>
          <w:lang w:eastAsia="en-US"/>
        </w:rPr>
        <w:t>Jednocześnie z</w:t>
      </w:r>
      <w:r w:rsidR="005B769D" w:rsidRPr="004D42C5">
        <w:rPr>
          <w:rFonts w:ascii="Times New Roman" w:eastAsia="Calibri" w:hAnsi="Times New Roman" w:cs="Times New Roman"/>
          <w:spacing w:val="4"/>
          <w:szCs w:val="24"/>
          <w:lang w:eastAsia="en-US"/>
        </w:rPr>
        <w:t>aproponowano uchylenie przepis</w:t>
      </w:r>
      <w:r w:rsidR="00B65F1B" w:rsidRPr="004D42C5">
        <w:rPr>
          <w:rFonts w:ascii="Times New Roman" w:eastAsia="Calibri" w:hAnsi="Times New Roman" w:cs="Times New Roman"/>
          <w:spacing w:val="4"/>
          <w:szCs w:val="24"/>
          <w:lang w:eastAsia="en-US"/>
        </w:rPr>
        <w:t>ów</w:t>
      </w:r>
      <w:r w:rsidR="005B769D" w:rsidRPr="004D42C5">
        <w:rPr>
          <w:rFonts w:ascii="Times New Roman" w:eastAsia="Calibri" w:hAnsi="Times New Roman" w:cs="Times New Roman"/>
          <w:spacing w:val="4"/>
          <w:szCs w:val="24"/>
          <w:lang w:eastAsia="en-US"/>
        </w:rPr>
        <w:t xml:space="preserve"> art. 23 ust. 2 i art. 25 ust. 3</w:t>
      </w:r>
      <w:r w:rsidR="00EC4732" w:rsidRPr="004D42C5">
        <w:rPr>
          <w:rFonts w:ascii="Times New Roman" w:eastAsia="Calibri" w:hAnsi="Times New Roman" w:cs="Times New Roman"/>
          <w:spacing w:val="4"/>
          <w:szCs w:val="24"/>
          <w:lang w:eastAsia="en-US"/>
        </w:rPr>
        <w:t xml:space="preserve">, co oznacza, że </w:t>
      </w:r>
      <w:r w:rsidR="00EC25F3" w:rsidRPr="004D42C5">
        <w:rPr>
          <w:rFonts w:ascii="Times New Roman" w:eastAsia="Calibri" w:hAnsi="Times New Roman" w:cs="Times New Roman"/>
          <w:spacing w:val="4"/>
          <w:szCs w:val="24"/>
          <w:lang w:eastAsia="en-US"/>
        </w:rPr>
        <w:t xml:space="preserve">możliwe będzie powierzanie niektórych czynności z tego zakresu </w:t>
      </w:r>
      <w:r w:rsidR="00A7073F" w:rsidRPr="004D42C5">
        <w:rPr>
          <w:rFonts w:ascii="Times New Roman" w:eastAsia="Calibri" w:hAnsi="Times New Roman" w:cs="Times New Roman"/>
          <w:spacing w:val="4"/>
          <w:szCs w:val="24"/>
          <w:lang w:eastAsia="en-US"/>
        </w:rPr>
        <w:t>podmiotom tworzonym przez samorządy lub Skarb Państwa na podstawie odrębnych przepisów. Taka praktyka ma już miejsce obecnie. Wiele samorządów powołuje bowiem jednostki organizacyjne, które wykonują zadania zarządzania i</w:t>
      </w:r>
      <w:r w:rsidR="007B2772" w:rsidRPr="004D42C5">
        <w:rPr>
          <w:rFonts w:ascii="Times New Roman" w:eastAsia="Calibri" w:hAnsi="Times New Roman" w:cs="Times New Roman"/>
          <w:spacing w:val="4"/>
          <w:szCs w:val="24"/>
          <w:lang w:eastAsia="en-US"/>
        </w:rPr>
        <w:t> </w:t>
      </w:r>
      <w:r w:rsidR="00A7073F" w:rsidRPr="004D42C5">
        <w:rPr>
          <w:rFonts w:ascii="Times New Roman" w:eastAsia="Calibri" w:hAnsi="Times New Roman" w:cs="Times New Roman"/>
          <w:spacing w:val="4"/>
          <w:szCs w:val="24"/>
          <w:lang w:eastAsia="en-US"/>
        </w:rPr>
        <w:t xml:space="preserve">administrowania nieruchomościami stanowiącymi własność tych samorządów. Modyfikacja treści art. 25b i art. 25d jest konsekwencją uchylenia ust. 3 </w:t>
      </w:r>
      <w:r w:rsidR="00274C01" w:rsidRPr="004D42C5">
        <w:rPr>
          <w:rFonts w:ascii="Times New Roman" w:eastAsia="Calibri" w:hAnsi="Times New Roman" w:cs="Times New Roman"/>
          <w:spacing w:val="4"/>
          <w:szCs w:val="24"/>
          <w:lang w:eastAsia="en-US"/>
        </w:rPr>
        <w:t>w</w:t>
      </w:r>
      <w:r w:rsidR="007B2772" w:rsidRPr="004D42C5">
        <w:rPr>
          <w:rFonts w:ascii="Times New Roman" w:eastAsia="Calibri" w:hAnsi="Times New Roman" w:cs="Times New Roman"/>
          <w:spacing w:val="4"/>
          <w:szCs w:val="24"/>
          <w:lang w:eastAsia="en-US"/>
        </w:rPr>
        <w:t> </w:t>
      </w:r>
      <w:r w:rsidR="00AF123A" w:rsidRPr="004D42C5">
        <w:rPr>
          <w:rFonts w:ascii="Times New Roman" w:eastAsia="Calibri" w:hAnsi="Times New Roman" w:cs="Times New Roman"/>
          <w:spacing w:val="4"/>
          <w:szCs w:val="24"/>
          <w:lang w:eastAsia="en-US"/>
        </w:rPr>
        <w:t>art.</w:t>
      </w:r>
      <w:r w:rsidR="007B2772" w:rsidRPr="004D42C5">
        <w:rPr>
          <w:rFonts w:ascii="Times New Roman" w:eastAsia="Calibri" w:hAnsi="Times New Roman" w:cs="Times New Roman"/>
          <w:spacing w:val="4"/>
          <w:szCs w:val="24"/>
          <w:lang w:eastAsia="en-US"/>
        </w:rPr>
        <w:t> </w:t>
      </w:r>
      <w:r w:rsidR="00AF123A" w:rsidRPr="004D42C5">
        <w:rPr>
          <w:rFonts w:ascii="Times New Roman" w:eastAsia="Calibri" w:hAnsi="Times New Roman" w:cs="Times New Roman"/>
          <w:spacing w:val="4"/>
          <w:szCs w:val="24"/>
          <w:lang w:eastAsia="en-US"/>
        </w:rPr>
        <w:t xml:space="preserve">25, a także wynika ze zmian przepisów określających </w:t>
      </w:r>
      <w:r w:rsidR="004469A9" w:rsidRPr="004D42C5">
        <w:rPr>
          <w:rFonts w:ascii="Times New Roman" w:eastAsia="Calibri" w:hAnsi="Times New Roman" w:cs="Times New Roman"/>
          <w:spacing w:val="4"/>
          <w:szCs w:val="24"/>
          <w:lang w:eastAsia="en-US"/>
        </w:rPr>
        <w:t>zasady zarządzania mieniem państwowym, które weszły w życie z dniem 1 stycznia 2017 r.</w:t>
      </w:r>
    </w:p>
    <w:p w:rsidR="00BA119C" w:rsidRPr="004D42C5" w:rsidRDefault="00760D29"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lastRenderedPageBreak/>
        <w:t xml:space="preserve">art. </w:t>
      </w:r>
      <w:r w:rsidR="004F40BA" w:rsidRPr="004D42C5">
        <w:rPr>
          <w:rFonts w:ascii="Times New Roman" w:eastAsia="Calibri" w:hAnsi="Times New Roman" w:cs="Times New Roman"/>
          <w:b/>
          <w:spacing w:val="4"/>
          <w:szCs w:val="24"/>
          <w:lang w:eastAsia="en-US"/>
        </w:rPr>
        <w:t>34 ust. 4</w:t>
      </w:r>
      <w:r w:rsidR="001E2C6B" w:rsidRPr="004D42C5">
        <w:rPr>
          <w:rFonts w:ascii="Times New Roman" w:eastAsia="Calibri" w:hAnsi="Times New Roman" w:cs="Times New Roman"/>
          <w:spacing w:val="4"/>
          <w:szCs w:val="24"/>
          <w:lang w:eastAsia="en-US"/>
        </w:rPr>
        <w:t xml:space="preserve"> –</w:t>
      </w:r>
      <w:r w:rsidR="004D26F7" w:rsidRPr="004D42C5">
        <w:rPr>
          <w:rFonts w:ascii="Times New Roman" w:eastAsia="Calibri" w:hAnsi="Times New Roman" w:cs="Times New Roman"/>
          <w:spacing w:val="4"/>
          <w:szCs w:val="24"/>
          <w:lang w:eastAsia="en-US"/>
        </w:rPr>
        <w:t xml:space="preserve"> </w:t>
      </w:r>
      <w:r w:rsidR="00812A94" w:rsidRPr="004D42C5">
        <w:rPr>
          <w:rFonts w:ascii="Times New Roman" w:eastAsia="Calibri" w:hAnsi="Times New Roman" w:cs="Times New Roman"/>
          <w:spacing w:val="4"/>
          <w:szCs w:val="24"/>
          <w:lang w:eastAsia="en-US"/>
        </w:rPr>
        <w:t>z uwagi na „doniosły w</w:t>
      </w:r>
      <w:r w:rsidR="00947AAD" w:rsidRPr="004D42C5">
        <w:rPr>
          <w:rFonts w:ascii="Times New Roman" w:eastAsia="Calibri" w:hAnsi="Times New Roman" w:cs="Times New Roman"/>
          <w:spacing w:val="4"/>
          <w:szCs w:val="24"/>
          <w:lang w:eastAsia="en-US"/>
        </w:rPr>
        <w:t xml:space="preserve"> skutkach” charakter </w:t>
      </w:r>
      <w:r w:rsidR="00812A94" w:rsidRPr="004D42C5">
        <w:rPr>
          <w:rFonts w:ascii="Times New Roman" w:eastAsia="Calibri" w:hAnsi="Times New Roman" w:cs="Times New Roman"/>
          <w:spacing w:val="4"/>
          <w:szCs w:val="24"/>
          <w:lang w:eastAsia="en-US"/>
        </w:rPr>
        <w:t>zawiad</w:t>
      </w:r>
      <w:r w:rsidR="00BD28AF" w:rsidRPr="004D42C5">
        <w:rPr>
          <w:rFonts w:ascii="Times New Roman" w:eastAsia="Calibri" w:hAnsi="Times New Roman" w:cs="Times New Roman"/>
          <w:spacing w:val="4"/>
          <w:szCs w:val="24"/>
          <w:lang w:eastAsia="en-US"/>
        </w:rPr>
        <w:t>omienia</w:t>
      </w:r>
      <w:r w:rsidR="00812A94" w:rsidRPr="004D42C5">
        <w:rPr>
          <w:rFonts w:ascii="Times New Roman" w:eastAsia="Calibri" w:hAnsi="Times New Roman" w:cs="Times New Roman"/>
          <w:spacing w:val="4"/>
          <w:szCs w:val="24"/>
          <w:lang w:eastAsia="en-US"/>
        </w:rPr>
        <w:t xml:space="preserve"> </w:t>
      </w:r>
      <w:r w:rsidR="00947AAD" w:rsidRPr="004D42C5">
        <w:rPr>
          <w:rFonts w:ascii="Times New Roman" w:eastAsia="Calibri" w:hAnsi="Times New Roman" w:cs="Times New Roman"/>
          <w:spacing w:val="4"/>
          <w:szCs w:val="24"/>
          <w:lang w:eastAsia="en-US"/>
        </w:rPr>
        <w:t>o</w:t>
      </w:r>
      <w:r w:rsidR="007B2772" w:rsidRPr="004D42C5">
        <w:rPr>
          <w:rFonts w:ascii="Times New Roman" w:eastAsia="Calibri" w:hAnsi="Times New Roman" w:cs="Times New Roman"/>
          <w:spacing w:val="4"/>
          <w:szCs w:val="24"/>
          <w:lang w:eastAsia="en-US"/>
        </w:rPr>
        <w:t> </w:t>
      </w:r>
      <w:r w:rsidR="00947AAD" w:rsidRPr="004D42C5">
        <w:rPr>
          <w:rFonts w:ascii="Times New Roman" w:eastAsia="Calibri" w:hAnsi="Times New Roman" w:cs="Times New Roman"/>
          <w:spacing w:val="4"/>
          <w:szCs w:val="24"/>
          <w:lang w:eastAsia="en-US"/>
        </w:rPr>
        <w:t>przeznaczeniu nieruchomości do zbycia oraz przysługującym pierwszeństwie w nabyciu nieruchomości zaproponowano, aby dokument ten sporz</w:t>
      </w:r>
      <w:r w:rsidR="00BD28AF" w:rsidRPr="004D42C5">
        <w:rPr>
          <w:rFonts w:ascii="Times New Roman" w:eastAsia="Calibri" w:hAnsi="Times New Roman" w:cs="Times New Roman"/>
          <w:spacing w:val="4"/>
          <w:szCs w:val="24"/>
          <w:lang w:eastAsia="en-US"/>
        </w:rPr>
        <w:t>ądzany był wyłącznie w formie p</w:t>
      </w:r>
      <w:r w:rsidR="00947AAD" w:rsidRPr="004D42C5">
        <w:rPr>
          <w:rFonts w:ascii="Times New Roman" w:eastAsia="Calibri" w:hAnsi="Times New Roman" w:cs="Times New Roman"/>
          <w:spacing w:val="4"/>
          <w:szCs w:val="24"/>
          <w:lang w:eastAsia="en-US"/>
        </w:rPr>
        <w:t xml:space="preserve">apierowej. </w:t>
      </w:r>
    </w:p>
    <w:p w:rsidR="00760D29" w:rsidRPr="004D42C5" w:rsidRDefault="004F40BA"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 xml:space="preserve">art. </w:t>
      </w:r>
      <w:r w:rsidR="00760D29" w:rsidRPr="004D42C5">
        <w:rPr>
          <w:rFonts w:ascii="Times New Roman" w:eastAsia="Calibri" w:hAnsi="Times New Roman" w:cs="Times New Roman"/>
          <w:b/>
          <w:spacing w:val="4"/>
          <w:szCs w:val="24"/>
          <w:lang w:eastAsia="en-US"/>
        </w:rPr>
        <w:t>35</w:t>
      </w:r>
      <w:r w:rsidR="00760D29" w:rsidRPr="004D42C5">
        <w:rPr>
          <w:rFonts w:ascii="Times New Roman" w:eastAsia="Calibri" w:hAnsi="Times New Roman" w:cs="Times New Roman"/>
          <w:spacing w:val="4"/>
          <w:szCs w:val="24"/>
          <w:lang w:eastAsia="en-US"/>
        </w:rPr>
        <w:t xml:space="preserve"> </w:t>
      </w:r>
      <w:r w:rsidR="00760D29" w:rsidRPr="004D42C5">
        <w:rPr>
          <w:rFonts w:ascii="Times New Roman" w:eastAsia="Calibri" w:hAnsi="Times New Roman" w:cs="Times New Roman"/>
          <w:b/>
          <w:spacing w:val="4"/>
          <w:szCs w:val="24"/>
          <w:lang w:eastAsia="en-US"/>
        </w:rPr>
        <w:t>–</w:t>
      </w:r>
      <w:r w:rsidR="00760D29" w:rsidRPr="004D42C5">
        <w:rPr>
          <w:rFonts w:ascii="Times New Roman" w:eastAsia="Calibri" w:hAnsi="Times New Roman" w:cs="Times New Roman"/>
          <w:spacing w:val="4"/>
          <w:szCs w:val="24"/>
          <w:lang w:eastAsia="en-US"/>
        </w:rPr>
        <w:t xml:space="preserve"> propozycja ma na celu objęcie obowiązkiem zamieszczania w wykazie </w:t>
      </w:r>
      <w:r w:rsidR="00E318EA" w:rsidRPr="004D42C5">
        <w:rPr>
          <w:rFonts w:ascii="Times New Roman" w:eastAsia="Calibri" w:hAnsi="Times New Roman" w:cs="Times New Roman"/>
          <w:spacing w:val="4"/>
          <w:szCs w:val="24"/>
          <w:lang w:eastAsia="en-US"/>
        </w:rPr>
        <w:t>informacji o obrocie</w:t>
      </w:r>
      <w:r w:rsidR="00760D29" w:rsidRPr="004D42C5">
        <w:rPr>
          <w:rFonts w:ascii="Times New Roman" w:eastAsia="Calibri" w:hAnsi="Times New Roman" w:cs="Times New Roman"/>
          <w:spacing w:val="4"/>
          <w:szCs w:val="24"/>
          <w:lang w:eastAsia="en-US"/>
        </w:rPr>
        <w:t xml:space="preserve"> nieruchomości</w:t>
      </w:r>
      <w:r w:rsidR="00E318EA" w:rsidRPr="004D42C5">
        <w:rPr>
          <w:rFonts w:ascii="Times New Roman" w:eastAsia="Calibri" w:hAnsi="Times New Roman" w:cs="Times New Roman"/>
          <w:spacing w:val="4"/>
          <w:szCs w:val="24"/>
          <w:lang w:eastAsia="en-US"/>
        </w:rPr>
        <w:t>ami publicznymi</w:t>
      </w:r>
      <w:r w:rsidR="00760D29" w:rsidRPr="004D42C5">
        <w:rPr>
          <w:rFonts w:ascii="Times New Roman" w:eastAsia="Calibri" w:hAnsi="Times New Roman" w:cs="Times New Roman"/>
          <w:spacing w:val="4"/>
          <w:szCs w:val="24"/>
          <w:lang w:eastAsia="en-US"/>
        </w:rPr>
        <w:t xml:space="preserve">, niezależnie od formy prawnej dokonywanej czynności. Aktualnie brzmienie przepisu zawiera jednoznacznie określony katalog czynności (sprzedaż, oddanie w użytkowanie wieczyste, użytkowanie, najem lub dzierżawę), których dokonanie wymaga sporządzenia i opublikowania wykazu nieruchomości. Tym samym inne formy obrotu (np. zamiana, darowizna) nie są objęte ww. obowiązkiem. Z uwagi na zasadę jawności gospodarowania nieruchomościami </w:t>
      </w:r>
      <w:r w:rsidR="00EC4732" w:rsidRPr="004D42C5">
        <w:rPr>
          <w:rFonts w:ascii="Times New Roman" w:eastAsia="Calibri" w:hAnsi="Times New Roman" w:cs="Times New Roman"/>
          <w:spacing w:val="4"/>
          <w:szCs w:val="24"/>
          <w:lang w:eastAsia="en-US"/>
        </w:rPr>
        <w:t xml:space="preserve">publicznymi istnieje </w:t>
      </w:r>
      <w:r w:rsidR="00760D29" w:rsidRPr="004D42C5">
        <w:rPr>
          <w:rFonts w:ascii="Times New Roman" w:eastAsia="Calibri" w:hAnsi="Times New Roman" w:cs="Times New Roman"/>
          <w:spacing w:val="4"/>
          <w:szCs w:val="24"/>
          <w:lang w:eastAsia="en-US"/>
        </w:rPr>
        <w:t>potrzeba doprecyzowania ww. przepisu.</w:t>
      </w:r>
    </w:p>
    <w:p w:rsidR="00640C73" w:rsidRPr="004D42C5" w:rsidRDefault="005D7D5A"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hAnsi="Times New Roman" w:cs="Times New Roman"/>
          <w:b/>
          <w:spacing w:val="4"/>
          <w:szCs w:val="24"/>
        </w:rPr>
        <w:t>art. 37 ust. 3,</w:t>
      </w:r>
      <w:r w:rsidR="00BE7940" w:rsidRPr="004D42C5">
        <w:rPr>
          <w:rFonts w:ascii="Times New Roman" w:hAnsi="Times New Roman" w:cs="Times New Roman"/>
          <w:b/>
          <w:spacing w:val="4"/>
          <w:szCs w:val="24"/>
        </w:rPr>
        <w:t xml:space="preserve"> 3a</w:t>
      </w:r>
      <w:r w:rsidRPr="004D42C5">
        <w:rPr>
          <w:rFonts w:ascii="Times New Roman" w:hAnsi="Times New Roman" w:cs="Times New Roman"/>
          <w:b/>
          <w:spacing w:val="4"/>
          <w:szCs w:val="24"/>
        </w:rPr>
        <w:t xml:space="preserve"> i 3b</w:t>
      </w:r>
      <w:r w:rsidR="00BE7940" w:rsidRPr="004D42C5">
        <w:rPr>
          <w:rFonts w:ascii="Times New Roman" w:hAnsi="Times New Roman" w:cs="Times New Roman"/>
          <w:spacing w:val="4"/>
          <w:szCs w:val="24"/>
        </w:rPr>
        <w:t xml:space="preserve"> </w:t>
      </w:r>
      <w:r w:rsidR="007B2772" w:rsidRPr="004D42C5">
        <w:rPr>
          <w:rFonts w:ascii="Times New Roman" w:hAnsi="Times New Roman" w:cs="Times New Roman"/>
          <w:spacing w:val="4"/>
          <w:szCs w:val="24"/>
        </w:rPr>
        <w:t>–</w:t>
      </w:r>
      <w:r w:rsidR="00BE7940" w:rsidRPr="004D42C5">
        <w:rPr>
          <w:rFonts w:ascii="Times New Roman" w:hAnsi="Times New Roman" w:cs="Times New Roman"/>
          <w:spacing w:val="4"/>
          <w:szCs w:val="24"/>
        </w:rPr>
        <w:t xml:space="preserve"> projektowana zmiana ma </w:t>
      </w:r>
      <w:r w:rsidR="008C654A" w:rsidRPr="004D42C5">
        <w:rPr>
          <w:rFonts w:ascii="Times New Roman" w:hAnsi="Times New Roman" w:cs="Times New Roman"/>
          <w:spacing w:val="4"/>
          <w:szCs w:val="24"/>
        </w:rPr>
        <w:t>na</w:t>
      </w:r>
      <w:r w:rsidR="00BE7940" w:rsidRPr="004D42C5">
        <w:rPr>
          <w:rFonts w:ascii="Times New Roman" w:hAnsi="Times New Roman" w:cs="Times New Roman"/>
          <w:spacing w:val="4"/>
          <w:szCs w:val="24"/>
        </w:rPr>
        <w:t xml:space="preserve"> celu zapewnieni</w:t>
      </w:r>
      <w:r w:rsidR="008C654A" w:rsidRPr="004D42C5">
        <w:rPr>
          <w:rFonts w:ascii="Times New Roman" w:hAnsi="Times New Roman" w:cs="Times New Roman"/>
          <w:spacing w:val="4"/>
          <w:szCs w:val="24"/>
        </w:rPr>
        <w:t>e</w:t>
      </w:r>
      <w:r w:rsidR="00BE7940" w:rsidRPr="004D42C5">
        <w:rPr>
          <w:rFonts w:ascii="Times New Roman" w:hAnsi="Times New Roman" w:cs="Times New Roman"/>
          <w:spacing w:val="4"/>
          <w:szCs w:val="24"/>
        </w:rPr>
        <w:t xml:space="preserve"> jednolitej praktyki zbywania nieruchomości publicznych na rzecz ich długoletnich dzierżawców</w:t>
      </w:r>
      <w:r w:rsidR="005434D8" w:rsidRPr="004D42C5">
        <w:rPr>
          <w:rFonts w:ascii="Times New Roman" w:hAnsi="Times New Roman" w:cs="Times New Roman"/>
          <w:spacing w:val="4"/>
          <w:szCs w:val="24"/>
        </w:rPr>
        <w:t xml:space="preserve"> (ust. 3</w:t>
      </w:r>
      <w:r w:rsidR="00EC4732" w:rsidRPr="004D42C5">
        <w:rPr>
          <w:rFonts w:ascii="Times New Roman" w:hAnsi="Times New Roman" w:cs="Times New Roman"/>
          <w:spacing w:val="4"/>
          <w:szCs w:val="24"/>
        </w:rPr>
        <w:t>a pkt 1</w:t>
      </w:r>
      <w:r w:rsidR="005434D8" w:rsidRPr="004D42C5">
        <w:rPr>
          <w:rFonts w:ascii="Times New Roman" w:hAnsi="Times New Roman" w:cs="Times New Roman"/>
          <w:spacing w:val="4"/>
          <w:szCs w:val="24"/>
        </w:rPr>
        <w:t>)</w:t>
      </w:r>
      <w:r w:rsidR="00BE7940" w:rsidRPr="004D42C5">
        <w:rPr>
          <w:rFonts w:ascii="Times New Roman" w:hAnsi="Times New Roman" w:cs="Times New Roman"/>
          <w:spacing w:val="4"/>
          <w:szCs w:val="24"/>
        </w:rPr>
        <w:t xml:space="preserve">. </w:t>
      </w:r>
      <w:r w:rsidR="004469A9" w:rsidRPr="004D42C5">
        <w:rPr>
          <w:rFonts w:ascii="Times New Roman" w:hAnsi="Times New Roman" w:cs="Times New Roman"/>
          <w:spacing w:val="4"/>
          <w:szCs w:val="24"/>
        </w:rPr>
        <w:t>Zaistniałe dotychczas w</w:t>
      </w:r>
      <w:r w:rsidR="00BE7940" w:rsidRPr="004D42C5">
        <w:rPr>
          <w:rFonts w:ascii="Times New Roman" w:hAnsi="Times New Roman" w:cs="Times New Roman"/>
          <w:spacing w:val="4"/>
          <w:szCs w:val="24"/>
        </w:rPr>
        <w:t xml:space="preserve">ątpliwości </w:t>
      </w:r>
      <w:r w:rsidR="008C654A" w:rsidRPr="004D42C5">
        <w:rPr>
          <w:rFonts w:ascii="Times New Roman" w:hAnsi="Times New Roman" w:cs="Times New Roman"/>
          <w:spacing w:val="4"/>
          <w:szCs w:val="24"/>
        </w:rPr>
        <w:t xml:space="preserve">zostaną wyeliminowane </w:t>
      </w:r>
      <w:r w:rsidR="00BE7940" w:rsidRPr="004D42C5">
        <w:rPr>
          <w:rFonts w:ascii="Times New Roman" w:hAnsi="Times New Roman" w:cs="Times New Roman"/>
          <w:spacing w:val="4"/>
          <w:szCs w:val="24"/>
        </w:rPr>
        <w:t>w szczególności poprzez uwzględnienie wykładni zaprezentowanej w wyroku Wojewódzkiego Sądu Administracyjnego w</w:t>
      </w:r>
      <w:r w:rsidR="007B2772" w:rsidRPr="004D42C5">
        <w:rPr>
          <w:rFonts w:ascii="Times New Roman" w:hAnsi="Times New Roman" w:cs="Times New Roman"/>
          <w:spacing w:val="4"/>
          <w:szCs w:val="24"/>
        </w:rPr>
        <w:t> </w:t>
      </w:r>
      <w:r w:rsidR="00BE7940" w:rsidRPr="004D42C5">
        <w:rPr>
          <w:rFonts w:ascii="Times New Roman" w:hAnsi="Times New Roman" w:cs="Times New Roman"/>
          <w:spacing w:val="4"/>
          <w:szCs w:val="24"/>
        </w:rPr>
        <w:t xml:space="preserve">Gliwicach z dnia 28 września 2009 r. (sygn. akt II SA/Gl 137/2009). Zgodnie z sugestią </w:t>
      </w:r>
      <w:r w:rsidR="00640C73" w:rsidRPr="004D42C5">
        <w:rPr>
          <w:rFonts w:ascii="Times New Roman" w:hAnsi="Times New Roman" w:cs="Times New Roman"/>
          <w:spacing w:val="4"/>
          <w:szCs w:val="24"/>
        </w:rPr>
        <w:t>S</w:t>
      </w:r>
      <w:r w:rsidR="00BE7940" w:rsidRPr="004D42C5">
        <w:rPr>
          <w:rFonts w:ascii="Times New Roman" w:hAnsi="Times New Roman" w:cs="Times New Roman"/>
          <w:spacing w:val="4"/>
          <w:szCs w:val="24"/>
        </w:rPr>
        <w:t>ądu oraz z uwagi na obowiązek gospodar</w:t>
      </w:r>
      <w:r w:rsidR="004469A9" w:rsidRPr="004D42C5">
        <w:rPr>
          <w:rFonts w:ascii="Times New Roman" w:hAnsi="Times New Roman" w:cs="Times New Roman"/>
          <w:spacing w:val="4"/>
          <w:szCs w:val="24"/>
        </w:rPr>
        <w:t xml:space="preserve">owania </w:t>
      </w:r>
      <w:r w:rsidR="00BE7940" w:rsidRPr="004D42C5">
        <w:rPr>
          <w:rFonts w:ascii="Times New Roman" w:hAnsi="Times New Roman" w:cs="Times New Roman"/>
          <w:spacing w:val="4"/>
          <w:szCs w:val="24"/>
        </w:rPr>
        <w:t xml:space="preserve">nieruchomościami publicznymi </w:t>
      </w:r>
      <w:r w:rsidR="004469A9" w:rsidRPr="004D42C5">
        <w:rPr>
          <w:rFonts w:ascii="Times New Roman" w:hAnsi="Times New Roman" w:cs="Times New Roman"/>
          <w:spacing w:val="4"/>
          <w:szCs w:val="24"/>
        </w:rPr>
        <w:t xml:space="preserve">zgodnie z </w:t>
      </w:r>
      <w:r w:rsidR="00BE7940" w:rsidRPr="004D42C5">
        <w:rPr>
          <w:rFonts w:ascii="Times New Roman" w:hAnsi="Times New Roman" w:cs="Times New Roman"/>
          <w:spacing w:val="4"/>
          <w:szCs w:val="24"/>
        </w:rPr>
        <w:t>zasad</w:t>
      </w:r>
      <w:r w:rsidR="004469A9" w:rsidRPr="004D42C5">
        <w:rPr>
          <w:rFonts w:ascii="Times New Roman" w:hAnsi="Times New Roman" w:cs="Times New Roman"/>
          <w:spacing w:val="4"/>
          <w:szCs w:val="24"/>
        </w:rPr>
        <w:t>ą</w:t>
      </w:r>
      <w:r w:rsidR="00BE7940" w:rsidRPr="004D42C5">
        <w:rPr>
          <w:rFonts w:ascii="Times New Roman" w:hAnsi="Times New Roman" w:cs="Times New Roman"/>
          <w:spacing w:val="4"/>
          <w:szCs w:val="24"/>
        </w:rPr>
        <w:t xml:space="preserve"> prawidłowej gospodarki, w tym ochrony interesów finansowych jednostek samorządu terytorialnego i Skarbu Państwa, zaproponowano, aby wyjątek od ogólnej zasady przetargowego zbywania nieruchomości publicznych mógł być stosowany wyłącznie wobec osób, które wieloletnio gospodarują nieruchomością publiczną.</w:t>
      </w:r>
      <w:r w:rsidR="00640C73" w:rsidRPr="004D42C5">
        <w:rPr>
          <w:rFonts w:ascii="Times New Roman" w:hAnsi="Times New Roman" w:cs="Times New Roman"/>
          <w:spacing w:val="4"/>
          <w:szCs w:val="24"/>
        </w:rPr>
        <w:t xml:space="preserve"> </w:t>
      </w:r>
      <w:r w:rsidR="00BE7940" w:rsidRPr="004D42C5">
        <w:rPr>
          <w:rFonts w:ascii="Times New Roman" w:hAnsi="Times New Roman" w:cs="Times New Roman"/>
          <w:spacing w:val="4"/>
          <w:szCs w:val="24"/>
        </w:rPr>
        <w:t xml:space="preserve">Ponadto zaproponowano rozszerzenie zakresu podmiotowego przepisu. </w:t>
      </w:r>
      <w:r w:rsidR="004469A9" w:rsidRPr="004D42C5">
        <w:rPr>
          <w:rFonts w:ascii="Times New Roman" w:hAnsi="Times New Roman" w:cs="Times New Roman"/>
          <w:spacing w:val="4"/>
          <w:szCs w:val="24"/>
        </w:rPr>
        <w:t>Obecnie</w:t>
      </w:r>
      <w:r w:rsidR="00BE7940" w:rsidRPr="004D42C5">
        <w:rPr>
          <w:rFonts w:ascii="Times New Roman" w:hAnsi="Times New Roman" w:cs="Times New Roman"/>
          <w:spacing w:val="4"/>
          <w:szCs w:val="24"/>
        </w:rPr>
        <w:t xml:space="preserve"> przepis obejmuje określoną grupę dzierżawców, jednak z uwagi na fakt, że użytkowanie jest </w:t>
      </w:r>
      <w:r w:rsidR="004469A9" w:rsidRPr="004D42C5">
        <w:rPr>
          <w:rFonts w:ascii="Times New Roman" w:hAnsi="Times New Roman" w:cs="Times New Roman"/>
          <w:spacing w:val="4"/>
          <w:szCs w:val="24"/>
        </w:rPr>
        <w:t xml:space="preserve">prawem </w:t>
      </w:r>
      <w:r w:rsidR="008C654A" w:rsidRPr="004D42C5">
        <w:rPr>
          <w:rFonts w:ascii="Times New Roman" w:hAnsi="Times New Roman" w:cs="Times New Roman"/>
          <w:spacing w:val="4"/>
          <w:szCs w:val="24"/>
        </w:rPr>
        <w:t>silniejszym od dzierżawy</w:t>
      </w:r>
      <w:r w:rsidR="004469A9" w:rsidRPr="004D42C5">
        <w:rPr>
          <w:rFonts w:ascii="Times New Roman" w:hAnsi="Times New Roman" w:cs="Times New Roman"/>
          <w:spacing w:val="4"/>
          <w:szCs w:val="24"/>
        </w:rPr>
        <w:t>,</w:t>
      </w:r>
      <w:r w:rsidR="008C654A" w:rsidRPr="004D42C5">
        <w:rPr>
          <w:rFonts w:ascii="Times New Roman" w:hAnsi="Times New Roman" w:cs="Times New Roman"/>
          <w:spacing w:val="4"/>
          <w:szCs w:val="24"/>
        </w:rPr>
        <w:t xml:space="preserve"> </w:t>
      </w:r>
      <w:r w:rsidR="00BE7940" w:rsidRPr="004D42C5">
        <w:rPr>
          <w:rFonts w:ascii="Times New Roman" w:hAnsi="Times New Roman" w:cs="Times New Roman"/>
          <w:spacing w:val="4"/>
          <w:szCs w:val="24"/>
        </w:rPr>
        <w:t xml:space="preserve">uwzględniono również osoby, z którymi zawarto umowę użytkowania. </w:t>
      </w:r>
    </w:p>
    <w:p w:rsidR="00BE7940" w:rsidRPr="004D42C5" w:rsidRDefault="004469A9" w:rsidP="007B2772">
      <w:pPr>
        <w:pStyle w:val="ZARTzmartartykuempunktem"/>
        <w:spacing w:before="120"/>
        <w:ind w:left="426" w:firstLine="0"/>
        <w:rPr>
          <w:rFonts w:ascii="Times New Roman" w:eastAsia="Calibri" w:hAnsi="Times New Roman" w:cs="Times New Roman"/>
          <w:spacing w:val="4"/>
          <w:szCs w:val="24"/>
          <w:lang w:eastAsia="en-US"/>
        </w:rPr>
      </w:pPr>
      <w:r w:rsidRPr="004D42C5">
        <w:rPr>
          <w:rFonts w:ascii="Times New Roman" w:hAnsi="Times New Roman" w:cs="Times New Roman"/>
          <w:spacing w:val="4"/>
          <w:szCs w:val="24"/>
        </w:rPr>
        <w:t>P</w:t>
      </w:r>
      <w:r w:rsidR="00BE7940" w:rsidRPr="004D42C5">
        <w:rPr>
          <w:rFonts w:ascii="Times New Roman" w:hAnsi="Times New Roman" w:cs="Times New Roman"/>
          <w:spacing w:val="4"/>
          <w:szCs w:val="24"/>
        </w:rPr>
        <w:t xml:space="preserve">rojektowany przepis </w:t>
      </w:r>
      <w:r w:rsidR="005434D8" w:rsidRPr="004D42C5">
        <w:rPr>
          <w:rFonts w:ascii="Times New Roman" w:hAnsi="Times New Roman" w:cs="Times New Roman"/>
          <w:spacing w:val="4"/>
          <w:szCs w:val="24"/>
        </w:rPr>
        <w:t>(ust. 3</w:t>
      </w:r>
      <w:r w:rsidR="005D7D5A" w:rsidRPr="004D42C5">
        <w:rPr>
          <w:rFonts w:ascii="Times New Roman" w:hAnsi="Times New Roman" w:cs="Times New Roman"/>
          <w:spacing w:val="4"/>
          <w:szCs w:val="24"/>
        </w:rPr>
        <w:t>a</w:t>
      </w:r>
      <w:r w:rsidR="00640C73" w:rsidRPr="004D42C5">
        <w:rPr>
          <w:rFonts w:ascii="Times New Roman" w:hAnsi="Times New Roman" w:cs="Times New Roman"/>
          <w:spacing w:val="4"/>
          <w:szCs w:val="24"/>
        </w:rPr>
        <w:t xml:space="preserve"> pkt </w:t>
      </w:r>
      <w:r w:rsidR="005D7D5A" w:rsidRPr="004D42C5">
        <w:rPr>
          <w:rFonts w:ascii="Times New Roman" w:hAnsi="Times New Roman" w:cs="Times New Roman"/>
          <w:spacing w:val="4"/>
          <w:szCs w:val="24"/>
        </w:rPr>
        <w:t>2</w:t>
      </w:r>
      <w:r w:rsidR="005434D8" w:rsidRPr="004D42C5">
        <w:rPr>
          <w:rFonts w:ascii="Times New Roman" w:hAnsi="Times New Roman" w:cs="Times New Roman"/>
          <w:spacing w:val="4"/>
          <w:szCs w:val="24"/>
        </w:rPr>
        <w:t xml:space="preserve">) </w:t>
      </w:r>
      <w:r w:rsidR="00BE7940" w:rsidRPr="004D42C5">
        <w:rPr>
          <w:rFonts w:ascii="Times New Roman" w:hAnsi="Times New Roman" w:cs="Times New Roman"/>
          <w:spacing w:val="4"/>
          <w:szCs w:val="24"/>
        </w:rPr>
        <w:t xml:space="preserve">wprowadza </w:t>
      </w:r>
      <w:r w:rsidRPr="004D42C5">
        <w:rPr>
          <w:rFonts w:ascii="Times New Roman" w:hAnsi="Times New Roman" w:cs="Times New Roman"/>
          <w:spacing w:val="4"/>
          <w:szCs w:val="24"/>
        </w:rPr>
        <w:t xml:space="preserve">ponadto </w:t>
      </w:r>
      <w:r w:rsidR="00BE7940" w:rsidRPr="004D42C5">
        <w:rPr>
          <w:rFonts w:ascii="Times New Roman" w:hAnsi="Times New Roman" w:cs="Times New Roman"/>
          <w:spacing w:val="4"/>
          <w:szCs w:val="24"/>
        </w:rPr>
        <w:t>możliwość zawarcia w</w:t>
      </w:r>
      <w:r w:rsidR="007B2772" w:rsidRPr="004D42C5">
        <w:rPr>
          <w:rFonts w:ascii="Times New Roman" w:hAnsi="Times New Roman" w:cs="Times New Roman"/>
          <w:spacing w:val="4"/>
          <w:szCs w:val="24"/>
        </w:rPr>
        <w:t> </w:t>
      </w:r>
      <w:r w:rsidR="00BE7940" w:rsidRPr="004D42C5">
        <w:rPr>
          <w:rFonts w:ascii="Times New Roman" w:hAnsi="Times New Roman" w:cs="Times New Roman"/>
          <w:spacing w:val="4"/>
          <w:szCs w:val="24"/>
        </w:rPr>
        <w:t xml:space="preserve">drodze bezprzetargowej umowy o </w:t>
      </w:r>
      <w:r w:rsidR="00C20D8E" w:rsidRPr="004D42C5">
        <w:rPr>
          <w:rFonts w:ascii="Times New Roman" w:hAnsi="Times New Roman" w:cs="Times New Roman"/>
          <w:spacing w:val="4"/>
          <w:szCs w:val="24"/>
        </w:rPr>
        <w:t xml:space="preserve">nabycie nieruchomości </w:t>
      </w:r>
      <w:r w:rsidR="008C654A" w:rsidRPr="004D42C5">
        <w:rPr>
          <w:rFonts w:ascii="Times New Roman" w:hAnsi="Times New Roman" w:cs="Times New Roman"/>
          <w:spacing w:val="4"/>
          <w:szCs w:val="24"/>
        </w:rPr>
        <w:t>z</w:t>
      </w:r>
      <w:r w:rsidR="00BE7940" w:rsidRPr="004D42C5">
        <w:rPr>
          <w:rFonts w:ascii="Times New Roman" w:hAnsi="Times New Roman" w:cs="Times New Roman"/>
          <w:spacing w:val="4"/>
          <w:szCs w:val="24"/>
        </w:rPr>
        <w:t xml:space="preserve"> os</w:t>
      </w:r>
      <w:r w:rsidR="008C654A" w:rsidRPr="004D42C5">
        <w:rPr>
          <w:rFonts w:ascii="Times New Roman" w:hAnsi="Times New Roman" w:cs="Times New Roman"/>
          <w:spacing w:val="4"/>
          <w:szCs w:val="24"/>
        </w:rPr>
        <w:t>o</w:t>
      </w:r>
      <w:r w:rsidR="00BE7940" w:rsidRPr="004D42C5">
        <w:rPr>
          <w:rFonts w:ascii="Times New Roman" w:hAnsi="Times New Roman" w:cs="Times New Roman"/>
          <w:spacing w:val="4"/>
          <w:szCs w:val="24"/>
        </w:rPr>
        <w:t>b</w:t>
      </w:r>
      <w:r w:rsidR="008C654A" w:rsidRPr="004D42C5">
        <w:rPr>
          <w:rFonts w:ascii="Times New Roman" w:hAnsi="Times New Roman" w:cs="Times New Roman"/>
          <w:spacing w:val="4"/>
          <w:szCs w:val="24"/>
        </w:rPr>
        <w:t>ami</w:t>
      </w:r>
      <w:r w:rsidR="00BE7940" w:rsidRPr="004D42C5">
        <w:rPr>
          <w:rFonts w:ascii="Times New Roman" w:hAnsi="Times New Roman" w:cs="Times New Roman"/>
          <w:spacing w:val="4"/>
          <w:szCs w:val="24"/>
        </w:rPr>
        <w:t xml:space="preserve">, które były użytkownikami wieczystymi tych nieruchomości, ale nie zgłosiły żądania </w:t>
      </w:r>
      <w:r w:rsidR="00BE7940" w:rsidRPr="004D42C5">
        <w:rPr>
          <w:rFonts w:ascii="Times New Roman" w:hAnsi="Times New Roman" w:cs="Times New Roman"/>
          <w:spacing w:val="4"/>
          <w:szCs w:val="24"/>
        </w:rPr>
        <w:lastRenderedPageBreak/>
        <w:t>o</w:t>
      </w:r>
      <w:r w:rsidR="007B2772" w:rsidRPr="004D42C5">
        <w:rPr>
          <w:rFonts w:ascii="Times New Roman" w:hAnsi="Times New Roman" w:cs="Times New Roman"/>
          <w:spacing w:val="4"/>
          <w:szCs w:val="24"/>
        </w:rPr>
        <w:t> </w:t>
      </w:r>
      <w:r w:rsidR="00BE7940" w:rsidRPr="004D42C5">
        <w:rPr>
          <w:rFonts w:ascii="Times New Roman" w:hAnsi="Times New Roman" w:cs="Times New Roman"/>
          <w:spacing w:val="4"/>
          <w:szCs w:val="24"/>
        </w:rPr>
        <w:t>przedłużenie użytkowania wieczystego przed datą wygaśnięcia prawa, a</w:t>
      </w:r>
      <w:r w:rsidR="007B2772" w:rsidRPr="004D42C5">
        <w:rPr>
          <w:rFonts w:ascii="Times New Roman" w:hAnsi="Times New Roman" w:cs="Times New Roman"/>
          <w:spacing w:val="4"/>
          <w:szCs w:val="24"/>
        </w:rPr>
        <w:t> </w:t>
      </w:r>
      <w:r w:rsidR="00BE7940" w:rsidRPr="004D42C5">
        <w:rPr>
          <w:rFonts w:ascii="Times New Roman" w:hAnsi="Times New Roman" w:cs="Times New Roman"/>
          <w:spacing w:val="4"/>
          <w:szCs w:val="24"/>
        </w:rPr>
        <w:t xml:space="preserve">deklarują chęć dalszego korzystania z nieruchomości. Zdarzają się </w:t>
      </w:r>
      <w:r w:rsidR="00135CC8" w:rsidRPr="004D42C5">
        <w:rPr>
          <w:rFonts w:ascii="Times New Roman" w:hAnsi="Times New Roman" w:cs="Times New Roman"/>
          <w:spacing w:val="4"/>
          <w:szCs w:val="24"/>
        </w:rPr>
        <w:t xml:space="preserve">przypadki, </w:t>
      </w:r>
      <w:r w:rsidR="00BE7940" w:rsidRPr="004D42C5">
        <w:rPr>
          <w:rFonts w:ascii="Times New Roman" w:hAnsi="Times New Roman" w:cs="Times New Roman"/>
          <w:spacing w:val="4"/>
          <w:szCs w:val="24"/>
        </w:rPr>
        <w:t xml:space="preserve">w których użytkownicy wieczyści </w:t>
      </w:r>
      <w:r w:rsidR="00EC4732" w:rsidRPr="004D42C5">
        <w:rPr>
          <w:rFonts w:ascii="Times New Roman" w:hAnsi="Times New Roman" w:cs="Times New Roman"/>
          <w:spacing w:val="4"/>
          <w:szCs w:val="24"/>
        </w:rPr>
        <w:t xml:space="preserve">bądź ich spadkobiercy </w:t>
      </w:r>
      <w:r w:rsidR="00BE7940" w:rsidRPr="004D42C5">
        <w:rPr>
          <w:rFonts w:ascii="Times New Roman" w:hAnsi="Times New Roman" w:cs="Times New Roman"/>
          <w:spacing w:val="4"/>
          <w:szCs w:val="24"/>
        </w:rPr>
        <w:t xml:space="preserve">mimo zbliżającego się upływu okresu </w:t>
      </w:r>
      <w:r w:rsidR="00EC4732" w:rsidRPr="004D42C5">
        <w:rPr>
          <w:rFonts w:ascii="Times New Roman" w:hAnsi="Times New Roman" w:cs="Times New Roman"/>
          <w:spacing w:val="4"/>
          <w:szCs w:val="24"/>
        </w:rPr>
        <w:t>trwania użytkowania wieczystego</w:t>
      </w:r>
      <w:r w:rsidR="00BE7940" w:rsidRPr="004D42C5">
        <w:rPr>
          <w:rFonts w:ascii="Times New Roman" w:hAnsi="Times New Roman" w:cs="Times New Roman"/>
          <w:spacing w:val="4"/>
          <w:szCs w:val="24"/>
        </w:rPr>
        <w:t xml:space="preserve"> </w:t>
      </w:r>
      <w:r w:rsidR="008C654A" w:rsidRPr="004D42C5">
        <w:rPr>
          <w:rFonts w:ascii="Times New Roman" w:hAnsi="Times New Roman" w:cs="Times New Roman"/>
          <w:spacing w:val="4"/>
          <w:szCs w:val="24"/>
        </w:rPr>
        <w:t>nie zadbali o złożenie</w:t>
      </w:r>
      <w:r w:rsidR="00BE7940" w:rsidRPr="004D42C5">
        <w:rPr>
          <w:rFonts w:ascii="Times New Roman" w:hAnsi="Times New Roman" w:cs="Times New Roman"/>
          <w:spacing w:val="4"/>
          <w:szCs w:val="24"/>
        </w:rPr>
        <w:t xml:space="preserve"> wniosków o przedłużenie tego prawa. W obowiązującym stanie prawnym wygaśnięcie użytkowania wieczystego </w:t>
      </w:r>
      <w:r w:rsidR="00F22743" w:rsidRPr="004D42C5">
        <w:rPr>
          <w:rFonts w:ascii="Times New Roman" w:hAnsi="Times New Roman" w:cs="Times New Roman"/>
          <w:spacing w:val="4"/>
          <w:szCs w:val="24"/>
        </w:rPr>
        <w:t>z</w:t>
      </w:r>
      <w:r w:rsidR="00BE7940" w:rsidRPr="004D42C5">
        <w:rPr>
          <w:rFonts w:ascii="Times New Roman" w:hAnsi="Times New Roman" w:cs="Times New Roman"/>
          <w:spacing w:val="4"/>
          <w:szCs w:val="24"/>
        </w:rPr>
        <w:t xml:space="preserve"> uwagi na upływ terminu, na który było ustanowione</w:t>
      </w:r>
      <w:r w:rsidR="00EC4732" w:rsidRPr="004D42C5">
        <w:rPr>
          <w:rFonts w:ascii="Times New Roman" w:hAnsi="Times New Roman" w:cs="Times New Roman"/>
          <w:spacing w:val="4"/>
          <w:szCs w:val="24"/>
        </w:rPr>
        <w:t>,</w:t>
      </w:r>
      <w:r w:rsidR="00BE7940" w:rsidRPr="004D42C5">
        <w:rPr>
          <w:rFonts w:ascii="Times New Roman" w:hAnsi="Times New Roman" w:cs="Times New Roman"/>
          <w:spacing w:val="4"/>
          <w:szCs w:val="24"/>
        </w:rPr>
        <w:t xml:space="preserve"> jest równoznaczne z koniecznością zapłaty przez właściciela na rzecz dotychczasowego użytkownika wieczystego wynagrodzenia za budynki usytuowane na nieruchomości. Nieruchomość może zostać wówczas rozd</w:t>
      </w:r>
      <w:r w:rsidR="00A0782A" w:rsidRPr="004D42C5">
        <w:rPr>
          <w:rFonts w:ascii="Times New Roman" w:hAnsi="Times New Roman" w:cs="Times New Roman"/>
          <w:spacing w:val="4"/>
          <w:szCs w:val="24"/>
        </w:rPr>
        <w:t>ysponowana (sprzedana lub oddan</w:t>
      </w:r>
      <w:r w:rsidR="00BE7940" w:rsidRPr="004D42C5">
        <w:rPr>
          <w:rFonts w:ascii="Times New Roman" w:hAnsi="Times New Roman" w:cs="Times New Roman"/>
          <w:spacing w:val="4"/>
          <w:szCs w:val="24"/>
        </w:rPr>
        <w:t>a w użytkowanie wieczyste) wyłącznie w drodze przetargu, a osobie</w:t>
      </w:r>
      <w:r w:rsidR="00EA4080">
        <w:rPr>
          <w:rFonts w:ascii="Times New Roman" w:hAnsi="Times New Roman" w:cs="Times New Roman"/>
          <w:spacing w:val="4"/>
          <w:szCs w:val="24"/>
        </w:rPr>
        <w:t>,</w:t>
      </w:r>
      <w:r w:rsidR="00BE7940" w:rsidRPr="004D42C5">
        <w:rPr>
          <w:rFonts w:ascii="Times New Roman" w:hAnsi="Times New Roman" w:cs="Times New Roman"/>
          <w:spacing w:val="4"/>
          <w:szCs w:val="24"/>
        </w:rPr>
        <w:t xml:space="preserve"> która ją dotychczas użytkowała wieczyście</w:t>
      </w:r>
      <w:r w:rsidR="00EA4080">
        <w:rPr>
          <w:rFonts w:ascii="Times New Roman" w:hAnsi="Times New Roman" w:cs="Times New Roman"/>
          <w:spacing w:val="4"/>
          <w:szCs w:val="24"/>
        </w:rPr>
        <w:t>,</w:t>
      </w:r>
      <w:r w:rsidR="00BE7940" w:rsidRPr="004D42C5">
        <w:rPr>
          <w:rFonts w:ascii="Times New Roman" w:hAnsi="Times New Roman" w:cs="Times New Roman"/>
          <w:spacing w:val="4"/>
          <w:szCs w:val="24"/>
        </w:rPr>
        <w:t xml:space="preserve"> nie przysługuje pierwszeństwo w nabyciu tej nieruch</w:t>
      </w:r>
      <w:r w:rsidR="001F5619">
        <w:rPr>
          <w:rFonts w:ascii="Times New Roman" w:hAnsi="Times New Roman" w:cs="Times New Roman"/>
          <w:spacing w:val="4"/>
          <w:szCs w:val="24"/>
        </w:rPr>
        <w:t>omości.</w:t>
      </w:r>
    </w:p>
    <w:p w:rsidR="00382A64" w:rsidRPr="001F5619"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trike/>
          <w:spacing w:val="4"/>
          <w:szCs w:val="24"/>
          <w:lang w:eastAsia="en-US"/>
        </w:rPr>
      </w:pPr>
      <w:r w:rsidRPr="004D42C5">
        <w:rPr>
          <w:rFonts w:ascii="Times New Roman" w:hAnsi="Times New Roman" w:cs="Times New Roman"/>
          <w:b/>
          <w:spacing w:val="4"/>
          <w:szCs w:val="24"/>
        </w:rPr>
        <w:t xml:space="preserve">art. 43 ust. </w:t>
      </w:r>
      <w:r w:rsidR="00FF29CA" w:rsidRPr="004D42C5">
        <w:rPr>
          <w:rFonts w:ascii="Times New Roman" w:hAnsi="Times New Roman" w:cs="Times New Roman"/>
          <w:b/>
          <w:spacing w:val="4"/>
          <w:szCs w:val="24"/>
        </w:rPr>
        <w:t xml:space="preserve">2 pkt 2 </w:t>
      </w:r>
      <w:r w:rsidR="00507362" w:rsidRPr="004D42C5">
        <w:rPr>
          <w:rFonts w:ascii="Times New Roman" w:hAnsi="Times New Roman" w:cs="Times New Roman"/>
          <w:b/>
          <w:spacing w:val="4"/>
          <w:szCs w:val="24"/>
        </w:rPr>
        <w:t xml:space="preserve">– </w:t>
      </w:r>
      <w:r w:rsidR="00382A64" w:rsidRPr="004D42C5">
        <w:rPr>
          <w:rFonts w:ascii="Times New Roman" w:hAnsi="Times New Roman" w:cs="Times New Roman"/>
          <w:spacing w:val="4"/>
          <w:szCs w:val="24"/>
        </w:rPr>
        <w:t>projekt</w:t>
      </w:r>
      <w:r w:rsidR="00507362" w:rsidRPr="004D42C5">
        <w:rPr>
          <w:rFonts w:ascii="Times New Roman" w:hAnsi="Times New Roman" w:cs="Times New Roman"/>
          <w:spacing w:val="4"/>
          <w:szCs w:val="24"/>
        </w:rPr>
        <w:t xml:space="preserve"> </w:t>
      </w:r>
      <w:r w:rsidR="00382A64" w:rsidRPr="004D42C5">
        <w:rPr>
          <w:rFonts w:ascii="Times New Roman" w:hAnsi="Times New Roman" w:cs="Times New Roman"/>
          <w:spacing w:val="4"/>
          <w:szCs w:val="24"/>
        </w:rPr>
        <w:t>przewiduje rozszerzenie katalogu czynności</w:t>
      </w:r>
      <w:r w:rsidR="00EC4732" w:rsidRPr="004D42C5">
        <w:rPr>
          <w:rFonts w:ascii="Times New Roman" w:hAnsi="Times New Roman" w:cs="Times New Roman"/>
          <w:spacing w:val="4"/>
          <w:szCs w:val="24"/>
        </w:rPr>
        <w:t>,</w:t>
      </w:r>
      <w:r w:rsidR="00382A64" w:rsidRPr="004D42C5">
        <w:rPr>
          <w:rFonts w:ascii="Times New Roman" w:hAnsi="Times New Roman" w:cs="Times New Roman"/>
          <w:spacing w:val="4"/>
          <w:szCs w:val="24"/>
        </w:rPr>
        <w:t xml:space="preserve"> jakie mogą wykonywać jednostki organizacyjne korzystające z nieruchomości oddanej w trwały zarząd. Zaproponowano</w:t>
      </w:r>
      <w:r w:rsidR="00EC4732" w:rsidRPr="004D42C5">
        <w:rPr>
          <w:rFonts w:ascii="Times New Roman" w:hAnsi="Times New Roman" w:cs="Times New Roman"/>
          <w:spacing w:val="4"/>
          <w:szCs w:val="24"/>
        </w:rPr>
        <w:t>,</w:t>
      </w:r>
      <w:r w:rsidR="00382A64" w:rsidRPr="004D42C5">
        <w:rPr>
          <w:rFonts w:ascii="Times New Roman" w:hAnsi="Times New Roman" w:cs="Times New Roman"/>
          <w:spacing w:val="4"/>
          <w:szCs w:val="24"/>
        </w:rPr>
        <w:t xml:space="preserve"> aby w ramach korzystania z</w:t>
      </w:r>
      <w:r w:rsidR="007B2772" w:rsidRPr="004D42C5">
        <w:rPr>
          <w:rFonts w:ascii="Times New Roman" w:hAnsi="Times New Roman" w:cs="Times New Roman"/>
          <w:spacing w:val="4"/>
          <w:szCs w:val="24"/>
        </w:rPr>
        <w:t> </w:t>
      </w:r>
      <w:r w:rsidR="00382A64" w:rsidRPr="004D42C5">
        <w:rPr>
          <w:rFonts w:ascii="Times New Roman" w:hAnsi="Times New Roman" w:cs="Times New Roman"/>
          <w:spacing w:val="4"/>
          <w:szCs w:val="24"/>
        </w:rPr>
        <w:t>nieruchomości oddanej w trwały zarząd jednostka organizacyjna mogła dokonać</w:t>
      </w:r>
      <w:r w:rsidR="001F5619">
        <w:rPr>
          <w:rFonts w:ascii="Times New Roman" w:hAnsi="Times New Roman" w:cs="Times New Roman"/>
          <w:spacing w:val="4"/>
          <w:szCs w:val="24"/>
        </w:rPr>
        <w:t xml:space="preserve"> rozbiórki obiektu budowlanego.</w:t>
      </w:r>
    </w:p>
    <w:p w:rsidR="007365F6" w:rsidRPr="004D42C5" w:rsidRDefault="008B7A07"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hAnsi="Times New Roman" w:cs="Times New Roman"/>
          <w:b/>
          <w:spacing w:val="4"/>
          <w:szCs w:val="24"/>
        </w:rPr>
        <w:t>a</w:t>
      </w:r>
      <w:r w:rsidR="00507362" w:rsidRPr="004D42C5">
        <w:rPr>
          <w:rFonts w:ascii="Times New Roman" w:hAnsi="Times New Roman" w:cs="Times New Roman"/>
          <w:b/>
          <w:spacing w:val="4"/>
          <w:szCs w:val="24"/>
        </w:rPr>
        <w:t xml:space="preserve">rt. 60 ust. 1 pkt 3 – </w:t>
      </w:r>
      <w:r w:rsidR="007365F6" w:rsidRPr="004D42C5">
        <w:rPr>
          <w:rFonts w:ascii="Times New Roman" w:hAnsi="Times New Roman" w:cs="Times New Roman"/>
          <w:spacing w:val="4"/>
          <w:szCs w:val="24"/>
        </w:rPr>
        <w:t>propozycja</w:t>
      </w:r>
      <w:r w:rsidR="00507362" w:rsidRPr="004D42C5">
        <w:rPr>
          <w:rFonts w:ascii="Times New Roman" w:hAnsi="Times New Roman" w:cs="Times New Roman"/>
          <w:spacing w:val="4"/>
          <w:szCs w:val="24"/>
        </w:rPr>
        <w:t xml:space="preserve"> ma na celu </w:t>
      </w:r>
      <w:r w:rsidR="00CB3F50" w:rsidRPr="004D42C5">
        <w:rPr>
          <w:rFonts w:ascii="Times New Roman" w:hAnsi="Times New Roman" w:cs="Times New Roman"/>
          <w:spacing w:val="4"/>
          <w:szCs w:val="24"/>
        </w:rPr>
        <w:t>ograniczenie zasobu nieruchomości gospodarowanych przez m</w:t>
      </w:r>
      <w:r w:rsidR="00CB3F50" w:rsidRPr="004D42C5">
        <w:rPr>
          <w:rFonts w:ascii="Times New Roman" w:hAnsi="Times New Roman" w:cs="Times New Roman"/>
          <w:szCs w:val="24"/>
        </w:rPr>
        <w:t>inistra właściw</w:t>
      </w:r>
      <w:r w:rsidR="00274C01" w:rsidRPr="004D42C5">
        <w:rPr>
          <w:rFonts w:ascii="Times New Roman" w:hAnsi="Times New Roman" w:cs="Times New Roman"/>
          <w:szCs w:val="24"/>
        </w:rPr>
        <w:t>ego</w:t>
      </w:r>
      <w:r w:rsidR="00CB3F50" w:rsidRPr="004D42C5">
        <w:rPr>
          <w:rFonts w:ascii="Times New Roman" w:hAnsi="Times New Roman" w:cs="Times New Roman"/>
          <w:szCs w:val="24"/>
        </w:rPr>
        <w:t xml:space="preserve"> do spraw budownictwa, planowania</w:t>
      </w:r>
      <w:r w:rsidR="00B60939" w:rsidRPr="004D42C5">
        <w:rPr>
          <w:rFonts w:ascii="Times New Roman" w:hAnsi="Times New Roman" w:cs="Times New Roman"/>
          <w:szCs w:val="24"/>
        </w:rPr>
        <w:t xml:space="preserve"> </w:t>
      </w:r>
      <w:r w:rsidR="00CB3F50" w:rsidRPr="004D42C5">
        <w:rPr>
          <w:rFonts w:ascii="Times New Roman" w:hAnsi="Times New Roman" w:cs="Times New Roman"/>
          <w:szCs w:val="24"/>
        </w:rPr>
        <w:t>i zagospodarowania przestrzennego oraz mieszkalnictwa przeznaczonych na potrzeby GDDKiA poprzez wyłączenie, obok nieruchomości przeznaczony</w:t>
      </w:r>
      <w:r w:rsidR="00274C01" w:rsidRPr="004D42C5">
        <w:rPr>
          <w:rFonts w:ascii="Times New Roman" w:hAnsi="Times New Roman" w:cs="Times New Roman"/>
          <w:szCs w:val="24"/>
        </w:rPr>
        <w:t xml:space="preserve">ch </w:t>
      </w:r>
      <w:r w:rsidR="00CB3F50" w:rsidRPr="004D42C5">
        <w:rPr>
          <w:rFonts w:ascii="Times New Roman" w:hAnsi="Times New Roman" w:cs="Times New Roman"/>
          <w:szCs w:val="24"/>
        </w:rPr>
        <w:t xml:space="preserve">na potrzeby rejonów GDDKiA, również nieruchomości zajętych pod drogi publiczne </w:t>
      </w:r>
      <w:r w:rsidR="00CB7FAD" w:rsidRPr="004D42C5">
        <w:rPr>
          <w:rFonts w:ascii="Times New Roman" w:hAnsi="Times New Roman" w:cs="Times New Roman"/>
          <w:szCs w:val="24"/>
        </w:rPr>
        <w:t>lub</w:t>
      </w:r>
      <w:r w:rsidR="00CB3F50" w:rsidRPr="004D42C5">
        <w:rPr>
          <w:rFonts w:ascii="Times New Roman" w:hAnsi="Times New Roman" w:cs="Times New Roman"/>
          <w:szCs w:val="24"/>
        </w:rPr>
        <w:t xml:space="preserve"> przeznaczonych na realizację inwestycji drogowych.</w:t>
      </w:r>
      <w:r w:rsidR="00B60939" w:rsidRPr="004D42C5">
        <w:rPr>
          <w:rFonts w:ascii="Times New Roman" w:eastAsia="Calibri" w:hAnsi="Times New Roman" w:cs="Times New Roman"/>
          <w:spacing w:val="4"/>
          <w:szCs w:val="24"/>
          <w:lang w:eastAsia="en-US"/>
        </w:rPr>
        <w:t xml:space="preserve"> </w:t>
      </w:r>
      <w:r w:rsidR="007365F6" w:rsidRPr="004D42C5">
        <w:rPr>
          <w:rFonts w:ascii="Times New Roman" w:hAnsi="Times New Roman" w:cs="Times New Roman"/>
          <w:szCs w:val="24"/>
        </w:rPr>
        <w:t xml:space="preserve">W związku z reformą zasad zarządzania mieniem państwowym, od dnia 1 stycznia 2017 r. </w:t>
      </w:r>
      <w:r w:rsidR="00B60939" w:rsidRPr="004D42C5">
        <w:rPr>
          <w:rFonts w:ascii="Times New Roman" w:hAnsi="Times New Roman" w:cs="Times New Roman"/>
          <w:szCs w:val="24"/>
        </w:rPr>
        <w:t xml:space="preserve">na ministra nałożono obowiązek </w:t>
      </w:r>
      <w:r w:rsidR="007365F6" w:rsidRPr="004D42C5">
        <w:rPr>
          <w:rFonts w:ascii="Times New Roman" w:hAnsi="Times New Roman" w:cs="Times New Roman"/>
          <w:szCs w:val="24"/>
        </w:rPr>
        <w:t>gospoda</w:t>
      </w:r>
      <w:r w:rsidR="00B60939" w:rsidRPr="004D42C5">
        <w:rPr>
          <w:rFonts w:ascii="Times New Roman" w:hAnsi="Times New Roman" w:cs="Times New Roman"/>
          <w:szCs w:val="24"/>
        </w:rPr>
        <w:t>rowania</w:t>
      </w:r>
      <w:r w:rsidR="007365F6" w:rsidRPr="004D42C5">
        <w:rPr>
          <w:rFonts w:ascii="Times New Roman" w:hAnsi="Times New Roman" w:cs="Times New Roman"/>
          <w:szCs w:val="24"/>
        </w:rPr>
        <w:t xml:space="preserve"> </w:t>
      </w:r>
      <w:r w:rsidR="007365F6" w:rsidRPr="004D42C5">
        <w:rPr>
          <w:rFonts w:ascii="Times New Roman" w:hAnsi="Times New Roman" w:cs="Times New Roman"/>
          <w:bCs/>
          <w:szCs w:val="24"/>
        </w:rPr>
        <w:t>wszystkimi nieruchomościami przeznaczonymi na potrzeby GDDKiA (jedynie z wyłączeniem rejonów)</w:t>
      </w:r>
      <w:r w:rsidR="00B60939" w:rsidRPr="004D42C5">
        <w:rPr>
          <w:rFonts w:ascii="Times New Roman" w:hAnsi="Times New Roman" w:cs="Times New Roman"/>
          <w:bCs/>
          <w:szCs w:val="24"/>
        </w:rPr>
        <w:t>.</w:t>
      </w:r>
      <w:r w:rsidR="00B60939" w:rsidRPr="004D42C5">
        <w:rPr>
          <w:rFonts w:ascii="Times New Roman" w:eastAsia="Calibri" w:hAnsi="Times New Roman" w:cs="Times New Roman"/>
          <w:spacing w:val="4"/>
          <w:szCs w:val="24"/>
          <w:lang w:eastAsia="en-US"/>
        </w:rPr>
        <w:t xml:space="preserve"> Przekazanie do kompetencji ministra gospodarowania nieruchomościami przeznaczonymi pod drogi skutkuje</w:t>
      </w:r>
      <w:r w:rsidR="007B2772" w:rsidRPr="004D42C5">
        <w:rPr>
          <w:rFonts w:ascii="Times New Roman" w:eastAsia="Calibri" w:hAnsi="Times New Roman" w:cs="Times New Roman"/>
          <w:spacing w:val="4"/>
          <w:szCs w:val="24"/>
          <w:lang w:eastAsia="en-US"/>
        </w:rPr>
        <w:t xml:space="preserve"> </w:t>
      </w:r>
      <w:r w:rsidR="007365F6" w:rsidRPr="004D42C5">
        <w:rPr>
          <w:rFonts w:ascii="Times New Roman" w:hAnsi="Times New Roman" w:cs="Times New Roman"/>
          <w:bCs/>
          <w:szCs w:val="24"/>
        </w:rPr>
        <w:t>nieuzasadnionym obciążeniem organu</w:t>
      </w:r>
      <w:r w:rsidR="00B60939" w:rsidRPr="004D42C5">
        <w:rPr>
          <w:rFonts w:ascii="Times New Roman" w:hAnsi="Times New Roman" w:cs="Times New Roman"/>
          <w:bCs/>
          <w:szCs w:val="24"/>
        </w:rPr>
        <w:t xml:space="preserve"> centralnego</w:t>
      </w:r>
      <w:r w:rsidR="007365F6" w:rsidRPr="004D42C5">
        <w:rPr>
          <w:rFonts w:ascii="Times New Roman" w:hAnsi="Times New Roman" w:cs="Times New Roman"/>
          <w:bCs/>
          <w:szCs w:val="24"/>
        </w:rPr>
        <w:t xml:space="preserve"> </w:t>
      </w:r>
      <w:r w:rsidR="00B60939" w:rsidRPr="004D42C5">
        <w:rPr>
          <w:rFonts w:ascii="Times New Roman" w:hAnsi="Times New Roman" w:cs="Times New Roman"/>
          <w:bCs/>
          <w:szCs w:val="24"/>
        </w:rPr>
        <w:t xml:space="preserve">wydawaniem dużej </w:t>
      </w:r>
      <w:r w:rsidR="00835791" w:rsidRPr="004D42C5">
        <w:rPr>
          <w:rFonts w:ascii="Times New Roman" w:hAnsi="Times New Roman" w:cs="Times New Roman"/>
          <w:bCs/>
          <w:szCs w:val="24"/>
        </w:rPr>
        <w:t>liczby</w:t>
      </w:r>
      <w:r w:rsidR="00835791" w:rsidRPr="004D42C5">
        <w:rPr>
          <w:rFonts w:ascii="Times New Roman" w:hAnsi="Times New Roman" w:cs="Times New Roman"/>
          <w:bCs/>
          <w:color w:val="FF0000"/>
          <w:szCs w:val="24"/>
        </w:rPr>
        <w:t xml:space="preserve"> </w:t>
      </w:r>
      <w:r w:rsidR="00B60939" w:rsidRPr="004D42C5">
        <w:rPr>
          <w:rFonts w:ascii="Times New Roman" w:hAnsi="Times New Roman" w:cs="Times New Roman"/>
          <w:bCs/>
          <w:szCs w:val="24"/>
        </w:rPr>
        <w:t>indywidualnych</w:t>
      </w:r>
      <w:r w:rsidR="007365F6" w:rsidRPr="004D42C5">
        <w:rPr>
          <w:rFonts w:ascii="Times New Roman" w:hAnsi="Times New Roman" w:cs="Times New Roman"/>
          <w:bCs/>
          <w:szCs w:val="24"/>
        </w:rPr>
        <w:t xml:space="preserve"> decyzji </w:t>
      </w:r>
      <w:r w:rsidR="00CB3F50" w:rsidRPr="004D42C5">
        <w:rPr>
          <w:rFonts w:ascii="Times New Roman" w:hAnsi="Times New Roman" w:cs="Times New Roman"/>
          <w:bCs/>
          <w:szCs w:val="24"/>
        </w:rPr>
        <w:t>o</w:t>
      </w:r>
      <w:r w:rsidR="007365F6" w:rsidRPr="004D42C5">
        <w:rPr>
          <w:rFonts w:ascii="Times New Roman" w:hAnsi="Times New Roman" w:cs="Times New Roman"/>
          <w:bCs/>
          <w:szCs w:val="24"/>
        </w:rPr>
        <w:t xml:space="preserve"> przekazywaniu nieruchomości w trwały zarząd GDDKiA na budowę dróg.</w:t>
      </w:r>
      <w:r w:rsidR="00B60939" w:rsidRPr="004D42C5">
        <w:rPr>
          <w:rFonts w:ascii="Times New Roman" w:hAnsi="Times New Roman" w:cs="Times New Roman"/>
          <w:bCs/>
          <w:szCs w:val="24"/>
        </w:rPr>
        <w:t xml:space="preserve"> Rozwiązanie to wydaje się nieracjonalne</w:t>
      </w:r>
      <w:r w:rsidR="001076C6">
        <w:rPr>
          <w:rFonts w:ascii="Times New Roman" w:hAnsi="Times New Roman" w:cs="Times New Roman"/>
          <w:bCs/>
          <w:szCs w:val="24"/>
        </w:rPr>
        <w:t>, t</w:t>
      </w:r>
      <w:r w:rsidR="00B60939" w:rsidRPr="004D42C5">
        <w:rPr>
          <w:rFonts w:ascii="Times New Roman" w:hAnsi="Times New Roman" w:cs="Times New Roman"/>
          <w:bCs/>
          <w:szCs w:val="24"/>
        </w:rPr>
        <w:t xml:space="preserve">ym bardziej że przepisy obowiązujące przed dniem 1 stycznia 2017 r., na podstawie których kompetencje w tym zakresie przysługiwały starostom, sprawdziły się w praktyce. </w:t>
      </w:r>
      <w:r w:rsidR="00835791" w:rsidRPr="004D42C5">
        <w:rPr>
          <w:rFonts w:ascii="Times New Roman" w:hAnsi="Times New Roman" w:cs="Times New Roman"/>
          <w:bCs/>
          <w:szCs w:val="24"/>
        </w:rPr>
        <w:t xml:space="preserve">Proponuje się, aby powyższy przepis wszedł </w:t>
      </w:r>
      <w:r w:rsidR="00835791" w:rsidRPr="004D42C5">
        <w:rPr>
          <w:rFonts w:ascii="Times New Roman" w:hAnsi="Times New Roman" w:cs="Times New Roman"/>
          <w:bCs/>
          <w:szCs w:val="24"/>
        </w:rPr>
        <w:lastRenderedPageBreak/>
        <w:t>w życie z dniem następującym po dniu ogłoszenia.</w:t>
      </w:r>
      <w:r w:rsidR="00DB1B1B" w:rsidRPr="004D42C5">
        <w:rPr>
          <w:rFonts w:ascii="Times New Roman" w:hAnsi="Times New Roman" w:cs="Times New Roman"/>
          <w:bCs/>
          <w:szCs w:val="24"/>
        </w:rPr>
        <w:t xml:space="preserve"> Jednocześnie w świetle zaproponowanego </w:t>
      </w:r>
      <w:r w:rsidR="00DB1B1B" w:rsidRPr="00010917">
        <w:rPr>
          <w:rFonts w:ascii="Times New Roman" w:hAnsi="Times New Roman" w:cs="Times New Roman"/>
          <w:bCs/>
          <w:i/>
          <w:szCs w:val="24"/>
        </w:rPr>
        <w:t>vacatio legis</w:t>
      </w:r>
      <w:r w:rsidR="00DB1B1B" w:rsidRPr="004D42C5">
        <w:rPr>
          <w:rFonts w:ascii="Times New Roman" w:hAnsi="Times New Roman" w:cs="Times New Roman"/>
          <w:bCs/>
          <w:szCs w:val="24"/>
        </w:rPr>
        <w:t xml:space="preserve"> nie jest potrzebne </w:t>
      </w:r>
      <w:r w:rsidR="001F5619">
        <w:rPr>
          <w:rFonts w:ascii="Times New Roman" w:hAnsi="Times New Roman" w:cs="Times New Roman"/>
          <w:bCs/>
          <w:szCs w:val="24"/>
        </w:rPr>
        <w:t>dodanie przepisu przejściowego.</w:t>
      </w:r>
    </w:p>
    <w:p w:rsidR="00603758" w:rsidRPr="004D42C5" w:rsidRDefault="00507362"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hAnsi="Times New Roman" w:cs="Times New Roman"/>
          <w:b/>
          <w:spacing w:val="4"/>
          <w:szCs w:val="24"/>
        </w:rPr>
        <w:t>art. 61 ust. 4</w:t>
      </w:r>
      <w:r w:rsidR="00603758" w:rsidRPr="004D42C5">
        <w:rPr>
          <w:rFonts w:ascii="Times New Roman" w:hAnsi="Times New Roman" w:cs="Times New Roman"/>
          <w:b/>
          <w:spacing w:val="4"/>
          <w:szCs w:val="24"/>
        </w:rPr>
        <w:t xml:space="preserve"> </w:t>
      </w:r>
      <w:r w:rsidRPr="004D42C5">
        <w:rPr>
          <w:rFonts w:ascii="Times New Roman" w:hAnsi="Times New Roman" w:cs="Times New Roman"/>
          <w:b/>
          <w:spacing w:val="4"/>
          <w:szCs w:val="24"/>
        </w:rPr>
        <w:t>–</w:t>
      </w:r>
      <w:r w:rsidR="00603758" w:rsidRPr="004D42C5">
        <w:rPr>
          <w:rFonts w:ascii="Times New Roman" w:hAnsi="Times New Roman" w:cs="Times New Roman"/>
          <w:b/>
          <w:spacing w:val="4"/>
          <w:szCs w:val="24"/>
        </w:rPr>
        <w:t xml:space="preserve"> </w:t>
      </w:r>
      <w:r w:rsidRPr="004D42C5">
        <w:rPr>
          <w:rFonts w:ascii="Times New Roman" w:hAnsi="Times New Roman" w:cs="Times New Roman"/>
          <w:spacing w:val="4"/>
          <w:szCs w:val="24"/>
        </w:rPr>
        <w:t>zmiana ma charakter porządkujący, wynika z błędnego odesłania do sto</w:t>
      </w:r>
      <w:r w:rsidR="001F5619">
        <w:rPr>
          <w:rFonts w:ascii="Times New Roman" w:hAnsi="Times New Roman" w:cs="Times New Roman"/>
          <w:spacing w:val="4"/>
          <w:szCs w:val="24"/>
        </w:rPr>
        <w:t>sowania odpowiednich przepisów.</w:t>
      </w:r>
    </w:p>
    <w:p w:rsidR="008F5D42" w:rsidRPr="004D42C5" w:rsidRDefault="008F5D42"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 xml:space="preserve">art. 71 ust. 5a – </w:t>
      </w:r>
      <w:r w:rsidR="008C654A" w:rsidRPr="004D42C5">
        <w:rPr>
          <w:rFonts w:ascii="Times New Roman" w:eastAsia="Calibri" w:hAnsi="Times New Roman" w:cs="Times New Roman"/>
          <w:spacing w:val="4"/>
          <w:szCs w:val="24"/>
          <w:lang w:eastAsia="en-US"/>
        </w:rPr>
        <w:t xml:space="preserve">przewidziano </w:t>
      </w:r>
      <w:r w:rsidRPr="004D42C5">
        <w:rPr>
          <w:rFonts w:ascii="Times New Roman" w:eastAsia="Calibri" w:hAnsi="Times New Roman" w:cs="Times New Roman"/>
          <w:spacing w:val="4"/>
          <w:szCs w:val="24"/>
          <w:lang w:eastAsia="en-US"/>
        </w:rPr>
        <w:t xml:space="preserve">zwolnienie </w:t>
      </w:r>
      <w:r w:rsidR="005228DF" w:rsidRPr="004D42C5">
        <w:rPr>
          <w:rFonts w:ascii="Times New Roman" w:eastAsia="Calibri" w:hAnsi="Times New Roman" w:cs="Times New Roman"/>
          <w:spacing w:val="4"/>
          <w:szCs w:val="24"/>
          <w:lang w:eastAsia="en-US"/>
        </w:rPr>
        <w:t xml:space="preserve">użytkowników wieczystych zawierających kolejną umowę </w:t>
      </w:r>
      <w:r w:rsidR="00D80DAF" w:rsidRPr="004D42C5">
        <w:rPr>
          <w:rFonts w:ascii="Times New Roman" w:eastAsia="Calibri" w:hAnsi="Times New Roman" w:cs="Times New Roman"/>
          <w:spacing w:val="4"/>
          <w:szCs w:val="24"/>
          <w:lang w:eastAsia="en-US"/>
        </w:rPr>
        <w:t xml:space="preserve">o oddanie gruntu w użytkowanie wieczyste </w:t>
      </w:r>
      <w:r w:rsidR="005228DF" w:rsidRPr="004D42C5">
        <w:rPr>
          <w:rFonts w:ascii="Times New Roman" w:eastAsia="Calibri" w:hAnsi="Times New Roman" w:cs="Times New Roman"/>
          <w:spacing w:val="4"/>
          <w:szCs w:val="24"/>
          <w:lang w:eastAsia="en-US"/>
        </w:rPr>
        <w:t xml:space="preserve">tej samej nieruchomości </w:t>
      </w:r>
      <w:r w:rsidRPr="004D42C5">
        <w:rPr>
          <w:rFonts w:ascii="Times New Roman" w:eastAsia="Calibri" w:hAnsi="Times New Roman" w:cs="Times New Roman"/>
          <w:spacing w:val="4"/>
          <w:szCs w:val="24"/>
          <w:lang w:eastAsia="en-US"/>
        </w:rPr>
        <w:t xml:space="preserve">z obowiązku wniesienia </w:t>
      </w:r>
      <w:r w:rsidR="004F5602" w:rsidRPr="004D42C5">
        <w:rPr>
          <w:rFonts w:ascii="Times New Roman" w:eastAsia="Calibri" w:hAnsi="Times New Roman" w:cs="Times New Roman"/>
          <w:spacing w:val="4"/>
          <w:szCs w:val="24"/>
          <w:lang w:eastAsia="en-US"/>
        </w:rPr>
        <w:t xml:space="preserve">pierwszej </w:t>
      </w:r>
      <w:r w:rsidRPr="004D42C5">
        <w:rPr>
          <w:rFonts w:ascii="Times New Roman" w:eastAsia="Calibri" w:hAnsi="Times New Roman" w:cs="Times New Roman"/>
          <w:spacing w:val="4"/>
          <w:szCs w:val="24"/>
          <w:lang w:eastAsia="en-US"/>
        </w:rPr>
        <w:t>opł</w:t>
      </w:r>
      <w:r w:rsidR="005228DF" w:rsidRPr="004D42C5">
        <w:rPr>
          <w:rFonts w:ascii="Times New Roman" w:eastAsia="Calibri" w:hAnsi="Times New Roman" w:cs="Times New Roman"/>
          <w:spacing w:val="4"/>
          <w:szCs w:val="24"/>
          <w:lang w:eastAsia="en-US"/>
        </w:rPr>
        <w:t>aty</w:t>
      </w:r>
      <w:r w:rsidRPr="004D42C5">
        <w:rPr>
          <w:rFonts w:ascii="Times New Roman" w:eastAsia="Calibri" w:hAnsi="Times New Roman" w:cs="Times New Roman"/>
          <w:spacing w:val="4"/>
          <w:szCs w:val="24"/>
          <w:lang w:eastAsia="en-US"/>
        </w:rPr>
        <w:t xml:space="preserve">. </w:t>
      </w:r>
      <w:r w:rsidR="007568AF" w:rsidRPr="004D42C5">
        <w:rPr>
          <w:rFonts w:ascii="Times New Roman" w:eastAsia="Calibri" w:hAnsi="Times New Roman" w:cs="Times New Roman"/>
          <w:spacing w:val="4"/>
          <w:szCs w:val="24"/>
          <w:lang w:eastAsia="en-US"/>
        </w:rPr>
        <w:t xml:space="preserve">Co do zasady przepis będzie dotyczył użytkowników wieczystych, którzy przed wygaśnięciem prawa wystąpią z żądaniem o przedłużenie użytkowania wieczystego. Jednakże z uwagi na </w:t>
      </w:r>
      <w:r w:rsidRPr="004D42C5">
        <w:rPr>
          <w:rFonts w:ascii="Times New Roman" w:eastAsia="Calibri" w:hAnsi="Times New Roman" w:cs="Times New Roman"/>
          <w:spacing w:val="4"/>
          <w:szCs w:val="24"/>
          <w:lang w:eastAsia="en-US"/>
        </w:rPr>
        <w:t>zmian</w:t>
      </w:r>
      <w:r w:rsidR="007568AF" w:rsidRPr="004D42C5">
        <w:rPr>
          <w:rFonts w:ascii="Times New Roman" w:eastAsia="Calibri" w:hAnsi="Times New Roman" w:cs="Times New Roman"/>
          <w:spacing w:val="4"/>
          <w:szCs w:val="24"/>
          <w:lang w:eastAsia="en-US"/>
        </w:rPr>
        <w:t>ę</w:t>
      </w:r>
      <w:r w:rsidRPr="004D42C5">
        <w:rPr>
          <w:rFonts w:ascii="Times New Roman" w:eastAsia="Calibri" w:hAnsi="Times New Roman" w:cs="Times New Roman"/>
          <w:spacing w:val="4"/>
          <w:szCs w:val="24"/>
          <w:lang w:eastAsia="en-US"/>
        </w:rPr>
        <w:t xml:space="preserve"> zaproponowan</w:t>
      </w:r>
      <w:r w:rsidR="007568AF" w:rsidRPr="004D42C5">
        <w:rPr>
          <w:rFonts w:ascii="Times New Roman" w:eastAsia="Calibri" w:hAnsi="Times New Roman" w:cs="Times New Roman"/>
          <w:spacing w:val="4"/>
          <w:szCs w:val="24"/>
          <w:lang w:eastAsia="en-US"/>
        </w:rPr>
        <w:t>ą</w:t>
      </w:r>
      <w:r w:rsidRPr="004D42C5">
        <w:rPr>
          <w:rFonts w:ascii="Times New Roman" w:eastAsia="Calibri" w:hAnsi="Times New Roman" w:cs="Times New Roman"/>
          <w:spacing w:val="4"/>
          <w:szCs w:val="24"/>
          <w:lang w:eastAsia="en-US"/>
        </w:rPr>
        <w:t xml:space="preserve"> w art. 37 ust. 3</w:t>
      </w:r>
      <w:r w:rsidR="0091271D" w:rsidRPr="004D42C5">
        <w:rPr>
          <w:rFonts w:ascii="Times New Roman" w:eastAsia="Calibri" w:hAnsi="Times New Roman" w:cs="Times New Roman"/>
          <w:spacing w:val="4"/>
          <w:szCs w:val="24"/>
          <w:lang w:eastAsia="en-US"/>
        </w:rPr>
        <w:t>a</w:t>
      </w:r>
      <w:r w:rsidRPr="004D42C5">
        <w:rPr>
          <w:rFonts w:ascii="Times New Roman" w:eastAsia="Calibri" w:hAnsi="Times New Roman" w:cs="Times New Roman"/>
          <w:spacing w:val="4"/>
          <w:szCs w:val="24"/>
          <w:lang w:eastAsia="en-US"/>
        </w:rPr>
        <w:t xml:space="preserve"> pkt </w:t>
      </w:r>
      <w:r w:rsidR="0091271D" w:rsidRPr="004D42C5">
        <w:rPr>
          <w:rFonts w:ascii="Times New Roman" w:eastAsia="Calibri" w:hAnsi="Times New Roman" w:cs="Times New Roman"/>
          <w:spacing w:val="4"/>
          <w:szCs w:val="24"/>
          <w:lang w:eastAsia="en-US"/>
        </w:rPr>
        <w:t>2</w:t>
      </w:r>
      <w:r w:rsidRPr="004D42C5">
        <w:rPr>
          <w:rFonts w:ascii="Times New Roman" w:eastAsia="Calibri" w:hAnsi="Times New Roman" w:cs="Times New Roman"/>
          <w:spacing w:val="4"/>
          <w:szCs w:val="24"/>
          <w:lang w:eastAsia="en-US"/>
        </w:rPr>
        <w:t>, umożliwiając</w:t>
      </w:r>
      <w:r w:rsidR="007568AF" w:rsidRPr="004D42C5">
        <w:rPr>
          <w:rFonts w:ascii="Times New Roman" w:eastAsia="Calibri" w:hAnsi="Times New Roman" w:cs="Times New Roman"/>
          <w:spacing w:val="4"/>
          <w:szCs w:val="24"/>
          <w:lang w:eastAsia="en-US"/>
        </w:rPr>
        <w:t>ą</w:t>
      </w:r>
      <w:r w:rsidRPr="004D42C5">
        <w:rPr>
          <w:rFonts w:ascii="Times New Roman" w:eastAsia="Calibri" w:hAnsi="Times New Roman" w:cs="Times New Roman"/>
          <w:spacing w:val="4"/>
          <w:szCs w:val="24"/>
          <w:lang w:eastAsia="en-US"/>
        </w:rPr>
        <w:t xml:space="preserve"> zawarcie kolejnej umowy </w:t>
      </w:r>
      <w:r w:rsidRPr="004D42C5">
        <w:rPr>
          <w:rFonts w:ascii="Times New Roman" w:hAnsi="Times New Roman" w:cs="Times New Roman"/>
          <w:spacing w:val="4"/>
          <w:szCs w:val="24"/>
        </w:rPr>
        <w:t>o oddanie nieruchomości w użytkowanie wieczyste</w:t>
      </w:r>
      <w:r w:rsidRPr="004D42C5">
        <w:rPr>
          <w:rFonts w:ascii="Times New Roman" w:eastAsia="Calibri" w:hAnsi="Times New Roman" w:cs="Times New Roman"/>
          <w:spacing w:val="4"/>
          <w:szCs w:val="24"/>
          <w:lang w:eastAsia="en-US"/>
        </w:rPr>
        <w:t xml:space="preserve"> przez użytkowników wieczystych</w:t>
      </w:r>
      <w:r w:rsidR="00C2152F" w:rsidRPr="004D42C5">
        <w:rPr>
          <w:rFonts w:ascii="Times New Roman" w:eastAsia="Calibri" w:hAnsi="Times New Roman" w:cs="Times New Roman"/>
          <w:spacing w:val="4"/>
          <w:szCs w:val="24"/>
          <w:lang w:eastAsia="en-US"/>
        </w:rPr>
        <w:t xml:space="preserve"> bądź ich spadkobierców</w:t>
      </w:r>
      <w:r w:rsidRPr="004D42C5">
        <w:rPr>
          <w:rFonts w:ascii="Times New Roman" w:eastAsia="Calibri" w:hAnsi="Times New Roman" w:cs="Times New Roman"/>
          <w:spacing w:val="4"/>
          <w:szCs w:val="24"/>
          <w:lang w:eastAsia="en-US"/>
        </w:rPr>
        <w:t xml:space="preserve">, którzy nie </w:t>
      </w:r>
      <w:r w:rsidRPr="004D42C5">
        <w:rPr>
          <w:rFonts w:ascii="Times New Roman" w:hAnsi="Times New Roman" w:cs="Times New Roman"/>
          <w:spacing w:val="4"/>
          <w:szCs w:val="24"/>
        </w:rPr>
        <w:t>zgłosili żądania o przedłużenie użytkowania wieczystego przed datą wygaśnięcia prawa, a deklarują chęć dalszego korzystania z nieruchomości</w:t>
      </w:r>
      <w:r w:rsidR="007568AF" w:rsidRPr="004D42C5">
        <w:rPr>
          <w:rFonts w:ascii="Times New Roman" w:hAnsi="Times New Roman" w:cs="Times New Roman"/>
          <w:spacing w:val="4"/>
          <w:szCs w:val="24"/>
        </w:rPr>
        <w:t>, zaproponowano objęcie zwolnieniem również tych użytkowników</w:t>
      </w:r>
      <w:r w:rsidRPr="004D42C5">
        <w:rPr>
          <w:rFonts w:ascii="Times New Roman" w:hAnsi="Times New Roman" w:cs="Times New Roman"/>
          <w:spacing w:val="4"/>
          <w:szCs w:val="24"/>
        </w:rPr>
        <w:t xml:space="preserve">. </w:t>
      </w:r>
      <w:r w:rsidR="00AA040C" w:rsidRPr="004D42C5">
        <w:rPr>
          <w:rFonts w:ascii="Times New Roman" w:hAnsi="Times New Roman" w:cs="Times New Roman"/>
          <w:spacing w:val="4"/>
          <w:szCs w:val="24"/>
        </w:rPr>
        <w:t xml:space="preserve">Osoby te wniosły pierwszą </w:t>
      </w:r>
      <w:r w:rsidR="004F5602" w:rsidRPr="004D42C5">
        <w:rPr>
          <w:rFonts w:ascii="Times New Roman" w:hAnsi="Times New Roman" w:cs="Times New Roman"/>
          <w:spacing w:val="4"/>
          <w:szCs w:val="24"/>
        </w:rPr>
        <w:t xml:space="preserve">opłatę </w:t>
      </w:r>
      <w:r w:rsidR="00AA040C" w:rsidRPr="004D42C5">
        <w:rPr>
          <w:rFonts w:ascii="Times New Roman" w:hAnsi="Times New Roman" w:cs="Times New Roman"/>
          <w:spacing w:val="4"/>
          <w:szCs w:val="24"/>
        </w:rPr>
        <w:t xml:space="preserve">przy zawieraniu umowy, która wygasła. </w:t>
      </w:r>
      <w:r w:rsidR="004E65EF" w:rsidRPr="004D42C5">
        <w:rPr>
          <w:rFonts w:ascii="Times New Roman" w:hAnsi="Times New Roman" w:cs="Times New Roman"/>
          <w:spacing w:val="4"/>
          <w:szCs w:val="24"/>
        </w:rPr>
        <w:t>Jednocześnie</w:t>
      </w:r>
      <w:r w:rsidR="00BA0E25" w:rsidRPr="004D42C5">
        <w:rPr>
          <w:rFonts w:ascii="Times New Roman" w:hAnsi="Times New Roman" w:cs="Times New Roman"/>
          <w:spacing w:val="4"/>
          <w:szCs w:val="24"/>
        </w:rPr>
        <w:t xml:space="preserve"> zaproponowano zakreślenie terminu</w:t>
      </w:r>
      <w:r w:rsidR="00835791" w:rsidRPr="004D42C5">
        <w:rPr>
          <w:rFonts w:ascii="Times New Roman" w:hAnsi="Times New Roman" w:cs="Times New Roman"/>
          <w:spacing w:val="4"/>
          <w:szCs w:val="24"/>
        </w:rPr>
        <w:t>,</w:t>
      </w:r>
      <w:r w:rsidR="00BA0E25" w:rsidRPr="004D42C5">
        <w:rPr>
          <w:rFonts w:ascii="Times New Roman" w:hAnsi="Times New Roman" w:cs="Times New Roman"/>
          <w:spacing w:val="4"/>
          <w:szCs w:val="24"/>
        </w:rPr>
        <w:t xml:space="preserve"> w jakim istnieje możliwość skorzystania ze zwolnienia, bowiem pozostawienie bezterminowej możliwości powodowałoby stan niepewności organu.</w:t>
      </w:r>
      <w:r w:rsidR="004E65EF" w:rsidRPr="004D42C5">
        <w:rPr>
          <w:rFonts w:ascii="Times New Roman" w:hAnsi="Times New Roman" w:cs="Times New Roman"/>
          <w:spacing w:val="4"/>
          <w:szCs w:val="24"/>
        </w:rPr>
        <w:t xml:space="preserve"> </w:t>
      </w:r>
      <w:r w:rsidR="00AA040C" w:rsidRPr="004D42C5">
        <w:rPr>
          <w:rFonts w:ascii="Times New Roman" w:hAnsi="Times New Roman" w:cs="Times New Roman"/>
          <w:spacing w:val="4"/>
          <w:szCs w:val="24"/>
        </w:rPr>
        <w:t>Zatem jeżeli nie upłyn</w:t>
      </w:r>
      <w:r w:rsidR="00C2152F" w:rsidRPr="004D42C5">
        <w:rPr>
          <w:rFonts w:ascii="Times New Roman" w:hAnsi="Times New Roman" w:cs="Times New Roman"/>
          <w:spacing w:val="4"/>
          <w:szCs w:val="24"/>
        </w:rPr>
        <w:t xml:space="preserve">ęły 3 lata </w:t>
      </w:r>
      <w:r w:rsidR="00AA040C" w:rsidRPr="004D42C5">
        <w:rPr>
          <w:rFonts w:ascii="Times New Roman" w:hAnsi="Times New Roman" w:cs="Times New Roman"/>
          <w:spacing w:val="4"/>
          <w:szCs w:val="24"/>
        </w:rPr>
        <w:t>od dnia wygaśnięcia umowy, nie jest uzasadnione obciążanie tych osób obowiązkiem wniesienia pierwszej</w:t>
      </w:r>
      <w:r w:rsidR="004F5602" w:rsidRPr="004F5602">
        <w:rPr>
          <w:rFonts w:ascii="Times New Roman" w:hAnsi="Times New Roman" w:cs="Times New Roman"/>
          <w:spacing w:val="4"/>
          <w:szCs w:val="24"/>
        </w:rPr>
        <w:t xml:space="preserve"> </w:t>
      </w:r>
      <w:r w:rsidR="004F5602" w:rsidRPr="004D42C5">
        <w:rPr>
          <w:rFonts w:ascii="Times New Roman" w:hAnsi="Times New Roman" w:cs="Times New Roman"/>
          <w:spacing w:val="4"/>
          <w:szCs w:val="24"/>
        </w:rPr>
        <w:t>opłaty</w:t>
      </w:r>
      <w:r w:rsidR="00AA040C" w:rsidRPr="004D42C5">
        <w:rPr>
          <w:rFonts w:ascii="Times New Roman" w:hAnsi="Times New Roman" w:cs="Times New Roman"/>
          <w:spacing w:val="4"/>
          <w:szCs w:val="24"/>
        </w:rPr>
        <w:t xml:space="preserve">, pobieranej przez właściciela co do zasady jednorazowo </w:t>
      </w:r>
      <w:r w:rsidR="00AC3EC4" w:rsidRPr="004D42C5">
        <w:rPr>
          <w:rFonts w:ascii="Times New Roman" w:hAnsi="Times New Roman" w:cs="Times New Roman"/>
          <w:spacing w:val="4"/>
          <w:szCs w:val="24"/>
        </w:rPr>
        <w:t>przy</w:t>
      </w:r>
      <w:r w:rsidR="00AA040C" w:rsidRPr="004D42C5">
        <w:rPr>
          <w:rFonts w:ascii="Times New Roman" w:hAnsi="Times New Roman" w:cs="Times New Roman"/>
          <w:spacing w:val="4"/>
          <w:szCs w:val="24"/>
        </w:rPr>
        <w:t xml:space="preserve"> ustan</w:t>
      </w:r>
      <w:r w:rsidR="00AC3EC4" w:rsidRPr="004D42C5">
        <w:rPr>
          <w:rFonts w:ascii="Times New Roman" w:hAnsi="Times New Roman" w:cs="Times New Roman"/>
          <w:spacing w:val="4"/>
          <w:szCs w:val="24"/>
        </w:rPr>
        <w:t>awianiu</w:t>
      </w:r>
      <w:r w:rsidR="00AA040C" w:rsidRPr="004D42C5">
        <w:rPr>
          <w:rFonts w:ascii="Times New Roman" w:hAnsi="Times New Roman" w:cs="Times New Roman"/>
          <w:spacing w:val="4"/>
          <w:szCs w:val="24"/>
        </w:rPr>
        <w:t xml:space="preserve"> prawa użytkowania wieczystego.</w:t>
      </w:r>
      <w:r w:rsidR="00BA0E25" w:rsidRPr="004D42C5">
        <w:rPr>
          <w:rFonts w:ascii="Times New Roman" w:eastAsia="Calibri" w:hAnsi="Times New Roman" w:cs="Times New Roman"/>
          <w:spacing w:val="4"/>
          <w:szCs w:val="24"/>
          <w:lang w:eastAsia="en-US"/>
        </w:rPr>
        <w:t xml:space="preserve"> </w:t>
      </w:r>
      <w:r w:rsidR="00E174D1" w:rsidRPr="004D42C5">
        <w:rPr>
          <w:rFonts w:ascii="Times New Roman" w:eastAsia="Calibri" w:hAnsi="Times New Roman" w:cs="Times New Roman"/>
          <w:spacing w:val="4"/>
          <w:szCs w:val="24"/>
          <w:lang w:eastAsia="en-US"/>
        </w:rPr>
        <w:t>Projektowany</w:t>
      </w:r>
      <w:r w:rsidR="00BA0E25" w:rsidRPr="004D42C5">
        <w:rPr>
          <w:rFonts w:ascii="Times New Roman" w:eastAsia="Calibri" w:hAnsi="Times New Roman" w:cs="Times New Roman"/>
          <w:spacing w:val="4"/>
          <w:szCs w:val="24"/>
          <w:lang w:eastAsia="en-US"/>
        </w:rPr>
        <w:t xml:space="preserve"> 3</w:t>
      </w:r>
      <w:r w:rsidR="004F5602">
        <w:rPr>
          <w:rFonts w:ascii="Times New Roman" w:eastAsia="Calibri" w:hAnsi="Times New Roman" w:cs="Times New Roman"/>
          <w:spacing w:val="4"/>
          <w:szCs w:val="24"/>
          <w:lang w:eastAsia="en-US"/>
        </w:rPr>
        <w:t>-</w:t>
      </w:r>
      <w:r w:rsidR="00BA0E25" w:rsidRPr="004D42C5">
        <w:rPr>
          <w:rFonts w:ascii="Times New Roman" w:eastAsia="Calibri" w:hAnsi="Times New Roman" w:cs="Times New Roman"/>
          <w:spacing w:val="4"/>
          <w:szCs w:val="24"/>
          <w:lang w:eastAsia="en-US"/>
        </w:rPr>
        <w:t>letni termin przedłużający użytkownikowi wieczystemu możliwość skorzystania ze zwolnienia wydaje się optymalny.</w:t>
      </w:r>
    </w:p>
    <w:p w:rsidR="00BE7940" w:rsidRPr="004D42C5"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71 ust. 7</w:t>
      </w:r>
      <w:r w:rsidRPr="004D42C5">
        <w:rPr>
          <w:rFonts w:ascii="Times New Roman" w:eastAsia="Calibri" w:hAnsi="Times New Roman" w:cs="Times New Roman"/>
          <w:spacing w:val="4"/>
          <w:szCs w:val="24"/>
          <w:lang w:eastAsia="en-US"/>
        </w:rPr>
        <w:t xml:space="preserve"> – zmiana ma na celu uregulowanie sposobu rozliczania opłat rocznych z tytułu użytko</w:t>
      </w:r>
      <w:r w:rsidR="00AC3EC4" w:rsidRPr="004D42C5">
        <w:rPr>
          <w:rFonts w:ascii="Times New Roman" w:eastAsia="Calibri" w:hAnsi="Times New Roman" w:cs="Times New Roman"/>
          <w:spacing w:val="4"/>
          <w:szCs w:val="24"/>
          <w:lang w:eastAsia="en-US"/>
        </w:rPr>
        <w:t>wania wieczystego w przypadkach</w:t>
      </w:r>
      <w:r w:rsidR="00274C01" w:rsidRPr="004D42C5">
        <w:rPr>
          <w:rFonts w:ascii="Times New Roman" w:eastAsia="Calibri" w:hAnsi="Times New Roman" w:cs="Times New Roman"/>
          <w:spacing w:val="4"/>
          <w:szCs w:val="24"/>
          <w:lang w:eastAsia="en-US"/>
        </w:rPr>
        <w:t>,</w:t>
      </w:r>
      <w:r w:rsidRPr="004D42C5">
        <w:rPr>
          <w:rFonts w:ascii="Times New Roman" w:eastAsia="Calibri" w:hAnsi="Times New Roman" w:cs="Times New Roman"/>
          <w:spacing w:val="4"/>
          <w:szCs w:val="24"/>
          <w:lang w:eastAsia="en-US"/>
        </w:rPr>
        <w:t xml:space="preserve"> gdy w trakcie roku kalendarzowego następuje zmiana użytkownika wieczystego w wyniku zawarcia umowy sprzedaży prawa użytkowania wieczystego bądź w efekcie innych </w:t>
      </w:r>
      <w:r w:rsidR="00C2152F" w:rsidRPr="004D42C5">
        <w:rPr>
          <w:rFonts w:ascii="Times New Roman" w:eastAsia="Calibri" w:hAnsi="Times New Roman" w:cs="Times New Roman"/>
          <w:spacing w:val="4"/>
          <w:szCs w:val="24"/>
          <w:lang w:eastAsia="en-US"/>
        </w:rPr>
        <w:t>czynności lub postępowań</w:t>
      </w:r>
      <w:r w:rsidR="00274C01" w:rsidRPr="004D42C5">
        <w:rPr>
          <w:rFonts w:ascii="Times New Roman" w:eastAsia="Calibri" w:hAnsi="Times New Roman" w:cs="Times New Roman"/>
          <w:spacing w:val="4"/>
          <w:szCs w:val="24"/>
          <w:lang w:eastAsia="en-US"/>
        </w:rPr>
        <w:t>,</w:t>
      </w:r>
      <w:r w:rsidR="00C2152F" w:rsidRPr="004D42C5">
        <w:rPr>
          <w:rFonts w:ascii="Times New Roman" w:eastAsia="Calibri" w:hAnsi="Times New Roman" w:cs="Times New Roman"/>
          <w:spacing w:val="4"/>
          <w:szCs w:val="24"/>
          <w:lang w:eastAsia="en-US"/>
        </w:rPr>
        <w:t xml:space="preserve"> np. sądowych</w:t>
      </w:r>
      <w:r w:rsidRPr="004D42C5">
        <w:rPr>
          <w:rFonts w:ascii="Times New Roman" w:eastAsia="Calibri" w:hAnsi="Times New Roman" w:cs="Times New Roman"/>
          <w:spacing w:val="4"/>
          <w:szCs w:val="24"/>
          <w:lang w:eastAsia="en-US"/>
        </w:rPr>
        <w:t>. W obowiązującym stanie prawnym nie istnieją regulacje określające zasady rozliczeń bądź zwrotu części opłaty za niewykorzystaną część roku. Na podstawie wyroków sądów wydawanych w</w:t>
      </w:r>
      <w:r w:rsidR="007B2772" w:rsidRPr="004D42C5">
        <w:rPr>
          <w:rFonts w:ascii="Times New Roman" w:eastAsia="Calibri" w:hAnsi="Times New Roman" w:cs="Times New Roman"/>
          <w:spacing w:val="4"/>
          <w:szCs w:val="24"/>
          <w:lang w:eastAsia="en-US"/>
        </w:rPr>
        <w:t> </w:t>
      </w:r>
      <w:r w:rsidRPr="004D42C5">
        <w:rPr>
          <w:rFonts w:ascii="Times New Roman" w:eastAsia="Calibri" w:hAnsi="Times New Roman" w:cs="Times New Roman"/>
          <w:spacing w:val="4"/>
          <w:szCs w:val="24"/>
          <w:lang w:eastAsia="en-US"/>
        </w:rPr>
        <w:t>sprawach indywidualnych samorządy zwracają część opłaty, mimo ż</w:t>
      </w:r>
      <w:r w:rsidR="001076C6">
        <w:rPr>
          <w:rFonts w:ascii="Times New Roman" w:eastAsia="Calibri" w:hAnsi="Times New Roman" w:cs="Times New Roman"/>
          <w:spacing w:val="4"/>
          <w:szCs w:val="24"/>
          <w:lang w:eastAsia="en-US"/>
        </w:rPr>
        <w:t>e</w:t>
      </w:r>
      <w:r w:rsidRPr="004D42C5">
        <w:rPr>
          <w:rFonts w:ascii="Times New Roman" w:eastAsia="Calibri" w:hAnsi="Times New Roman" w:cs="Times New Roman"/>
          <w:spacing w:val="4"/>
          <w:szCs w:val="24"/>
          <w:lang w:eastAsia="en-US"/>
        </w:rPr>
        <w:t xml:space="preserve"> nie </w:t>
      </w:r>
      <w:r w:rsidRPr="004D42C5">
        <w:rPr>
          <w:rFonts w:ascii="Times New Roman" w:eastAsia="Calibri" w:hAnsi="Times New Roman" w:cs="Times New Roman"/>
          <w:spacing w:val="4"/>
          <w:szCs w:val="24"/>
          <w:lang w:eastAsia="en-US"/>
        </w:rPr>
        <w:lastRenderedPageBreak/>
        <w:t xml:space="preserve">mają możliwości egzekwowania opłaty za pozostałą część roku od </w:t>
      </w:r>
      <w:r w:rsidR="00C2152F" w:rsidRPr="004D42C5">
        <w:rPr>
          <w:rFonts w:ascii="Times New Roman" w:eastAsia="Calibri" w:hAnsi="Times New Roman" w:cs="Times New Roman"/>
          <w:spacing w:val="4"/>
          <w:szCs w:val="24"/>
          <w:lang w:eastAsia="en-US"/>
        </w:rPr>
        <w:t>„</w:t>
      </w:r>
      <w:r w:rsidRPr="004D42C5">
        <w:rPr>
          <w:rFonts w:ascii="Times New Roman" w:eastAsia="Calibri" w:hAnsi="Times New Roman" w:cs="Times New Roman"/>
          <w:spacing w:val="4"/>
          <w:szCs w:val="24"/>
          <w:lang w:eastAsia="en-US"/>
        </w:rPr>
        <w:t>nowych</w:t>
      </w:r>
      <w:r w:rsidR="00C2152F" w:rsidRPr="004D42C5">
        <w:rPr>
          <w:rFonts w:ascii="Times New Roman" w:eastAsia="Calibri" w:hAnsi="Times New Roman" w:cs="Times New Roman"/>
          <w:spacing w:val="4"/>
          <w:szCs w:val="24"/>
          <w:lang w:eastAsia="en-US"/>
        </w:rPr>
        <w:t>”</w:t>
      </w:r>
      <w:r w:rsidRPr="004D42C5">
        <w:rPr>
          <w:rFonts w:ascii="Times New Roman" w:eastAsia="Calibri" w:hAnsi="Times New Roman" w:cs="Times New Roman"/>
          <w:spacing w:val="4"/>
          <w:szCs w:val="24"/>
          <w:lang w:eastAsia="en-US"/>
        </w:rPr>
        <w:t xml:space="preserve"> użytkowników wieczystych. </w:t>
      </w:r>
      <w:r w:rsidR="008C654A" w:rsidRPr="004D42C5">
        <w:rPr>
          <w:rFonts w:ascii="Times New Roman" w:eastAsia="Calibri" w:hAnsi="Times New Roman" w:cs="Times New Roman"/>
          <w:spacing w:val="4"/>
          <w:szCs w:val="24"/>
          <w:lang w:eastAsia="en-US"/>
        </w:rPr>
        <w:t>P</w:t>
      </w:r>
      <w:r w:rsidRPr="004D42C5">
        <w:rPr>
          <w:rFonts w:ascii="Times New Roman" w:eastAsia="Calibri" w:hAnsi="Times New Roman" w:cs="Times New Roman"/>
          <w:spacing w:val="4"/>
          <w:szCs w:val="24"/>
          <w:lang w:eastAsia="en-US"/>
        </w:rPr>
        <w:t xml:space="preserve">rzepis wprowadzi zasadę, że opłatę roczną wnosi </w:t>
      </w:r>
      <w:r w:rsidR="00C2152F" w:rsidRPr="004D42C5">
        <w:rPr>
          <w:rFonts w:ascii="Times New Roman" w:eastAsia="Calibri" w:hAnsi="Times New Roman" w:cs="Times New Roman"/>
          <w:spacing w:val="4"/>
          <w:szCs w:val="24"/>
          <w:lang w:eastAsia="en-US"/>
        </w:rPr>
        <w:t xml:space="preserve">w całości </w:t>
      </w:r>
      <w:r w:rsidRPr="004D42C5">
        <w:rPr>
          <w:rFonts w:ascii="Times New Roman" w:eastAsia="Calibri" w:hAnsi="Times New Roman" w:cs="Times New Roman"/>
          <w:spacing w:val="4"/>
          <w:szCs w:val="24"/>
          <w:lang w:eastAsia="en-US"/>
        </w:rPr>
        <w:t>osoba będąca użytkownikiem wieczystym nieruchomości w dniu 1</w:t>
      </w:r>
      <w:r w:rsidR="007B2772" w:rsidRPr="004D42C5">
        <w:rPr>
          <w:rFonts w:ascii="Times New Roman" w:eastAsia="Calibri" w:hAnsi="Times New Roman" w:cs="Times New Roman"/>
          <w:spacing w:val="4"/>
          <w:szCs w:val="24"/>
          <w:lang w:eastAsia="en-US"/>
        </w:rPr>
        <w:t> </w:t>
      </w:r>
      <w:r w:rsidRPr="004D42C5">
        <w:rPr>
          <w:rFonts w:ascii="Times New Roman" w:eastAsia="Calibri" w:hAnsi="Times New Roman" w:cs="Times New Roman"/>
          <w:spacing w:val="4"/>
          <w:szCs w:val="24"/>
          <w:lang w:eastAsia="en-US"/>
        </w:rPr>
        <w:t xml:space="preserve">stycznia roku, za który opłata obowiązuje. Natomiast sposób wzajemnych rozliczeń strony będą mogły określić w umowie przeniesienia prawa użytkowania wieczystego w ramach swobody umów bądź w przypadku zmiany użytkowania wieczystego </w:t>
      </w:r>
      <w:r w:rsidR="00C2152F" w:rsidRPr="004D42C5">
        <w:rPr>
          <w:rFonts w:ascii="Times New Roman" w:eastAsia="Calibri" w:hAnsi="Times New Roman" w:cs="Times New Roman"/>
          <w:spacing w:val="4"/>
          <w:szCs w:val="24"/>
          <w:lang w:eastAsia="en-US"/>
        </w:rPr>
        <w:t>na mocy wyroku sądu</w:t>
      </w:r>
      <w:r w:rsidR="00274C01" w:rsidRPr="004D42C5">
        <w:rPr>
          <w:rFonts w:ascii="Times New Roman" w:eastAsia="Calibri" w:hAnsi="Times New Roman" w:cs="Times New Roman"/>
          <w:spacing w:val="4"/>
          <w:szCs w:val="24"/>
          <w:lang w:eastAsia="en-US"/>
        </w:rPr>
        <w:t>,</w:t>
      </w:r>
      <w:r w:rsidRPr="004D42C5">
        <w:rPr>
          <w:rFonts w:ascii="Times New Roman" w:eastAsia="Calibri" w:hAnsi="Times New Roman" w:cs="Times New Roman"/>
          <w:spacing w:val="4"/>
          <w:szCs w:val="24"/>
          <w:lang w:eastAsia="en-US"/>
        </w:rPr>
        <w:t xml:space="preserve"> sposób rozliczeń miedzy dotychczasowym a aktualnym użytkownikiem</w:t>
      </w:r>
      <w:r w:rsidR="00AC3EC4" w:rsidRPr="004D42C5">
        <w:rPr>
          <w:rFonts w:ascii="Times New Roman" w:eastAsia="Calibri" w:hAnsi="Times New Roman" w:cs="Times New Roman"/>
          <w:spacing w:val="4"/>
          <w:szCs w:val="24"/>
          <w:lang w:eastAsia="en-US"/>
        </w:rPr>
        <w:t xml:space="preserve"> wieczystym</w:t>
      </w:r>
      <w:r w:rsidR="00274C01" w:rsidRPr="004D42C5">
        <w:rPr>
          <w:rFonts w:ascii="Times New Roman" w:eastAsia="Calibri" w:hAnsi="Times New Roman" w:cs="Times New Roman"/>
          <w:spacing w:val="4"/>
          <w:szCs w:val="24"/>
          <w:lang w:eastAsia="en-US"/>
        </w:rPr>
        <w:t xml:space="preserve"> może ustalić sąd</w:t>
      </w:r>
      <w:r w:rsidR="001F5619">
        <w:rPr>
          <w:rFonts w:ascii="Times New Roman" w:eastAsia="Calibri" w:hAnsi="Times New Roman" w:cs="Times New Roman"/>
          <w:spacing w:val="4"/>
          <w:szCs w:val="24"/>
          <w:lang w:eastAsia="en-US"/>
        </w:rPr>
        <w:t>.</w:t>
      </w:r>
    </w:p>
    <w:p w:rsidR="00BE7940" w:rsidRPr="004D42C5"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hAnsi="Times New Roman" w:cs="Times New Roman"/>
          <w:b/>
          <w:spacing w:val="4"/>
          <w:szCs w:val="24"/>
        </w:rPr>
        <w:t>art. 74 ust. 1, 1a</w:t>
      </w:r>
      <w:r w:rsidRPr="004D42C5">
        <w:rPr>
          <w:rFonts w:ascii="Times New Roman" w:hAnsi="Times New Roman" w:cs="Times New Roman"/>
          <w:spacing w:val="4"/>
          <w:szCs w:val="24"/>
        </w:rPr>
        <w:t xml:space="preserve"> </w:t>
      </w:r>
      <w:r w:rsidRPr="004D42C5">
        <w:rPr>
          <w:rFonts w:ascii="Times New Roman" w:hAnsi="Times New Roman" w:cs="Times New Roman"/>
          <w:b/>
          <w:spacing w:val="4"/>
          <w:szCs w:val="24"/>
        </w:rPr>
        <w:t>i 1b</w:t>
      </w:r>
      <w:r w:rsidRPr="004D42C5">
        <w:rPr>
          <w:rFonts w:ascii="Times New Roman" w:hAnsi="Times New Roman" w:cs="Times New Roman"/>
          <w:spacing w:val="4"/>
          <w:szCs w:val="24"/>
        </w:rPr>
        <w:t xml:space="preserve"> – przepis wymaga doprecyzowania z uwagi na </w:t>
      </w:r>
      <w:r w:rsidR="008C654A" w:rsidRPr="004D42C5">
        <w:rPr>
          <w:rFonts w:ascii="Times New Roman" w:hAnsi="Times New Roman" w:cs="Times New Roman"/>
          <w:spacing w:val="4"/>
          <w:szCs w:val="24"/>
        </w:rPr>
        <w:t>niejednolitą</w:t>
      </w:r>
      <w:r w:rsidRPr="004D42C5">
        <w:rPr>
          <w:rFonts w:ascii="Times New Roman" w:hAnsi="Times New Roman" w:cs="Times New Roman"/>
          <w:spacing w:val="4"/>
          <w:szCs w:val="24"/>
        </w:rPr>
        <w:t xml:space="preserve"> praktykę organ</w:t>
      </w:r>
      <w:r w:rsidR="004469A9" w:rsidRPr="004D42C5">
        <w:rPr>
          <w:rFonts w:ascii="Times New Roman" w:hAnsi="Times New Roman" w:cs="Times New Roman"/>
          <w:spacing w:val="4"/>
          <w:szCs w:val="24"/>
        </w:rPr>
        <w:t>ów</w:t>
      </w:r>
      <w:r w:rsidRPr="004D42C5">
        <w:rPr>
          <w:rFonts w:ascii="Times New Roman" w:hAnsi="Times New Roman" w:cs="Times New Roman"/>
          <w:spacing w:val="4"/>
          <w:szCs w:val="24"/>
        </w:rPr>
        <w:t xml:space="preserve"> udzielając</w:t>
      </w:r>
      <w:r w:rsidR="004469A9" w:rsidRPr="004D42C5">
        <w:rPr>
          <w:rFonts w:ascii="Times New Roman" w:hAnsi="Times New Roman" w:cs="Times New Roman"/>
          <w:spacing w:val="4"/>
          <w:szCs w:val="24"/>
        </w:rPr>
        <w:t>ych</w:t>
      </w:r>
      <w:r w:rsidRPr="004D42C5">
        <w:rPr>
          <w:rFonts w:ascii="Times New Roman" w:hAnsi="Times New Roman" w:cs="Times New Roman"/>
          <w:spacing w:val="4"/>
          <w:szCs w:val="24"/>
        </w:rPr>
        <w:t xml:space="preserve"> bonifikaty od opłat rocznych z</w:t>
      </w:r>
      <w:r w:rsidR="007B2772" w:rsidRPr="004D42C5">
        <w:rPr>
          <w:rFonts w:ascii="Times New Roman" w:hAnsi="Times New Roman" w:cs="Times New Roman"/>
          <w:spacing w:val="4"/>
          <w:szCs w:val="24"/>
        </w:rPr>
        <w:t> </w:t>
      </w:r>
      <w:r w:rsidRPr="004D42C5">
        <w:rPr>
          <w:rFonts w:ascii="Times New Roman" w:hAnsi="Times New Roman" w:cs="Times New Roman"/>
          <w:spacing w:val="4"/>
          <w:szCs w:val="24"/>
        </w:rPr>
        <w:t>tytułu użytkowania wieczystego. W przepisach ugn, jak również w innych przepisach nie wskazano, co należy rozumieć przez pojęcie</w:t>
      </w:r>
      <w:r w:rsidR="00FC7581" w:rsidRPr="004D42C5">
        <w:rPr>
          <w:rFonts w:ascii="Times New Roman" w:hAnsi="Times New Roman" w:cs="Times New Roman"/>
          <w:spacing w:val="4"/>
          <w:szCs w:val="24"/>
        </w:rPr>
        <w:t xml:space="preserve"> </w:t>
      </w:r>
      <w:r w:rsidRPr="004D42C5">
        <w:rPr>
          <w:rFonts w:ascii="Times New Roman" w:hAnsi="Times New Roman" w:cs="Times New Roman"/>
          <w:spacing w:val="4"/>
          <w:szCs w:val="24"/>
        </w:rPr>
        <w:t>„dochód”</w:t>
      </w:r>
      <w:r w:rsidR="004F5602">
        <w:rPr>
          <w:rFonts w:ascii="Times New Roman" w:hAnsi="Times New Roman" w:cs="Times New Roman"/>
          <w:spacing w:val="4"/>
          <w:szCs w:val="24"/>
        </w:rPr>
        <w:t>. Jest także problematyczne</w:t>
      </w:r>
      <w:r w:rsidRPr="004D42C5">
        <w:rPr>
          <w:rFonts w:ascii="Times New Roman" w:hAnsi="Times New Roman" w:cs="Times New Roman"/>
          <w:bCs/>
          <w:spacing w:val="4"/>
          <w:szCs w:val="24"/>
        </w:rPr>
        <w:t>, z jakiego okresu dochód miesięczny powinien być brany pod uwagę przy udzielaniu bonifikaty. Na różną praktykę stosowania przepisu i</w:t>
      </w:r>
      <w:r w:rsidR="007B2772" w:rsidRPr="004D42C5">
        <w:rPr>
          <w:rFonts w:ascii="Times New Roman" w:hAnsi="Times New Roman" w:cs="Times New Roman"/>
          <w:bCs/>
          <w:spacing w:val="4"/>
          <w:szCs w:val="24"/>
        </w:rPr>
        <w:t> </w:t>
      </w:r>
      <w:r w:rsidRPr="004D42C5">
        <w:rPr>
          <w:rFonts w:ascii="Times New Roman" w:hAnsi="Times New Roman" w:cs="Times New Roman"/>
          <w:bCs/>
          <w:spacing w:val="4"/>
          <w:szCs w:val="24"/>
        </w:rPr>
        <w:t xml:space="preserve">potrzebę działań legislacyjnych wskazuje Rzecznik Praw Obywatelskich. Zaproponowano nawiązanie do przepisów ustawy z dnia 21 czerwca 2001 </w:t>
      </w:r>
      <w:r w:rsidR="00AC3EC4" w:rsidRPr="004D42C5">
        <w:rPr>
          <w:rFonts w:ascii="Times New Roman" w:hAnsi="Times New Roman" w:cs="Times New Roman"/>
          <w:bCs/>
          <w:spacing w:val="4"/>
          <w:szCs w:val="24"/>
        </w:rPr>
        <w:t xml:space="preserve">r. </w:t>
      </w:r>
      <w:r w:rsidRPr="004D42C5">
        <w:rPr>
          <w:rFonts w:ascii="Times New Roman" w:hAnsi="Times New Roman" w:cs="Times New Roman"/>
          <w:bCs/>
          <w:spacing w:val="4"/>
          <w:szCs w:val="24"/>
        </w:rPr>
        <w:t>o</w:t>
      </w:r>
      <w:r w:rsidR="007B2772" w:rsidRPr="004D42C5">
        <w:rPr>
          <w:rFonts w:ascii="Times New Roman" w:hAnsi="Times New Roman" w:cs="Times New Roman"/>
          <w:bCs/>
          <w:spacing w:val="4"/>
          <w:szCs w:val="24"/>
        </w:rPr>
        <w:t> </w:t>
      </w:r>
      <w:r w:rsidRPr="004D42C5">
        <w:rPr>
          <w:rFonts w:ascii="Times New Roman" w:hAnsi="Times New Roman" w:cs="Times New Roman"/>
          <w:bCs/>
          <w:spacing w:val="4"/>
          <w:szCs w:val="24"/>
        </w:rPr>
        <w:t>dodatkach mieszkaniowych (Dz. U. z 201</w:t>
      </w:r>
      <w:r w:rsidR="00274C01" w:rsidRPr="004D42C5">
        <w:rPr>
          <w:rFonts w:ascii="Times New Roman" w:hAnsi="Times New Roman" w:cs="Times New Roman"/>
          <w:bCs/>
          <w:spacing w:val="4"/>
          <w:szCs w:val="24"/>
        </w:rPr>
        <w:t>7</w:t>
      </w:r>
      <w:r w:rsidRPr="004D42C5">
        <w:rPr>
          <w:rFonts w:ascii="Times New Roman" w:hAnsi="Times New Roman" w:cs="Times New Roman"/>
          <w:bCs/>
          <w:spacing w:val="4"/>
          <w:szCs w:val="24"/>
        </w:rPr>
        <w:t xml:space="preserve"> r. poz. </w:t>
      </w:r>
      <w:r w:rsidR="00274C01" w:rsidRPr="004D42C5">
        <w:rPr>
          <w:rFonts w:ascii="Times New Roman" w:hAnsi="Times New Roman" w:cs="Times New Roman"/>
          <w:bCs/>
          <w:spacing w:val="4"/>
          <w:szCs w:val="24"/>
        </w:rPr>
        <w:t>180</w:t>
      </w:r>
      <w:r w:rsidRPr="004D42C5">
        <w:rPr>
          <w:rFonts w:ascii="Times New Roman" w:hAnsi="Times New Roman" w:cs="Times New Roman"/>
          <w:bCs/>
          <w:spacing w:val="4"/>
          <w:szCs w:val="24"/>
        </w:rPr>
        <w:t>) z uwagi na podobny cel tych regulacji polegający na wsparciu zaspokajania potrzeb mieszkaniowych.</w:t>
      </w:r>
      <w:r w:rsidR="00C013AA" w:rsidRPr="004D42C5">
        <w:rPr>
          <w:rFonts w:ascii="Times New Roman" w:hAnsi="Times New Roman" w:cs="Times New Roman"/>
          <w:bCs/>
          <w:spacing w:val="4"/>
          <w:szCs w:val="24"/>
        </w:rPr>
        <w:t xml:space="preserve"> Zgodnie z przepisami ustawy o dodatkach mieszkaniowych za dochód uważa się wszelkie przychody po odliczeniu kosztów ich uzyskania oraz po odliczeniu składek na ubezpieczenie emerytalne,</w:t>
      </w:r>
      <w:r w:rsidR="007B2772" w:rsidRPr="004D42C5">
        <w:rPr>
          <w:rFonts w:ascii="Times New Roman" w:hAnsi="Times New Roman" w:cs="Times New Roman"/>
          <w:bCs/>
          <w:spacing w:val="4"/>
          <w:szCs w:val="24"/>
        </w:rPr>
        <w:t xml:space="preserve"> </w:t>
      </w:r>
      <w:r w:rsidR="00C013AA" w:rsidRPr="004D42C5">
        <w:rPr>
          <w:rFonts w:ascii="Times New Roman" w:hAnsi="Times New Roman" w:cs="Times New Roman"/>
          <w:bCs/>
          <w:spacing w:val="4"/>
          <w:szCs w:val="24"/>
        </w:rPr>
        <w:t xml:space="preserve">rentowe i chorobowe. Do dochodu nie wlicza się natomiast świadczeń </w:t>
      </w:r>
      <w:r w:rsidR="006141EF" w:rsidRPr="004D42C5">
        <w:rPr>
          <w:rFonts w:ascii="Times New Roman" w:hAnsi="Times New Roman" w:cs="Times New Roman"/>
          <w:bCs/>
          <w:spacing w:val="4"/>
          <w:szCs w:val="24"/>
        </w:rPr>
        <w:t>o charakterze socjalnym, np.</w:t>
      </w:r>
      <w:r w:rsidR="001F5619">
        <w:rPr>
          <w:rFonts w:ascii="Times New Roman" w:hAnsi="Times New Roman" w:cs="Times New Roman"/>
          <w:bCs/>
          <w:spacing w:val="4"/>
          <w:szCs w:val="24"/>
        </w:rPr>
        <w:t> </w:t>
      </w:r>
      <w:r w:rsidR="00C013AA" w:rsidRPr="004D42C5">
        <w:rPr>
          <w:rFonts w:ascii="Times New Roman" w:hAnsi="Times New Roman" w:cs="Times New Roman"/>
          <w:bCs/>
          <w:spacing w:val="4"/>
          <w:szCs w:val="24"/>
        </w:rPr>
        <w:t>pomocy materialnej</w:t>
      </w:r>
      <w:r w:rsidR="006141EF" w:rsidRPr="004D42C5">
        <w:rPr>
          <w:rFonts w:ascii="Times New Roman" w:hAnsi="Times New Roman" w:cs="Times New Roman"/>
          <w:bCs/>
          <w:spacing w:val="4"/>
          <w:szCs w:val="24"/>
        </w:rPr>
        <w:t xml:space="preserve"> dla uczniów</w:t>
      </w:r>
      <w:r w:rsidR="00C013AA" w:rsidRPr="004D42C5">
        <w:rPr>
          <w:rFonts w:ascii="Times New Roman" w:hAnsi="Times New Roman" w:cs="Times New Roman"/>
          <w:bCs/>
          <w:spacing w:val="4"/>
          <w:szCs w:val="24"/>
        </w:rPr>
        <w:t>, dodatków</w:t>
      </w:r>
      <w:r w:rsidR="006141EF" w:rsidRPr="004D42C5">
        <w:rPr>
          <w:rFonts w:ascii="Times New Roman" w:hAnsi="Times New Roman" w:cs="Times New Roman"/>
          <w:bCs/>
          <w:spacing w:val="4"/>
          <w:szCs w:val="24"/>
        </w:rPr>
        <w:t xml:space="preserve"> dla sierot zupełnych</w:t>
      </w:r>
      <w:r w:rsidR="00C013AA" w:rsidRPr="004D42C5">
        <w:rPr>
          <w:rFonts w:ascii="Times New Roman" w:hAnsi="Times New Roman" w:cs="Times New Roman"/>
          <w:bCs/>
          <w:spacing w:val="4"/>
          <w:szCs w:val="24"/>
        </w:rPr>
        <w:t>, zapomóg i zasiłków z</w:t>
      </w:r>
      <w:r w:rsidR="007B2772" w:rsidRPr="004D42C5">
        <w:rPr>
          <w:rFonts w:ascii="Times New Roman" w:hAnsi="Times New Roman" w:cs="Times New Roman"/>
          <w:bCs/>
          <w:spacing w:val="4"/>
          <w:szCs w:val="24"/>
        </w:rPr>
        <w:t> </w:t>
      </w:r>
      <w:r w:rsidR="00C013AA" w:rsidRPr="004D42C5">
        <w:rPr>
          <w:rFonts w:ascii="Times New Roman" w:hAnsi="Times New Roman" w:cs="Times New Roman"/>
          <w:bCs/>
          <w:spacing w:val="4"/>
          <w:szCs w:val="24"/>
        </w:rPr>
        <w:t>pomocy społecznej</w:t>
      </w:r>
      <w:r w:rsidR="006141EF" w:rsidRPr="004D42C5">
        <w:rPr>
          <w:rFonts w:ascii="Times New Roman" w:hAnsi="Times New Roman" w:cs="Times New Roman"/>
          <w:bCs/>
          <w:spacing w:val="4"/>
          <w:szCs w:val="24"/>
        </w:rPr>
        <w:t>, a także świadczenia z tzw. programu 500+</w:t>
      </w:r>
      <w:r w:rsidR="00C013AA" w:rsidRPr="004D42C5">
        <w:rPr>
          <w:rFonts w:ascii="Times New Roman" w:hAnsi="Times New Roman" w:cs="Times New Roman"/>
          <w:bCs/>
          <w:spacing w:val="4"/>
          <w:szCs w:val="24"/>
        </w:rPr>
        <w:t xml:space="preserve">. </w:t>
      </w:r>
      <w:r w:rsidRPr="004D42C5">
        <w:rPr>
          <w:rFonts w:ascii="Times New Roman" w:hAnsi="Times New Roman" w:cs="Times New Roman"/>
          <w:bCs/>
          <w:spacing w:val="4"/>
          <w:szCs w:val="24"/>
        </w:rPr>
        <w:t>Projektowane przepisy zawierają również definicję pojęcia „gospodarstwo domowe”</w:t>
      </w:r>
      <w:r w:rsidR="00274C01" w:rsidRPr="004D42C5">
        <w:rPr>
          <w:rFonts w:ascii="Times New Roman" w:hAnsi="Times New Roman" w:cs="Times New Roman"/>
          <w:bCs/>
          <w:spacing w:val="4"/>
          <w:szCs w:val="24"/>
        </w:rPr>
        <w:t>,</w:t>
      </w:r>
      <w:r w:rsidRPr="004D42C5">
        <w:rPr>
          <w:rFonts w:ascii="Times New Roman" w:hAnsi="Times New Roman" w:cs="Times New Roman"/>
          <w:b/>
          <w:bCs/>
          <w:spacing w:val="4"/>
          <w:szCs w:val="24"/>
        </w:rPr>
        <w:t xml:space="preserve"> </w:t>
      </w:r>
      <w:r w:rsidRPr="004D42C5">
        <w:rPr>
          <w:rFonts w:ascii="Times New Roman" w:hAnsi="Times New Roman" w:cs="Times New Roman"/>
          <w:bCs/>
          <w:spacing w:val="4"/>
          <w:szCs w:val="24"/>
        </w:rPr>
        <w:t>sformułowaną również na wzór definicji zawartej w przepisach o</w:t>
      </w:r>
      <w:r w:rsidR="001F5619">
        <w:rPr>
          <w:rFonts w:ascii="Times New Roman" w:hAnsi="Times New Roman" w:cs="Times New Roman"/>
          <w:bCs/>
          <w:spacing w:val="4"/>
          <w:szCs w:val="24"/>
        </w:rPr>
        <w:t> </w:t>
      </w:r>
      <w:r w:rsidRPr="004D42C5">
        <w:rPr>
          <w:rFonts w:ascii="Times New Roman" w:hAnsi="Times New Roman" w:cs="Times New Roman"/>
          <w:bCs/>
          <w:spacing w:val="4"/>
          <w:szCs w:val="24"/>
        </w:rPr>
        <w:t>dodatkach mieszkaniowych oraz określają termin na złożenie wniosku o</w:t>
      </w:r>
      <w:r w:rsidR="001F5619">
        <w:rPr>
          <w:rFonts w:ascii="Times New Roman" w:hAnsi="Times New Roman" w:cs="Times New Roman"/>
          <w:bCs/>
          <w:spacing w:val="4"/>
          <w:szCs w:val="24"/>
        </w:rPr>
        <w:t> </w:t>
      </w:r>
      <w:r w:rsidRPr="004D42C5">
        <w:rPr>
          <w:rFonts w:ascii="Times New Roman" w:hAnsi="Times New Roman" w:cs="Times New Roman"/>
          <w:bCs/>
          <w:spacing w:val="4"/>
          <w:szCs w:val="24"/>
        </w:rPr>
        <w:t xml:space="preserve">udzielenie bonifikaty. </w:t>
      </w:r>
    </w:p>
    <w:p w:rsidR="00BE7940" w:rsidRPr="001F5619"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trike/>
          <w:spacing w:val="4"/>
          <w:szCs w:val="24"/>
          <w:lang w:eastAsia="en-US"/>
        </w:rPr>
      </w:pPr>
      <w:r w:rsidRPr="004D42C5">
        <w:rPr>
          <w:rFonts w:ascii="Times New Roman" w:hAnsi="Times New Roman" w:cs="Times New Roman"/>
          <w:b/>
          <w:bCs/>
          <w:spacing w:val="4"/>
          <w:szCs w:val="24"/>
        </w:rPr>
        <w:t>art. 77 ust. 4</w:t>
      </w:r>
      <w:r w:rsidR="00026077" w:rsidRPr="004D42C5">
        <w:rPr>
          <w:rFonts w:ascii="Times New Roman" w:hAnsi="Times New Roman" w:cs="Times New Roman"/>
          <w:b/>
          <w:bCs/>
          <w:spacing w:val="4"/>
          <w:szCs w:val="24"/>
        </w:rPr>
        <w:t>, 5</w:t>
      </w:r>
      <w:r w:rsidR="005979B3" w:rsidRPr="004D42C5">
        <w:rPr>
          <w:rFonts w:ascii="Times New Roman" w:hAnsi="Times New Roman" w:cs="Times New Roman"/>
          <w:b/>
          <w:bCs/>
          <w:spacing w:val="4"/>
          <w:szCs w:val="24"/>
        </w:rPr>
        <w:t>,</w:t>
      </w:r>
      <w:r w:rsidR="00026077" w:rsidRPr="004D42C5">
        <w:rPr>
          <w:rFonts w:ascii="Times New Roman" w:hAnsi="Times New Roman" w:cs="Times New Roman"/>
          <w:b/>
          <w:bCs/>
          <w:spacing w:val="4"/>
          <w:szCs w:val="24"/>
        </w:rPr>
        <w:t xml:space="preserve"> </w:t>
      </w:r>
      <w:r w:rsidR="005979B3" w:rsidRPr="004D42C5">
        <w:rPr>
          <w:rFonts w:ascii="Times New Roman" w:hAnsi="Times New Roman" w:cs="Times New Roman"/>
          <w:b/>
          <w:bCs/>
          <w:spacing w:val="4"/>
          <w:szCs w:val="24"/>
        </w:rPr>
        <w:t xml:space="preserve">6 </w:t>
      </w:r>
      <w:r w:rsidRPr="004D42C5">
        <w:rPr>
          <w:rFonts w:ascii="Times New Roman" w:hAnsi="Times New Roman" w:cs="Times New Roman"/>
          <w:bCs/>
          <w:spacing w:val="4"/>
          <w:szCs w:val="24"/>
        </w:rPr>
        <w:t xml:space="preserve">– zaproponowano doprecyzowanie przepisu w celu umożliwienia zaliczania </w:t>
      </w:r>
      <w:r w:rsidR="00455A6F" w:rsidRPr="004D42C5">
        <w:rPr>
          <w:rFonts w:ascii="Times New Roman" w:hAnsi="Times New Roman" w:cs="Times New Roman"/>
          <w:bCs/>
          <w:spacing w:val="4"/>
          <w:szCs w:val="24"/>
        </w:rPr>
        <w:t>przy</w:t>
      </w:r>
      <w:r w:rsidRPr="004D42C5">
        <w:rPr>
          <w:rFonts w:ascii="Times New Roman" w:hAnsi="Times New Roman" w:cs="Times New Roman"/>
          <w:bCs/>
          <w:spacing w:val="4"/>
          <w:szCs w:val="24"/>
        </w:rPr>
        <w:t xml:space="preserve"> pierwszej aktualizacji </w:t>
      </w:r>
      <w:r w:rsidR="004F5602">
        <w:rPr>
          <w:rFonts w:ascii="Times New Roman" w:hAnsi="Times New Roman" w:cs="Times New Roman"/>
          <w:bCs/>
          <w:spacing w:val="4"/>
          <w:szCs w:val="24"/>
        </w:rPr>
        <w:t xml:space="preserve">opłaty rocznej </w:t>
      </w:r>
      <w:r w:rsidRPr="004D42C5">
        <w:rPr>
          <w:rFonts w:ascii="Times New Roman" w:hAnsi="Times New Roman" w:cs="Times New Roman"/>
          <w:bCs/>
          <w:spacing w:val="4"/>
          <w:szCs w:val="24"/>
        </w:rPr>
        <w:t xml:space="preserve">wartości </w:t>
      </w:r>
      <w:r w:rsidRPr="004D42C5">
        <w:rPr>
          <w:rFonts w:ascii="Times New Roman" w:hAnsi="Times New Roman" w:cs="Times New Roman"/>
          <w:spacing w:val="4"/>
          <w:szCs w:val="24"/>
        </w:rPr>
        <w:t xml:space="preserve">nakładów poniesionych przez użytkownika wieczystego nieruchomości na budowę poszczególnych urządzeń infrastruktury technicznej. Obecnie przepis pozwala zaliczać jedynie wartość nakładów dokonywanych po aktualizacji. </w:t>
      </w:r>
      <w:r w:rsidRPr="004D42C5">
        <w:rPr>
          <w:rFonts w:ascii="Times New Roman" w:hAnsi="Times New Roman" w:cs="Times New Roman"/>
          <w:spacing w:val="4"/>
          <w:szCs w:val="24"/>
        </w:rPr>
        <w:lastRenderedPageBreak/>
        <w:t xml:space="preserve">Rzecznik Praw Obywatelskich wskazał, że przepis ten wprowadza nierówność wobec osób, które </w:t>
      </w:r>
      <w:r w:rsidR="00026077" w:rsidRPr="004D42C5">
        <w:rPr>
          <w:rFonts w:ascii="Times New Roman" w:hAnsi="Times New Roman" w:cs="Times New Roman"/>
          <w:spacing w:val="4"/>
          <w:szCs w:val="24"/>
        </w:rPr>
        <w:t>poniosły nakłady</w:t>
      </w:r>
      <w:r w:rsidRPr="004D42C5">
        <w:rPr>
          <w:rFonts w:ascii="Times New Roman" w:hAnsi="Times New Roman" w:cs="Times New Roman"/>
          <w:spacing w:val="4"/>
          <w:szCs w:val="24"/>
        </w:rPr>
        <w:t xml:space="preserve"> przed pierwszą aktualizacją. Zaproponowane brzmienie art. 77 ust. 4 ugn przyznaje tym osobom prawo zaliczenia nakładów.</w:t>
      </w:r>
    </w:p>
    <w:p w:rsidR="00026077" w:rsidRPr="004D42C5" w:rsidRDefault="00026077" w:rsidP="007B2772">
      <w:pPr>
        <w:pStyle w:val="ZARTzmartartykuempunktem"/>
        <w:spacing w:before="120"/>
        <w:ind w:left="426" w:firstLine="0"/>
        <w:rPr>
          <w:rFonts w:ascii="Times New Roman" w:hAnsi="Times New Roman" w:cs="Times New Roman"/>
          <w:bCs/>
          <w:spacing w:val="4"/>
          <w:szCs w:val="24"/>
        </w:rPr>
      </w:pPr>
      <w:r w:rsidRPr="004D42C5">
        <w:rPr>
          <w:rFonts w:ascii="Times New Roman" w:hAnsi="Times New Roman" w:cs="Times New Roman"/>
          <w:bCs/>
          <w:spacing w:val="4"/>
          <w:szCs w:val="24"/>
        </w:rPr>
        <w:t>Ponadto doprecyzowano pojęcie budowy urzą</w:t>
      </w:r>
      <w:r w:rsidR="006725A1" w:rsidRPr="004D42C5">
        <w:rPr>
          <w:rFonts w:ascii="Times New Roman" w:hAnsi="Times New Roman" w:cs="Times New Roman"/>
          <w:bCs/>
          <w:spacing w:val="4"/>
          <w:szCs w:val="24"/>
        </w:rPr>
        <w:t>dzeń infrastruktury technicznej w</w:t>
      </w:r>
      <w:r w:rsidR="007B2772" w:rsidRPr="004D42C5">
        <w:rPr>
          <w:rFonts w:ascii="Times New Roman" w:hAnsi="Times New Roman" w:cs="Times New Roman"/>
          <w:bCs/>
          <w:spacing w:val="4"/>
          <w:szCs w:val="24"/>
        </w:rPr>
        <w:t> </w:t>
      </w:r>
      <w:r w:rsidRPr="004D42C5">
        <w:rPr>
          <w:rFonts w:ascii="Times New Roman" w:hAnsi="Times New Roman" w:cs="Times New Roman"/>
          <w:bCs/>
          <w:spacing w:val="4"/>
          <w:szCs w:val="24"/>
        </w:rPr>
        <w:t>celu określenia, które nakłady podlegają zaliczeniu w procedurze aktualizacji. Dotychczas przepis ten budził bowiem wiele wątpliwości</w:t>
      </w:r>
      <w:r w:rsidR="004F5602">
        <w:rPr>
          <w:rFonts w:ascii="Times New Roman" w:hAnsi="Times New Roman" w:cs="Times New Roman"/>
          <w:bCs/>
          <w:spacing w:val="4"/>
          <w:szCs w:val="24"/>
        </w:rPr>
        <w:t xml:space="preserve"> i</w:t>
      </w:r>
      <w:r w:rsidRPr="004D42C5">
        <w:rPr>
          <w:rFonts w:ascii="Times New Roman" w:hAnsi="Times New Roman" w:cs="Times New Roman"/>
          <w:bCs/>
          <w:spacing w:val="4"/>
          <w:szCs w:val="24"/>
        </w:rPr>
        <w:t xml:space="preserve"> był często przedmiotem orzecznictwa sądowego. W celu zapewnienia jednolitego stosowania przepisów przesądzono, nawiązując do wyroku Sądu Najwyższego z</w:t>
      </w:r>
      <w:r w:rsidR="007B2772" w:rsidRPr="004D42C5">
        <w:rPr>
          <w:rFonts w:ascii="Times New Roman" w:hAnsi="Times New Roman" w:cs="Times New Roman"/>
          <w:bCs/>
          <w:spacing w:val="4"/>
          <w:szCs w:val="24"/>
        </w:rPr>
        <w:t> </w:t>
      </w:r>
      <w:r w:rsidRPr="004D42C5">
        <w:rPr>
          <w:rFonts w:ascii="Times New Roman" w:hAnsi="Times New Roman" w:cs="Times New Roman"/>
          <w:bCs/>
          <w:spacing w:val="4"/>
          <w:szCs w:val="24"/>
        </w:rPr>
        <w:t xml:space="preserve">dnia 31 stycznia 2013 r. sygn. akt. II CSK 223/12 oraz wyroku </w:t>
      </w:r>
      <w:r w:rsidRPr="004D42C5">
        <w:rPr>
          <w:rFonts w:ascii="Times New Roman" w:hAnsi="Times New Roman" w:cs="Times New Roman"/>
          <w:spacing w:val="4"/>
          <w:szCs w:val="24"/>
        </w:rPr>
        <w:t>z dnia 21 maja 2014 r. sygn. akt II CSK 451/13</w:t>
      </w:r>
      <w:r w:rsidRPr="004D42C5">
        <w:rPr>
          <w:rFonts w:ascii="Times New Roman" w:hAnsi="Times New Roman" w:cs="Times New Roman"/>
          <w:bCs/>
          <w:spacing w:val="4"/>
          <w:szCs w:val="24"/>
        </w:rPr>
        <w:t xml:space="preserve">, że użyte w art. 77 ust. 4 pojęcie budowy urządzeń infrastruktury technicznej definiuje art. 143 ust. 2 </w:t>
      </w:r>
      <w:r w:rsidR="006725A1" w:rsidRPr="004D42C5">
        <w:rPr>
          <w:rFonts w:ascii="Times New Roman" w:hAnsi="Times New Roman" w:cs="Times New Roman"/>
          <w:bCs/>
          <w:spacing w:val="4"/>
          <w:szCs w:val="24"/>
        </w:rPr>
        <w:t>ugn</w:t>
      </w:r>
      <w:r w:rsidRPr="004D42C5">
        <w:rPr>
          <w:rFonts w:ascii="Times New Roman" w:hAnsi="Times New Roman" w:cs="Times New Roman"/>
          <w:bCs/>
          <w:spacing w:val="4"/>
          <w:szCs w:val="24"/>
        </w:rPr>
        <w:t xml:space="preserve">. Za takim samym rozumieniem tego pojęcia przemawia utrzymanie spójności </w:t>
      </w:r>
      <w:r w:rsidR="00EA4080">
        <w:rPr>
          <w:rFonts w:ascii="Times New Roman" w:hAnsi="Times New Roman" w:cs="Times New Roman"/>
          <w:bCs/>
          <w:spacing w:val="4"/>
          <w:szCs w:val="24"/>
        </w:rPr>
        <w:t xml:space="preserve">przepisów </w:t>
      </w:r>
      <w:r w:rsidRPr="004D42C5">
        <w:rPr>
          <w:rFonts w:ascii="Times New Roman" w:hAnsi="Times New Roman" w:cs="Times New Roman"/>
          <w:bCs/>
          <w:spacing w:val="4"/>
          <w:szCs w:val="24"/>
        </w:rPr>
        <w:t>u</w:t>
      </w:r>
      <w:r w:rsidR="004F5602">
        <w:rPr>
          <w:rFonts w:ascii="Times New Roman" w:hAnsi="Times New Roman" w:cs="Times New Roman"/>
          <w:bCs/>
          <w:spacing w:val="4"/>
          <w:szCs w:val="24"/>
        </w:rPr>
        <w:t>gn</w:t>
      </w:r>
      <w:r w:rsidRPr="004D42C5">
        <w:rPr>
          <w:rFonts w:ascii="Times New Roman" w:hAnsi="Times New Roman" w:cs="Times New Roman"/>
          <w:bCs/>
          <w:spacing w:val="4"/>
          <w:szCs w:val="24"/>
        </w:rPr>
        <w:t xml:space="preserve"> i bez znaczenia jest tu</w:t>
      </w:r>
      <w:r w:rsidR="00DD5429" w:rsidRPr="004D42C5">
        <w:rPr>
          <w:rFonts w:ascii="Times New Roman" w:hAnsi="Times New Roman" w:cs="Times New Roman"/>
          <w:bCs/>
          <w:spacing w:val="4"/>
          <w:szCs w:val="24"/>
        </w:rPr>
        <w:t>,</w:t>
      </w:r>
      <w:r w:rsidRPr="004D42C5">
        <w:rPr>
          <w:rFonts w:ascii="Times New Roman" w:hAnsi="Times New Roman" w:cs="Times New Roman"/>
          <w:bCs/>
          <w:spacing w:val="4"/>
          <w:szCs w:val="24"/>
        </w:rPr>
        <w:t xml:space="preserve"> w jakim rozdziale definicja ta została umieszczona, ponieważ jej zastosowanie jest szersze, służy nie tylko jako odniesienie dla pojęcia używanego w zmienianej u</w:t>
      </w:r>
      <w:r w:rsidR="004F5602">
        <w:rPr>
          <w:rFonts w:ascii="Times New Roman" w:hAnsi="Times New Roman" w:cs="Times New Roman"/>
          <w:bCs/>
          <w:spacing w:val="4"/>
          <w:szCs w:val="24"/>
        </w:rPr>
        <w:t>gn</w:t>
      </w:r>
      <w:r w:rsidRPr="004D42C5">
        <w:rPr>
          <w:rFonts w:ascii="Times New Roman" w:hAnsi="Times New Roman" w:cs="Times New Roman"/>
          <w:bCs/>
          <w:spacing w:val="4"/>
          <w:szCs w:val="24"/>
        </w:rPr>
        <w:t>, ale również w innych aktach prawnych.</w:t>
      </w:r>
    </w:p>
    <w:p w:rsidR="00026077" w:rsidRPr="004D42C5" w:rsidRDefault="00026077" w:rsidP="007B2772">
      <w:pPr>
        <w:spacing w:before="120" w:after="0" w:line="360" w:lineRule="auto"/>
        <w:ind w:left="426"/>
        <w:jc w:val="both"/>
        <w:rPr>
          <w:rFonts w:ascii="Times New Roman" w:hAnsi="Times New Roman"/>
          <w:spacing w:val="4"/>
          <w:sz w:val="24"/>
          <w:szCs w:val="24"/>
        </w:rPr>
      </w:pPr>
      <w:r w:rsidRPr="004D42C5">
        <w:rPr>
          <w:rFonts w:ascii="Times New Roman" w:hAnsi="Times New Roman"/>
          <w:spacing w:val="4"/>
          <w:sz w:val="24"/>
          <w:szCs w:val="24"/>
        </w:rPr>
        <w:t xml:space="preserve">Dookreślono również, </w:t>
      </w:r>
      <w:r w:rsidR="00B149ED" w:rsidRPr="004D42C5">
        <w:rPr>
          <w:rFonts w:ascii="Times New Roman" w:hAnsi="Times New Roman"/>
          <w:spacing w:val="4"/>
          <w:sz w:val="24"/>
          <w:szCs w:val="24"/>
        </w:rPr>
        <w:t>poprzez odniesienie do art. 143</w:t>
      </w:r>
      <w:r w:rsidR="00DD5429" w:rsidRPr="004D42C5">
        <w:rPr>
          <w:rFonts w:ascii="Times New Roman" w:hAnsi="Times New Roman"/>
          <w:spacing w:val="4"/>
          <w:sz w:val="24"/>
          <w:szCs w:val="24"/>
        </w:rPr>
        <w:t xml:space="preserve"> ugn</w:t>
      </w:r>
      <w:r w:rsidRPr="004D42C5">
        <w:rPr>
          <w:rFonts w:ascii="Times New Roman" w:hAnsi="Times New Roman"/>
          <w:spacing w:val="4"/>
          <w:sz w:val="24"/>
          <w:szCs w:val="24"/>
        </w:rPr>
        <w:t>, że pojęcie „urządzenia infrastruktury technicznej” należy rozumieć jako infrastrukturę publiczną, wyb</w:t>
      </w:r>
      <w:r w:rsidR="00BA119C" w:rsidRPr="004D42C5">
        <w:rPr>
          <w:rFonts w:ascii="Times New Roman" w:hAnsi="Times New Roman"/>
          <w:spacing w:val="4"/>
          <w:sz w:val="24"/>
          <w:szCs w:val="24"/>
        </w:rPr>
        <w:t xml:space="preserve">udowaną </w:t>
      </w:r>
      <w:r w:rsidRPr="004D42C5">
        <w:rPr>
          <w:rFonts w:ascii="Times New Roman" w:hAnsi="Times New Roman"/>
          <w:spacing w:val="4"/>
          <w:sz w:val="24"/>
          <w:szCs w:val="24"/>
        </w:rPr>
        <w:t xml:space="preserve">z udziałem środków publicznych lub środków pochodzących z budżetu </w:t>
      </w:r>
      <w:r w:rsidR="00BA119C" w:rsidRPr="004D42C5">
        <w:rPr>
          <w:rFonts w:ascii="Times New Roman" w:hAnsi="Times New Roman"/>
          <w:spacing w:val="4"/>
          <w:sz w:val="24"/>
          <w:szCs w:val="24"/>
        </w:rPr>
        <w:t xml:space="preserve">Unii Europejskiej lub ze źródeł </w:t>
      </w:r>
      <w:r w:rsidRPr="004D42C5">
        <w:rPr>
          <w:rFonts w:ascii="Times New Roman" w:hAnsi="Times New Roman"/>
          <w:spacing w:val="4"/>
          <w:sz w:val="24"/>
          <w:szCs w:val="24"/>
        </w:rPr>
        <w:t>zagranicznych niepodlegających zwrotowi. Inwestycje w uzbrojenie własnej nieruchomości nie powinny mieścić się w pojęciu nakładów na budowę infrastruktury technicznej w rozumieniu art. 77 ust.</w:t>
      </w:r>
      <w:r w:rsidR="00B149ED" w:rsidRPr="004D42C5">
        <w:rPr>
          <w:rFonts w:ascii="Times New Roman" w:hAnsi="Times New Roman"/>
          <w:spacing w:val="4"/>
          <w:sz w:val="24"/>
          <w:szCs w:val="24"/>
        </w:rPr>
        <w:t xml:space="preserve"> 4</w:t>
      </w:r>
      <w:r w:rsidR="006725A1" w:rsidRPr="004D42C5">
        <w:rPr>
          <w:rFonts w:ascii="Times New Roman" w:hAnsi="Times New Roman"/>
          <w:spacing w:val="4"/>
          <w:sz w:val="24"/>
          <w:szCs w:val="24"/>
        </w:rPr>
        <w:t>.</w:t>
      </w:r>
      <w:r w:rsidRPr="004D42C5">
        <w:rPr>
          <w:rFonts w:ascii="Times New Roman" w:hAnsi="Times New Roman"/>
          <w:spacing w:val="4"/>
          <w:sz w:val="24"/>
          <w:szCs w:val="24"/>
        </w:rPr>
        <w:t xml:space="preserve"> Takie stanowisko zajął m.in. Sąd Najwyższy w</w:t>
      </w:r>
      <w:r w:rsidR="007B2772" w:rsidRPr="004D42C5">
        <w:rPr>
          <w:rFonts w:ascii="Times New Roman" w:hAnsi="Times New Roman"/>
          <w:spacing w:val="4"/>
          <w:sz w:val="24"/>
          <w:szCs w:val="24"/>
        </w:rPr>
        <w:t> </w:t>
      </w:r>
      <w:r w:rsidRPr="004D42C5">
        <w:rPr>
          <w:rFonts w:ascii="Times New Roman" w:hAnsi="Times New Roman"/>
          <w:spacing w:val="4"/>
          <w:sz w:val="24"/>
          <w:szCs w:val="24"/>
        </w:rPr>
        <w:t>wy</w:t>
      </w:r>
      <w:r w:rsidR="00FA74EA">
        <w:rPr>
          <w:rFonts w:ascii="Times New Roman" w:hAnsi="Times New Roman"/>
          <w:spacing w:val="4"/>
          <w:sz w:val="24"/>
          <w:szCs w:val="24"/>
        </w:rPr>
        <w:t>roku z dnia 31 stycznia 2013 r.</w:t>
      </w:r>
      <w:r w:rsidRPr="004D42C5">
        <w:rPr>
          <w:rFonts w:ascii="Times New Roman" w:hAnsi="Times New Roman"/>
          <w:spacing w:val="4"/>
          <w:sz w:val="24"/>
          <w:szCs w:val="24"/>
        </w:rPr>
        <w:t xml:space="preserve"> sygn. akt II CSK 223/12. W ocenie Sądu drogi wewnętrzne, sieci kanalizacyjne, przyłącza</w:t>
      </w:r>
      <w:r w:rsidR="006725A1" w:rsidRPr="004D42C5">
        <w:rPr>
          <w:rFonts w:ascii="Times New Roman" w:hAnsi="Times New Roman"/>
          <w:spacing w:val="4"/>
          <w:sz w:val="24"/>
          <w:szCs w:val="24"/>
        </w:rPr>
        <w:t>,</w:t>
      </w:r>
      <w:r w:rsidRPr="004D42C5">
        <w:rPr>
          <w:rFonts w:ascii="Times New Roman" w:hAnsi="Times New Roman"/>
          <w:spacing w:val="4"/>
          <w:sz w:val="24"/>
          <w:szCs w:val="24"/>
        </w:rPr>
        <w:t xml:space="preserve"> itp.</w:t>
      </w:r>
      <w:r w:rsidR="006725A1" w:rsidRPr="004D42C5">
        <w:rPr>
          <w:rFonts w:ascii="Times New Roman" w:hAnsi="Times New Roman"/>
          <w:spacing w:val="4"/>
          <w:sz w:val="24"/>
          <w:szCs w:val="24"/>
        </w:rPr>
        <w:t>,</w:t>
      </w:r>
      <w:r w:rsidRPr="004D42C5">
        <w:rPr>
          <w:rFonts w:ascii="Times New Roman" w:hAnsi="Times New Roman"/>
          <w:spacing w:val="4"/>
          <w:sz w:val="24"/>
          <w:szCs w:val="24"/>
        </w:rPr>
        <w:t xml:space="preserve"> ulokowane na nieruchomości użytkownika wieczystego</w:t>
      </w:r>
      <w:r w:rsidR="004F5602">
        <w:rPr>
          <w:rFonts w:ascii="Times New Roman" w:hAnsi="Times New Roman"/>
          <w:spacing w:val="4"/>
          <w:sz w:val="24"/>
          <w:szCs w:val="24"/>
        </w:rPr>
        <w:t>,</w:t>
      </w:r>
      <w:r w:rsidRPr="004D42C5">
        <w:rPr>
          <w:rFonts w:ascii="Times New Roman" w:hAnsi="Times New Roman"/>
          <w:spacing w:val="4"/>
          <w:sz w:val="24"/>
          <w:szCs w:val="24"/>
        </w:rPr>
        <w:t xml:space="preserve"> nie stanowią nakładów wskazanych w</w:t>
      </w:r>
      <w:r w:rsidR="007B2772" w:rsidRPr="004D42C5">
        <w:rPr>
          <w:rFonts w:ascii="Times New Roman" w:hAnsi="Times New Roman"/>
          <w:spacing w:val="4"/>
          <w:sz w:val="24"/>
          <w:szCs w:val="24"/>
        </w:rPr>
        <w:t> </w:t>
      </w:r>
      <w:r w:rsidRPr="004D42C5">
        <w:rPr>
          <w:rFonts w:ascii="Times New Roman" w:hAnsi="Times New Roman"/>
          <w:spacing w:val="4"/>
          <w:sz w:val="24"/>
          <w:szCs w:val="24"/>
        </w:rPr>
        <w:t>art. 77 ust. 4 ugn.</w:t>
      </w:r>
    </w:p>
    <w:p w:rsidR="004A350A" w:rsidRPr="004D42C5" w:rsidRDefault="00026077" w:rsidP="007B2772">
      <w:pPr>
        <w:spacing w:before="120" w:after="0" w:line="360" w:lineRule="auto"/>
        <w:ind w:left="426"/>
        <w:jc w:val="both"/>
        <w:rPr>
          <w:rFonts w:ascii="Times New Roman" w:hAnsi="Times New Roman"/>
          <w:spacing w:val="4"/>
          <w:sz w:val="24"/>
          <w:szCs w:val="24"/>
        </w:rPr>
      </w:pPr>
      <w:r w:rsidRPr="004D42C5">
        <w:rPr>
          <w:rFonts w:ascii="Times New Roman" w:hAnsi="Times New Roman"/>
          <w:spacing w:val="4"/>
          <w:sz w:val="24"/>
          <w:szCs w:val="24"/>
        </w:rPr>
        <w:t>Nowe brzmienie przepisu powoduje bezprzedmiotowość regulacji zawartej w</w:t>
      </w:r>
      <w:r w:rsidR="007B2772" w:rsidRPr="004D42C5">
        <w:rPr>
          <w:rFonts w:ascii="Times New Roman" w:hAnsi="Times New Roman"/>
          <w:spacing w:val="4"/>
          <w:sz w:val="24"/>
          <w:szCs w:val="24"/>
        </w:rPr>
        <w:t> </w:t>
      </w:r>
      <w:r w:rsidRPr="004D42C5">
        <w:rPr>
          <w:rFonts w:ascii="Times New Roman" w:hAnsi="Times New Roman"/>
          <w:spacing w:val="4"/>
          <w:sz w:val="24"/>
          <w:szCs w:val="24"/>
        </w:rPr>
        <w:t>ust. 5, bowiem umożliwia zaliczenie wszystkich niezaliczonych dotychczas nakładów poniesionych na budowę urządzeń infrastruktury</w:t>
      </w:r>
      <w:r w:rsidR="00B149ED" w:rsidRPr="004D42C5">
        <w:rPr>
          <w:rFonts w:ascii="Times New Roman" w:hAnsi="Times New Roman"/>
          <w:spacing w:val="4"/>
          <w:sz w:val="24"/>
          <w:szCs w:val="24"/>
        </w:rPr>
        <w:t xml:space="preserve"> technicznej</w:t>
      </w:r>
      <w:r w:rsidRPr="004D42C5">
        <w:rPr>
          <w:rFonts w:ascii="Times New Roman" w:hAnsi="Times New Roman"/>
          <w:spacing w:val="4"/>
          <w:sz w:val="24"/>
          <w:szCs w:val="24"/>
        </w:rPr>
        <w:t xml:space="preserve">. Tym samym </w:t>
      </w:r>
      <w:r w:rsidR="006725A1" w:rsidRPr="004D42C5">
        <w:rPr>
          <w:rFonts w:ascii="Times New Roman" w:hAnsi="Times New Roman"/>
          <w:spacing w:val="4"/>
          <w:sz w:val="24"/>
          <w:szCs w:val="24"/>
        </w:rPr>
        <w:t xml:space="preserve">w projekcie </w:t>
      </w:r>
      <w:r w:rsidRPr="004D42C5">
        <w:rPr>
          <w:rFonts w:ascii="Times New Roman" w:hAnsi="Times New Roman"/>
          <w:spacing w:val="4"/>
          <w:sz w:val="24"/>
          <w:szCs w:val="24"/>
        </w:rPr>
        <w:t>przewid</w:t>
      </w:r>
      <w:r w:rsidR="006725A1" w:rsidRPr="004D42C5">
        <w:rPr>
          <w:rFonts w:ascii="Times New Roman" w:hAnsi="Times New Roman"/>
          <w:spacing w:val="4"/>
          <w:sz w:val="24"/>
          <w:szCs w:val="24"/>
        </w:rPr>
        <w:t>ziano</w:t>
      </w:r>
      <w:r w:rsidRPr="004D42C5">
        <w:rPr>
          <w:rFonts w:ascii="Times New Roman" w:hAnsi="Times New Roman"/>
          <w:spacing w:val="4"/>
          <w:sz w:val="24"/>
          <w:szCs w:val="24"/>
        </w:rPr>
        <w:t xml:space="preserve"> uchylenie art. 77 ust. 5.</w:t>
      </w:r>
    </w:p>
    <w:p w:rsidR="00971FE2" w:rsidRPr="004D42C5" w:rsidRDefault="00AE3004" w:rsidP="007B2772">
      <w:pPr>
        <w:numPr>
          <w:ilvl w:val="1"/>
          <w:numId w:val="1"/>
        </w:numPr>
        <w:tabs>
          <w:tab w:val="num" w:pos="426"/>
        </w:tabs>
        <w:spacing w:before="120" w:after="0" w:line="360" w:lineRule="auto"/>
        <w:ind w:left="426" w:hanging="426"/>
        <w:jc w:val="both"/>
        <w:rPr>
          <w:rFonts w:ascii="Times New Roman" w:hAnsi="Times New Roman"/>
          <w:spacing w:val="4"/>
          <w:sz w:val="24"/>
          <w:szCs w:val="24"/>
        </w:rPr>
      </w:pPr>
      <w:r w:rsidRPr="004D42C5">
        <w:rPr>
          <w:rFonts w:ascii="Times New Roman" w:hAnsi="Times New Roman"/>
          <w:b/>
          <w:spacing w:val="4"/>
          <w:sz w:val="24"/>
          <w:szCs w:val="24"/>
        </w:rPr>
        <w:lastRenderedPageBreak/>
        <w:t>art. 78 ust. 1</w:t>
      </w:r>
      <w:r w:rsidR="00FA74EA">
        <w:rPr>
          <w:rFonts w:ascii="Times New Roman" w:hAnsi="Times New Roman"/>
          <w:b/>
          <w:spacing w:val="4"/>
          <w:sz w:val="24"/>
          <w:szCs w:val="24"/>
        </w:rPr>
        <w:t xml:space="preserve"> i</w:t>
      </w:r>
      <w:r w:rsidRPr="004D42C5">
        <w:rPr>
          <w:rFonts w:ascii="Times New Roman" w:hAnsi="Times New Roman"/>
          <w:b/>
          <w:spacing w:val="4"/>
          <w:sz w:val="24"/>
          <w:szCs w:val="24"/>
        </w:rPr>
        <w:t xml:space="preserve"> art. 81 ust. 1 </w:t>
      </w:r>
      <w:r w:rsidRPr="004D42C5">
        <w:rPr>
          <w:rFonts w:ascii="Times New Roman" w:hAnsi="Times New Roman"/>
          <w:spacing w:val="4"/>
          <w:sz w:val="24"/>
          <w:szCs w:val="24"/>
        </w:rPr>
        <w:t xml:space="preserve">– </w:t>
      </w:r>
      <w:r w:rsidR="000D758B" w:rsidRPr="004D42C5">
        <w:rPr>
          <w:rFonts w:ascii="Times New Roman" w:hAnsi="Times New Roman"/>
          <w:spacing w:val="4"/>
          <w:sz w:val="24"/>
          <w:szCs w:val="24"/>
        </w:rPr>
        <w:t>zmiana o charakterze doprecyzowującym przesądzająca, że wypowiedzenie wysokości dotychczasowej opłaty rocznej oraz żądanie dokonania aktualizacji opłaty rocznej mogą nastąpić wyłącznie w</w:t>
      </w:r>
      <w:r w:rsidR="007B2772" w:rsidRPr="004D42C5">
        <w:rPr>
          <w:rFonts w:ascii="Times New Roman" w:hAnsi="Times New Roman"/>
          <w:spacing w:val="4"/>
          <w:sz w:val="24"/>
          <w:szCs w:val="24"/>
        </w:rPr>
        <w:t> </w:t>
      </w:r>
      <w:r w:rsidR="001F5619">
        <w:rPr>
          <w:rFonts w:ascii="Times New Roman" w:hAnsi="Times New Roman"/>
          <w:spacing w:val="4"/>
          <w:sz w:val="24"/>
          <w:szCs w:val="24"/>
        </w:rPr>
        <w:t>formie papierowej.</w:t>
      </w:r>
    </w:p>
    <w:p w:rsidR="00AC3EC4" w:rsidRPr="004D42C5" w:rsidRDefault="00BE7940" w:rsidP="007B2772">
      <w:pPr>
        <w:numPr>
          <w:ilvl w:val="1"/>
          <w:numId w:val="1"/>
        </w:numPr>
        <w:tabs>
          <w:tab w:val="num" w:pos="426"/>
        </w:tabs>
        <w:spacing w:before="120" w:after="0" w:line="360" w:lineRule="auto"/>
        <w:ind w:left="426" w:hanging="426"/>
        <w:jc w:val="both"/>
        <w:rPr>
          <w:rFonts w:ascii="Times New Roman" w:hAnsi="Times New Roman"/>
          <w:spacing w:val="4"/>
          <w:sz w:val="24"/>
          <w:szCs w:val="24"/>
        </w:rPr>
      </w:pPr>
      <w:r w:rsidRPr="004D42C5">
        <w:rPr>
          <w:rFonts w:ascii="Times New Roman" w:hAnsi="Times New Roman"/>
          <w:b/>
          <w:spacing w:val="4"/>
          <w:sz w:val="24"/>
          <w:szCs w:val="24"/>
        </w:rPr>
        <w:t xml:space="preserve">art. 78 ust. </w:t>
      </w:r>
      <w:r w:rsidR="00272183" w:rsidRPr="004D42C5">
        <w:rPr>
          <w:rFonts w:ascii="Times New Roman" w:hAnsi="Times New Roman"/>
          <w:b/>
          <w:spacing w:val="4"/>
          <w:sz w:val="24"/>
          <w:szCs w:val="24"/>
        </w:rPr>
        <w:t>2 i</w:t>
      </w:r>
      <w:r w:rsidR="00F22743" w:rsidRPr="004D42C5">
        <w:rPr>
          <w:rFonts w:ascii="Times New Roman" w:hAnsi="Times New Roman"/>
          <w:b/>
          <w:spacing w:val="4"/>
          <w:sz w:val="24"/>
          <w:szCs w:val="24"/>
        </w:rPr>
        <w:t xml:space="preserve"> </w:t>
      </w:r>
      <w:r w:rsidRPr="004D42C5">
        <w:rPr>
          <w:rFonts w:ascii="Times New Roman" w:hAnsi="Times New Roman"/>
          <w:b/>
          <w:spacing w:val="4"/>
          <w:sz w:val="24"/>
          <w:szCs w:val="24"/>
        </w:rPr>
        <w:t>3</w:t>
      </w:r>
      <w:r w:rsidR="00302CAA" w:rsidRPr="004D42C5">
        <w:rPr>
          <w:rFonts w:ascii="Times New Roman" w:hAnsi="Times New Roman"/>
          <w:b/>
          <w:spacing w:val="4"/>
          <w:sz w:val="24"/>
          <w:szCs w:val="24"/>
        </w:rPr>
        <w:t xml:space="preserve"> </w:t>
      </w:r>
      <w:r w:rsidRPr="004D42C5">
        <w:rPr>
          <w:rFonts w:ascii="Times New Roman" w:hAnsi="Times New Roman"/>
          <w:spacing w:val="4"/>
          <w:sz w:val="24"/>
          <w:szCs w:val="24"/>
        </w:rPr>
        <w:t>– projektowane zmiany mają na celu doprecyzowanie procedury aktualizacji opłaty rocznej z tytułu użytkowania wieczystego gruntu, w zakresie sprecyzowania stron</w:t>
      </w:r>
      <w:r w:rsidR="006725A1" w:rsidRPr="004D42C5">
        <w:rPr>
          <w:rFonts w:ascii="Times New Roman" w:hAnsi="Times New Roman"/>
          <w:spacing w:val="4"/>
          <w:sz w:val="24"/>
          <w:szCs w:val="24"/>
        </w:rPr>
        <w:t>y postępowania, będącej</w:t>
      </w:r>
      <w:r w:rsidRPr="004D42C5">
        <w:rPr>
          <w:rFonts w:ascii="Times New Roman" w:hAnsi="Times New Roman"/>
          <w:spacing w:val="4"/>
          <w:sz w:val="24"/>
          <w:szCs w:val="24"/>
        </w:rPr>
        <w:t xml:space="preserve"> właścicielem nieruchomości gruntowej. </w:t>
      </w:r>
      <w:r w:rsidR="00C2152F" w:rsidRPr="004D42C5">
        <w:rPr>
          <w:rFonts w:ascii="Times New Roman" w:hAnsi="Times New Roman"/>
          <w:spacing w:val="4"/>
          <w:sz w:val="24"/>
          <w:szCs w:val="24"/>
        </w:rPr>
        <w:t>Na p</w:t>
      </w:r>
      <w:r w:rsidRPr="004D42C5">
        <w:rPr>
          <w:rFonts w:ascii="Times New Roman" w:hAnsi="Times New Roman"/>
          <w:spacing w:val="4"/>
          <w:sz w:val="24"/>
          <w:szCs w:val="24"/>
        </w:rPr>
        <w:t>r</w:t>
      </w:r>
      <w:r w:rsidR="00C2152F" w:rsidRPr="004D42C5">
        <w:rPr>
          <w:rFonts w:ascii="Times New Roman" w:hAnsi="Times New Roman"/>
          <w:spacing w:val="4"/>
          <w:sz w:val="24"/>
          <w:szCs w:val="24"/>
        </w:rPr>
        <w:t>oblemy w tym zakresie</w:t>
      </w:r>
      <w:r w:rsidRPr="004D42C5">
        <w:rPr>
          <w:rFonts w:ascii="Times New Roman" w:hAnsi="Times New Roman"/>
          <w:spacing w:val="4"/>
          <w:sz w:val="24"/>
          <w:szCs w:val="24"/>
        </w:rPr>
        <w:t xml:space="preserve"> pojawia</w:t>
      </w:r>
      <w:r w:rsidR="00C755E0" w:rsidRPr="004D42C5">
        <w:rPr>
          <w:rFonts w:ascii="Times New Roman" w:hAnsi="Times New Roman"/>
          <w:spacing w:val="4"/>
          <w:sz w:val="24"/>
          <w:szCs w:val="24"/>
        </w:rPr>
        <w:t>jące się w toku postępowań przed</w:t>
      </w:r>
      <w:r w:rsidR="006725A1" w:rsidRPr="004D42C5">
        <w:rPr>
          <w:rFonts w:ascii="Times New Roman" w:hAnsi="Times New Roman"/>
          <w:spacing w:val="4"/>
          <w:sz w:val="24"/>
          <w:szCs w:val="24"/>
        </w:rPr>
        <w:t xml:space="preserve"> sądami powszechnymi</w:t>
      </w:r>
      <w:r w:rsidRPr="004D42C5">
        <w:rPr>
          <w:rFonts w:ascii="Times New Roman" w:hAnsi="Times New Roman"/>
          <w:spacing w:val="4"/>
          <w:sz w:val="24"/>
          <w:szCs w:val="24"/>
        </w:rPr>
        <w:t xml:space="preserve"> </w:t>
      </w:r>
      <w:r w:rsidR="00C2152F" w:rsidRPr="004D42C5">
        <w:rPr>
          <w:rFonts w:ascii="Times New Roman" w:hAnsi="Times New Roman"/>
          <w:spacing w:val="4"/>
          <w:sz w:val="24"/>
          <w:szCs w:val="24"/>
        </w:rPr>
        <w:t>zwracał uwagę</w:t>
      </w:r>
      <w:r w:rsidRPr="004D42C5">
        <w:rPr>
          <w:rFonts w:ascii="Times New Roman" w:hAnsi="Times New Roman"/>
          <w:spacing w:val="4"/>
          <w:sz w:val="24"/>
          <w:szCs w:val="24"/>
        </w:rPr>
        <w:t xml:space="preserve"> Rzecznik Praw Obywatelskich. W obowiązującej treści przepisów ustawodawca posłużył się pojęciem „właściwego organu”, które zostało zdefiniowane w art. 4 pkt 9 ugn. Zgodnie z tym przepisem „właściwym organem” jest starosta wykonujący zadanie z zakresu administracji rządowej w odniesieniu do nieruchomości stanowiących własność Skarbu Państwa oraz organ wykonawczy gminy, powiatu i województwa w odniesieniu do nieruchomości stanowiących odpowiednio własność gminy, powiatu i województwa. W ocenie Rzecznika nie można mieć jednak wątpliwości, że stronami postępowania w przedmiocie aktualizacji opłaty rocznej nie są, jak wynika z literalnego brzmienia przepisów</w:t>
      </w:r>
      <w:r w:rsidR="0026259A">
        <w:rPr>
          <w:rFonts w:ascii="Times New Roman" w:hAnsi="Times New Roman"/>
          <w:spacing w:val="4"/>
          <w:sz w:val="24"/>
          <w:szCs w:val="24"/>
        </w:rPr>
        <w:t>,</w:t>
      </w:r>
      <w:r w:rsidRPr="004D42C5">
        <w:rPr>
          <w:rFonts w:ascii="Times New Roman" w:hAnsi="Times New Roman"/>
          <w:spacing w:val="4"/>
          <w:sz w:val="24"/>
          <w:szCs w:val="24"/>
        </w:rPr>
        <w:t xml:space="preserve"> „właściwy organ” i użytkownik wieczysty, a właściciel nieruchomości i</w:t>
      </w:r>
      <w:r w:rsidR="007B2772" w:rsidRPr="004D42C5">
        <w:rPr>
          <w:rFonts w:ascii="Times New Roman" w:hAnsi="Times New Roman"/>
          <w:spacing w:val="4"/>
          <w:sz w:val="24"/>
          <w:szCs w:val="24"/>
        </w:rPr>
        <w:t> </w:t>
      </w:r>
      <w:r w:rsidRPr="004D42C5">
        <w:rPr>
          <w:rFonts w:ascii="Times New Roman" w:hAnsi="Times New Roman"/>
          <w:spacing w:val="4"/>
          <w:sz w:val="24"/>
          <w:szCs w:val="24"/>
        </w:rPr>
        <w:t>użytkownik wieczysty, co potwierdza cywilnoprawny charakter prawa użytkowania wieczystego. W sprawach dotyczących zmiany wysokości opłaty rocznej za użytkowanie wieczyste właściwy organ jedynie reprezent</w:t>
      </w:r>
      <w:r w:rsidR="008C654A" w:rsidRPr="004D42C5">
        <w:rPr>
          <w:rFonts w:ascii="Times New Roman" w:hAnsi="Times New Roman"/>
          <w:spacing w:val="4"/>
          <w:sz w:val="24"/>
          <w:szCs w:val="24"/>
        </w:rPr>
        <w:t>uje</w:t>
      </w:r>
      <w:r w:rsidRPr="004D42C5">
        <w:rPr>
          <w:rFonts w:ascii="Times New Roman" w:hAnsi="Times New Roman"/>
          <w:spacing w:val="4"/>
          <w:sz w:val="24"/>
          <w:szCs w:val="24"/>
        </w:rPr>
        <w:t xml:space="preserve"> podmiot będący właścicielem nieruchomości, czyli Skarb Państwa lub określoną jednostkę samorządu terytorialnego</w:t>
      </w:r>
      <w:r w:rsidRPr="004D42C5">
        <w:rPr>
          <w:rStyle w:val="TeksttreciKursywa"/>
          <w:rFonts w:eastAsia="Calibri"/>
          <w:i w:val="0"/>
          <w:spacing w:val="4"/>
          <w:sz w:val="24"/>
          <w:szCs w:val="24"/>
        </w:rPr>
        <w:t xml:space="preserve"> (por. postanowienie Sądu Najwyższego z</w:t>
      </w:r>
      <w:r w:rsidR="007B2772" w:rsidRPr="004D42C5">
        <w:rPr>
          <w:rStyle w:val="TeksttreciKursywa"/>
          <w:rFonts w:eastAsia="Calibri"/>
          <w:i w:val="0"/>
          <w:spacing w:val="4"/>
          <w:sz w:val="24"/>
          <w:szCs w:val="24"/>
        </w:rPr>
        <w:t> </w:t>
      </w:r>
      <w:r w:rsidR="00FA74EA">
        <w:rPr>
          <w:rStyle w:val="TeksttreciKursywa"/>
          <w:rFonts w:eastAsia="Calibri"/>
          <w:i w:val="0"/>
          <w:spacing w:val="4"/>
          <w:sz w:val="24"/>
          <w:szCs w:val="24"/>
        </w:rPr>
        <w:t>dnia 8 stycznia 2009 r.</w:t>
      </w:r>
      <w:r w:rsidRPr="004D42C5">
        <w:rPr>
          <w:rStyle w:val="TeksttreciKursywa"/>
          <w:rFonts w:eastAsia="Calibri"/>
          <w:i w:val="0"/>
          <w:spacing w:val="4"/>
          <w:sz w:val="24"/>
          <w:szCs w:val="24"/>
        </w:rPr>
        <w:t xml:space="preserve"> sygn. akt I CSK 263/08).</w:t>
      </w:r>
      <w:r w:rsidRPr="004D42C5">
        <w:rPr>
          <w:rFonts w:ascii="Times New Roman" w:hAnsi="Times New Roman"/>
          <w:spacing w:val="4"/>
          <w:sz w:val="24"/>
          <w:szCs w:val="24"/>
        </w:rPr>
        <w:t xml:space="preserve"> W praktyce zdarzają się zatem przypadki, w których pozew zostaje odrzucony tylko dlatego, że powód postępując zgodnie z literalną wykładnią ugn twierdzi, że pozwanym w sprawie winien być właściwy organ</w:t>
      </w:r>
      <w:r w:rsidR="006725A1" w:rsidRPr="004D42C5">
        <w:rPr>
          <w:rFonts w:ascii="Times New Roman" w:hAnsi="Times New Roman"/>
          <w:spacing w:val="4"/>
          <w:sz w:val="24"/>
          <w:szCs w:val="24"/>
        </w:rPr>
        <w:t>,</w:t>
      </w:r>
      <w:r w:rsidRPr="004D42C5">
        <w:rPr>
          <w:rFonts w:ascii="Times New Roman" w:hAnsi="Times New Roman"/>
          <w:spacing w:val="4"/>
          <w:sz w:val="24"/>
          <w:szCs w:val="24"/>
        </w:rPr>
        <w:t xml:space="preserve"> a nie właściciel nieruchomości. W celu wyeliminowania powyższych wątpliwości proponuje się w art. 78 ust.</w:t>
      </w:r>
      <w:r w:rsidR="006823C2" w:rsidRPr="004D42C5">
        <w:rPr>
          <w:rFonts w:ascii="Times New Roman" w:hAnsi="Times New Roman"/>
          <w:spacing w:val="4"/>
          <w:sz w:val="24"/>
          <w:szCs w:val="24"/>
        </w:rPr>
        <w:t xml:space="preserve"> 3</w:t>
      </w:r>
      <w:r w:rsidRPr="004D42C5">
        <w:rPr>
          <w:rFonts w:ascii="Times New Roman" w:hAnsi="Times New Roman"/>
          <w:spacing w:val="4"/>
          <w:sz w:val="24"/>
          <w:szCs w:val="24"/>
        </w:rPr>
        <w:t xml:space="preserve"> ugn doprecyzować</w:t>
      </w:r>
      <w:r w:rsidR="00272183" w:rsidRPr="004D42C5">
        <w:rPr>
          <w:rFonts w:ascii="Times New Roman" w:hAnsi="Times New Roman"/>
          <w:spacing w:val="4"/>
          <w:sz w:val="24"/>
          <w:szCs w:val="24"/>
        </w:rPr>
        <w:t>,</w:t>
      </w:r>
      <w:r w:rsidRPr="004D42C5">
        <w:rPr>
          <w:rFonts w:ascii="Times New Roman" w:hAnsi="Times New Roman"/>
          <w:spacing w:val="4"/>
          <w:sz w:val="24"/>
          <w:szCs w:val="24"/>
        </w:rPr>
        <w:t xml:space="preserve"> że </w:t>
      </w:r>
      <w:r w:rsidR="006823C2" w:rsidRPr="004D42C5">
        <w:rPr>
          <w:rFonts w:ascii="Times New Roman" w:hAnsi="Times New Roman"/>
          <w:spacing w:val="4"/>
          <w:sz w:val="24"/>
          <w:szCs w:val="24"/>
        </w:rPr>
        <w:t>wniosek do samorządowego kolegium odwoławczego o</w:t>
      </w:r>
      <w:r w:rsidR="007B2772" w:rsidRPr="004D42C5">
        <w:rPr>
          <w:rFonts w:ascii="Times New Roman" w:hAnsi="Times New Roman"/>
          <w:spacing w:val="4"/>
          <w:sz w:val="24"/>
          <w:szCs w:val="24"/>
        </w:rPr>
        <w:t> </w:t>
      </w:r>
      <w:r w:rsidR="006823C2" w:rsidRPr="004D42C5">
        <w:rPr>
          <w:rFonts w:ascii="Times New Roman" w:hAnsi="Times New Roman"/>
          <w:spacing w:val="4"/>
          <w:sz w:val="24"/>
          <w:szCs w:val="24"/>
        </w:rPr>
        <w:t xml:space="preserve">ustalenie, że aktualizacja opłaty jest nieuzasadniona </w:t>
      </w:r>
      <w:r w:rsidR="00B9230A" w:rsidRPr="004D42C5">
        <w:rPr>
          <w:rFonts w:ascii="Times New Roman" w:hAnsi="Times New Roman"/>
          <w:spacing w:val="4"/>
          <w:sz w:val="24"/>
          <w:szCs w:val="24"/>
        </w:rPr>
        <w:t>albo uzasadniona w innej wysokoś</w:t>
      </w:r>
      <w:r w:rsidR="006823C2" w:rsidRPr="004D42C5">
        <w:rPr>
          <w:rFonts w:ascii="Times New Roman" w:hAnsi="Times New Roman"/>
          <w:spacing w:val="4"/>
          <w:sz w:val="24"/>
          <w:szCs w:val="24"/>
        </w:rPr>
        <w:t>ci</w:t>
      </w:r>
      <w:r w:rsidR="00CB665A">
        <w:rPr>
          <w:rFonts w:ascii="Times New Roman" w:hAnsi="Times New Roman"/>
          <w:spacing w:val="4"/>
          <w:sz w:val="24"/>
          <w:szCs w:val="24"/>
        </w:rPr>
        <w:t>,</w:t>
      </w:r>
      <w:r w:rsidR="006823C2" w:rsidRPr="004D42C5">
        <w:rPr>
          <w:rFonts w:ascii="Times New Roman" w:hAnsi="Times New Roman"/>
          <w:spacing w:val="4"/>
          <w:sz w:val="24"/>
          <w:szCs w:val="24"/>
        </w:rPr>
        <w:t xml:space="preserve"> składa się przeciw</w:t>
      </w:r>
      <w:r w:rsidR="001F5619">
        <w:rPr>
          <w:rFonts w:ascii="Times New Roman" w:hAnsi="Times New Roman"/>
          <w:spacing w:val="4"/>
          <w:sz w:val="24"/>
          <w:szCs w:val="24"/>
        </w:rPr>
        <w:t>ko właścicielowi nieruchomości.</w:t>
      </w:r>
    </w:p>
    <w:p w:rsidR="00AE3004" w:rsidRPr="004D42C5" w:rsidRDefault="00FF3A67" w:rsidP="007B2772">
      <w:pPr>
        <w:pStyle w:val="ZARTzmartartykuempunktem"/>
        <w:spacing w:before="120"/>
        <w:ind w:left="426" w:firstLine="0"/>
        <w:rPr>
          <w:rFonts w:ascii="Times New Roman" w:hAnsi="Times New Roman" w:cs="Times New Roman"/>
          <w:strike/>
          <w:spacing w:val="4"/>
          <w:szCs w:val="24"/>
        </w:rPr>
      </w:pPr>
      <w:r w:rsidRPr="004D42C5">
        <w:rPr>
          <w:rFonts w:ascii="Times New Roman" w:hAnsi="Times New Roman" w:cs="Times New Roman"/>
          <w:spacing w:val="4"/>
          <w:szCs w:val="24"/>
        </w:rPr>
        <w:lastRenderedPageBreak/>
        <w:t xml:space="preserve">Ponadto w celu przyśpieszenia procesu przekazywania spraw </w:t>
      </w:r>
      <w:r w:rsidR="006823C2" w:rsidRPr="004D42C5">
        <w:rPr>
          <w:rFonts w:ascii="Times New Roman" w:hAnsi="Times New Roman" w:cs="Times New Roman"/>
          <w:spacing w:val="4"/>
          <w:szCs w:val="24"/>
        </w:rPr>
        <w:t xml:space="preserve">w przepisie art. 78 ust. 2 </w:t>
      </w:r>
      <w:r w:rsidRPr="004D42C5">
        <w:rPr>
          <w:rFonts w:ascii="Times New Roman" w:hAnsi="Times New Roman" w:cs="Times New Roman"/>
          <w:spacing w:val="4"/>
          <w:szCs w:val="24"/>
        </w:rPr>
        <w:t>zaproponowano</w:t>
      </w:r>
      <w:r w:rsidR="00AC3EC4" w:rsidRPr="004D42C5">
        <w:rPr>
          <w:rFonts w:ascii="Times New Roman" w:hAnsi="Times New Roman" w:cs="Times New Roman"/>
          <w:spacing w:val="4"/>
          <w:szCs w:val="24"/>
        </w:rPr>
        <w:t>,</w:t>
      </w:r>
      <w:r w:rsidRPr="004D42C5">
        <w:rPr>
          <w:rFonts w:ascii="Times New Roman" w:hAnsi="Times New Roman" w:cs="Times New Roman"/>
          <w:spacing w:val="4"/>
          <w:szCs w:val="24"/>
        </w:rPr>
        <w:t xml:space="preserve"> aby wniosek składany był za pośrednictwem </w:t>
      </w:r>
      <w:r w:rsidR="006823C2" w:rsidRPr="004D42C5">
        <w:rPr>
          <w:rFonts w:ascii="Times New Roman" w:hAnsi="Times New Roman" w:cs="Times New Roman"/>
          <w:spacing w:val="4"/>
          <w:szCs w:val="24"/>
        </w:rPr>
        <w:t xml:space="preserve">właściwego </w:t>
      </w:r>
      <w:r w:rsidRPr="004D42C5">
        <w:rPr>
          <w:rFonts w:ascii="Times New Roman" w:hAnsi="Times New Roman" w:cs="Times New Roman"/>
          <w:spacing w:val="4"/>
          <w:szCs w:val="24"/>
        </w:rPr>
        <w:t>organu reprezentującego Skarb Państwa lub jednostkę samorządu terytorialnego.</w:t>
      </w:r>
    </w:p>
    <w:p w:rsidR="000D758B" w:rsidRPr="004D42C5" w:rsidRDefault="000D758B" w:rsidP="007B2772">
      <w:pPr>
        <w:numPr>
          <w:ilvl w:val="1"/>
          <w:numId w:val="1"/>
        </w:numPr>
        <w:tabs>
          <w:tab w:val="num" w:pos="426"/>
        </w:tabs>
        <w:spacing w:before="120" w:after="0" w:line="360" w:lineRule="auto"/>
        <w:ind w:left="426" w:hanging="426"/>
        <w:jc w:val="both"/>
        <w:rPr>
          <w:rFonts w:ascii="Times New Roman" w:hAnsi="Times New Roman"/>
          <w:spacing w:val="4"/>
          <w:sz w:val="24"/>
          <w:szCs w:val="24"/>
        </w:rPr>
      </w:pPr>
      <w:r w:rsidRPr="004D42C5">
        <w:rPr>
          <w:rFonts w:ascii="Times New Roman" w:hAnsi="Times New Roman"/>
          <w:b/>
          <w:spacing w:val="4"/>
          <w:sz w:val="24"/>
          <w:szCs w:val="24"/>
        </w:rPr>
        <w:t>art. 78 ust. 4, art. 81 ust. 4</w:t>
      </w:r>
      <w:r w:rsidRPr="004D42C5">
        <w:rPr>
          <w:rFonts w:ascii="Times New Roman" w:hAnsi="Times New Roman"/>
          <w:spacing w:val="4"/>
          <w:sz w:val="24"/>
          <w:szCs w:val="24"/>
        </w:rPr>
        <w:t xml:space="preserve"> </w:t>
      </w:r>
      <w:r w:rsidR="007B2772" w:rsidRPr="004D42C5">
        <w:rPr>
          <w:rFonts w:ascii="Times New Roman" w:hAnsi="Times New Roman"/>
          <w:spacing w:val="4"/>
          <w:sz w:val="24"/>
          <w:szCs w:val="24"/>
        </w:rPr>
        <w:t>–</w:t>
      </w:r>
      <w:r w:rsidRPr="004D42C5">
        <w:rPr>
          <w:rFonts w:ascii="Times New Roman" w:hAnsi="Times New Roman"/>
          <w:spacing w:val="4"/>
          <w:sz w:val="24"/>
          <w:szCs w:val="24"/>
        </w:rPr>
        <w:t xml:space="preserve"> zaproponowano drobne zmiany redakcyjne</w:t>
      </w:r>
      <w:r w:rsidR="00272183" w:rsidRPr="004D42C5">
        <w:rPr>
          <w:rFonts w:ascii="Times New Roman" w:hAnsi="Times New Roman"/>
          <w:spacing w:val="4"/>
          <w:sz w:val="24"/>
          <w:szCs w:val="24"/>
        </w:rPr>
        <w:t>,</w:t>
      </w:r>
      <w:r w:rsidRPr="004D42C5">
        <w:rPr>
          <w:rFonts w:ascii="Times New Roman" w:hAnsi="Times New Roman"/>
          <w:spacing w:val="4"/>
          <w:sz w:val="24"/>
          <w:szCs w:val="24"/>
        </w:rPr>
        <w:t xml:space="preserve"> które nie mają wpływu na merytoryczną treść ww. przepisów, natomiast uczynią przepisy bardziej jednoznacznymi.</w:t>
      </w:r>
    </w:p>
    <w:p w:rsidR="00BE7940" w:rsidRPr="001F5619" w:rsidRDefault="00BE7940" w:rsidP="007B2772">
      <w:pPr>
        <w:numPr>
          <w:ilvl w:val="1"/>
          <w:numId w:val="1"/>
        </w:numPr>
        <w:tabs>
          <w:tab w:val="num" w:pos="426"/>
        </w:tabs>
        <w:spacing w:before="120" w:after="0" w:line="360" w:lineRule="auto"/>
        <w:ind w:left="426" w:hanging="426"/>
        <w:jc w:val="both"/>
        <w:rPr>
          <w:rFonts w:ascii="Times New Roman" w:hAnsi="Times New Roman"/>
          <w:b/>
          <w:spacing w:val="4"/>
          <w:sz w:val="24"/>
          <w:szCs w:val="24"/>
        </w:rPr>
      </w:pPr>
      <w:r w:rsidRPr="004D42C5">
        <w:rPr>
          <w:rFonts w:ascii="Times New Roman" w:hAnsi="Times New Roman"/>
          <w:b/>
          <w:spacing w:val="4"/>
          <w:sz w:val="24"/>
          <w:szCs w:val="24"/>
        </w:rPr>
        <w:t>art. 79 ust. 1</w:t>
      </w:r>
      <w:r w:rsidR="005B6DD1" w:rsidRPr="004D42C5">
        <w:rPr>
          <w:rFonts w:ascii="Times New Roman" w:hAnsi="Times New Roman"/>
          <w:b/>
          <w:spacing w:val="4"/>
          <w:sz w:val="24"/>
          <w:szCs w:val="24"/>
        </w:rPr>
        <w:t xml:space="preserve"> i 6</w:t>
      </w:r>
      <w:r w:rsidRPr="004D42C5">
        <w:rPr>
          <w:rFonts w:ascii="Times New Roman" w:hAnsi="Times New Roman"/>
          <w:spacing w:val="4"/>
          <w:sz w:val="24"/>
          <w:szCs w:val="24"/>
        </w:rPr>
        <w:t xml:space="preserve"> –</w:t>
      </w:r>
      <w:r w:rsidR="00D117D6" w:rsidRPr="004D42C5">
        <w:rPr>
          <w:rFonts w:ascii="Times New Roman" w:hAnsi="Times New Roman"/>
          <w:spacing w:val="4"/>
          <w:sz w:val="24"/>
          <w:szCs w:val="24"/>
        </w:rPr>
        <w:t xml:space="preserve"> zaproponowana zmiana polegająca na uchyleniu zdania drugiego wynika z </w:t>
      </w:r>
      <w:r w:rsidR="00C2152F" w:rsidRPr="004D42C5">
        <w:rPr>
          <w:rFonts w:ascii="Times New Roman" w:hAnsi="Times New Roman"/>
          <w:spacing w:val="4"/>
          <w:sz w:val="24"/>
          <w:szCs w:val="24"/>
        </w:rPr>
        <w:t>potrzeby</w:t>
      </w:r>
      <w:r w:rsidR="0016342B" w:rsidRPr="004D42C5">
        <w:rPr>
          <w:rFonts w:ascii="Times New Roman" w:hAnsi="Times New Roman"/>
          <w:spacing w:val="4"/>
          <w:sz w:val="24"/>
          <w:szCs w:val="24"/>
        </w:rPr>
        <w:t xml:space="preserve"> dostosowania brzmienia przepisów </w:t>
      </w:r>
      <w:r w:rsidR="00C2152F" w:rsidRPr="004D42C5">
        <w:rPr>
          <w:rFonts w:ascii="Times New Roman" w:hAnsi="Times New Roman"/>
          <w:spacing w:val="4"/>
          <w:sz w:val="24"/>
          <w:szCs w:val="24"/>
        </w:rPr>
        <w:t>ugn</w:t>
      </w:r>
      <w:r w:rsidR="0016342B" w:rsidRPr="004D42C5">
        <w:rPr>
          <w:rFonts w:ascii="Times New Roman" w:hAnsi="Times New Roman"/>
          <w:spacing w:val="4"/>
          <w:sz w:val="24"/>
          <w:szCs w:val="24"/>
        </w:rPr>
        <w:t xml:space="preserve"> </w:t>
      </w:r>
      <w:r w:rsidR="00D117D6" w:rsidRPr="004D42C5">
        <w:rPr>
          <w:rFonts w:ascii="Times New Roman" w:hAnsi="Times New Roman"/>
          <w:spacing w:val="4"/>
          <w:sz w:val="24"/>
          <w:szCs w:val="24"/>
        </w:rPr>
        <w:t xml:space="preserve">do przepisów ustawy z dnia 16 listopada 2006 r. o opłacie skarbowej (Dz. U. </w:t>
      </w:r>
      <w:r w:rsidR="0026259A">
        <w:rPr>
          <w:rFonts w:ascii="Times New Roman" w:hAnsi="Times New Roman"/>
          <w:spacing w:val="4"/>
          <w:sz w:val="24"/>
          <w:szCs w:val="24"/>
        </w:rPr>
        <w:t>z </w:t>
      </w:r>
      <w:r w:rsidR="00D117D6" w:rsidRPr="004D42C5">
        <w:rPr>
          <w:rFonts w:ascii="Times New Roman" w:hAnsi="Times New Roman"/>
          <w:spacing w:val="4"/>
          <w:sz w:val="24"/>
          <w:szCs w:val="24"/>
        </w:rPr>
        <w:t>201</w:t>
      </w:r>
      <w:r w:rsidR="00BD07CF" w:rsidRPr="004D42C5">
        <w:rPr>
          <w:rFonts w:ascii="Times New Roman" w:hAnsi="Times New Roman"/>
          <w:spacing w:val="4"/>
          <w:sz w:val="24"/>
          <w:szCs w:val="24"/>
        </w:rPr>
        <w:t>6</w:t>
      </w:r>
      <w:r w:rsidR="007B2772" w:rsidRPr="004D42C5">
        <w:rPr>
          <w:rFonts w:ascii="Times New Roman" w:hAnsi="Times New Roman"/>
          <w:spacing w:val="4"/>
          <w:sz w:val="24"/>
          <w:szCs w:val="24"/>
        </w:rPr>
        <w:t> </w:t>
      </w:r>
      <w:r w:rsidR="00D117D6" w:rsidRPr="004D42C5">
        <w:rPr>
          <w:rFonts w:ascii="Times New Roman" w:hAnsi="Times New Roman"/>
          <w:spacing w:val="4"/>
          <w:sz w:val="24"/>
          <w:szCs w:val="24"/>
        </w:rPr>
        <w:t xml:space="preserve">r. poz. </w:t>
      </w:r>
      <w:r w:rsidR="00BD07CF" w:rsidRPr="004D42C5">
        <w:rPr>
          <w:rFonts w:ascii="Times New Roman" w:hAnsi="Times New Roman"/>
          <w:spacing w:val="4"/>
          <w:sz w:val="24"/>
          <w:szCs w:val="24"/>
        </w:rPr>
        <w:t>1827</w:t>
      </w:r>
      <w:r w:rsidR="0026259A">
        <w:rPr>
          <w:rFonts w:ascii="Times New Roman" w:hAnsi="Times New Roman"/>
          <w:spacing w:val="4"/>
          <w:sz w:val="24"/>
          <w:szCs w:val="24"/>
        </w:rPr>
        <w:t>, z późn. zm.</w:t>
      </w:r>
      <w:r w:rsidR="00D117D6" w:rsidRPr="004D42C5">
        <w:rPr>
          <w:rFonts w:ascii="Times New Roman" w:hAnsi="Times New Roman"/>
          <w:spacing w:val="4"/>
          <w:sz w:val="24"/>
          <w:szCs w:val="24"/>
        </w:rPr>
        <w:t>)</w:t>
      </w:r>
      <w:r w:rsidR="0016342B" w:rsidRPr="004D42C5">
        <w:rPr>
          <w:rFonts w:ascii="Times New Roman" w:hAnsi="Times New Roman"/>
          <w:spacing w:val="4"/>
          <w:sz w:val="24"/>
          <w:szCs w:val="24"/>
        </w:rPr>
        <w:t>,</w:t>
      </w:r>
      <w:r w:rsidR="007B2772" w:rsidRPr="004D42C5">
        <w:rPr>
          <w:rFonts w:ascii="Times New Roman" w:hAnsi="Times New Roman"/>
          <w:spacing w:val="4"/>
          <w:sz w:val="24"/>
          <w:szCs w:val="24"/>
        </w:rPr>
        <w:t xml:space="preserve"> </w:t>
      </w:r>
      <w:r w:rsidR="00D117D6" w:rsidRPr="004D42C5">
        <w:rPr>
          <w:rFonts w:ascii="Times New Roman" w:hAnsi="Times New Roman"/>
          <w:spacing w:val="4"/>
          <w:sz w:val="24"/>
          <w:szCs w:val="24"/>
        </w:rPr>
        <w:t>zgodnie z któr</w:t>
      </w:r>
      <w:r w:rsidR="0016342B" w:rsidRPr="004D42C5">
        <w:rPr>
          <w:rFonts w:ascii="Times New Roman" w:hAnsi="Times New Roman"/>
          <w:spacing w:val="4"/>
          <w:sz w:val="24"/>
          <w:szCs w:val="24"/>
        </w:rPr>
        <w:t>ą</w:t>
      </w:r>
      <w:r w:rsidR="00D117D6" w:rsidRPr="004D42C5">
        <w:rPr>
          <w:rFonts w:ascii="Times New Roman" w:hAnsi="Times New Roman"/>
          <w:spacing w:val="4"/>
          <w:sz w:val="24"/>
          <w:szCs w:val="24"/>
        </w:rPr>
        <w:t xml:space="preserve"> od </w:t>
      </w:r>
      <w:r w:rsidR="0016342B" w:rsidRPr="004D42C5">
        <w:rPr>
          <w:rFonts w:ascii="Times New Roman" w:hAnsi="Times New Roman"/>
          <w:spacing w:val="4"/>
          <w:sz w:val="24"/>
          <w:szCs w:val="24"/>
        </w:rPr>
        <w:t xml:space="preserve">dnia </w:t>
      </w:r>
      <w:r w:rsidR="00D117D6" w:rsidRPr="004D42C5">
        <w:rPr>
          <w:rFonts w:ascii="Times New Roman" w:hAnsi="Times New Roman"/>
          <w:spacing w:val="4"/>
          <w:sz w:val="24"/>
          <w:szCs w:val="24"/>
        </w:rPr>
        <w:t>1 stycznia 2007 r.</w:t>
      </w:r>
      <w:r w:rsidR="0016342B" w:rsidRPr="004D42C5">
        <w:rPr>
          <w:rFonts w:ascii="Times New Roman" w:hAnsi="Times New Roman"/>
          <w:spacing w:val="4"/>
          <w:sz w:val="24"/>
          <w:szCs w:val="24"/>
        </w:rPr>
        <w:t xml:space="preserve"> </w:t>
      </w:r>
      <w:r w:rsidR="00C2152F" w:rsidRPr="004D42C5">
        <w:rPr>
          <w:rFonts w:ascii="Times New Roman" w:hAnsi="Times New Roman"/>
          <w:spacing w:val="4"/>
          <w:sz w:val="24"/>
          <w:szCs w:val="24"/>
        </w:rPr>
        <w:t xml:space="preserve">od </w:t>
      </w:r>
      <w:r w:rsidR="0016342B" w:rsidRPr="004D42C5">
        <w:rPr>
          <w:rFonts w:ascii="Times New Roman" w:hAnsi="Times New Roman"/>
          <w:spacing w:val="4"/>
          <w:sz w:val="24"/>
          <w:szCs w:val="24"/>
        </w:rPr>
        <w:t>poda</w:t>
      </w:r>
      <w:r w:rsidR="00C2152F" w:rsidRPr="004D42C5">
        <w:rPr>
          <w:rFonts w:ascii="Times New Roman" w:hAnsi="Times New Roman"/>
          <w:spacing w:val="4"/>
          <w:sz w:val="24"/>
          <w:szCs w:val="24"/>
        </w:rPr>
        <w:t>ń</w:t>
      </w:r>
      <w:r w:rsidR="005D00E7" w:rsidRPr="004D42C5">
        <w:rPr>
          <w:rFonts w:ascii="Times New Roman" w:hAnsi="Times New Roman"/>
          <w:spacing w:val="4"/>
          <w:sz w:val="24"/>
          <w:szCs w:val="24"/>
        </w:rPr>
        <w:t xml:space="preserve">, </w:t>
      </w:r>
      <w:r w:rsidR="0016342B" w:rsidRPr="004D42C5">
        <w:rPr>
          <w:rFonts w:ascii="Times New Roman" w:hAnsi="Times New Roman"/>
          <w:spacing w:val="4"/>
          <w:sz w:val="24"/>
          <w:szCs w:val="24"/>
        </w:rPr>
        <w:t>w tym wnios</w:t>
      </w:r>
      <w:r w:rsidR="005D00E7" w:rsidRPr="004D42C5">
        <w:rPr>
          <w:rFonts w:ascii="Times New Roman" w:hAnsi="Times New Roman"/>
          <w:spacing w:val="4"/>
          <w:sz w:val="24"/>
          <w:szCs w:val="24"/>
        </w:rPr>
        <w:t>ków</w:t>
      </w:r>
      <w:r w:rsidR="0016342B" w:rsidRPr="004D42C5">
        <w:rPr>
          <w:rFonts w:ascii="Times New Roman" w:hAnsi="Times New Roman"/>
          <w:spacing w:val="4"/>
          <w:sz w:val="24"/>
          <w:szCs w:val="24"/>
        </w:rPr>
        <w:t xml:space="preserve"> </w:t>
      </w:r>
      <w:r w:rsidR="005D00E7" w:rsidRPr="004D42C5">
        <w:rPr>
          <w:rFonts w:ascii="Times New Roman" w:hAnsi="Times New Roman"/>
          <w:spacing w:val="4"/>
          <w:sz w:val="24"/>
          <w:szCs w:val="24"/>
        </w:rPr>
        <w:t>w sprawach załatwianych na podstawie przepisów ugn</w:t>
      </w:r>
      <w:r w:rsidR="00CB665A">
        <w:rPr>
          <w:rFonts w:ascii="Times New Roman" w:hAnsi="Times New Roman"/>
          <w:spacing w:val="4"/>
          <w:sz w:val="24"/>
          <w:szCs w:val="24"/>
        </w:rPr>
        <w:t>,</w:t>
      </w:r>
      <w:r w:rsidR="005D00E7" w:rsidRPr="004D42C5">
        <w:rPr>
          <w:rFonts w:ascii="Times New Roman" w:hAnsi="Times New Roman"/>
          <w:spacing w:val="4"/>
          <w:sz w:val="24"/>
          <w:szCs w:val="24"/>
        </w:rPr>
        <w:t xml:space="preserve"> nie pobiera się opłaty skarbowej.</w:t>
      </w:r>
      <w:r w:rsidR="00CB665A">
        <w:rPr>
          <w:rFonts w:ascii="Times New Roman" w:hAnsi="Times New Roman"/>
          <w:b/>
          <w:spacing w:val="4"/>
          <w:sz w:val="24"/>
          <w:szCs w:val="24"/>
        </w:rPr>
        <w:t xml:space="preserve"> </w:t>
      </w:r>
      <w:r w:rsidR="005B6DD1" w:rsidRPr="004D42C5">
        <w:rPr>
          <w:rFonts w:ascii="Times New Roman" w:hAnsi="Times New Roman"/>
          <w:spacing w:val="4"/>
          <w:sz w:val="24"/>
          <w:szCs w:val="24"/>
        </w:rPr>
        <w:t>W konsekwencji powyższego zaproponowano również zmianę art. 79 ust. 6 o charakterze dostosowującym.</w:t>
      </w:r>
    </w:p>
    <w:p w:rsidR="00BE7940" w:rsidRPr="004D42C5"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trike/>
          <w:spacing w:val="4"/>
          <w:szCs w:val="24"/>
          <w:lang w:eastAsia="en-US"/>
        </w:rPr>
      </w:pPr>
      <w:r w:rsidRPr="004D42C5">
        <w:rPr>
          <w:rFonts w:ascii="Times New Roman" w:hAnsi="Times New Roman" w:cs="Times New Roman"/>
          <w:b/>
          <w:szCs w:val="24"/>
        </w:rPr>
        <w:t>art. 79 ust. 2</w:t>
      </w:r>
      <w:r w:rsidRPr="004D42C5">
        <w:rPr>
          <w:rFonts w:ascii="Times New Roman" w:hAnsi="Times New Roman" w:cs="Times New Roman"/>
          <w:szCs w:val="24"/>
        </w:rPr>
        <w:t xml:space="preserve"> </w:t>
      </w:r>
      <w:r w:rsidR="0016342B" w:rsidRPr="004D42C5">
        <w:rPr>
          <w:rFonts w:ascii="Times New Roman" w:hAnsi="Times New Roman" w:cs="Times New Roman"/>
          <w:szCs w:val="24"/>
        </w:rPr>
        <w:t>–</w:t>
      </w:r>
      <w:r w:rsidRPr="004D42C5">
        <w:rPr>
          <w:rFonts w:ascii="Times New Roman" w:hAnsi="Times New Roman" w:cs="Times New Roman"/>
          <w:szCs w:val="24"/>
        </w:rPr>
        <w:t xml:space="preserve"> </w:t>
      </w:r>
      <w:r w:rsidR="0016342B" w:rsidRPr="004D42C5">
        <w:rPr>
          <w:rFonts w:ascii="Times New Roman" w:hAnsi="Times New Roman" w:cs="Times New Roman"/>
          <w:szCs w:val="24"/>
        </w:rPr>
        <w:t xml:space="preserve">zmiana o charakterze doprecyzowującym. Samorządowe </w:t>
      </w:r>
      <w:r w:rsidR="007D4901" w:rsidRPr="004D42C5">
        <w:rPr>
          <w:rFonts w:ascii="Times New Roman" w:hAnsi="Times New Roman" w:cs="Times New Roman"/>
          <w:szCs w:val="24"/>
        </w:rPr>
        <w:t>k</w:t>
      </w:r>
      <w:r w:rsidR="0016342B" w:rsidRPr="004D42C5">
        <w:rPr>
          <w:rFonts w:ascii="Times New Roman" w:hAnsi="Times New Roman" w:cs="Times New Roman"/>
          <w:szCs w:val="24"/>
        </w:rPr>
        <w:t xml:space="preserve">olegia </w:t>
      </w:r>
      <w:r w:rsidR="007D4901" w:rsidRPr="004D42C5">
        <w:rPr>
          <w:rFonts w:ascii="Times New Roman" w:hAnsi="Times New Roman" w:cs="Times New Roman"/>
          <w:szCs w:val="24"/>
        </w:rPr>
        <w:t>o</w:t>
      </w:r>
      <w:r w:rsidR="0016342B" w:rsidRPr="004D42C5">
        <w:rPr>
          <w:rFonts w:ascii="Times New Roman" w:hAnsi="Times New Roman" w:cs="Times New Roman"/>
          <w:szCs w:val="24"/>
        </w:rPr>
        <w:t>dwoławcze wydają orzeczenia na posiedzeniu niejawnym, natomiast rozprawa przeprowadzana jest w sytuacji zaistnienia przesłanek określonych w art. 89 Kpa. Przepis w aktualnym brzmieniu nakładający na samorządowe kolegium odwoławcze obowiązek wyznaczenia terminu rozprawy w praktyce nie w każdym przypadku zna</w:t>
      </w:r>
      <w:r w:rsidR="008D2F9C" w:rsidRPr="004D42C5">
        <w:rPr>
          <w:rFonts w:ascii="Times New Roman" w:hAnsi="Times New Roman" w:cs="Times New Roman"/>
          <w:szCs w:val="24"/>
        </w:rPr>
        <w:t>jdzie</w:t>
      </w:r>
      <w:r w:rsidR="0016342B" w:rsidRPr="004D42C5">
        <w:rPr>
          <w:rFonts w:ascii="Times New Roman" w:hAnsi="Times New Roman" w:cs="Times New Roman"/>
          <w:szCs w:val="24"/>
        </w:rPr>
        <w:t xml:space="preserve"> zastosowanie. </w:t>
      </w:r>
      <w:r w:rsidR="009960A4" w:rsidRPr="004D42C5">
        <w:rPr>
          <w:rFonts w:ascii="Times New Roman" w:hAnsi="Times New Roman" w:cs="Times New Roman"/>
          <w:szCs w:val="24"/>
        </w:rPr>
        <w:t xml:space="preserve">W postępowaniu administracyjnym nie obowiązuje przyjęta w procesie cywilnym reguła, że organ orzekający rozpoznaje sprawę na rozprawie. </w:t>
      </w:r>
      <w:r w:rsidR="005A35AB" w:rsidRPr="004D42C5">
        <w:rPr>
          <w:rFonts w:ascii="Times New Roman" w:hAnsi="Times New Roman" w:cs="Times New Roman"/>
          <w:szCs w:val="24"/>
        </w:rPr>
        <w:t>Z</w:t>
      </w:r>
      <w:r w:rsidR="00F416A8" w:rsidRPr="004D42C5">
        <w:rPr>
          <w:rFonts w:ascii="Times New Roman" w:hAnsi="Times New Roman" w:cs="Times New Roman"/>
          <w:szCs w:val="24"/>
        </w:rPr>
        <w:t>aproponowano</w:t>
      </w:r>
      <w:r w:rsidR="005A35AB" w:rsidRPr="004D42C5">
        <w:rPr>
          <w:rFonts w:ascii="Times New Roman" w:hAnsi="Times New Roman" w:cs="Times New Roman"/>
          <w:szCs w:val="24"/>
        </w:rPr>
        <w:t xml:space="preserve"> zatem</w:t>
      </w:r>
      <w:r w:rsidR="008D2F9C" w:rsidRPr="004D42C5">
        <w:rPr>
          <w:rFonts w:ascii="Times New Roman" w:hAnsi="Times New Roman" w:cs="Times New Roman"/>
          <w:szCs w:val="24"/>
        </w:rPr>
        <w:t>,</w:t>
      </w:r>
      <w:r w:rsidR="00F416A8" w:rsidRPr="004D42C5">
        <w:rPr>
          <w:rFonts w:ascii="Times New Roman" w:hAnsi="Times New Roman" w:cs="Times New Roman"/>
          <w:szCs w:val="24"/>
        </w:rPr>
        <w:t xml:space="preserve"> aby obowiązek wyznaczenia rozprawy aktualizował się wyłącznie w przypadku </w:t>
      </w:r>
      <w:r w:rsidR="009960A4" w:rsidRPr="004D42C5">
        <w:rPr>
          <w:rFonts w:ascii="Times New Roman" w:hAnsi="Times New Roman" w:cs="Times New Roman"/>
          <w:szCs w:val="24"/>
        </w:rPr>
        <w:t>określonym w art. 89 § 2 Kpa.</w:t>
      </w:r>
      <w:r w:rsidR="007B2772" w:rsidRPr="004D42C5">
        <w:rPr>
          <w:rFonts w:ascii="Times New Roman" w:hAnsi="Times New Roman" w:cs="Times New Roman"/>
          <w:szCs w:val="24"/>
        </w:rPr>
        <w:t xml:space="preserve"> </w:t>
      </w:r>
      <w:r w:rsidR="005A35AB" w:rsidRPr="004D42C5">
        <w:rPr>
          <w:rFonts w:ascii="Times New Roman" w:hAnsi="Times New Roman" w:cs="Times New Roman"/>
          <w:szCs w:val="24"/>
        </w:rPr>
        <w:t xml:space="preserve">Nowe brzmienie przepisu przesądza, że </w:t>
      </w:r>
      <w:r w:rsidR="009960A4" w:rsidRPr="004D42C5">
        <w:rPr>
          <w:rFonts w:ascii="Times New Roman" w:hAnsi="Times New Roman" w:cs="Times New Roman"/>
          <w:szCs w:val="24"/>
        </w:rPr>
        <w:t xml:space="preserve">organ powinien przeprowadzić rozprawę, </w:t>
      </w:r>
      <w:r w:rsidR="005A35AB" w:rsidRPr="004D42C5">
        <w:rPr>
          <w:rFonts w:ascii="Times New Roman" w:hAnsi="Times New Roman" w:cs="Times New Roman"/>
          <w:szCs w:val="24"/>
        </w:rPr>
        <w:t xml:space="preserve">w sytuacji </w:t>
      </w:r>
      <w:r w:rsidR="009960A4" w:rsidRPr="004D42C5">
        <w:rPr>
          <w:rFonts w:ascii="Times New Roman" w:hAnsi="Times New Roman" w:cs="Times New Roman"/>
          <w:szCs w:val="24"/>
        </w:rPr>
        <w:t>gdy zachodzi potrzeba uzgodnienia interesów stron oraz gdy jest to potrzebne dla wyjaśnienia sprawy przy udziale świadków lub biegłych albo w</w:t>
      </w:r>
      <w:r w:rsidR="007B2772" w:rsidRPr="004D42C5">
        <w:rPr>
          <w:rFonts w:ascii="Times New Roman" w:hAnsi="Times New Roman" w:cs="Times New Roman"/>
          <w:szCs w:val="24"/>
        </w:rPr>
        <w:t> </w:t>
      </w:r>
      <w:r w:rsidR="009960A4" w:rsidRPr="004D42C5">
        <w:rPr>
          <w:rFonts w:ascii="Times New Roman" w:hAnsi="Times New Roman" w:cs="Times New Roman"/>
          <w:szCs w:val="24"/>
        </w:rPr>
        <w:t>drodze oględzin</w:t>
      </w:r>
      <w:r w:rsidR="00D6717C" w:rsidRPr="004D42C5">
        <w:rPr>
          <w:rFonts w:ascii="Times New Roman" w:hAnsi="Times New Roman" w:cs="Times New Roman"/>
          <w:szCs w:val="24"/>
        </w:rPr>
        <w:t>.</w:t>
      </w:r>
      <w:r w:rsidR="00B641B3" w:rsidRPr="004D42C5">
        <w:rPr>
          <w:rFonts w:ascii="Times New Roman" w:hAnsi="Times New Roman" w:cs="Times New Roman"/>
          <w:strike/>
          <w:spacing w:val="4"/>
          <w:szCs w:val="24"/>
        </w:rPr>
        <w:t xml:space="preserve"> </w:t>
      </w:r>
    </w:p>
    <w:p w:rsidR="00B641B3" w:rsidRPr="004D42C5" w:rsidRDefault="00B641B3"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hAnsi="Times New Roman" w:cs="Times New Roman"/>
          <w:b/>
          <w:szCs w:val="24"/>
        </w:rPr>
        <w:t>art.</w:t>
      </w:r>
      <w:r w:rsidRPr="004D42C5">
        <w:rPr>
          <w:rFonts w:ascii="Times New Roman" w:eastAsia="Calibri" w:hAnsi="Times New Roman" w:cs="Times New Roman"/>
          <w:b/>
          <w:spacing w:val="4"/>
          <w:szCs w:val="24"/>
          <w:lang w:eastAsia="en-US"/>
        </w:rPr>
        <w:t xml:space="preserve"> 79 ust. 5</w:t>
      </w:r>
      <w:r w:rsidRPr="004D42C5">
        <w:rPr>
          <w:rFonts w:ascii="Times New Roman" w:eastAsia="Calibri" w:hAnsi="Times New Roman" w:cs="Times New Roman"/>
          <w:spacing w:val="4"/>
          <w:szCs w:val="24"/>
          <w:lang w:eastAsia="en-US"/>
        </w:rPr>
        <w:t xml:space="preserve"> – zmiana o charakterze doprecyzowującym, </w:t>
      </w:r>
      <w:r w:rsidR="00C17E52" w:rsidRPr="004D42C5">
        <w:rPr>
          <w:rFonts w:ascii="Times New Roman" w:eastAsia="Calibri" w:hAnsi="Times New Roman" w:cs="Times New Roman"/>
          <w:spacing w:val="4"/>
          <w:szCs w:val="24"/>
          <w:lang w:eastAsia="en-US"/>
        </w:rPr>
        <w:t>która ma na celu wykreślenie przepisu wskazującego</w:t>
      </w:r>
      <w:r w:rsidR="00272183" w:rsidRPr="004D42C5">
        <w:rPr>
          <w:rFonts w:ascii="Times New Roman" w:eastAsia="Calibri" w:hAnsi="Times New Roman" w:cs="Times New Roman"/>
          <w:spacing w:val="4"/>
          <w:szCs w:val="24"/>
          <w:lang w:eastAsia="en-US"/>
        </w:rPr>
        <w:t>,</w:t>
      </w:r>
      <w:r w:rsidR="00C17E52" w:rsidRPr="004D42C5">
        <w:rPr>
          <w:rFonts w:ascii="Times New Roman" w:eastAsia="Calibri" w:hAnsi="Times New Roman" w:cs="Times New Roman"/>
          <w:spacing w:val="4"/>
          <w:szCs w:val="24"/>
          <w:lang w:eastAsia="en-US"/>
        </w:rPr>
        <w:t xml:space="preserve"> </w:t>
      </w:r>
      <w:r w:rsidRPr="004D42C5">
        <w:rPr>
          <w:rFonts w:ascii="Times New Roman" w:eastAsia="Calibri" w:hAnsi="Times New Roman" w:cs="Times New Roman"/>
          <w:spacing w:val="4"/>
          <w:szCs w:val="24"/>
          <w:lang w:eastAsia="en-US"/>
        </w:rPr>
        <w:t xml:space="preserve">przed </w:t>
      </w:r>
      <w:r w:rsidR="00AC3EC4" w:rsidRPr="004D42C5">
        <w:rPr>
          <w:rFonts w:ascii="Times New Roman" w:eastAsia="Calibri" w:hAnsi="Times New Roman" w:cs="Times New Roman"/>
          <w:spacing w:val="4"/>
          <w:szCs w:val="24"/>
          <w:lang w:eastAsia="en-US"/>
        </w:rPr>
        <w:t>jakim organem</w:t>
      </w:r>
      <w:r w:rsidRPr="004D42C5">
        <w:rPr>
          <w:rFonts w:ascii="Times New Roman" w:eastAsia="Calibri" w:hAnsi="Times New Roman" w:cs="Times New Roman"/>
          <w:spacing w:val="4"/>
          <w:szCs w:val="24"/>
          <w:lang w:eastAsia="en-US"/>
        </w:rPr>
        <w:t xml:space="preserve"> powinna być zawarta ugoda. </w:t>
      </w:r>
      <w:r w:rsidR="00C17E52" w:rsidRPr="004D42C5">
        <w:rPr>
          <w:rFonts w:ascii="Times New Roman" w:eastAsia="Calibri" w:hAnsi="Times New Roman" w:cs="Times New Roman"/>
          <w:spacing w:val="4"/>
          <w:szCs w:val="24"/>
          <w:lang w:eastAsia="en-US"/>
        </w:rPr>
        <w:t>Obecne</w:t>
      </w:r>
      <w:r w:rsidRPr="004D42C5">
        <w:rPr>
          <w:rFonts w:ascii="Times New Roman" w:eastAsia="Calibri" w:hAnsi="Times New Roman" w:cs="Times New Roman"/>
          <w:spacing w:val="4"/>
          <w:szCs w:val="24"/>
          <w:lang w:eastAsia="en-US"/>
        </w:rPr>
        <w:t xml:space="preserve"> brzmienie przepisu mo</w:t>
      </w:r>
      <w:r w:rsidR="00C17E52" w:rsidRPr="004D42C5">
        <w:rPr>
          <w:rFonts w:ascii="Times New Roman" w:eastAsia="Calibri" w:hAnsi="Times New Roman" w:cs="Times New Roman"/>
          <w:spacing w:val="4"/>
          <w:szCs w:val="24"/>
          <w:lang w:eastAsia="en-US"/>
        </w:rPr>
        <w:t>że</w:t>
      </w:r>
      <w:r w:rsidRPr="004D42C5">
        <w:rPr>
          <w:rFonts w:ascii="Times New Roman" w:eastAsia="Calibri" w:hAnsi="Times New Roman" w:cs="Times New Roman"/>
          <w:spacing w:val="4"/>
          <w:szCs w:val="24"/>
          <w:lang w:eastAsia="en-US"/>
        </w:rPr>
        <w:t xml:space="preserve"> sugerować, że ugoda powinna zostać zawarta przed kolegium, choć w praktyce strony zawierają ugodę we własnym zakresie informując kolegium o tym fakcie.</w:t>
      </w:r>
      <w:r w:rsidR="00E42643" w:rsidRPr="004D42C5">
        <w:rPr>
          <w:rFonts w:ascii="Times New Roman" w:eastAsia="Calibri" w:hAnsi="Times New Roman" w:cs="Times New Roman"/>
          <w:spacing w:val="4"/>
          <w:szCs w:val="24"/>
          <w:lang w:eastAsia="en-US"/>
        </w:rPr>
        <w:t xml:space="preserve"> Strony powinny mieć możliwość </w:t>
      </w:r>
      <w:r w:rsidR="00E42643" w:rsidRPr="004D42C5">
        <w:rPr>
          <w:rFonts w:ascii="Times New Roman" w:eastAsia="Calibri" w:hAnsi="Times New Roman" w:cs="Times New Roman"/>
          <w:spacing w:val="4"/>
          <w:szCs w:val="24"/>
          <w:lang w:eastAsia="en-US"/>
        </w:rPr>
        <w:lastRenderedPageBreak/>
        <w:t>zawarcia ugody jako cywilistycznego sposobu rozwiązania sporu na każdym etapie bez konieczności odwoływania się do autorytetu kolegium.</w:t>
      </w:r>
    </w:p>
    <w:p w:rsidR="00E16431" w:rsidRPr="004D42C5"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98a ust. 1</w:t>
      </w:r>
      <w:r w:rsidRPr="004D42C5">
        <w:rPr>
          <w:rFonts w:ascii="Times New Roman" w:eastAsia="Calibri" w:hAnsi="Times New Roman" w:cs="Times New Roman"/>
          <w:spacing w:val="4"/>
          <w:szCs w:val="24"/>
          <w:lang w:eastAsia="en-US"/>
        </w:rPr>
        <w:t xml:space="preserve"> </w:t>
      </w:r>
      <w:r w:rsidR="00975C63" w:rsidRPr="004D42C5">
        <w:rPr>
          <w:rFonts w:ascii="Times New Roman" w:eastAsia="Calibri" w:hAnsi="Times New Roman" w:cs="Times New Roman"/>
          <w:b/>
          <w:spacing w:val="4"/>
          <w:szCs w:val="24"/>
          <w:lang w:eastAsia="en-US"/>
        </w:rPr>
        <w:t>i 1b</w:t>
      </w:r>
      <w:r w:rsidR="00975C63" w:rsidRPr="004D42C5">
        <w:rPr>
          <w:rFonts w:ascii="Times New Roman" w:eastAsia="Calibri" w:hAnsi="Times New Roman" w:cs="Times New Roman"/>
          <w:spacing w:val="4"/>
          <w:szCs w:val="24"/>
          <w:lang w:eastAsia="en-US"/>
        </w:rPr>
        <w:t xml:space="preserve"> </w:t>
      </w:r>
      <w:r w:rsidRPr="004D42C5">
        <w:rPr>
          <w:rFonts w:ascii="Times New Roman" w:eastAsia="Calibri" w:hAnsi="Times New Roman" w:cs="Times New Roman"/>
          <w:spacing w:val="4"/>
          <w:szCs w:val="24"/>
          <w:lang w:eastAsia="en-US"/>
        </w:rPr>
        <w:t>–</w:t>
      </w:r>
      <w:r w:rsidR="00D6717C" w:rsidRPr="004D42C5">
        <w:rPr>
          <w:rFonts w:ascii="Times New Roman" w:eastAsia="Calibri" w:hAnsi="Times New Roman" w:cs="Times New Roman"/>
          <w:spacing w:val="4"/>
          <w:szCs w:val="24"/>
          <w:lang w:eastAsia="en-US"/>
        </w:rPr>
        <w:t xml:space="preserve"> </w:t>
      </w:r>
      <w:r w:rsidR="00E16431" w:rsidRPr="004D42C5">
        <w:rPr>
          <w:rFonts w:ascii="Times New Roman" w:hAnsi="Times New Roman" w:cs="Times New Roman"/>
          <w:szCs w:val="24"/>
        </w:rPr>
        <w:t>zaproponowana zmiana ma na celu ujednolicenie termin</w:t>
      </w:r>
      <w:r w:rsidR="0064337E" w:rsidRPr="004D42C5">
        <w:rPr>
          <w:rFonts w:ascii="Times New Roman" w:hAnsi="Times New Roman" w:cs="Times New Roman"/>
          <w:szCs w:val="24"/>
        </w:rPr>
        <w:t>u</w:t>
      </w:r>
      <w:r w:rsidR="00E16431" w:rsidRPr="004D42C5">
        <w:rPr>
          <w:rFonts w:ascii="Times New Roman" w:hAnsi="Times New Roman" w:cs="Times New Roman"/>
          <w:szCs w:val="24"/>
        </w:rPr>
        <w:t xml:space="preserve"> określania opłat adiacenckich. Aktualnie w art. 98a ust. 1 oraz art. 145 ust. 2 ugn funkcjonują odmienne sposoby określenia terminu. Przepis art. 98a ust. 1 ugn stanowi, iż ustalenie opłaty adiacenckiej ma nastąpić w terminie 3 lat, a zgodnie z</w:t>
      </w:r>
      <w:r w:rsidR="007B2772" w:rsidRPr="004D42C5">
        <w:rPr>
          <w:rFonts w:ascii="Times New Roman" w:hAnsi="Times New Roman" w:cs="Times New Roman"/>
          <w:szCs w:val="24"/>
        </w:rPr>
        <w:t> </w:t>
      </w:r>
      <w:r w:rsidR="00E16431" w:rsidRPr="004D42C5">
        <w:rPr>
          <w:rFonts w:ascii="Times New Roman" w:hAnsi="Times New Roman" w:cs="Times New Roman"/>
          <w:szCs w:val="24"/>
        </w:rPr>
        <w:t xml:space="preserve">art. 145 ust. 2 ugn organ ma 3 lata na wydanie decyzji. Proponowana zmiana ma również wyeliminować rozbieżności, </w:t>
      </w:r>
      <w:r w:rsidR="000326BB" w:rsidRPr="004D42C5">
        <w:rPr>
          <w:rFonts w:ascii="Times New Roman" w:hAnsi="Times New Roman" w:cs="Times New Roman"/>
          <w:szCs w:val="24"/>
        </w:rPr>
        <w:t>jakie</w:t>
      </w:r>
      <w:r w:rsidR="00E16431" w:rsidRPr="004D42C5">
        <w:rPr>
          <w:rFonts w:ascii="Times New Roman" w:hAnsi="Times New Roman" w:cs="Times New Roman"/>
          <w:szCs w:val="24"/>
        </w:rPr>
        <w:t xml:space="preserve"> pojawiły się w orzecznictwie sądów administracyjnych w zakresie znaczenia proceduralnego terminu na wydanie decyzji w sprawie ustalenia opłaty adiacenckiej. Jak wskazał Wojewódzki Sąd Administracyjny w Łodzi w wyroku z dnia 24 listopada 2015 r. sygn. akt</w:t>
      </w:r>
      <w:r w:rsidR="007B2772" w:rsidRPr="004D42C5">
        <w:rPr>
          <w:rFonts w:ascii="Times New Roman" w:hAnsi="Times New Roman" w:cs="Times New Roman"/>
          <w:szCs w:val="24"/>
        </w:rPr>
        <w:t xml:space="preserve"> </w:t>
      </w:r>
      <w:r w:rsidR="00E16431" w:rsidRPr="004D42C5">
        <w:rPr>
          <w:rFonts w:ascii="Times New Roman" w:hAnsi="Times New Roman" w:cs="Times New Roman"/>
          <w:szCs w:val="24"/>
        </w:rPr>
        <w:t>II SA/Łd 857/15 „Termin ten nie może być stosowany w sprawie, w której sąd administracyjny uchylił decyzje wydane z jego zachowaniem. Funkcją terminu określonego w art. 145 ust. 2 ustawy o gospodarce nieruchomościami jest ograniczenie w czasie niepewności co do możliwości ustalenia opłaty adiacenckiej. Zauważyć bowiem należy, że stosownie do treści art. 145 ust. 1 ustawy o</w:t>
      </w:r>
      <w:r w:rsidR="007B2772" w:rsidRPr="004D42C5">
        <w:rPr>
          <w:rFonts w:ascii="Times New Roman" w:hAnsi="Times New Roman" w:cs="Times New Roman"/>
          <w:szCs w:val="24"/>
        </w:rPr>
        <w:t> </w:t>
      </w:r>
      <w:r w:rsidR="00E16431" w:rsidRPr="004D42C5">
        <w:rPr>
          <w:rFonts w:ascii="Times New Roman" w:hAnsi="Times New Roman" w:cs="Times New Roman"/>
          <w:szCs w:val="24"/>
        </w:rPr>
        <w:t>gospodarce nieruchomościami organ administracji może ustalić opłatę adiacencką. Zatem, jeżeli już raz w tym terminie decyzja została doręczona, przy czym jak się przyjmuje wystarczy doręczenie decyzji organu pierwszej instancji, to ustaje stan niepewności co do skorzystania przez właściwy organ ze swoich uprawnień. Za taką wykładnią przemawia potrzeba zapewnienia, aby kontrolna w</w:t>
      </w:r>
      <w:r w:rsidR="007B2772" w:rsidRPr="004D42C5">
        <w:rPr>
          <w:rFonts w:ascii="Times New Roman" w:hAnsi="Times New Roman" w:cs="Times New Roman"/>
          <w:szCs w:val="24"/>
        </w:rPr>
        <w:t> </w:t>
      </w:r>
      <w:r w:rsidR="00E16431" w:rsidRPr="004D42C5">
        <w:rPr>
          <w:rFonts w:ascii="Times New Roman" w:hAnsi="Times New Roman" w:cs="Times New Roman"/>
          <w:szCs w:val="24"/>
        </w:rPr>
        <w:t>stosunku do administracji publicznej funkcja sądu administracyjnego nie była wykorzystywana do</w:t>
      </w:r>
      <w:r w:rsidR="00E16431" w:rsidRPr="004D42C5">
        <w:rPr>
          <w:rFonts w:ascii="Times New Roman" w:hAnsi="Times New Roman" w:cs="Times New Roman"/>
          <w:color w:val="7030A0"/>
          <w:szCs w:val="24"/>
        </w:rPr>
        <w:t xml:space="preserve"> </w:t>
      </w:r>
      <w:r w:rsidR="00E16431" w:rsidRPr="004D42C5">
        <w:rPr>
          <w:rFonts w:ascii="Times New Roman" w:hAnsi="Times New Roman" w:cs="Times New Roman"/>
          <w:szCs w:val="24"/>
        </w:rPr>
        <w:t>uniemożliwienia realizacji zadań tej administracji</w:t>
      </w:r>
      <w:r w:rsidR="000326BB" w:rsidRPr="004D42C5">
        <w:rPr>
          <w:rFonts w:ascii="Times New Roman" w:hAnsi="Times New Roman" w:cs="Times New Roman"/>
          <w:szCs w:val="24"/>
        </w:rPr>
        <w:t>.</w:t>
      </w:r>
      <w:r w:rsidR="00E16431" w:rsidRPr="004D42C5">
        <w:rPr>
          <w:rFonts w:ascii="Times New Roman" w:hAnsi="Times New Roman" w:cs="Times New Roman"/>
          <w:szCs w:val="24"/>
        </w:rPr>
        <w:t>”. Natomiast odmienne stanowisko zajął Wojewódzki Sąd Administracyjny w Poznaniu, który w</w:t>
      </w:r>
      <w:r w:rsidR="007B2772" w:rsidRPr="004D42C5">
        <w:rPr>
          <w:rFonts w:ascii="Times New Roman" w:hAnsi="Times New Roman" w:cs="Times New Roman"/>
          <w:szCs w:val="24"/>
        </w:rPr>
        <w:t> </w:t>
      </w:r>
      <w:r w:rsidR="00E16431" w:rsidRPr="004D42C5">
        <w:rPr>
          <w:rFonts w:ascii="Times New Roman" w:hAnsi="Times New Roman" w:cs="Times New Roman"/>
          <w:szCs w:val="24"/>
        </w:rPr>
        <w:t>wyroku z dnia 15 października 2015 r. sygn. akt II SA/Po 339/15 zaznaczył, iż „do zachowania terminu określonego w art. 145 ust. 2 u.g.n. musi istnieć w obrocie prawnym rozstrzygnięcie ustalające wysokość opłaty adiacenckiej wydane przed upływem trzech lat. Późniejsze wyeliminowanie z obrotu prawnego decyzji ustalającej wysokość tej opłaty, jeżeli upłynął już 3-letni termin do jej wydania, powoduje, że organ traci kompetencje do wydania decyzji określającej wysokość opłaty adiacenckiej, tj. traci uprawnienie do kształtowania praw lub obowiązków jedno</w:t>
      </w:r>
      <w:r w:rsidR="007B2772" w:rsidRPr="004D42C5">
        <w:rPr>
          <w:rFonts w:ascii="Times New Roman" w:hAnsi="Times New Roman" w:cs="Times New Roman"/>
          <w:szCs w:val="24"/>
        </w:rPr>
        <w:t>stki w ramach administracyjno-</w:t>
      </w:r>
      <w:r w:rsidR="00E16431" w:rsidRPr="004D42C5">
        <w:rPr>
          <w:rFonts w:ascii="Times New Roman" w:hAnsi="Times New Roman" w:cs="Times New Roman"/>
          <w:szCs w:val="24"/>
        </w:rPr>
        <w:t>prawnego stosunku materialnego</w:t>
      </w:r>
      <w:r w:rsidR="000326BB" w:rsidRPr="004D42C5">
        <w:rPr>
          <w:rFonts w:ascii="Times New Roman" w:hAnsi="Times New Roman" w:cs="Times New Roman"/>
          <w:szCs w:val="24"/>
        </w:rPr>
        <w:t>.</w:t>
      </w:r>
      <w:r w:rsidR="00E16431" w:rsidRPr="004D42C5">
        <w:rPr>
          <w:rFonts w:ascii="Times New Roman" w:hAnsi="Times New Roman" w:cs="Times New Roman"/>
          <w:szCs w:val="24"/>
        </w:rPr>
        <w:t xml:space="preserve">”. Nowy sposób określenia terminu, w którym organ może skorzystać z uprawnienia do </w:t>
      </w:r>
      <w:r w:rsidR="00E16431" w:rsidRPr="004D42C5">
        <w:rPr>
          <w:rFonts w:ascii="Times New Roman" w:hAnsi="Times New Roman" w:cs="Times New Roman"/>
          <w:szCs w:val="24"/>
        </w:rPr>
        <w:lastRenderedPageBreak/>
        <w:t>naliczenia opłaty adiacenckiej</w:t>
      </w:r>
      <w:r w:rsidR="00CB665A">
        <w:rPr>
          <w:rFonts w:ascii="Times New Roman" w:hAnsi="Times New Roman" w:cs="Times New Roman"/>
          <w:szCs w:val="24"/>
        </w:rPr>
        <w:t>,</w:t>
      </w:r>
      <w:r w:rsidR="00E16431" w:rsidRPr="004D42C5">
        <w:rPr>
          <w:rFonts w:ascii="Times New Roman" w:hAnsi="Times New Roman" w:cs="Times New Roman"/>
          <w:szCs w:val="24"/>
        </w:rPr>
        <w:t xml:space="preserve"> rozwiąże aktualnie pojawiający się problem związany z uchyleniem decyzji </w:t>
      </w:r>
      <w:r w:rsidR="000326BB" w:rsidRPr="004D42C5">
        <w:rPr>
          <w:rFonts w:ascii="Times New Roman" w:hAnsi="Times New Roman" w:cs="Times New Roman"/>
          <w:szCs w:val="24"/>
        </w:rPr>
        <w:t xml:space="preserve">wydanej przez </w:t>
      </w:r>
      <w:r w:rsidR="00E16431" w:rsidRPr="004D42C5">
        <w:rPr>
          <w:rFonts w:ascii="Times New Roman" w:hAnsi="Times New Roman" w:cs="Times New Roman"/>
          <w:szCs w:val="24"/>
        </w:rPr>
        <w:t xml:space="preserve">organ I instancji. </w:t>
      </w:r>
    </w:p>
    <w:p w:rsidR="00E16431" w:rsidRPr="004D42C5" w:rsidRDefault="00F6600F" w:rsidP="007B2772">
      <w:pPr>
        <w:pStyle w:val="ZARTzmartartykuempunktem"/>
        <w:spacing w:before="120"/>
        <w:ind w:left="426" w:firstLine="0"/>
        <w:rPr>
          <w:rFonts w:ascii="Times New Roman" w:hAnsi="Times New Roman" w:cs="Times New Roman"/>
          <w:szCs w:val="24"/>
        </w:rPr>
      </w:pPr>
      <w:r w:rsidRPr="004D42C5">
        <w:rPr>
          <w:rFonts w:ascii="Times New Roman" w:hAnsi="Times New Roman" w:cs="Times New Roman"/>
          <w:szCs w:val="24"/>
        </w:rPr>
        <w:t>Ponadto zaproponowano, aby wartość nieruchomości</w:t>
      </w:r>
      <w:r w:rsidR="00E16431" w:rsidRPr="004D42C5">
        <w:rPr>
          <w:rFonts w:ascii="Times New Roman" w:hAnsi="Times New Roman" w:cs="Times New Roman"/>
          <w:szCs w:val="24"/>
        </w:rPr>
        <w:t xml:space="preserve"> przed podziałem i po podziale </w:t>
      </w:r>
      <w:r w:rsidRPr="004D42C5">
        <w:rPr>
          <w:rFonts w:ascii="Times New Roman" w:hAnsi="Times New Roman" w:cs="Times New Roman"/>
          <w:szCs w:val="24"/>
        </w:rPr>
        <w:t xml:space="preserve">określać </w:t>
      </w:r>
      <w:r w:rsidR="00E16431" w:rsidRPr="004D42C5">
        <w:rPr>
          <w:rFonts w:ascii="Times New Roman" w:hAnsi="Times New Roman" w:cs="Times New Roman"/>
          <w:szCs w:val="24"/>
        </w:rPr>
        <w:t>według cen na dzień, w którym decyzja zatwierdzająca podział nieruchomości stała się ostateczna albo orzeczenie o</w:t>
      </w:r>
      <w:r w:rsidRPr="004D42C5">
        <w:rPr>
          <w:rFonts w:ascii="Times New Roman" w:hAnsi="Times New Roman" w:cs="Times New Roman"/>
          <w:szCs w:val="24"/>
        </w:rPr>
        <w:t xml:space="preserve"> podziale</w:t>
      </w:r>
      <w:r w:rsidR="007B2772" w:rsidRPr="004D42C5">
        <w:rPr>
          <w:rFonts w:ascii="Times New Roman" w:hAnsi="Times New Roman" w:cs="Times New Roman"/>
          <w:szCs w:val="24"/>
        </w:rPr>
        <w:t xml:space="preserve"> </w:t>
      </w:r>
      <w:r w:rsidRPr="004D42C5">
        <w:rPr>
          <w:rFonts w:ascii="Times New Roman" w:hAnsi="Times New Roman" w:cs="Times New Roman"/>
          <w:szCs w:val="24"/>
        </w:rPr>
        <w:t xml:space="preserve">stało się prawomocne. </w:t>
      </w:r>
      <w:r w:rsidR="00E16431" w:rsidRPr="004D42C5">
        <w:rPr>
          <w:rFonts w:ascii="Times New Roman" w:hAnsi="Times New Roman" w:cs="Times New Roman"/>
          <w:szCs w:val="24"/>
        </w:rPr>
        <w:t xml:space="preserve">W obowiązującym porządku prawnym w przypadku ustalenia opłaty adiacenckiej z tytułu scalenia i podziału nieruchomości przyjmuje się ceny na dzień wejścia w życie uchwały o scaleniu i podziale nieruchomości (§ 12 ust. 3 rozporządzenia w sprawie scalania i podziału nieruchomości), a nie z dnia wydania decyzji o ustaleniu opłaty adiacenckiej. Zatem przyjęcie nowego brzmienia będzie spójne z pozostałymi przypadkami określania wartości nieruchomości na potrzeby ustalenia opłat adiacenckich. </w:t>
      </w:r>
    </w:p>
    <w:p w:rsidR="00E16431" w:rsidRPr="004D42C5" w:rsidRDefault="00E22FDD" w:rsidP="007B2772">
      <w:pPr>
        <w:pStyle w:val="ZARTzmartartykuempunktem"/>
        <w:spacing w:before="120"/>
        <w:ind w:left="426" w:firstLine="0"/>
        <w:rPr>
          <w:rFonts w:ascii="Times New Roman" w:hAnsi="Times New Roman" w:cs="Times New Roman"/>
          <w:szCs w:val="24"/>
        </w:rPr>
      </w:pPr>
      <w:r w:rsidRPr="004D42C5">
        <w:rPr>
          <w:rFonts w:ascii="Times New Roman" w:hAnsi="Times New Roman" w:cs="Times New Roman"/>
          <w:szCs w:val="24"/>
        </w:rPr>
        <w:t xml:space="preserve">Doprecyzowanie zasad </w:t>
      </w:r>
      <w:r w:rsidR="00E16431" w:rsidRPr="004D42C5">
        <w:rPr>
          <w:rFonts w:ascii="Times New Roman" w:hAnsi="Times New Roman" w:cs="Times New Roman"/>
          <w:szCs w:val="24"/>
        </w:rPr>
        <w:t>określ</w:t>
      </w:r>
      <w:r w:rsidRPr="004D42C5">
        <w:rPr>
          <w:rFonts w:ascii="Times New Roman" w:hAnsi="Times New Roman" w:cs="Times New Roman"/>
          <w:szCs w:val="24"/>
        </w:rPr>
        <w:t>a</w:t>
      </w:r>
      <w:r w:rsidR="00E16431" w:rsidRPr="004D42C5">
        <w:rPr>
          <w:rFonts w:ascii="Times New Roman" w:hAnsi="Times New Roman" w:cs="Times New Roman"/>
          <w:szCs w:val="24"/>
        </w:rPr>
        <w:t xml:space="preserve">nia wartości nieruchomości na potrzeby ustalenia opłaty adiacenckiej ma </w:t>
      </w:r>
      <w:r w:rsidR="00274C01" w:rsidRPr="004D42C5">
        <w:rPr>
          <w:rFonts w:ascii="Times New Roman" w:hAnsi="Times New Roman" w:cs="Times New Roman"/>
          <w:szCs w:val="24"/>
        </w:rPr>
        <w:t xml:space="preserve">na </w:t>
      </w:r>
      <w:r w:rsidR="00E16431" w:rsidRPr="004D42C5">
        <w:rPr>
          <w:rFonts w:ascii="Times New Roman" w:hAnsi="Times New Roman" w:cs="Times New Roman"/>
          <w:szCs w:val="24"/>
        </w:rPr>
        <w:t xml:space="preserve">celu wyeliminowanie wątpliwości interpretacyjnych oraz rozbieżności w orzecznictwie sądów administracyjnych występujących w tym zakresie. Wycena nieruchomości na potrzeby ustalenia opłaty adiacenckiej z tytułu podziału nieruchomości powinna odzwierciedlać </w:t>
      </w:r>
      <w:r w:rsidR="00E16431" w:rsidRPr="00010917">
        <w:rPr>
          <w:rFonts w:ascii="Times New Roman" w:hAnsi="Times New Roman" w:cs="Times New Roman"/>
          <w:i/>
          <w:szCs w:val="24"/>
        </w:rPr>
        <w:t>ratio legis</w:t>
      </w:r>
      <w:r w:rsidR="00E16431" w:rsidRPr="004D42C5">
        <w:rPr>
          <w:rFonts w:ascii="Times New Roman" w:hAnsi="Times New Roman" w:cs="Times New Roman"/>
          <w:szCs w:val="24"/>
        </w:rPr>
        <w:t xml:space="preserve"> instytucji opłaty adiacenckiej. Wzrost wartości w tym przypadku wynika z dokonania podziału nieruchomości (w postępowaniu administracyjnym lub sądowym), którego skutkiem jest wydzielenie działek mogących stanowić odrębne nieruchomości. Niektóre sądy w sytuacjach, kiedy rzeczoznawca majątkowy określa wartość nieruchomości po podziale jako sumę wartości poszczególnych działek, nie dopuszczają tej metody powołując się na kodeksową definicję nieruchomości. Taka interpretacja ogranicza możliwość wykonania rzetelnej wyceny nieruchomości w</w:t>
      </w:r>
      <w:r w:rsidR="00B12895" w:rsidRPr="004D42C5">
        <w:rPr>
          <w:rFonts w:ascii="Times New Roman" w:hAnsi="Times New Roman" w:cs="Times New Roman"/>
          <w:szCs w:val="24"/>
        </w:rPr>
        <w:t> </w:t>
      </w:r>
      <w:r w:rsidR="00E16431" w:rsidRPr="004D42C5">
        <w:rPr>
          <w:rFonts w:ascii="Times New Roman" w:hAnsi="Times New Roman" w:cs="Times New Roman"/>
          <w:szCs w:val="24"/>
        </w:rPr>
        <w:t xml:space="preserve">związku z niedostateczną </w:t>
      </w:r>
      <w:r w:rsidR="000326BB" w:rsidRPr="004D42C5">
        <w:rPr>
          <w:rFonts w:ascii="Times New Roman" w:hAnsi="Times New Roman" w:cs="Times New Roman"/>
          <w:szCs w:val="24"/>
        </w:rPr>
        <w:t>liczbą</w:t>
      </w:r>
      <w:r w:rsidR="00E16431" w:rsidRPr="004D42C5">
        <w:rPr>
          <w:rFonts w:ascii="Times New Roman" w:hAnsi="Times New Roman" w:cs="Times New Roman"/>
          <w:szCs w:val="24"/>
        </w:rPr>
        <w:t xml:space="preserve"> nieruchomości podobnych do nieruchomości po podziale. Obserwacja rynku wskazuje bowiem, że właściciele nieruchomości tylko sporadycznie zbywają po podziale nieruchomość w całości (wszystkie wydzielone działki gruntu łącznie). Doprecyzowanie zasad wyceny nieruchomości na potrzeby ustalenia opłaty adiacenckiej z tytułu podziału nieruchomości wyeliminuje </w:t>
      </w:r>
      <w:r w:rsidRPr="004D42C5">
        <w:rPr>
          <w:rFonts w:ascii="Times New Roman" w:hAnsi="Times New Roman" w:cs="Times New Roman"/>
          <w:szCs w:val="24"/>
        </w:rPr>
        <w:t xml:space="preserve">przypadki </w:t>
      </w:r>
      <w:r w:rsidR="00E16431" w:rsidRPr="004D42C5">
        <w:rPr>
          <w:rFonts w:ascii="Times New Roman" w:hAnsi="Times New Roman" w:cs="Times New Roman"/>
          <w:szCs w:val="24"/>
        </w:rPr>
        <w:t>niewłaściw</w:t>
      </w:r>
      <w:r w:rsidR="00DB6E47" w:rsidRPr="004D42C5">
        <w:rPr>
          <w:rFonts w:ascii="Times New Roman" w:hAnsi="Times New Roman" w:cs="Times New Roman"/>
          <w:szCs w:val="24"/>
        </w:rPr>
        <w:t>ej</w:t>
      </w:r>
      <w:r w:rsidR="00E16431" w:rsidRPr="004D42C5">
        <w:rPr>
          <w:rFonts w:ascii="Times New Roman" w:hAnsi="Times New Roman" w:cs="Times New Roman"/>
          <w:szCs w:val="24"/>
        </w:rPr>
        <w:t xml:space="preserve"> praktyk</w:t>
      </w:r>
      <w:r w:rsidR="00DB6E47" w:rsidRPr="004D42C5">
        <w:rPr>
          <w:rFonts w:ascii="Times New Roman" w:hAnsi="Times New Roman" w:cs="Times New Roman"/>
          <w:szCs w:val="24"/>
        </w:rPr>
        <w:t>i</w:t>
      </w:r>
      <w:r w:rsidR="00E16431" w:rsidRPr="004D42C5">
        <w:rPr>
          <w:rFonts w:ascii="Times New Roman" w:hAnsi="Times New Roman" w:cs="Times New Roman"/>
          <w:szCs w:val="24"/>
        </w:rPr>
        <w:t xml:space="preserve"> wyceny nieruchomości.</w:t>
      </w:r>
      <w:r w:rsidR="007B2772" w:rsidRPr="004D42C5">
        <w:rPr>
          <w:rFonts w:ascii="Times New Roman" w:hAnsi="Times New Roman" w:cs="Times New Roman"/>
          <w:szCs w:val="24"/>
        </w:rPr>
        <w:t xml:space="preserve"> </w:t>
      </w:r>
    </w:p>
    <w:p w:rsidR="000326BB" w:rsidRPr="004D42C5" w:rsidRDefault="000326BB" w:rsidP="007B2772">
      <w:pPr>
        <w:pStyle w:val="ZARTzmartartykuempunktem"/>
        <w:spacing w:before="120"/>
        <w:ind w:left="426" w:firstLine="0"/>
        <w:rPr>
          <w:rFonts w:ascii="Times New Roman" w:hAnsi="Times New Roman" w:cs="Times New Roman"/>
          <w:szCs w:val="24"/>
        </w:rPr>
      </w:pPr>
      <w:r w:rsidRPr="004D42C5">
        <w:rPr>
          <w:rFonts w:ascii="Times New Roman" w:hAnsi="Times New Roman" w:cs="Times New Roman"/>
          <w:szCs w:val="24"/>
        </w:rPr>
        <w:t>Wprowadzenie art. 98a ust.</w:t>
      </w:r>
      <w:r w:rsidR="00B149ED" w:rsidRPr="004D42C5">
        <w:rPr>
          <w:rFonts w:ascii="Times New Roman" w:hAnsi="Times New Roman" w:cs="Times New Roman"/>
          <w:szCs w:val="24"/>
        </w:rPr>
        <w:t xml:space="preserve"> </w:t>
      </w:r>
      <w:r w:rsidRPr="004D42C5">
        <w:rPr>
          <w:rFonts w:ascii="Times New Roman" w:hAnsi="Times New Roman" w:cs="Times New Roman"/>
          <w:szCs w:val="24"/>
        </w:rPr>
        <w:t>1b ma na celu poprawę czytelności przepisu art. 98a. W</w:t>
      </w:r>
      <w:r w:rsidR="00B12895" w:rsidRPr="004D42C5">
        <w:rPr>
          <w:rFonts w:ascii="Times New Roman" w:hAnsi="Times New Roman" w:cs="Times New Roman"/>
          <w:szCs w:val="24"/>
        </w:rPr>
        <w:t> </w:t>
      </w:r>
      <w:r w:rsidR="0026259A">
        <w:rPr>
          <w:rFonts w:ascii="Times New Roman" w:hAnsi="Times New Roman" w:cs="Times New Roman"/>
          <w:szCs w:val="24"/>
        </w:rPr>
        <w:t>tym celu po</w:t>
      </w:r>
      <w:r w:rsidRPr="004D42C5">
        <w:rPr>
          <w:rFonts w:ascii="Times New Roman" w:hAnsi="Times New Roman" w:cs="Times New Roman"/>
          <w:szCs w:val="24"/>
        </w:rPr>
        <w:t>dzielono art. 98a ust.</w:t>
      </w:r>
      <w:r w:rsidR="00B149ED" w:rsidRPr="004D42C5">
        <w:rPr>
          <w:rFonts w:ascii="Times New Roman" w:hAnsi="Times New Roman" w:cs="Times New Roman"/>
          <w:szCs w:val="24"/>
        </w:rPr>
        <w:t xml:space="preserve"> </w:t>
      </w:r>
      <w:r w:rsidRPr="004D42C5">
        <w:rPr>
          <w:rFonts w:ascii="Times New Roman" w:hAnsi="Times New Roman" w:cs="Times New Roman"/>
          <w:szCs w:val="24"/>
        </w:rPr>
        <w:t>1 na art. 98a ust. 1 oraz art. 98a ust.</w:t>
      </w:r>
      <w:r w:rsidR="00B149ED" w:rsidRPr="004D42C5">
        <w:rPr>
          <w:rFonts w:ascii="Times New Roman" w:hAnsi="Times New Roman" w:cs="Times New Roman"/>
          <w:szCs w:val="24"/>
        </w:rPr>
        <w:t xml:space="preserve"> </w:t>
      </w:r>
      <w:r w:rsidRPr="004D42C5">
        <w:rPr>
          <w:rFonts w:ascii="Times New Roman" w:hAnsi="Times New Roman" w:cs="Times New Roman"/>
          <w:szCs w:val="24"/>
        </w:rPr>
        <w:t xml:space="preserve">1b. </w:t>
      </w:r>
      <w:r w:rsidRPr="004D42C5">
        <w:rPr>
          <w:rFonts w:ascii="Times New Roman" w:hAnsi="Times New Roman" w:cs="Times New Roman"/>
          <w:szCs w:val="24"/>
        </w:rPr>
        <w:lastRenderedPageBreak/>
        <w:t>Wydzielony art. 98a ust. 1b dedykowany jest kwestiom związanym z wyceną nieruchomości na potrzeby ustalenia opłaty adiacenckiej z tytułu podziału nieruchomości.</w:t>
      </w:r>
    </w:p>
    <w:p w:rsidR="00F6600F" w:rsidRPr="004D42C5" w:rsidRDefault="00F6600F" w:rsidP="007B2772">
      <w:pPr>
        <w:pStyle w:val="ZARTzmartartykuempunktem"/>
        <w:numPr>
          <w:ilvl w:val="1"/>
          <w:numId w:val="1"/>
        </w:numPr>
        <w:tabs>
          <w:tab w:val="num" w:pos="426"/>
        </w:tabs>
        <w:spacing w:before="120"/>
        <w:ind w:left="426" w:hanging="426"/>
        <w:rPr>
          <w:rFonts w:ascii="Times New Roman" w:eastAsia="Calibri" w:hAnsi="Times New Roman" w:cs="Times New Roman"/>
          <w:b/>
          <w:spacing w:val="4"/>
          <w:szCs w:val="24"/>
          <w:lang w:eastAsia="en-US"/>
        </w:rPr>
      </w:pPr>
      <w:r w:rsidRPr="004D42C5">
        <w:rPr>
          <w:rFonts w:ascii="Times New Roman" w:eastAsia="Calibri" w:hAnsi="Times New Roman" w:cs="Times New Roman"/>
          <w:b/>
          <w:spacing w:val="4"/>
          <w:szCs w:val="24"/>
          <w:lang w:eastAsia="en-US"/>
        </w:rPr>
        <w:t>art. 145 ust</w:t>
      </w:r>
      <w:r w:rsidR="00883CEA" w:rsidRPr="004D42C5">
        <w:rPr>
          <w:rFonts w:ascii="Times New Roman" w:eastAsia="Calibri" w:hAnsi="Times New Roman" w:cs="Times New Roman"/>
          <w:b/>
          <w:spacing w:val="4"/>
          <w:szCs w:val="24"/>
          <w:lang w:eastAsia="en-US"/>
        </w:rPr>
        <w:t>.</w:t>
      </w:r>
      <w:r w:rsidRPr="004D42C5">
        <w:rPr>
          <w:rFonts w:ascii="Times New Roman" w:eastAsia="Calibri" w:hAnsi="Times New Roman" w:cs="Times New Roman"/>
          <w:b/>
          <w:spacing w:val="4"/>
          <w:szCs w:val="24"/>
          <w:lang w:eastAsia="en-US"/>
        </w:rPr>
        <w:t xml:space="preserve"> 2</w:t>
      </w:r>
      <w:r w:rsidR="00B27AFA" w:rsidRPr="004D42C5">
        <w:rPr>
          <w:rFonts w:ascii="Times New Roman" w:eastAsia="Calibri" w:hAnsi="Times New Roman" w:cs="Times New Roman"/>
          <w:b/>
          <w:spacing w:val="4"/>
          <w:szCs w:val="24"/>
          <w:lang w:eastAsia="en-US"/>
        </w:rPr>
        <w:t>, art. 146 ust. 3</w:t>
      </w:r>
      <w:r w:rsidRPr="004D42C5">
        <w:rPr>
          <w:rFonts w:ascii="Times New Roman" w:eastAsia="Calibri" w:hAnsi="Times New Roman" w:cs="Times New Roman"/>
          <w:b/>
          <w:spacing w:val="4"/>
          <w:szCs w:val="24"/>
          <w:lang w:eastAsia="en-US"/>
        </w:rPr>
        <w:t xml:space="preserve"> – </w:t>
      </w:r>
      <w:r w:rsidRPr="004D42C5">
        <w:rPr>
          <w:rFonts w:ascii="Times New Roman" w:eastAsia="Calibri" w:hAnsi="Times New Roman" w:cs="Times New Roman"/>
          <w:spacing w:val="4"/>
          <w:szCs w:val="24"/>
          <w:lang w:eastAsia="en-US"/>
        </w:rPr>
        <w:t>propozycja jest związana ze zmianą art. 98a ust. 1 i ma na celu ujednolicenie przepisów oraz wyeliminowanie rozbieżności interpretacyjnych.</w:t>
      </w:r>
    </w:p>
    <w:p w:rsidR="00BE7940" w:rsidRPr="004D42C5"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148 ust. 4</w:t>
      </w:r>
      <w:r w:rsidR="000326BB" w:rsidRPr="004D42C5">
        <w:rPr>
          <w:rFonts w:ascii="Times New Roman" w:eastAsia="Calibri" w:hAnsi="Times New Roman" w:cs="Times New Roman"/>
          <w:b/>
          <w:spacing w:val="4"/>
          <w:szCs w:val="24"/>
          <w:lang w:eastAsia="en-US"/>
        </w:rPr>
        <w:t xml:space="preserve"> </w:t>
      </w:r>
      <w:r w:rsidRPr="004D42C5">
        <w:rPr>
          <w:rFonts w:ascii="Times New Roman" w:eastAsia="Calibri" w:hAnsi="Times New Roman" w:cs="Times New Roman"/>
          <w:spacing w:val="4"/>
          <w:szCs w:val="24"/>
          <w:lang w:eastAsia="en-US"/>
        </w:rPr>
        <w:t xml:space="preserve">– propozycja ma na celu zachęcenie obywateli do partycypowania w kosztach budowy urządzeń infrastruktury technicznej. Aktualne brzmienie przepisu nie sprzyja (nie zachęca) </w:t>
      </w:r>
      <w:r w:rsidRPr="004D42C5">
        <w:rPr>
          <w:rFonts w:ascii="Times New Roman" w:hAnsi="Times New Roman" w:cs="Times New Roman"/>
          <w:szCs w:val="24"/>
        </w:rPr>
        <w:t xml:space="preserve">dobrowolnemu uczestniczeniu w kosztach budowy urządzeń infrastruktury technicznej, z uwagi na obowiązującą zasadę rozliczenia nakładów poniesionych na budowę urządzeń infrastruktury technicznej. Zaproponowane rozwiązanie wprowadza korzystniejszy mechanizm określania wysokości opłaty adiacenckiej wobec osób, które dobrowolnie wniosły środki </w:t>
      </w:r>
      <w:r w:rsidR="000326BB" w:rsidRPr="004D42C5">
        <w:rPr>
          <w:rFonts w:ascii="Times New Roman" w:hAnsi="Times New Roman" w:cs="Times New Roman"/>
          <w:szCs w:val="24"/>
        </w:rPr>
        <w:t xml:space="preserve">finansowe </w:t>
      </w:r>
      <w:r w:rsidRPr="004D42C5">
        <w:rPr>
          <w:rFonts w:ascii="Times New Roman" w:hAnsi="Times New Roman" w:cs="Times New Roman"/>
          <w:szCs w:val="24"/>
        </w:rPr>
        <w:t>na budowę urządzeń infrastruktury technicznej.</w:t>
      </w:r>
      <w:r w:rsidR="007B2772" w:rsidRPr="004D42C5">
        <w:rPr>
          <w:rFonts w:ascii="Times New Roman" w:hAnsi="Times New Roman" w:cs="Times New Roman"/>
          <w:szCs w:val="24"/>
        </w:rPr>
        <w:t xml:space="preserve"> </w:t>
      </w:r>
    </w:p>
    <w:p w:rsidR="00530D7D" w:rsidRPr="004D42C5"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151 ust. 1</w:t>
      </w:r>
      <w:r w:rsidRPr="004D42C5">
        <w:rPr>
          <w:rFonts w:ascii="Times New Roman" w:eastAsia="Calibri" w:hAnsi="Times New Roman" w:cs="Times New Roman"/>
          <w:spacing w:val="4"/>
          <w:szCs w:val="24"/>
          <w:lang w:eastAsia="en-US"/>
        </w:rPr>
        <w:t xml:space="preserve"> –</w:t>
      </w:r>
      <w:r w:rsidRPr="004D42C5">
        <w:rPr>
          <w:rFonts w:ascii="Times New Roman" w:hAnsi="Times New Roman" w:cs="Times New Roman"/>
          <w:szCs w:val="24"/>
        </w:rPr>
        <w:t xml:space="preserve"> </w:t>
      </w:r>
      <w:r w:rsidR="000326BB" w:rsidRPr="004D42C5">
        <w:rPr>
          <w:rFonts w:ascii="Times New Roman" w:hAnsi="Times New Roman" w:cs="Times New Roman"/>
          <w:szCs w:val="24"/>
        </w:rPr>
        <w:t xml:space="preserve">celem zmiany jest </w:t>
      </w:r>
      <w:r w:rsidRPr="004D42C5">
        <w:rPr>
          <w:rFonts w:ascii="Times New Roman" w:hAnsi="Times New Roman" w:cs="Times New Roman"/>
          <w:szCs w:val="24"/>
        </w:rPr>
        <w:t>ujednolicenie brzmienia definicji wartości rynkowej nieruchomości zawartej w ugn z definicją zawartą w rozporządzeniu Parlamentu Europejskiego i Rady (UE) nr 575/2013 z dnia 26 czerwca 2013 r. w</w:t>
      </w:r>
      <w:r w:rsidR="00B12895" w:rsidRPr="004D42C5">
        <w:rPr>
          <w:rFonts w:ascii="Times New Roman" w:hAnsi="Times New Roman" w:cs="Times New Roman"/>
          <w:szCs w:val="24"/>
        </w:rPr>
        <w:t> </w:t>
      </w:r>
      <w:r w:rsidRPr="004D42C5">
        <w:rPr>
          <w:rFonts w:ascii="Times New Roman" w:hAnsi="Times New Roman" w:cs="Times New Roman"/>
          <w:szCs w:val="24"/>
        </w:rPr>
        <w:t>sprawie wymogów ostrożnościowych dla instytucji kredytowych i firm inwestycyjnych, zmieniając</w:t>
      </w:r>
      <w:r w:rsidR="00E42643" w:rsidRPr="004D42C5">
        <w:rPr>
          <w:rFonts w:ascii="Times New Roman" w:hAnsi="Times New Roman" w:cs="Times New Roman"/>
          <w:szCs w:val="24"/>
        </w:rPr>
        <w:t>ym</w:t>
      </w:r>
      <w:r w:rsidRPr="004D42C5">
        <w:rPr>
          <w:rFonts w:ascii="Times New Roman" w:hAnsi="Times New Roman" w:cs="Times New Roman"/>
          <w:szCs w:val="24"/>
        </w:rPr>
        <w:t xml:space="preserve"> rozporządzenie (UE) nr 648/2012. Zgodnie z</w:t>
      </w:r>
      <w:r w:rsidR="00B12895" w:rsidRPr="004D42C5">
        <w:rPr>
          <w:rFonts w:ascii="Times New Roman" w:hAnsi="Times New Roman" w:cs="Times New Roman"/>
          <w:szCs w:val="24"/>
        </w:rPr>
        <w:t> </w:t>
      </w:r>
      <w:r w:rsidRPr="004D42C5">
        <w:rPr>
          <w:rFonts w:ascii="Times New Roman" w:hAnsi="Times New Roman" w:cs="Times New Roman"/>
          <w:szCs w:val="24"/>
        </w:rPr>
        <w:t>art.</w:t>
      </w:r>
      <w:r w:rsidR="00B12895" w:rsidRPr="004D42C5">
        <w:rPr>
          <w:rFonts w:ascii="Times New Roman" w:hAnsi="Times New Roman" w:cs="Times New Roman"/>
          <w:szCs w:val="24"/>
        </w:rPr>
        <w:t> </w:t>
      </w:r>
      <w:r w:rsidRPr="004D42C5">
        <w:rPr>
          <w:rFonts w:ascii="Times New Roman" w:hAnsi="Times New Roman" w:cs="Times New Roman"/>
          <w:szCs w:val="24"/>
        </w:rPr>
        <w:t xml:space="preserve">151 ust. 1 ugn </w:t>
      </w:r>
      <w:r w:rsidR="00E42643" w:rsidRPr="004D42C5">
        <w:rPr>
          <w:rFonts w:ascii="Times New Roman" w:hAnsi="Times New Roman" w:cs="Times New Roman"/>
          <w:szCs w:val="24"/>
        </w:rPr>
        <w:t>„</w:t>
      </w:r>
      <w:r w:rsidRPr="004D42C5">
        <w:rPr>
          <w:rFonts w:ascii="Times New Roman" w:hAnsi="Times New Roman" w:cs="Times New Roman"/>
          <w:szCs w:val="24"/>
        </w:rPr>
        <w:t>wartość rynkową nieruchomości stanowi najbardziej prawdopodobna jej cena, możliwa do uzyskania na rynku, określona z</w:t>
      </w:r>
      <w:r w:rsidR="00B12895" w:rsidRPr="004D42C5">
        <w:rPr>
          <w:rFonts w:ascii="Times New Roman" w:hAnsi="Times New Roman" w:cs="Times New Roman"/>
          <w:szCs w:val="24"/>
        </w:rPr>
        <w:t> </w:t>
      </w:r>
      <w:r w:rsidRPr="004D42C5">
        <w:rPr>
          <w:rFonts w:ascii="Times New Roman" w:hAnsi="Times New Roman" w:cs="Times New Roman"/>
          <w:szCs w:val="24"/>
        </w:rPr>
        <w:t>uwzględnieniem cen transakcyjnych przy przyjęciu założeń, że strony umowy były od siebie niezależne, nie działały w sytuacji przymusowej oraz miały stanowczy zamiar zawarcia umowy, a także że</w:t>
      </w:r>
      <w:r w:rsidR="007B2772" w:rsidRPr="004D42C5">
        <w:rPr>
          <w:rFonts w:ascii="Times New Roman" w:hAnsi="Times New Roman" w:cs="Times New Roman"/>
          <w:szCs w:val="24"/>
        </w:rPr>
        <w:t xml:space="preserve"> </w:t>
      </w:r>
      <w:r w:rsidRPr="004D42C5">
        <w:rPr>
          <w:rFonts w:ascii="Times New Roman" w:hAnsi="Times New Roman" w:cs="Times New Roman"/>
          <w:szCs w:val="24"/>
        </w:rPr>
        <w:t>upłynął czas niezbędny do wyeksponowania nieruchomości na rynku i do wynegocjowania warunków umowy</w:t>
      </w:r>
      <w:r w:rsidR="00E42643" w:rsidRPr="004D42C5">
        <w:rPr>
          <w:rFonts w:ascii="Times New Roman" w:hAnsi="Times New Roman" w:cs="Times New Roman"/>
          <w:szCs w:val="24"/>
        </w:rPr>
        <w:t>”</w:t>
      </w:r>
      <w:r w:rsidRPr="004D42C5">
        <w:rPr>
          <w:rFonts w:ascii="Times New Roman" w:hAnsi="Times New Roman" w:cs="Times New Roman"/>
          <w:szCs w:val="24"/>
        </w:rPr>
        <w:t>. Natomiast zgodnie z art. 4 pkt 76 ww. rozporządzenia</w:t>
      </w:r>
      <w:r w:rsidR="00183284" w:rsidRPr="004D42C5">
        <w:rPr>
          <w:rFonts w:ascii="Times New Roman" w:hAnsi="Times New Roman" w:cs="Times New Roman"/>
          <w:szCs w:val="24"/>
        </w:rPr>
        <w:t xml:space="preserve"> UE</w:t>
      </w:r>
      <w:r w:rsidRPr="004D42C5">
        <w:rPr>
          <w:rFonts w:ascii="Times New Roman" w:hAnsi="Times New Roman" w:cs="Times New Roman"/>
          <w:szCs w:val="24"/>
        </w:rPr>
        <w:t xml:space="preserve"> „wartość rynkowa” w odniesieniu do nieruchomości oznacza szacunkową kwotę, jaką w dniu wyceny można uzyskać za nieruchomość w transakcji sprzedaży zawieranej na warunkach rynkowych pomiędzy kupującym a sprzedającym, którzy mają stanowczy zamiar zawarcia umowy, działają z rozeznaniem i postępują rozważnie oraz nie znajdują się w</w:t>
      </w:r>
      <w:r w:rsidR="00B12895" w:rsidRPr="004D42C5">
        <w:rPr>
          <w:rFonts w:ascii="Times New Roman" w:hAnsi="Times New Roman" w:cs="Times New Roman"/>
          <w:szCs w:val="24"/>
        </w:rPr>
        <w:t> </w:t>
      </w:r>
      <w:r w:rsidRPr="004D42C5">
        <w:rPr>
          <w:rFonts w:ascii="Times New Roman" w:hAnsi="Times New Roman" w:cs="Times New Roman"/>
          <w:szCs w:val="24"/>
        </w:rPr>
        <w:t xml:space="preserve">sytuacji przymusowej. Analiza porównawcza obu definicji </w:t>
      </w:r>
      <w:r w:rsidRPr="004D42C5">
        <w:rPr>
          <w:rFonts w:ascii="Times New Roman" w:hAnsi="Times New Roman" w:cs="Times New Roman"/>
          <w:szCs w:val="24"/>
        </w:rPr>
        <w:lastRenderedPageBreak/>
        <w:t xml:space="preserve">prowadzi do wniosku, iż koncepcja wartości rynkowej nieruchomości jest tożsama w obu aktach prawnych, przy czym polska definicja zawiera dodatkowy element metodologiczny dotyczący </w:t>
      </w:r>
      <w:r w:rsidR="00971AB8" w:rsidRPr="004D42C5">
        <w:rPr>
          <w:rFonts w:ascii="Times New Roman" w:hAnsi="Times New Roman" w:cs="Times New Roman"/>
          <w:szCs w:val="24"/>
        </w:rPr>
        <w:t xml:space="preserve">stosowania </w:t>
      </w:r>
      <w:r w:rsidRPr="004D42C5">
        <w:rPr>
          <w:rFonts w:ascii="Times New Roman" w:hAnsi="Times New Roman" w:cs="Times New Roman"/>
          <w:szCs w:val="24"/>
        </w:rPr>
        <w:t>podejścia porównawczego. Definicja zawarta w</w:t>
      </w:r>
      <w:r w:rsidR="00B12895" w:rsidRPr="004D42C5">
        <w:rPr>
          <w:rFonts w:ascii="Times New Roman" w:hAnsi="Times New Roman" w:cs="Times New Roman"/>
          <w:szCs w:val="24"/>
        </w:rPr>
        <w:t> </w:t>
      </w:r>
      <w:r w:rsidRPr="004D42C5">
        <w:rPr>
          <w:rFonts w:ascii="Times New Roman" w:hAnsi="Times New Roman" w:cs="Times New Roman"/>
          <w:szCs w:val="24"/>
        </w:rPr>
        <w:t>rozporządzeniu UE</w:t>
      </w:r>
      <w:r w:rsidR="002A0F7E" w:rsidRPr="004D42C5">
        <w:rPr>
          <w:rFonts w:ascii="Times New Roman" w:hAnsi="Times New Roman" w:cs="Times New Roman"/>
          <w:szCs w:val="24"/>
        </w:rPr>
        <w:t xml:space="preserve"> </w:t>
      </w:r>
      <w:r w:rsidRPr="004D42C5">
        <w:rPr>
          <w:rFonts w:ascii="Times New Roman" w:hAnsi="Times New Roman" w:cs="Times New Roman"/>
          <w:szCs w:val="24"/>
        </w:rPr>
        <w:t>odnosi się do działalności instytucji kredytowych i firm inwestycyjnych, na potrzeby których określana jest przez rzeczoznawców majątkowych wartość rynkowa nieruchomości</w:t>
      </w:r>
      <w:r w:rsidR="002A0F7E" w:rsidRPr="004D42C5">
        <w:rPr>
          <w:rFonts w:ascii="Times New Roman" w:hAnsi="Times New Roman" w:cs="Times New Roman"/>
          <w:szCs w:val="24"/>
        </w:rPr>
        <w:t>. O</w:t>
      </w:r>
      <w:r w:rsidRPr="004D42C5">
        <w:rPr>
          <w:rFonts w:ascii="Times New Roman" w:hAnsi="Times New Roman" w:cs="Times New Roman"/>
          <w:szCs w:val="24"/>
        </w:rPr>
        <w:t>bowiązek stosowania ww.</w:t>
      </w:r>
      <w:r w:rsidR="00B12895" w:rsidRPr="004D42C5">
        <w:rPr>
          <w:rFonts w:ascii="Times New Roman" w:hAnsi="Times New Roman" w:cs="Times New Roman"/>
          <w:szCs w:val="24"/>
        </w:rPr>
        <w:t> </w:t>
      </w:r>
      <w:r w:rsidRPr="004D42C5">
        <w:rPr>
          <w:rFonts w:ascii="Times New Roman" w:hAnsi="Times New Roman" w:cs="Times New Roman"/>
          <w:szCs w:val="24"/>
        </w:rPr>
        <w:t xml:space="preserve">definicji wynika wprost z przywołanego rozporządzenia UE, jednak </w:t>
      </w:r>
      <w:r w:rsidR="002A0F7E" w:rsidRPr="004D42C5">
        <w:rPr>
          <w:rFonts w:ascii="Times New Roman" w:hAnsi="Times New Roman" w:cs="Times New Roman"/>
          <w:szCs w:val="24"/>
        </w:rPr>
        <w:t>wyłącznie w takim zakresie, w jakim wskazują na to przepisy rozporządzenia UE. W</w:t>
      </w:r>
      <w:r w:rsidR="00B12895" w:rsidRPr="004D42C5">
        <w:rPr>
          <w:rFonts w:ascii="Times New Roman" w:hAnsi="Times New Roman" w:cs="Times New Roman"/>
          <w:szCs w:val="24"/>
        </w:rPr>
        <w:t> </w:t>
      </w:r>
      <w:r w:rsidR="002A0F7E" w:rsidRPr="004D42C5">
        <w:rPr>
          <w:rFonts w:ascii="Times New Roman" w:hAnsi="Times New Roman" w:cs="Times New Roman"/>
          <w:szCs w:val="24"/>
        </w:rPr>
        <w:t xml:space="preserve">pozostałym zakresie stosowana jest definicja wynikająca z ugn. Intencją projektodawcy jest natomiast, aby niezależnie od celu wyceny nieruchomości stosowana była jedna definicja wartości rynkowej nieruchomości. </w:t>
      </w:r>
      <w:r w:rsidR="003663B1" w:rsidRPr="004D42C5">
        <w:rPr>
          <w:rFonts w:ascii="Times New Roman" w:hAnsi="Times New Roman" w:cs="Times New Roman"/>
          <w:szCs w:val="24"/>
        </w:rPr>
        <w:t>Projektowana zmiana nie ma zatem na celu transpozycji przepisów unijnych do polskiego porządku prawnego, a unifikację pojęcia stosowanego na innych obszarach niż rozporządzenie UE</w:t>
      </w:r>
      <w:r w:rsidR="008F1A74" w:rsidRPr="004D42C5">
        <w:rPr>
          <w:rFonts w:ascii="Times New Roman" w:hAnsi="Times New Roman" w:cs="Times New Roman"/>
          <w:szCs w:val="24"/>
        </w:rPr>
        <w:t xml:space="preserve"> </w:t>
      </w:r>
      <w:r w:rsidR="003663B1" w:rsidRPr="004D42C5">
        <w:rPr>
          <w:rFonts w:ascii="Times New Roman" w:hAnsi="Times New Roman" w:cs="Times New Roman"/>
          <w:szCs w:val="24"/>
        </w:rPr>
        <w:t xml:space="preserve">do pojęcia zdefiniowanego w tym rozporządzeniu dla wąskiego obszaru rynku. </w:t>
      </w:r>
    </w:p>
    <w:p w:rsidR="004F2415" w:rsidRPr="004D42C5" w:rsidRDefault="004F2415"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155 ust. 1 pkt 7</w:t>
      </w:r>
      <w:r w:rsidRPr="004D42C5">
        <w:rPr>
          <w:rFonts w:ascii="Times New Roman" w:eastAsia="Calibri" w:hAnsi="Times New Roman" w:cs="Times New Roman"/>
          <w:spacing w:val="4"/>
          <w:szCs w:val="24"/>
          <w:lang w:eastAsia="en-US"/>
        </w:rPr>
        <w:t xml:space="preserve"> – zmiana ma charakter dostosowujący i wynika z</w:t>
      </w:r>
      <w:r w:rsidR="00B12895" w:rsidRPr="004D42C5">
        <w:rPr>
          <w:rFonts w:ascii="Times New Roman" w:eastAsia="Calibri" w:hAnsi="Times New Roman" w:cs="Times New Roman"/>
          <w:spacing w:val="4"/>
          <w:szCs w:val="24"/>
          <w:lang w:eastAsia="en-US"/>
        </w:rPr>
        <w:t> </w:t>
      </w:r>
      <w:r w:rsidRPr="004D42C5">
        <w:rPr>
          <w:rFonts w:ascii="Times New Roman" w:eastAsia="Calibri" w:hAnsi="Times New Roman" w:cs="Times New Roman"/>
          <w:spacing w:val="4"/>
          <w:szCs w:val="24"/>
          <w:lang w:eastAsia="en-US"/>
        </w:rPr>
        <w:t xml:space="preserve">propozycji uchylenia art. 158. </w:t>
      </w:r>
    </w:p>
    <w:p w:rsidR="00E04F02" w:rsidRPr="004D42C5"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155 ust. 3</w:t>
      </w:r>
      <w:r w:rsidRPr="004D42C5">
        <w:rPr>
          <w:rFonts w:ascii="Times New Roman" w:eastAsia="Calibri" w:hAnsi="Times New Roman" w:cs="Times New Roman"/>
          <w:spacing w:val="4"/>
          <w:szCs w:val="24"/>
          <w:lang w:eastAsia="en-US"/>
        </w:rPr>
        <w:t xml:space="preserve"> –</w:t>
      </w:r>
      <w:r w:rsidRPr="004D42C5">
        <w:rPr>
          <w:rFonts w:ascii="Times New Roman" w:hAnsi="Times New Roman" w:cs="Times New Roman"/>
          <w:szCs w:val="24"/>
        </w:rPr>
        <w:t xml:space="preserve"> propozycja ma na celu wyeliminowanie wątpliwości interpretacyjnych dotyczących korzystania przez rzeczoznawców majątkowych z</w:t>
      </w:r>
      <w:r w:rsidR="00B12895" w:rsidRPr="004D42C5">
        <w:rPr>
          <w:rFonts w:ascii="Times New Roman" w:hAnsi="Times New Roman" w:cs="Times New Roman"/>
          <w:szCs w:val="24"/>
        </w:rPr>
        <w:t> </w:t>
      </w:r>
      <w:r w:rsidRPr="004D42C5">
        <w:rPr>
          <w:rFonts w:ascii="Times New Roman" w:hAnsi="Times New Roman" w:cs="Times New Roman"/>
          <w:szCs w:val="24"/>
        </w:rPr>
        <w:t>dokumentów</w:t>
      </w:r>
      <w:r w:rsidR="00D2546C" w:rsidRPr="004D42C5">
        <w:rPr>
          <w:rFonts w:ascii="Times New Roman" w:hAnsi="Times New Roman" w:cs="Times New Roman"/>
          <w:szCs w:val="24"/>
        </w:rPr>
        <w:t xml:space="preserve"> i rejestrów</w:t>
      </w:r>
      <w:r w:rsidRPr="004D42C5">
        <w:rPr>
          <w:rFonts w:ascii="Times New Roman" w:hAnsi="Times New Roman" w:cs="Times New Roman"/>
          <w:szCs w:val="24"/>
        </w:rPr>
        <w:t xml:space="preserve"> zawierających dane niezbędne do dokonania wyceny nieruchomości. Posiadanie pełnej informacji o nieruchomości wycenianej i</w:t>
      </w:r>
      <w:r w:rsidR="00B12895" w:rsidRPr="004D42C5">
        <w:rPr>
          <w:rFonts w:ascii="Times New Roman" w:hAnsi="Times New Roman" w:cs="Times New Roman"/>
          <w:szCs w:val="24"/>
        </w:rPr>
        <w:t> </w:t>
      </w:r>
      <w:r w:rsidRPr="004D42C5">
        <w:rPr>
          <w:rFonts w:ascii="Times New Roman" w:hAnsi="Times New Roman" w:cs="Times New Roman"/>
          <w:szCs w:val="24"/>
        </w:rPr>
        <w:t>nieruchomościach przyjętych do porównań jest niezbędne do przeprowadzenia prawidłowego procesu wyceny nieruchomości. Próby ograniczania dostępu do wymaganych dokumentów</w:t>
      </w:r>
      <w:r w:rsidR="00D2546C" w:rsidRPr="004D42C5">
        <w:rPr>
          <w:rFonts w:ascii="Times New Roman" w:hAnsi="Times New Roman" w:cs="Times New Roman"/>
          <w:szCs w:val="24"/>
        </w:rPr>
        <w:t xml:space="preserve"> i rejestrów</w:t>
      </w:r>
      <w:r w:rsidRPr="004D42C5">
        <w:rPr>
          <w:rFonts w:ascii="Times New Roman" w:hAnsi="Times New Roman" w:cs="Times New Roman"/>
          <w:szCs w:val="24"/>
        </w:rPr>
        <w:t xml:space="preserve"> oraz limitowania dostępu do danych </w:t>
      </w:r>
      <w:r w:rsidR="00D2546C" w:rsidRPr="004D42C5">
        <w:rPr>
          <w:rFonts w:ascii="Times New Roman" w:hAnsi="Times New Roman" w:cs="Times New Roman"/>
          <w:szCs w:val="24"/>
        </w:rPr>
        <w:t xml:space="preserve">w nich </w:t>
      </w:r>
      <w:r w:rsidRPr="004D42C5">
        <w:rPr>
          <w:rFonts w:ascii="Times New Roman" w:hAnsi="Times New Roman" w:cs="Times New Roman"/>
          <w:szCs w:val="24"/>
        </w:rPr>
        <w:t xml:space="preserve">zawartych oparte są często </w:t>
      </w:r>
      <w:r w:rsidR="00CB665A">
        <w:rPr>
          <w:rFonts w:ascii="Times New Roman" w:hAnsi="Times New Roman" w:cs="Times New Roman"/>
          <w:szCs w:val="24"/>
        </w:rPr>
        <w:t>na</w:t>
      </w:r>
      <w:r w:rsidRPr="004D42C5">
        <w:rPr>
          <w:rFonts w:ascii="Times New Roman" w:hAnsi="Times New Roman" w:cs="Times New Roman"/>
          <w:szCs w:val="24"/>
        </w:rPr>
        <w:t xml:space="preserve"> nieprecyzyjn</w:t>
      </w:r>
      <w:r w:rsidR="00CB665A">
        <w:rPr>
          <w:rFonts w:ascii="Times New Roman" w:hAnsi="Times New Roman" w:cs="Times New Roman"/>
          <w:szCs w:val="24"/>
        </w:rPr>
        <w:t>ym</w:t>
      </w:r>
      <w:r w:rsidRPr="004D42C5">
        <w:rPr>
          <w:rFonts w:ascii="Times New Roman" w:hAnsi="Times New Roman" w:cs="Times New Roman"/>
          <w:szCs w:val="24"/>
        </w:rPr>
        <w:t xml:space="preserve"> określeni</w:t>
      </w:r>
      <w:r w:rsidR="00CB665A">
        <w:rPr>
          <w:rFonts w:ascii="Times New Roman" w:hAnsi="Times New Roman" w:cs="Times New Roman"/>
          <w:szCs w:val="24"/>
        </w:rPr>
        <w:t>u</w:t>
      </w:r>
      <w:r w:rsidRPr="004D42C5">
        <w:rPr>
          <w:rFonts w:ascii="Times New Roman" w:hAnsi="Times New Roman" w:cs="Times New Roman"/>
          <w:szCs w:val="24"/>
        </w:rPr>
        <w:t xml:space="preserve"> obowiązków podmiotów udostępniających dane rzeczoznawcom majątkowym, z czego wywodzone są wnioski sprzeczne z ideą przepisu. Konieczne jest zatem jednoznaczne przesądzenie, iż rzeczoznawca majątkowy </w:t>
      </w:r>
      <w:r w:rsidR="00FC1273" w:rsidRPr="004D42C5">
        <w:rPr>
          <w:rFonts w:ascii="Times New Roman" w:hAnsi="Times New Roman" w:cs="Times New Roman"/>
          <w:szCs w:val="24"/>
        </w:rPr>
        <w:t xml:space="preserve">we własnym zakresie </w:t>
      </w:r>
      <w:r w:rsidRPr="004D42C5">
        <w:rPr>
          <w:rFonts w:ascii="Times New Roman" w:hAnsi="Times New Roman" w:cs="Times New Roman"/>
          <w:szCs w:val="24"/>
        </w:rPr>
        <w:t>ma prawo uzyskać, a dany podmiot ma obowiązek udostępnić dokumenty</w:t>
      </w:r>
      <w:r w:rsidR="00D2546C" w:rsidRPr="004D42C5">
        <w:rPr>
          <w:rFonts w:ascii="Times New Roman" w:hAnsi="Times New Roman" w:cs="Times New Roman"/>
          <w:szCs w:val="24"/>
        </w:rPr>
        <w:t xml:space="preserve"> i rejestry</w:t>
      </w:r>
      <w:r w:rsidRPr="004D42C5">
        <w:rPr>
          <w:rFonts w:ascii="Times New Roman" w:hAnsi="Times New Roman" w:cs="Times New Roman"/>
          <w:szCs w:val="24"/>
        </w:rPr>
        <w:t>, do których dostęp jest rzeczoznawcy majątkowemu niezbędny w związku ze sporządzaną</w:t>
      </w:r>
      <w:r w:rsidR="00FC1273" w:rsidRPr="004D42C5">
        <w:rPr>
          <w:rFonts w:ascii="Times New Roman" w:hAnsi="Times New Roman" w:cs="Times New Roman"/>
          <w:szCs w:val="24"/>
        </w:rPr>
        <w:t xml:space="preserve"> wyceną nieruchomości. Zaproponowany w przepisie obowiązek udostępnienia niezbędnych dokumentów</w:t>
      </w:r>
      <w:r w:rsidR="00D2546C" w:rsidRPr="004D42C5">
        <w:rPr>
          <w:rFonts w:ascii="Times New Roman" w:hAnsi="Times New Roman" w:cs="Times New Roman"/>
          <w:szCs w:val="24"/>
        </w:rPr>
        <w:t xml:space="preserve"> i rejestrów</w:t>
      </w:r>
      <w:r w:rsidR="00FC1273" w:rsidRPr="004D42C5">
        <w:rPr>
          <w:rFonts w:ascii="Times New Roman" w:hAnsi="Times New Roman" w:cs="Times New Roman"/>
          <w:szCs w:val="24"/>
        </w:rPr>
        <w:t xml:space="preserve"> nie wiąże się z koniecznością </w:t>
      </w:r>
      <w:r w:rsidR="00FC1273" w:rsidRPr="004D42C5">
        <w:rPr>
          <w:rFonts w:ascii="Times New Roman" w:hAnsi="Times New Roman" w:cs="Times New Roman"/>
          <w:szCs w:val="24"/>
        </w:rPr>
        <w:lastRenderedPageBreak/>
        <w:t xml:space="preserve">udostępnienia zainteresowanemu sprzętu (np. </w:t>
      </w:r>
      <w:r w:rsidR="00E42643" w:rsidRPr="004D42C5">
        <w:rPr>
          <w:rFonts w:ascii="Times New Roman" w:hAnsi="Times New Roman" w:cs="Times New Roman"/>
          <w:szCs w:val="24"/>
        </w:rPr>
        <w:t>ksero</w:t>
      </w:r>
      <w:r w:rsidR="00FC1273" w:rsidRPr="004D42C5">
        <w:rPr>
          <w:rFonts w:ascii="Times New Roman" w:hAnsi="Times New Roman" w:cs="Times New Roman"/>
          <w:szCs w:val="24"/>
        </w:rPr>
        <w:t>kopiarki) stanowiącego własność urzędu.</w:t>
      </w:r>
    </w:p>
    <w:p w:rsidR="00BE7940" w:rsidRPr="004D42C5" w:rsidRDefault="00BE7940" w:rsidP="007B2772">
      <w:pPr>
        <w:pStyle w:val="ZARTzmartartykuempunktem"/>
        <w:numPr>
          <w:ilvl w:val="1"/>
          <w:numId w:val="1"/>
        </w:numPr>
        <w:tabs>
          <w:tab w:val="num" w:pos="426"/>
        </w:tabs>
        <w:spacing w:before="120"/>
        <w:ind w:left="426" w:hanging="426"/>
        <w:rPr>
          <w:rFonts w:ascii="Times New Roman" w:hAnsi="Times New Roman" w:cs="Times New Roman"/>
          <w:szCs w:val="24"/>
        </w:rPr>
      </w:pPr>
      <w:r w:rsidRPr="004D42C5">
        <w:rPr>
          <w:rFonts w:ascii="Times New Roman" w:eastAsia="Calibri" w:hAnsi="Times New Roman" w:cs="Times New Roman"/>
          <w:b/>
          <w:spacing w:val="4"/>
          <w:szCs w:val="24"/>
          <w:lang w:eastAsia="en-US"/>
        </w:rPr>
        <w:t>art. 156 ust. 1a</w:t>
      </w:r>
      <w:r w:rsidRPr="004D42C5">
        <w:rPr>
          <w:rFonts w:ascii="Times New Roman" w:eastAsia="Calibri" w:hAnsi="Times New Roman" w:cs="Times New Roman"/>
          <w:spacing w:val="4"/>
          <w:szCs w:val="24"/>
          <w:lang w:eastAsia="en-US"/>
        </w:rPr>
        <w:t xml:space="preserve"> </w:t>
      </w:r>
      <w:r w:rsidRPr="004D42C5">
        <w:rPr>
          <w:rFonts w:ascii="Times New Roman" w:hAnsi="Times New Roman" w:cs="Times New Roman"/>
          <w:szCs w:val="24"/>
        </w:rPr>
        <w:t>– istotą propozycji jest zapewnienie dostępu do operatów szacunkowych osobom, których interesu prawnego te operaty dotyczą. Z przepisu wynika, że obowiązek udostępniania operatów został nałożony wyłącznie na organy administracji publicznej, co w praktyce okazało się niewystarczające. Czynności z zakresu gospodarowania mieniem publicznym, w ramach którego może zaistnieć konieczność sporządzenia operatu szacunkowego i udostępnienia go podmiotowi posiadającemu interes prawny, wykonywane są nie tylko przez organy administracji publicznej</w:t>
      </w:r>
      <w:r w:rsidR="00E42643" w:rsidRPr="004D42C5">
        <w:rPr>
          <w:rFonts w:ascii="Times New Roman" w:hAnsi="Times New Roman" w:cs="Times New Roman"/>
          <w:szCs w:val="24"/>
        </w:rPr>
        <w:t>,</w:t>
      </w:r>
      <w:r w:rsidRPr="004D42C5">
        <w:rPr>
          <w:rFonts w:ascii="Times New Roman" w:hAnsi="Times New Roman" w:cs="Times New Roman"/>
          <w:szCs w:val="24"/>
        </w:rPr>
        <w:t xml:space="preserve"> </w:t>
      </w:r>
      <w:r w:rsidR="00D5319D" w:rsidRPr="004D42C5">
        <w:rPr>
          <w:rFonts w:ascii="Times New Roman" w:hAnsi="Times New Roman" w:cs="Times New Roman"/>
          <w:szCs w:val="24"/>
        </w:rPr>
        <w:t xml:space="preserve">ale także </w:t>
      </w:r>
      <w:r w:rsidRPr="004D42C5">
        <w:rPr>
          <w:rFonts w:ascii="Times New Roman" w:hAnsi="Times New Roman" w:cs="Times New Roman"/>
          <w:szCs w:val="24"/>
        </w:rPr>
        <w:t>przez inne jednostki sektora finansów publicznych oraz inne podmioty, które wykorzystują lub</w:t>
      </w:r>
      <w:r w:rsidR="00D5319D" w:rsidRPr="004D42C5">
        <w:rPr>
          <w:rFonts w:ascii="Times New Roman" w:hAnsi="Times New Roman" w:cs="Times New Roman"/>
          <w:szCs w:val="24"/>
        </w:rPr>
        <w:t xml:space="preserve"> dysponują środkami publicznymi. </w:t>
      </w:r>
      <w:r w:rsidRPr="004D42C5">
        <w:rPr>
          <w:rFonts w:ascii="Times New Roman" w:hAnsi="Times New Roman" w:cs="Times New Roman"/>
          <w:szCs w:val="24"/>
        </w:rPr>
        <w:t>Zasadnym jest zatem objęcie również tego kręgu zleceniodawców</w:t>
      </w:r>
      <w:r w:rsidR="00A009D9" w:rsidRPr="004D42C5">
        <w:rPr>
          <w:rFonts w:ascii="Times New Roman" w:hAnsi="Times New Roman" w:cs="Times New Roman"/>
          <w:szCs w:val="24"/>
        </w:rPr>
        <w:t xml:space="preserve"> wycen nieruchomości</w:t>
      </w:r>
      <w:r w:rsidR="00D5319D" w:rsidRPr="004D42C5">
        <w:rPr>
          <w:rFonts w:ascii="Times New Roman" w:hAnsi="Times New Roman" w:cs="Times New Roman"/>
          <w:szCs w:val="24"/>
        </w:rPr>
        <w:t>, wskazanego w art. 9 ustawy z dnia 27 sierpnia 2009 r. o</w:t>
      </w:r>
      <w:r w:rsidR="00B12895" w:rsidRPr="004D42C5">
        <w:rPr>
          <w:rFonts w:ascii="Times New Roman" w:hAnsi="Times New Roman" w:cs="Times New Roman"/>
          <w:szCs w:val="24"/>
        </w:rPr>
        <w:t> </w:t>
      </w:r>
      <w:r w:rsidR="00D5319D" w:rsidRPr="004D42C5">
        <w:rPr>
          <w:rFonts w:ascii="Times New Roman" w:hAnsi="Times New Roman" w:cs="Times New Roman"/>
          <w:szCs w:val="24"/>
        </w:rPr>
        <w:t xml:space="preserve">finansach publicznych, </w:t>
      </w:r>
      <w:r w:rsidRPr="004D42C5">
        <w:rPr>
          <w:rFonts w:ascii="Times New Roman" w:hAnsi="Times New Roman" w:cs="Times New Roman"/>
          <w:szCs w:val="24"/>
        </w:rPr>
        <w:t>obowiązkiem ich udostępniania osobom, które posiadają interes prawny.</w:t>
      </w:r>
    </w:p>
    <w:p w:rsidR="00BE7940" w:rsidRPr="004D42C5" w:rsidRDefault="00BE7940" w:rsidP="007B2772">
      <w:pPr>
        <w:pStyle w:val="ZARTzmartartykuempunktem"/>
        <w:numPr>
          <w:ilvl w:val="1"/>
          <w:numId w:val="1"/>
        </w:numPr>
        <w:tabs>
          <w:tab w:val="num" w:pos="426"/>
        </w:tabs>
        <w:spacing w:before="120"/>
        <w:ind w:left="426" w:hanging="426"/>
        <w:rPr>
          <w:rFonts w:ascii="Times New Roman" w:hAnsi="Times New Roman" w:cs="Times New Roman"/>
          <w:szCs w:val="24"/>
        </w:rPr>
      </w:pPr>
      <w:r w:rsidRPr="004D42C5">
        <w:rPr>
          <w:rFonts w:ascii="Times New Roman" w:eastAsia="Calibri" w:hAnsi="Times New Roman" w:cs="Times New Roman"/>
          <w:b/>
          <w:spacing w:val="4"/>
          <w:szCs w:val="24"/>
          <w:lang w:eastAsia="en-US"/>
        </w:rPr>
        <w:t>art. 156 ust. 4</w:t>
      </w:r>
      <w:r w:rsidRPr="004D42C5">
        <w:rPr>
          <w:rFonts w:ascii="Times New Roman" w:eastAsia="Calibri" w:hAnsi="Times New Roman" w:cs="Times New Roman"/>
          <w:spacing w:val="4"/>
          <w:szCs w:val="24"/>
          <w:lang w:eastAsia="en-US"/>
        </w:rPr>
        <w:t xml:space="preserve"> </w:t>
      </w:r>
      <w:r w:rsidRPr="004D42C5">
        <w:rPr>
          <w:rFonts w:ascii="Times New Roman" w:hAnsi="Times New Roman" w:cs="Times New Roman"/>
          <w:szCs w:val="24"/>
        </w:rPr>
        <w:t xml:space="preserve">– propozycja ma na celu jasne i jednoznaczne określenie zasad potwierdzania aktualności operatów szacunkowych. W dotychczasowej praktyce zauważalne są wątpliwości </w:t>
      </w:r>
      <w:r w:rsidR="00971AB8" w:rsidRPr="004D42C5">
        <w:rPr>
          <w:rFonts w:ascii="Times New Roman" w:hAnsi="Times New Roman" w:cs="Times New Roman"/>
          <w:szCs w:val="24"/>
        </w:rPr>
        <w:t xml:space="preserve">dotyczące </w:t>
      </w:r>
      <w:r w:rsidR="006C7576" w:rsidRPr="004D42C5">
        <w:rPr>
          <w:rFonts w:ascii="Times New Roman" w:hAnsi="Times New Roman" w:cs="Times New Roman"/>
          <w:szCs w:val="24"/>
        </w:rPr>
        <w:t>okresu</w:t>
      </w:r>
      <w:r w:rsidRPr="004D42C5">
        <w:rPr>
          <w:rFonts w:ascii="Times New Roman" w:hAnsi="Times New Roman" w:cs="Times New Roman"/>
          <w:szCs w:val="24"/>
        </w:rPr>
        <w:t>, w którym operat szacunkowy może być nadal wykorzystywany</w:t>
      </w:r>
      <w:r w:rsidR="00CB665A">
        <w:rPr>
          <w:rFonts w:ascii="Times New Roman" w:hAnsi="Times New Roman" w:cs="Times New Roman"/>
          <w:szCs w:val="24"/>
        </w:rPr>
        <w:t>,</w:t>
      </w:r>
      <w:r w:rsidRPr="004D42C5">
        <w:rPr>
          <w:rFonts w:ascii="Times New Roman" w:hAnsi="Times New Roman" w:cs="Times New Roman"/>
          <w:szCs w:val="24"/>
        </w:rPr>
        <w:t xml:space="preserve"> oraz momentu, od którego ten </w:t>
      </w:r>
      <w:r w:rsidR="006C7576" w:rsidRPr="004D42C5">
        <w:rPr>
          <w:rFonts w:ascii="Times New Roman" w:hAnsi="Times New Roman" w:cs="Times New Roman"/>
          <w:szCs w:val="24"/>
        </w:rPr>
        <w:t>okres</w:t>
      </w:r>
      <w:r w:rsidR="00D01DA4" w:rsidRPr="004D42C5">
        <w:rPr>
          <w:rFonts w:ascii="Times New Roman" w:hAnsi="Times New Roman" w:cs="Times New Roman"/>
          <w:szCs w:val="24"/>
        </w:rPr>
        <w:t xml:space="preserve"> </w:t>
      </w:r>
      <w:r w:rsidRPr="004D42C5">
        <w:rPr>
          <w:rFonts w:ascii="Times New Roman" w:hAnsi="Times New Roman" w:cs="Times New Roman"/>
          <w:szCs w:val="24"/>
        </w:rPr>
        <w:t>należy liczyć.</w:t>
      </w:r>
      <w:r w:rsidR="00125127" w:rsidRPr="004D42C5">
        <w:rPr>
          <w:rFonts w:ascii="Times New Roman" w:hAnsi="Times New Roman" w:cs="Times New Roman"/>
          <w:szCs w:val="24"/>
        </w:rPr>
        <w:t xml:space="preserve"> Dodatkowo, po</w:t>
      </w:r>
      <w:r w:rsidR="006C7576" w:rsidRPr="004D42C5">
        <w:rPr>
          <w:rFonts w:ascii="Times New Roman" w:hAnsi="Times New Roman" w:cs="Times New Roman"/>
          <w:szCs w:val="24"/>
        </w:rPr>
        <w:t xml:space="preserve">mimo obowiązku dokonywania wyceny ze szczególną starannością właściwą dla zawodu rzeczoznawcy majątkowego, w praktyce </w:t>
      </w:r>
      <w:r w:rsidR="00125127" w:rsidRPr="004D42C5">
        <w:rPr>
          <w:rFonts w:ascii="Times New Roman" w:hAnsi="Times New Roman" w:cs="Times New Roman"/>
          <w:szCs w:val="24"/>
        </w:rPr>
        <w:t xml:space="preserve">zdarzają się sytuacje, w których potwierdzenie aktualności operatu szacunkowego następuje bez stosownej analizy prawno-ekonomicznej przedmiotu wyceny i lokalnego rynku nieruchomości. </w:t>
      </w:r>
      <w:r w:rsidRPr="004D42C5">
        <w:rPr>
          <w:rFonts w:ascii="Times New Roman" w:hAnsi="Times New Roman" w:cs="Times New Roman"/>
          <w:szCs w:val="24"/>
        </w:rPr>
        <w:t>Proponuje się</w:t>
      </w:r>
      <w:r w:rsidR="00125127" w:rsidRPr="004D42C5">
        <w:rPr>
          <w:rFonts w:ascii="Times New Roman" w:hAnsi="Times New Roman" w:cs="Times New Roman"/>
          <w:szCs w:val="24"/>
        </w:rPr>
        <w:t xml:space="preserve"> zatem</w:t>
      </w:r>
      <w:r w:rsidRPr="004D42C5">
        <w:rPr>
          <w:rFonts w:ascii="Times New Roman" w:hAnsi="Times New Roman" w:cs="Times New Roman"/>
          <w:szCs w:val="24"/>
        </w:rPr>
        <w:t>, aby potwierdzenie aktualności obejmowało kolejne dwanaście miesięcy</w:t>
      </w:r>
      <w:r w:rsidR="00CB665A">
        <w:rPr>
          <w:rFonts w:ascii="Times New Roman" w:hAnsi="Times New Roman" w:cs="Times New Roman"/>
          <w:szCs w:val="24"/>
        </w:rPr>
        <w:t>,</w:t>
      </w:r>
      <w:r w:rsidRPr="004D42C5">
        <w:rPr>
          <w:rFonts w:ascii="Times New Roman" w:hAnsi="Times New Roman" w:cs="Times New Roman"/>
          <w:szCs w:val="24"/>
        </w:rPr>
        <w:t xml:space="preserve"> licząc od zakończenia okresu, w którym operat szacunkowy mógł być wykorzystany, a potwierdzenie aktualności operatu szacunkowego powinno zostać udokumentowane stosowną analizą, załączoną do operatu szacunkowego.</w:t>
      </w:r>
    </w:p>
    <w:p w:rsidR="005228DF" w:rsidRPr="004D42C5" w:rsidRDefault="005228DF" w:rsidP="007B2772">
      <w:pPr>
        <w:pStyle w:val="ZARTzmartartykuempunktem"/>
        <w:numPr>
          <w:ilvl w:val="1"/>
          <w:numId w:val="1"/>
        </w:numPr>
        <w:tabs>
          <w:tab w:val="num" w:pos="426"/>
        </w:tabs>
        <w:spacing w:before="120"/>
        <w:ind w:left="426" w:hanging="426"/>
        <w:rPr>
          <w:rFonts w:ascii="Times New Roman" w:hAnsi="Times New Roman" w:cs="Times New Roman"/>
          <w:szCs w:val="24"/>
        </w:rPr>
      </w:pPr>
      <w:r w:rsidRPr="004D42C5">
        <w:rPr>
          <w:rFonts w:ascii="Times New Roman" w:hAnsi="Times New Roman" w:cs="Times New Roman"/>
          <w:b/>
          <w:szCs w:val="24"/>
        </w:rPr>
        <w:t xml:space="preserve">art. 157 ust. 1a </w:t>
      </w:r>
      <w:r w:rsidR="007B2772" w:rsidRPr="004D42C5">
        <w:rPr>
          <w:rFonts w:ascii="Times New Roman" w:hAnsi="Times New Roman" w:cs="Times New Roman"/>
          <w:szCs w:val="24"/>
        </w:rPr>
        <w:t>–</w:t>
      </w:r>
      <w:r w:rsidRPr="004D42C5">
        <w:rPr>
          <w:rFonts w:ascii="Times New Roman" w:hAnsi="Times New Roman" w:cs="Times New Roman"/>
          <w:szCs w:val="24"/>
        </w:rPr>
        <w:t xml:space="preserve"> </w:t>
      </w:r>
      <w:r w:rsidRPr="004D42C5">
        <w:rPr>
          <w:rFonts w:ascii="Times New Roman" w:eastAsia="Calibri" w:hAnsi="Times New Roman" w:cs="Times New Roman"/>
          <w:spacing w:val="4"/>
          <w:szCs w:val="24"/>
          <w:lang w:eastAsia="en-US"/>
        </w:rPr>
        <w:t xml:space="preserve">zaproponowano </w:t>
      </w:r>
      <w:r w:rsidRPr="004D42C5">
        <w:rPr>
          <w:rFonts w:ascii="Times New Roman" w:hAnsi="Times New Roman" w:cs="Times New Roman"/>
          <w:szCs w:val="24"/>
        </w:rPr>
        <w:t>rezygnację z ustawowego definiowania skutku negatywnej oceny prawidłowości sporządzenia operatu szacunkowego</w:t>
      </w:r>
      <w:r w:rsidR="00E42643" w:rsidRPr="004D42C5">
        <w:rPr>
          <w:rFonts w:ascii="Times New Roman" w:hAnsi="Times New Roman" w:cs="Times New Roman"/>
          <w:szCs w:val="24"/>
        </w:rPr>
        <w:t>,</w:t>
      </w:r>
      <w:r w:rsidR="00971AB8" w:rsidRPr="004D42C5">
        <w:rPr>
          <w:rFonts w:ascii="Times New Roman" w:hAnsi="Times New Roman" w:cs="Times New Roman"/>
          <w:b/>
          <w:szCs w:val="24"/>
        </w:rPr>
        <w:t xml:space="preserve"> </w:t>
      </w:r>
      <w:r w:rsidR="00971AB8" w:rsidRPr="004D42C5">
        <w:rPr>
          <w:rFonts w:ascii="Times New Roman" w:hAnsi="Times New Roman" w:cs="Times New Roman"/>
          <w:szCs w:val="24"/>
        </w:rPr>
        <w:t xml:space="preserve">jakim jest utrata przez operat </w:t>
      </w:r>
      <w:r w:rsidR="000F71C5" w:rsidRPr="004D42C5">
        <w:rPr>
          <w:rFonts w:ascii="Times New Roman" w:hAnsi="Times New Roman" w:cs="Times New Roman"/>
          <w:szCs w:val="24"/>
        </w:rPr>
        <w:t>charakteru</w:t>
      </w:r>
      <w:r w:rsidR="00971AB8" w:rsidRPr="004D42C5">
        <w:rPr>
          <w:rFonts w:ascii="Times New Roman" w:hAnsi="Times New Roman" w:cs="Times New Roman"/>
          <w:szCs w:val="24"/>
        </w:rPr>
        <w:t xml:space="preserve"> opinii o wartości</w:t>
      </w:r>
      <w:r w:rsidR="008F1A74" w:rsidRPr="004D42C5">
        <w:rPr>
          <w:rFonts w:ascii="Times New Roman" w:hAnsi="Times New Roman" w:cs="Times New Roman"/>
          <w:szCs w:val="24"/>
        </w:rPr>
        <w:t xml:space="preserve"> nieruchomości</w:t>
      </w:r>
      <w:r w:rsidRPr="004D42C5">
        <w:rPr>
          <w:rFonts w:ascii="Times New Roman" w:hAnsi="Times New Roman" w:cs="Times New Roman"/>
          <w:szCs w:val="24"/>
        </w:rPr>
        <w:t xml:space="preserve">. Dotychczasowa praktyka stosowania przepisu wskazuje, iż w stosunku do tego samego operatu </w:t>
      </w:r>
      <w:r w:rsidRPr="004D42C5">
        <w:rPr>
          <w:rFonts w:ascii="Times New Roman" w:hAnsi="Times New Roman" w:cs="Times New Roman"/>
          <w:szCs w:val="24"/>
        </w:rPr>
        <w:lastRenderedPageBreak/>
        <w:t>szacunkowego wydawane były przez różne organizacje zawodowe rzeczoznawców majątkowych zdecydowanie odmienne oceny prawidłowości jego sporządzenia. Zasadnym wydaje się zatem</w:t>
      </w:r>
      <w:r w:rsidR="00971AB8" w:rsidRPr="004D42C5">
        <w:rPr>
          <w:rFonts w:ascii="Times New Roman" w:hAnsi="Times New Roman" w:cs="Times New Roman"/>
          <w:szCs w:val="24"/>
        </w:rPr>
        <w:t>, aby zgodnie z zasadą swobody oceny dowodów</w:t>
      </w:r>
      <w:r w:rsidRPr="004D42C5">
        <w:rPr>
          <w:rFonts w:ascii="Times New Roman" w:hAnsi="Times New Roman" w:cs="Times New Roman"/>
          <w:szCs w:val="24"/>
        </w:rPr>
        <w:t xml:space="preserve"> ostateczną decyzję o możliwości wykorzystania operatu szacunkowego w danej sprawie podejmował organ prowadzący postępowanie. </w:t>
      </w:r>
    </w:p>
    <w:p w:rsidR="000F0EB7" w:rsidRPr="004D42C5" w:rsidRDefault="007C172A" w:rsidP="007B2772">
      <w:pPr>
        <w:pStyle w:val="ZARTzmartartykuempunktem"/>
        <w:numPr>
          <w:ilvl w:val="1"/>
          <w:numId w:val="1"/>
        </w:numPr>
        <w:tabs>
          <w:tab w:val="num" w:pos="426"/>
        </w:tabs>
        <w:spacing w:before="120"/>
        <w:ind w:left="426" w:hanging="426"/>
        <w:rPr>
          <w:rFonts w:ascii="Times New Roman" w:hAnsi="Times New Roman" w:cs="Times New Roman"/>
          <w:b/>
          <w:strike/>
          <w:szCs w:val="24"/>
        </w:rPr>
      </w:pPr>
      <w:r w:rsidRPr="004D42C5">
        <w:rPr>
          <w:rFonts w:ascii="Times New Roman" w:hAnsi="Times New Roman" w:cs="Times New Roman"/>
          <w:b/>
          <w:szCs w:val="24"/>
        </w:rPr>
        <w:t>art. 158</w:t>
      </w:r>
      <w:r w:rsidR="00AB36EF" w:rsidRPr="004D42C5">
        <w:rPr>
          <w:rFonts w:ascii="Times New Roman" w:hAnsi="Times New Roman" w:cs="Times New Roman"/>
          <w:b/>
          <w:szCs w:val="24"/>
        </w:rPr>
        <w:t>, art. 173a ust. 1</w:t>
      </w:r>
      <w:r w:rsidR="00A159BB" w:rsidRPr="004D42C5">
        <w:rPr>
          <w:rFonts w:ascii="Times New Roman" w:hAnsi="Times New Roman" w:cs="Times New Roman"/>
          <w:b/>
          <w:szCs w:val="24"/>
        </w:rPr>
        <w:t>, art. 173c</w:t>
      </w:r>
      <w:r w:rsidR="00DB27B6" w:rsidRPr="004D42C5">
        <w:rPr>
          <w:rFonts w:ascii="Times New Roman" w:hAnsi="Times New Roman" w:cs="Times New Roman"/>
          <w:b/>
          <w:szCs w:val="24"/>
        </w:rPr>
        <w:t xml:space="preserve"> i art. 178 ust. 1</w:t>
      </w:r>
      <w:r w:rsidR="000D76BC" w:rsidRPr="004D42C5">
        <w:rPr>
          <w:rFonts w:ascii="Times New Roman" w:hAnsi="Times New Roman" w:cs="Times New Roman"/>
          <w:b/>
          <w:szCs w:val="24"/>
        </w:rPr>
        <w:t xml:space="preserve"> </w:t>
      </w:r>
      <w:r w:rsidR="004F2415" w:rsidRPr="004D42C5">
        <w:rPr>
          <w:rFonts w:ascii="Times New Roman" w:hAnsi="Times New Roman" w:cs="Times New Roman"/>
          <w:szCs w:val="24"/>
        </w:rPr>
        <w:t>–</w:t>
      </w:r>
      <w:r w:rsidRPr="004D42C5">
        <w:rPr>
          <w:rFonts w:ascii="Times New Roman" w:hAnsi="Times New Roman" w:cs="Times New Roman"/>
          <w:szCs w:val="24"/>
        </w:rPr>
        <w:t xml:space="preserve"> </w:t>
      </w:r>
      <w:r w:rsidR="00DB27B6" w:rsidRPr="004D42C5">
        <w:rPr>
          <w:rFonts w:ascii="Times New Roman" w:hAnsi="Times New Roman" w:cs="Times New Roman"/>
          <w:szCs w:val="24"/>
        </w:rPr>
        <w:t>istotą propozycji jest uchylenie obowiązku sporządzania i przekazywania właściwym organom prowadzącym kataster nieruchomości wyciągów z operatów szacunkowych przez rzeczoznawców majątkowych.</w:t>
      </w:r>
      <w:r w:rsidR="004F2415" w:rsidRPr="004D42C5">
        <w:rPr>
          <w:rFonts w:ascii="Times New Roman" w:hAnsi="Times New Roman" w:cs="Times New Roman"/>
          <w:szCs w:val="24"/>
        </w:rPr>
        <w:t xml:space="preserve"> </w:t>
      </w:r>
      <w:r w:rsidR="007C7499" w:rsidRPr="004D42C5">
        <w:rPr>
          <w:rFonts w:ascii="Times New Roman" w:hAnsi="Times New Roman" w:cs="Times New Roman"/>
          <w:szCs w:val="24"/>
        </w:rPr>
        <w:t>Zaproponowana zmiana</w:t>
      </w:r>
      <w:r w:rsidR="004E2058" w:rsidRPr="004D42C5">
        <w:rPr>
          <w:rFonts w:ascii="Times New Roman" w:hAnsi="Times New Roman" w:cs="Times New Roman"/>
          <w:szCs w:val="24"/>
        </w:rPr>
        <w:t xml:space="preserve"> </w:t>
      </w:r>
      <w:r w:rsidR="00B149ED" w:rsidRPr="004D42C5">
        <w:rPr>
          <w:rFonts w:ascii="Times New Roman" w:hAnsi="Times New Roman" w:cs="Times New Roman"/>
          <w:szCs w:val="24"/>
        </w:rPr>
        <w:t>realizuje postulat</w:t>
      </w:r>
      <w:r w:rsidR="00DB27B6" w:rsidRPr="004D42C5">
        <w:rPr>
          <w:rFonts w:ascii="Times New Roman" w:hAnsi="Times New Roman" w:cs="Times New Roman"/>
          <w:szCs w:val="24"/>
        </w:rPr>
        <w:t xml:space="preserve"> zgłoszon</w:t>
      </w:r>
      <w:r w:rsidR="00B149ED" w:rsidRPr="004D42C5">
        <w:rPr>
          <w:rFonts w:ascii="Times New Roman" w:hAnsi="Times New Roman" w:cs="Times New Roman"/>
          <w:szCs w:val="24"/>
        </w:rPr>
        <w:t>y</w:t>
      </w:r>
      <w:r w:rsidR="0005218B" w:rsidRPr="004D42C5">
        <w:rPr>
          <w:rFonts w:ascii="Times New Roman" w:hAnsi="Times New Roman" w:cs="Times New Roman"/>
          <w:szCs w:val="24"/>
        </w:rPr>
        <w:t xml:space="preserve"> przez Polskie Towarzystwo Rzeczoznawców Majątkowych</w:t>
      </w:r>
      <w:r w:rsidR="00640D2A" w:rsidRPr="004D42C5">
        <w:rPr>
          <w:rFonts w:ascii="Times New Roman" w:hAnsi="Times New Roman" w:cs="Times New Roman"/>
          <w:szCs w:val="24"/>
        </w:rPr>
        <w:t>, które w petycji z dnia 30 marca 2016 r. skierowanej do Pana Stanisława Karczewskiego – Marszałka Senatu</w:t>
      </w:r>
      <w:r w:rsidR="007F2F88" w:rsidRPr="004D42C5">
        <w:rPr>
          <w:rFonts w:ascii="Times New Roman" w:hAnsi="Times New Roman" w:cs="Times New Roman"/>
          <w:szCs w:val="24"/>
        </w:rPr>
        <w:t>,</w:t>
      </w:r>
      <w:r w:rsidR="00640D2A" w:rsidRPr="004D42C5">
        <w:rPr>
          <w:rFonts w:ascii="Times New Roman" w:hAnsi="Times New Roman" w:cs="Times New Roman"/>
          <w:szCs w:val="24"/>
        </w:rPr>
        <w:t xml:space="preserve"> </w:t>
      </w:r>
      <w:r w:rsidR="00B149ED" w:rsidRPr="004D42C5">
        <w:rPr>
          <w:rFonts w:ascii="Times New Roman" w:hAnsi="Times New Roman" w:cs="Times New Roman"/>
          <w:szCs w:val="24"/>
        </w:rPr>
        <w:t>wnioskowało o</w:t>
      </w:r>
      <w:r w:rsidR="00640D2A" w:rsidRPr="004D42C5">
        <w:rPr>
          <w:rFonts w:ascii="Times New Roman" w:hAnsi="Times New Roman" w:cs="Times New Roman"/>
          <w:szCs w:val="24"/>
        </w:rPr>
        <w:t xml:space="preserve"> </w:t>
      </w:r>
      <w:r w:rsidR="007F2F88" w:rsidRPr="004D42C5">
        <w:rPr>
          <w:rFonts w:ascii="Times New Roman" w:hAnsi="Times New Roman" w:cs="Times New Roman"/>
          <w:szCs w:val="24"/>
        </w:rPr>
        <w:t>uchylenie art. 158</w:t>
      </w:r>
      <w:r w:rsidR="007966DB" w:rsidRPr="004D42C5">
        <w:rPr>
          <w:rFonts w:ascii="Times New Roman" w:hAnsi="Times New Roman" w:cs="Times New Roman"/>
          <w:szCs w:val="24"/>
        </w:rPr>
        <w:t xml:space="preserve">. </w:t>
      </w:r>
      <w:r w:rsidR="002A4F3D" w:rsidRPr="004D42C5">
        <w:rPr>
          <w:rFonts w:ascii="Times New Roman" w:hAnsi="Times New Roman" w:cs="Times New Roman"/>
          <w:szCs w:val="24"/>
        </w:rPr>
        <w:t>Propozycja</w:t>
      </w:r>
      <w:r w:rsidR="000B48B6" w:rsidRPr="004D42C5">
        <w:rPr>
          <w:rFonts w:ascii="Times New Roman" w:hAnsi="Times New Roman" w:cs="Times New Roman"/>
          <w:szCs w:val="24"/>
        </w:rPr>
        <w:t xml:space="preserve"> </w:t>
      </w:r>
      <w:r w:rsidR="00642E94" w:rsidRPr="004D42C5">
        <w:rPr>
          <w:rFonts w:ascii="Times New Roman" w:hAnsi="Times New Roman" w:cs="Times New Roman"/>
          <w:szCs w:val="24"/>
        </w:rPr>
        <w:t>PTRM</w:t>
      </w:r>
      <w:r w:rsidR="00681486" w:rsidRPr="004D42C5">
        <w:rPr>
          <w:rFonts w:ascii="Times New Roman" w:hAnsi="Times New Roman" w:cs="Times New Roman"/>
          <w:szCs w:val="24"/>
        </w:rPr>
        <w:t xml:space="preserve"> </w:t>
      </w:r>
      <w:r w:rsidR="000B48B6" w:rsidRPr="004D42C5">
        <w:rPr>
          <w:rFonts w:ascii="Times New Roman" w:hAnsi="Times New Roman" w:cs="Times New Roman"/>
          <w:szCs w:val="24"/>
        </w:rPr>
        <w:t>uzyskał</w:t>
      </w:r>
      <w:r w:rsidR="002A4F3D" w:rsidRPr="004D42C5">
        <w:rPr>
          <w:rFonts w:ascii="Times New Roman" w:hAnsi="Times New Roman" w:cs="Times New Roman"/>
          <w:szCs w:val="24"/>
        </w:rPr>
        <w:t>a</w:t>
      </w:r>
      <w:r w:rsidR="00E760DB" w:rsidRPr="004D42C5">
        <w:rPr>
          <w:rFonts w:ascii="Times New Roman" w:hAnsi="Times New Roman" w:cs="Times New Roman"/>
          <w:szCs w:val="24"/>
        </w:rPr>
        <w:t xml:space="preserve"> aprobatę członków senackiej Komisji Praw Człowieka, Praworządności i Petycji podczas posiedzeń </w:t>
      </w:r>
      <w:r w:rsidR="004E662F" w:rsidRPr="004D42C5">
        <w:rPr>
          <w:rFonts w:ascii="Times New Roman" w:hAnsi="Times New Roman" w:cs="Times New Roman"/>
          <w:szCs w:val="24"/>
        </w:rPr>
        <w:t xml:space="preserve">w dniach 14 czerwca i 2 sierpnia 2016 r. </w:t>
      </w:r>
      <w:r w:rsidR="007C7499" w:rsidRPr="004D42C5">
        <w:rPr>
          <w:rFonts w:ascii="Times New Roman" w:hAnsi="Times New Roman" w:cs="Times New Roman"/>
          <w:szCs w:val="24"/>
        </w:rPr>
        <w:t xml:space="preserve">Inicjatywa </w:t>
      </w:r>
      <w:r w:rsidR="000B48B6" w:rsidRPr="004D42C5">
        <w:rPr>
          <w:rFonts w:ascii="Times New Roman" w:hAnsi="Times New Roman" w:cs="Times New Roman"/>
          <w:szCs w:val="24"/>
        </w:rPr>
        <w:t>Rząd</w:t>
      </w:r>
      <w:r w:rsidR="007C7499" w:rsidRPr="004D42C5">
        <w:rPr>
          <w:rFonts w:ascii="Times New Roman" w:hAnsi="Times New Roman" w:cs="Times New Roman"/>
          <w:szCs w:val="24"/>
        </w:rPr>
        <w:t>u ma na celu realizację</w:t>
      </w:r>
      <w:r w:rsidR="000B48B6" w:rsidRPr="004D42C5">
        <w:rPr>
          <w:rFonts w:ascii="Times New Roman" w:hAnsi="Times New Roman" w:cs="Times New Roman"/>
          <w:szCs w:val="24"/>
        </w:rPr>
        <w:t xml:space="preserve"> </w:t>
      </w:r>
      <w:r w:rsidR="008F1A74" w:rsidRPr="004D42C5">
        <w:rPr>
          <w:rFonts w:ascii="Times New Roman" w:hAnsi="Times New Roman" w:cs="Times New Roman"/>
          <w:szCs w:val="24"/>
        </w:rPr>
        <w:t>ustaleń</w:t>
      </w:r>
      <w:r w:rsidR="00DB27B6" w:rsidRPr="004D42C5">
        <w:rPr>
          <w:rFonts w:ascii="Times New Roman" w:hAnsi="Times New Roman" w:cs="Times New Roman"/>
          <w:szCs w:val="24"/>
        </w:rPr>
        <w:t xml:space="preserve"> </w:t>
      </w:r>
      <w:r w:rsidR="008F1A74" w:rsidRPr="004D42C5">
        <w:rPr>
          <w:rFonts w:ascii="Times New Roman" w:hAnsi="Times New Roman" w:cs="Times New Roman"/>
          <w:szCs w:val="24"/>
        </w:rPr>
        <w:t xml:space="preserve">zapadłych na </w:t>
      </w:r>
      <w:r w:rsidR="00EA0996" w:rsidRPr="004D42C5">
        <w:rPr>
          <w:rFonts w:ascii="Times New Roman" w:hAnsi="Times New Roman" w:cs="Times New Roman"/>
          <w:szCs w:val="24"/>
        </w:rPr>
        <w:t>posiedze</w:t>
      </w:r>
      <w:r w:rsidR="008F1A74" w:rsidRPr="004D42C5">
        <w:rPr>
          <w:rFonts w:ascii="Times New Roman" w:hAnsi="Times New Roman" w:cs="Times New Roman"/>
          <w:szCs w:val="24"/>
        </w:rPr>
        <w:t>niach</w:t>
      </w:r>
      <w:r w:rsidR="00703C48" w:rsidRPr="004D42C5">
        <w:rPr>
          <w:rFonts w:ascii="Times New Roman" w:hAnsi="Times New Roman" w:cs="Times New Roman"/>
          <w:szCs w:val="24"/>
        </w:rPr>
        <w:t xml:space="preserve"> Komisji</w:t>
      </w:r>
      <w:r w:rsidR="00D6717C" w:rsidRPr="004D42C5">
        <w:rPr>
          <w:rFonts w:ascii="Times New Roman" w:hAnsi="Times New Roman" w:cs="Times New Roman"/>
          <w:szCs w:val="24"/>
        </w:rPr>
        <w:t>.</w:t>
      </w:r>
      <w:r w:rsidR="007B2772" w:rsidRPr="004D42C5">
        <w:rPr>
          <w:rFonts w:ascii="Times New Roman" w:hAnsi="Times New Roman" w:cs="Times New Roman"/>
          <w:strike/>
          <w:szCs w:val="24"/>
        </w:rPr>
        <w:t xml:space="preserve"> </w:t>
      </w:r>
    </w:p>
    <w:p w:rsidR="000F0EB7" w:rsidRPr="004D42C5" w:rsidRDefault="000F0EB7" w:rsidP="007B2772">
      <w:pPr>
        <w:pStyle w:val="ZARTzmartartykuempunktem"/>
        <w:spacing w:before="120"/>
        <w:ind w:left="426" w:firstLine="0"/>
        <w:rPr>
          <w:rFonts w:ascii="Times New Roman" w:hAnsi="Times New Roman" w:cs="Times New Roman"/>
          <w:b/>
          <w:szCs w:val="24"/>
        </w:rPr>
      </w:pPr>
      <w:r w:rsidRPr="004D42C5">
        <w:rPr>
          <w:rFonts w:ascii="Times New Roman" w:hAnsi="Times New Roman" w:cs="Times New Roman"/>
          <w:szCs w:val="24"/>
        </w:rPr>
        <w:t xml:space="preserve">W konsekwencji uchylenia art. 158 znosi się odpowiedzialność zawodową rzeczoznawców majątkowych z tytułu nieprzekazywania właściwym starostom wyciągów ze sporządzonych operatów szacunkowych. </w:t>
      </w:r>
      <w:r w:rsidR="00975C63" w:rsidRPr="004D42C5">
        <w:rPr>
          <w:rFonts w:ascii="Times New Roman" w:hAnsi="Times New Roman" w:cs="Times New Roman"/>
          <w:szCs w:val="24"/>
        </w:rPr>
        <w:t xml:space="preserve">Jednocześnie </w:t>
      </w:r>
      <w:r w:rsidRPr="004D42C5">
        <w:rPr>
          <w:rFonts w:ascii="Times New Roman" w:hAnsi="Times New Roman" w:cs="Times New Roman"/>
          <w:szCs w:val="24"/>
        </w:rPr>
        <w:t>znosi się obowiązek prowadzenia przez ministra właściwego do spraw budownictwa, planowania i zagospodarowania przestrzennego oraz mieszkalnictwa badań w</w:t>
      </w:r>
      <w:r w:rsidR="00B12895" w:rsidRPr="004D42C5">
        <w:rPr>
          <w:rFonts w:ascii="Times New Roman" w:hAnsi="Times New Roman" w:cs="Times New Roman"/>
          <w:szCs w:val="24"/>
        </w:rPr>
        <w:t> </w:t>
      </w:r>
      <w:r w:rsidR="003920E0" w:rsidRPr="004D42C5">
        <w:rPr>
          <w:rFonts w:ascii="Times New Roman" w:hAnsi="Times New Roman" w:cs="Times New Roman"/>
          <w:szCs w:val="24"/>
        </w:rPr>
        <w:t>zakresie wartości nieruchomości.</w:t>
      </w:r>
      <w:r w:rsidRPr="004D42C5">
        <w:rPr>
          <w:rFonts w:ascii="Times New Roman" w:hAnsi="Times New Roman" w:cs="Times New Roman"/>
          <w:szCs w:val="24"/>
        </w:rPr>
        <w:t xml:space="preserve"> </w:t>
      </w:r>
      <w:r w:rsidR="00975C63" w:rsidRPr="004D42C5">
        <w:rPr>
          <w:rFonts w:ascii="Times New Roman" w:hAnsi="Times New Roman" w:cs="Times New Roman"/>
          <w:szCs w:val="24"/>
        </w:rPr>
        <w:t>U</w:t>
      </w:r>
      <w:r w:rsidR="003920E0" w:rsidRPr="004D42C5">
        <w:rPr>
          <w:rFonts w:ascii="Times New Roman" w:hAnsi="Times New Roman" w:cs="Times New Roman"/>
          <w:szCs w:val="24"/>
        </w:rPr>
        <w:t>chyla się</w:t>
      </w:r>
      <w:r w:rsidR="00975C63" w:rsidRPr="004D42C5">
        <w:rPr>
          <w:rFonts w:ascii="Times New Roman" w:hAnsi="Times New Roman" w:cs="Times New Roman"/>
          <w:szCs w:val="24"/>
        </w:rPr>
        <w:t xml:space="preserve"> także </w:t>
      </w:r>
      <w:r w:rsidR="003920E0" w:rsidRPr="004D42C5">
        <w:rPr>
          <w:rFonts w:ascii="Times New Roman" w:hAnsi="Times New Roman" w:cs="Times New Roman"/>
          <w:szCs w:val="24"/>
        </w:rPr>
        <w:t xml:space="preserve">obowiązek </w:t>
      </w:r>
      <w:r w:rsidR="00975C63" w:rsidRPr="004D42C5">
        <w:rPr>
          <w:rFonts w:ascii="Times New Roman" w:hAnsi="Times New Roman" w:cs="Times New Roman"/>
          <w:szCs w:val="24"/>
        </w:rPr>
        <w:t>nieodpłatnego udostępniania do wglądu ww. ministrowi informacji o wartościach nieruchomości przez organy administracji publicznej dysponujące tymi informacjami.</w:t>
      </w:r>
      <w:r w:rsidR="007B2772" w:rsidRPr="004D42C5">
        <w:rPr>
          <w:rFonts w:ascii="Times New Roman" w:hAnsi="Times New Roman" w:cs="Times New Roman"/>
          <w:szCs w:val="24"/>
        </w:rPr>
        <w:t xml:space="preserve"> </w:t>
      </w:r>
    </w:p>
    <w:p w:rsidR="00D80CA8" w:rsidRPr="004D42C5" w:rsidRDefault="00BE7940" w:rsidP="007B2772">
      <w:pPr>
        <w:pStyle w:val="ZARTzmartartykuempunktem"/>
        <w:numPr>
          <w:ilvl w:val="1"/>
          <w:numId w:val="1"/>
        </w:numPr>
        <w:tabs>
          <w:tab w:val="num" w:pos="426"/>
        </w:tabs>
        <w:spacing w:before="120"/>
        <w:ind w:left="426" w:hanging="426"/>
        <w:rPr>
          <w:rFonts w:ascii="Times New Roman" w:hAnsi="Times New Roman" w:cs="Times New Roman"/>
          <w:szCs w:val="24"/>
        </w:rPr>
      </w:pPr>
      <w:r w:rsidRPr="004D42C5">
        <w:rPr>
          <w:rFonts w:ascii="Times New Roman" w:eastAsia="Calibri" w:hAnsi="Times New Roman" w:cs="Times New Roman"/>
          <w:b/>
          <w:spacing w:val="4"/>
          <w:szCs w:val="24"/>
          <w:lang w:eastAsia="en-US"/>
        </w:rPr>
        <w:t>art. 173a ust. 2</w:t>
      </w:r>
      <w:r w:rsidRPr="004D42C5">
        <w:rPr>
          <w:rFonts w:ascii="Times New Roman" w:eastAsia="Calibri" w:hAnsi="Times New Roman" w:cs="Times New Roman"/>
          <w:spacing w:val="4"/>
          <w:szCs w:val="24"/>
          <w:lang w:eastAsia="en-US"/>
        </w:rPr>
        <w:t xml:space="preserve"> –</w:t>
      </w:r>
      <w:r w:rsidR="002673F5" w:rsidRPr="004D42C5">
        <w:rPr>
          <w:rFonts w:ascii="Times New Roman" w:eastAsia="Calibri" w:hAnsi="Times New Roman" w:cs="Times New Roman"/>
          <w:spacing w:val="4"/>
          <w:szCs w:val="24"/>
          <w:lang w:eastAsia="en-US"/>
        </w:rPr>
        <w:t xml:space="preserve"> </w:t>
      </w:r>
      <w:r w:rsidRPr="004D42C5">
        <w:rPr>
          <w:rFonts w:ascii="Times New Roman" w:hAnsi="Times New Roman" w:cs="Times New Roman"/>
          <w:szCs w:val="24"/>
        </w:rPr>
        <w:t>zasadne jest</w:t>
      </w:r>
      <w:r w:rsidR="000F0EB7" w:rsidRPr="004D42C5">
        <w:rPr>
          <w:rFonts w:ascii="Times New Roman" w:hAnsi="Times New Roman" w:cs="Times New Roman"/>
          <w:szCs w:val="24"/>
        </w:rPr>
        <w:t>,</w:t>
      </w:r>
      <w:r w:rsidRPr="004D42C5">
        <w:rPr>
          <w:rFonts w:ascii="Times New Roman" w:hAnsi="Times New Roman" w:cs="Times New Roman"/>
          <w:szCs w:val="24"/>
        </w:rPr>
        <w:t xml:space="preserve"> aby analizy i zestawienia dotyczące rynku nieruchomości, sporządzane przez ministra właściwego do spraw budownictwa, planowania i zagospodarowania przestrz</w:t>
      </w:r>
      <w:r w:rsidR="00E42643" w:rsidRPr="004D42C5">
        <w:rPr>
          <w:rFonts w:ascii="Times New Roman" w:hAnsi="Times New Roman" w:cs="Times New Roman"/>
          <w:szCs w:val="24"/>
        </w:rPr>
        <w:t>ennego oraz mieszkalnictwa</w:t>
      </w:r>
      <w:r w:rsidRPr="004D42C5">
        <w:rPr>
          <w:rFonts w:ascii="Times New Roman" w:hAnsi="Times New Roman" w:cs="Times New Roman"/>
          <w:szCs w:val="24"/>
        </w:rPr>
        <w:t xml:space="preserve"> były bezpłatne i dostępne dla każdego. </w:t>
      </w:r>
      <w:r w:rsidR="00530D7D" w:rsidRPr="004D42C5">
        <w:rPr>
          <w:rFonts w:ascii="Times New Roman" w:hAnsi="Times New Roman" w:cs="Times New Roman"/>
          <w:szCs w:val="24"/>
        </w:rPr>
        <w:t>Koszty związane z opracowywaniem analiz i</w:t>
      </w:r>
      <w:r w:rsidR="00B12895" w:rsidRPr="004D42C5">
        <w:rPr>
          <w:rFonts w:ascii="Times New Roman" w:hAnsi="Times New Roman" w:cs="Times New Roman"/>
          <w:szCs w:val="24"/>
        </w:rPr>
        <w:t> </w:t>
      </w:r>
      <w:r w:rsidR="00530D7D" w:rsidRPr="004D42C5">
        <w:rPr>
          <w:rFonts w:ascii="Times New Roman" w:hAnsi="Times New Roman" w:cs="Times New Roman"/>
          <w:szCs w:val="24"/>
        </w:rPr>
        <w:t xml:space="preserve">zestawień dotyczących rynku nieruchomości są bowiem ponoszone niezależnie od tego, czy </w:t>
      </w:r>
      <w:r w:rsidR="007C172A" w:rsidRPr="004D42C5">
        <w:rPr>
          <w:rFonts w:ascii="Times New Roman" w:hAnsi="Times New Roman" w:cs="Times New Roman"/>
          <w:szCs w:val="24"/>
        </w:rPr>
        <w:t xml:space="preserve">zainteresowany </w:t>
      </w:r>
      <w:r w:rsidR="00530D7D" w:rsidRPr="004D42C5">
        <w:rPr>
          <w:rFonts w:ascii="Times New Roman" w:hAnsi="Times New Roman" w:cs="Times New Roman"/>
          <w:szCs w:val="24"/>
        </w:rPr>
        <w:t xml:space="preserve">podmiot wystąpi o ich udostępnienie, czy też nie. Resort </w:t>
      </w:r>
      <w:r w:rsidR="007C172A" w:rsidRPr="004D42C5">
        <w:rPr>
          <w:rFonts w:ascii="Times New Roman" w:hAnsi="Times New Roman" w:cs="Times New Roman"/>
          <w:szCs w:val="24"/>
        </w:rPr>
        <w:t xml:space="preserve">realizuje </w:t>
      </w:r>
      <w:r w:rsidR="00530D7D" w:rsidRPr="004D42C5">
        <w:rPr>
          <w:rFonts w:ascii="Times New Roman" w:hAnsi="Times New Roman" w:cs="Times New Roman"/>
          <w:szCs w:val="24"/>
        </w:rPr>
        <w:t xml:space="preserve">ustawowy obowiązek opracowywania tych analiz, a </w:t>
      </w:r>
      <w:r w:rsidR="007C172A" w:rsidRPr="004D42C5">
        <w:rPr>
          <w:rFonts w:ascii="Times New Roman" w:hAnsi="Times New Roman" w:cs="Times New Roman"/>
          <w:szCs w:val="24"/>
        </w:rPr>
        <w:t>k</w:t>
      </w:r>
      <w:r w:rsidR="00530D7D" w:rsidRPr="004D42C5">
        <w:rPr>
          <w:rFonts w:ascii="Times New Roman" w:hAnsi="Times New Roman" w:cs="Times New Roman"/>
          <w:szCs w:val="24"/>
        </w:rPr>
        <w:t>oszty tego działania są stałym kosztem ponoszonym przez bud</w:t>
      </w:r>
      <w:r w:rsidR="007C172A" w:rsidRPr="004D42C5">
        <w:rPr>
          <w:rFonts w:ascii="Times New Roman" w:hAnsi="Times New Roman" w:cs="Times New Roman"/>
          <w:szCs w:val="24"/>
        </w:rPr>
        <w:t>żet państwa. Przewidziane w</w:t>
      </w:r>
      <w:r w:rsidR="00B12895" w:rsidRPr="004D42C5">
        <w:rPr>
          <w:rFonts w:ascii="Times New Roman" w:hAnsi="Times New Roman" w:cs="Times New Roman"/>
          <w:szCs w:val="24"/>
        </w:rPr>
        <w:t> </w:t>
      </w:r>
      <w:r w:rsidR="007C172A" w:rsidRPr="004D42C5">
        <w:rPr>
          <w:rFonts w:ascii="Times New Roman" w:hAnsi="Times New Roman" w:cs="Times New Roman"/>
          <w:szCs w:val="24"/>
        </w:rPr>
        <w:t>obowiązujących</w:t>
      </w:r>
      <w:r w:rsidR="00530D7D" w:rsidRPr="004D42C5">
        <w:rPr>
          <w:rFonts w:ascii="Times New Roman" w:hAnsi="Times New Roman" w:cs="Times New Roman"/>
          <w:szCs w:val="24"/>
        </w:rPr>
        <w:t xml:space="preserve"> regulacjach wpływy z tytułu udostępniania tych dokumentów </w:t>
      </w:r>
      <w:r w:rsidR="00530D7D" w:rsidRPr="004D42C5">
        <w:rPr>
          <w:rFonts w:ascii="Times New Roman" w:hAnsi="Times New Roman" w:cs="Times New Roman"/>
          <w:szCs w:val="24"/>
        </w:rPr>
        <w:lastRenderedPageBreak/>
        <w:t xml:space="preserve">nie przekładają się w żaden sposób na funkcjonowanie przyjętego w ugn mechanizmu sporządzania co roku takich opracowań. Z uwagi na powyższe </w:t>
      </w:r>
      <w:r w:rsidRPr="004D42C5">
        <w:rPr>
          <w:rFonts w:ascii="Times New Roman" w:hAnsi="Times New Roman" w:cs="Times New Roman"/>
          <w:szCs w:val="24"/>
        </w:rPr>
        <w:t>proponuje się rezygnację z pobierania opłat za udostępnianie ww. opracowań</w:t>
      </w:r>
      <w:r w:rsidR="00D6717C" w:rsidRPr="004D42C5">
        <w:rPr>
          <w:rFonts w:ascii="Times New Roman" w:hAnsi="Times New Roman" w:cs="Times New Roman"/>
          <w:szCs w:val="24"/>
        </w:rPr>
        <w:t xml:space="preserve"> </w:t>
      </w:r>
      <w:r w:rsidRPr="004D42C5">
        <w:rPr>
          <w:rFonts w:ascii="Times New Roman" w:hAnsi="Times New Roman" w:cs="Times New Roman"/>
          <w:szCs w:val="24"/>
        </w:rPr>
        <w:t>oraz</w:t>
      </w:r>
      <w:r w:rsidR="007B2772" w:rsidRPr="004D42C5">
        <w:rPr>
          <w:rFonts w:ascii="Times New Roman" w:hAnsi="Times New Roman" w:cs="Times New Roman"/>
          <w:strike/>
          <w:szCs w:val="24"/>
        </w:rPr>
        <w:t xml:space="preserve"> </w:t>
      </w:r>
      <w:r w:rsidR="007C172A" w:rsidRPr="004D42C5">
        <w:rPr>
          <w:rFonts w:ascii="Times New Roman" w:hAnsi="Times New Roman" w:cs="Times New Roman"/>
          <w:szCs w:val="24"/>
        </w:rPr>
        <w:t>publikację</w:t>
      </w:r>
      <w:r w:rsidRPr="004D42C5">
        <w:rPr>
          <w:rFonts w:ascii="Times New Roman" w:hAnsi="Times New Roman" w:cs="Times New Roman"/>
          <w:szCs w:val="24"/>
        </w:rPr>
        <w:t xml:space="preserve"> </w:t>
      </w:r>
      <w:r w:rsidR="007C172A" w:rsidRPr="004D42C5">
        <w:rPr>
          <w:rFonts w:ascii="Times New Roman" w:hAnsi="Times New Roman" w:cs="Times New Roman"/>
          <w:szCs w:val="24"/>
        </w:rPr>
        <w:t xml:space="preserve">tych analiz </w:t>
      </w:r>
      <w:r w:rsidRPr="004D42C5">
        <w:rPr>
          <w:rFonts w:ascii="Times New Roman" w:hAnsi="Times New Roman" w:cs="Times New Roman"/>
          <w:szCs w:val="24"/>
        </w:rPr>
        <w:t>na stronach internetowych urzędu obsługującego ministra.</w:t>
      </w:r>
      <w:r w:rsidR="00B90445" w:rsidRPr="004D42C5">
        <w:rPr>
          <w:rFonts w:ascii="Times New Roman" w:hAnsi="Times New Roman" w:cs="Times New Roman"/>
          <w:szCs w:val="24"/>
        </w:rPr>
        <w:t xml:space="preserve"> </w:t>
      </w:r>
      <w:r w:rsidR="000F0EB7" w:rsidRPr="004D42C5">
        <w:rPr>
          <w:rFonts w:ascii="Times New Roman" w:hAnsi="Times New Roman" w:cs="Times New Roman"/>
          <w:szCs w:val="24"/>
        </w:rPr>
        <w:t>Do tej pory</w:t>
      </w:r>
      <w:r w:rsidRPr="004D42C5">
        <w:rPr>
          <w:rFonts w:ascii="Times New Roman" w:hAnsi="Times New Roman" w:cs="Times New Roman"/>
          <w:szCs w:val="24"/>
        </w:rPr>
        <w:t xml:space="preserve"> analizy i zestawienia były udostępniane nieodpłatnie jedynie organom administracji publicznej oraz podmiotom, które udostępniły informacje o rynku nieruchomości przydatne do opracowania tych analiz i zestawień albo poniosły koszty pozyskania tych informacji. W pozostałych przypadkach udostępnianie analiz i zestawień, zgodnie z dotychczasowym brzmieniem przepisu, miało następować odpłatnie. </w:t>
      </w:r>
    </w:p>
    <w:p w:rsidR="00CF7DFA" w:rsidRPr="004D42C5" w:rsidRDefault="005228DF" w:rsidP="007B2772">
      <w:pPr>
        <w:pStyle w:val="ZARTzmartartykuempunktem"/>
        <w:numPr>
          <w:ilvl w:val="1"/>
          <w:numId w:val="1"/>
        </w:numPr>
        <w:tabs>
          <w:tab w:val="num" w:pos="426"/>
        </w:tabs>
        <w:spacing w:before="120"/>
        <w:ind w:left="426" w:hanging="426"/>
        <w:rPr>
          <w:rFonts w:ascii="Times New Roman" w:hAnsi="Times New Roman" w:cs="Times New Roman"/>
          <w:color w:val="FF0000"/>
          <w:szCs w:val="24"/>
        </w:rPr>
      </w:pPr>
      <w:r w:rsidRPr="004D42C5">
        <w:rPr>
          <w:rFonts w:ascii="Times New Roman" w:hAnsi="Times New Roman" w:cs="Times New Roman"/>
          <w:b/>
          <w:szCs w:val="24"/>
        </w:rPr>
        <w:t xml:space="preserve">art. 175 ust. </w:t>
      </w:r>
      <w:r w:rsidR="00D34353" w:rsidRPr="004D42C5">
        <w:rPr>
          <w:rFonts w:ascii="Times New Roman" w:hAnsi="Times New Roman" w:cs="Times New Roman"/>
          <w:b/>
          <w:szCs w:val="24"/>
        </w:rPr>
        <w:t xml:space="preserve">2, </w:t>
      </w:r>
      <w:r w:rsidRPr="004D42C5">
        <w:rPr>
          <w:rFonts w:ascii="Times New Roman" w:hAnsi="Times New Roman" w:cs="Times New Roman"/>
          <w:b/>
          <w:szCs w:val="24"/>
        </w:rPr>
        <w:t>4a</w:t>
      </w:r>
      <w:r w:rsidR="00C85C0B" w:rsidRPr="004D42C5">
        <w:rPr>
          <w:rFonts w:ascii="Times New Roman" w:hAnsi="Times New Roman" w:cs="Times New Roman"/>
          <w:b/>
          <w:szCs w:val="24"/>
        </w:rPr>
        <w:t>, 4b</w:t>
      </w:r>
      <w:r w:rsidR="00CA1982" w:rsidRPr="004D42C5">
        <w:rPr>
          <w:rFonts w:ascii="Times New Roman" w:hAnsi="Times New Roman" w:cs="Times New Roman"/>
          <w:b/>
          <w:szCs w:val="24"/>
        </w:rPr>
        <w:t>,</w:t>
      </w:r>
      <w:r w:rsidRPr="004D42C5">
        <w:rPr>
          <w:rFonts w:ascii="Times New Roman" w:hAnsi="Times New Roman" w:cs="Times New Roman"/>
          <w:b/>
          <w:szCs w:val="24"/>
        </w:rPr>
        <w:t xml:space="preserve"> art. 178 ust. 1</w:t>
      </w:r>
      <w:r w:rsidR="00FA74EA">
        <w:rPr>
          <w:rFonts w:ascii="Times New Roman" w:hAnsi="Times New Roman" w:cs="Times New Roman"/>
          <w:b/>
          <w:szCs w:val="24"/>
        </w:rPr>
        <w:t xml:space="preserve"> i art. </w:t>
      </w:r>
      <w:r w:rsidR="00A40C91" w:rsidRPr="004D42C5">
        <w:rPr>
          <w:rFonts w:ascii="Times New Roman" w:hAnsi="Times New Roman" w:cs="Times New Roman"/>
          <w:b/>
          <w:szCs w:val="24"/>
        </w:rPr>
        <w:t>198c</w:t>
      </w:r>
      <w:r w:rsidR="00FA74EA">
        <w:rPr>
          <w:rFonts w:ascii="Times New Roman" w:hAnsi="Times New Roman" w:cs="Times New Roman"/>
          <w:b/>
          <w:szCs w:val="24"/>
        </w:rPr>
        <w:t>–</w:t>
      </w:r>
      <w:r w:rsidR="00D61A46" w:rsidRPr="004D42C5">
        <w:rPr>
          <w:rFonts w:ascii="Times New Roman" w:hAnsi="Times New Roman" w:cs="Times New Roman"/>
          <w:b/>
          <w:szCs w:val="24"/>
        </w:rPr>
        <w:t>198e</w:t>
      </w:r>
      <w:r w:rsidR="00A40C91" w:rsidRPr="004D42C5">
        <w:rPr>
          <w:rFonts w:ascii="Times New Roman" w:hAnsi="Times New Roman" w:cs="Times New Roman"/>
          <w:b/>
          <w:szCs w:val="24"/>
        </w:rPr>
        <w:t xml:space="preserve"> </w:t>
      </w:r>
      <w:r w:rsidR="007B2772" w:rsidRPr="004D42C5">
        <w:rPr>
          <w:rFonts w:ascii="Times New Roman" w:hAnsi="Times New Roman" w:cs="Times New Roman"/>
          <w:b/>
          <w:szCs w:val="24"/>
        </w:rPr>
        <w:t>–</w:t>
      </w:r>
      <w:r w:rsidRPr="004D42C5">
        <w:rPr>
          <w:rFonts w:ascii="Times New Roman" w:hAnsi="Times New Roman" w:cs="Times New Roman"/>
          <w:szCs w:val="24"/>
        </w:rPr>
        <w:t xml:space="preserve"> </w:t>
      </w:r>
      <w:r w:rsidR="00746A97" w:rsidRPr="004D42C5">
        <w:rPr>
          <w:rFonts w:ascii="Times New Roman" w:hAnsi="Times New Roman" w:cs="Times New Roman"/>
          <w:szCs w:val="24"/>
        </w:rPr>
        <w:t>wprowadzono obowiązek</w:t>
      </w:r>
      <w:r w:rsidR="00C3154F" w:rsidRPr="004D42C5">
        <w:rPr>
          <w:rFonts w:ascii="Times New Roman" w:hAnsi="Times New Roman" w:cs="Times New Roman"/>
          <w:szCs w:val="24"/>
        </w:rPr>
        <w:t xml:space="preserve"> dołączania do operatu szacunkowego </w:t>
      </w:r>
      <w:r w:rsidR="00A5578F" w:rsidRPr="004D42C5">
        <w:rPr>
          <w:rFonts w:ascii="Times New Roman" w:hAnsi="Times New Roman" w:cs="Times New Roman"/>
          <w:szCs w:val="24"/>
        </w:rPr>
        <w:t>lub</w:t>
      </w:r>
      <w:r w:rsidR="00C3154F" w:rsidRPr="004D42C5">
        <w:rPr>
          <w:rFonts w:ascii="Times New Roman" w:hAnsi="Times New Roman" w:cs="Times New Roman"/>
          <w:szCs w:val="24"/>
        </w:rPr>
        <w:t xml:space="preserve"> umowy o </w:t>
      </w:r>
      <w:r w:rsidR="004E025E" w:rsidRPr="004D42C5">
        <w:rPr>
          <w:rFonts w:ascii="Times New Roman" w:hAnsi="Times New Roman" w:cs="Times New Roman"/>
          <w:szCs w:val="24"/>
        </w:rPr>
        <w:t>dokonanie</w:t>
      </w:r>
      <w:r w:rsidR="00C3154F" w:rsidRPr="004D42C5">
        <w:rPr>
          <w:rFonts w:ascii="Times New Roman" w:hAnsi="Times New Roman" w:cs="Times New Roman"/>
          <w:szCs w:val="24"/>
        </w:rPr>
        <w:t xml:space="preserve"> wyceny nieruchomości</w:t>
      </w:r>
      <w:r w:rsidR="00092966" w:rsidRPr="004D42C5">
        <w:rPr>
          <w:rFonts w:ascii="Times New Roman" w:hAnsi="Times New Roman" w:cs="Times New Roman"/>
          <w:szCs w:val="24"/>
        </w:rPr>
        <w:t xml:space="preserve"> </w:t>
      </w:r>
      <w:r w:rsidR="00C3154F" w:rsidRPr="004D42C5">
        <w:rPr>
          <w:rFonts w:ascii="Times New Roman" w:hAnsi="Times New Roman" w:cs="Times New Roman"/>
          <w:szCs w:val="24"/>
        </w:rPr>
        <w:t xml:space="preserve">kopii </w:t>
      </w:r>
      <w:r w:rsidR="0026259A">
        <w:rPr>
          <w:rFonts w:ascii="Times New Roman" w:hAnsi="Times New Roman" w:cs="Times New Roman"/>
          <w:szCs w:val="24"/>
        </w:rPr>
        <w:t>dokumentu</w:t>
      </w:r>
      <w:r w:rsidR="00C3154F" w:rsidRPr="004D42C5">
        <w:rPr>
          <w:rFonts w:ascii="Times New Roman" w:hAnsi="Times New Roman" w:cs="Times New Roman"/>
          <w:szCs w:val="24"/>
        </w:rPr>
        <w:t xml:space="preserve"> obowiązkowego ubezpieczenia OC. </w:t>
      </w:r>
      <w:r w:rsidR="00C85C0B" w:rsidRPr="004D42C5">
        <w:rPr>
          <w:rFonts w:ascii="Times New Roman" w:hAnsi="Times New Roman" w:cs="Times New Roman"/>
          <w:szCs w:val="24"/>
        </w:rPr>
        <w:t>Analogicznie, w</w:t>
      </w:r>
      <w:r w:rsidR="00B12895" w:rsidRPr="004D42C5">
        <w:rPr>
          <w:rFonts w:ascii="Times New Roman" w:hAnsi="Times New Roman" w:cs="Times New Roman"/>
          <w:szCs w:val="24"/>
        </w:rPr>
        <w:t> </w:t>
      </w:r>
      <w:r w:rsidR="00C85C0B" w:rsidRPr="004D42C5">
        <w:rPr>
          <w:rFonts w:ascii="Times New Roman" w:hAnsi="Times New Roman" w:cs="Times New Roman"/>
          <w:szCs w:val="24"/>
        </w:rPr>
        <w:t>przypadku dokonywania potwierdzenia aktualności operatu szacunkowego, rzeczoznawca majątkowy będzie również zobowiązany</w:t>
      </w:r>
      <w:r w:rsidR="0026259A">
        <w:rPr>
          <w:rFonts w:ascii="Times New Roman" w:hAnsi="Times New Roman" w:cs="Times New Roman"/>
          <w:szCs w:val="24"/>
        </w:rPr>
        <w:t xml:space="preserve"> do dołączenia aktualnej kopii dokumentu</w:t>
      </w:r>
      <w:r w:rsidR="00C85C0B" w:rsidRPr="004D42C5">
        <w:rPr>
          <w:rFonts w:ascii="Times New Roman" w:hAnsi="Times New Roman" w:cs="Times New Roman"/>
          <w:szCs w:val="24"/>
        </w:rPr>
        <w:t xml:space="preserve"> ubezpieczeni</w:t>
      </w:r>
      <w:r w:rsidR="00FA74EA">
        <w:rPr>
          <w:rFonts w:ascii="Times New Roman" w:hAnsi="Times New Roman" w:cs="Times New Roman"/>
          <w:szCs w:val="24"/>
        </w:rPr>
        <w:t>a</w:t>
      </w:r>
      <w:r w:rsidR="00C85C0B" w:rsidRPr="004D42C5">
        <w:rPr>
          <w:rFonts w:ascii="Times New Roman" w:hAnsi="Times New Roman" w:cs="Times New Roman"/>
          <w:szCs w:val="24"/>
        </w:rPr>
        <w:t xml:space="preserve">. </w:t>
      </w:r>
      <w:r w:rsidR="00CF7DFA" w:rsidRPr="004D42C5">
        <w:rPr>
          <w:rFonts w:ascii="Times New Roman" w:hAnsi="Times New Roman" w:cs="Times New Roman"/>
          <w:szCs w:val="24"/>
        </w:rPr>
        <w:t xml:space="preserve">Jednocześnie </w:t>
      </w:r>
      <w:r w:rsidR="00B1458F" w:rsidRPr="004D42C5">
        <w:rPr>
          <w:rFonts w:ascii="Times New Roman" w:hAnsi="Times New Roman" w:cs="Times New Roman"/>
          <w:szCs w:val="24"/>
        </w:rPr>
        <w:t xml:space="preserve">mając na uwadze, że </w:t>
      </w:r>
      <w:r w:rsidR="004455CE" w:rsidRPr="004D42C5">
        <w:rPr>
          <w:rFonts w:ascii="Times New Roman" w:hAnsi="Times New Roman" w:cs="Times New Roman"/>
          <w:szCs w:val="24"/>
        </w:rPr>
        <w:t>w praktyce mogą pojawić się sytuacje, gdy</w:t>
      </w:r>
      <w:r w:rsidR="00B1458F" w:rsidRPr="004D42C5">
        <w:rPr>
          <w:rFonts w:ascii="Times New Roman" w:hAnsi="Times New Roman" w:cs="Times New Roman"/>
          <w:szCs w:val="24"/>
        </w:rPr>
        <w:t xml:space="preserve"> </w:t>
      </w:r>
      <w:r w:rsidR="00CF7DFA" w:rsidRPr="004D42C5">
        <w:rPr>
          <w:rFonts w:ascii="Times New Roman" w:hAnsi="Times New Roman" w:cs="Times New Roman"/>
          <w:szCs w:val="24"/>
        </w:rPr>
        <w:t xml:space="preserve">umowa o dokonanie wyceny nieruchomości została zawarta przed dniem wejścia w życie </w:t>
      </w:r>
      <w:r w:rsidR="00B1458F" w:rsidRPr="004D42C5">
        <w:rPr>
          <w:rFonts w:ascii="Times New Roman" w:hAnsi="Times New Roman" w:cs="Times New Roman"/>
          <w:szCs w:val="24"/>
        </w:rPr>
        <w:t>niniejszej ustawy i do momentu</w:t>
      </w:r>
      <w:r w:rsidR="006D2302" w:rsidRPr="004D42C5">
        <w:rPr>
          <w:rFonts w:ascii="Times New Roman" w:hAnsi="Times New Roman" w:cs="Times New Roman"/>
          <w:szCs w:val="24"/>
        </w:rPr>
        <w:t xml:space="preserve"> obowiązywania nowych przepisów nie została zrealizowana (tzn. nie został sporządzony operat szacunkowy), </w:t>
      </w:r>
      <w:r w:rsidR="00101979" w:rsidRPr="004D42C5">
        <w:rPr>
          <w:rFonts w:ascii="Times New Roman" w:hAnsi="Times New Roman" w:cs="Times New Roman"/>
          <w:szCs w:val="24"/>
        </w:rPr>
        <w:t>zaproponowano</w:t>
      </w:r>
      <w:r w:rsidR="00272183" w:rsidRPr="004D42C5">
        <w:rPr>
          <w:rFonts w:ascii="Times New Roman" w:hAnsi="Times New Roman" w:cs="Times New Roman"/>
          <w:szCs w:val="24"/>
        </w:rPr>
        <w:t>,</w:t>
      </w:r>
      <w:r w:rsidR="00101979" w:rsidRPr="004D42C5">
        <w:rPr>
          <w:rFonts w:ascii="Times New Roman" w:hAnsi="Times New Roman" w:cs="Times New Roman"/>
          <w:szCs w:val="24"/>
        </w:rPr>
        <w:t xml:space="preserve"> aby w takim przypadku rzeczoznawca majątkowy dołączał kopię dokumentu ubezpieczenia do operatu szacunkowego, który zostanie sporządzony na po</w:t>
      </w:r>
      <w:r w:rsidR="004D08D4" w:rsidRPr="004D42C5">
        <w:rPr>
          <w:rFonts w:ascii="Times New Roman" w:hAnsi="Times New Roman" w:cs="Times New Roman"/>
          <w:szCs w:val="24"/>
        </w:rPr>
        <w:t xml:space="preserve">dstawie tej umowy. W takiej sytuacji </w:t>
      </w:r>
      <w:r w:rsidR="00FC6E82" w:rsidRPr="004D42C5">
        <w:rPr>
          <w:rFonts w:ascii="Times New Roman" w:hAnsi="Times New Roman" w:cs="Times New Roman"/>
          <w:szCs w:val="24"/>
        </w:rPr>
        <w:t>bowiem umow</w:t>
      </w:r>
      <w:r w:rsidR="00A00808" w:rsidRPr="004D42C5">
        <w:rPr>
          <w:rFonts w:ascii="Times New Roman" w:hAnsi="Times New Roman" w:cs="Times New Roman"/>
          <w:szCs w:val="24"/>
        </w:rPr>
        <w:t>a</w:t>
      </w:r>
      <w:r w:rsidR="00FC6E82" w:rsidRPr="004D42C5">
        <w:rPr>
          <w:rFonts w:ascii="Times New Roman" w:hAnsi="Times New Roman" w:cs="Times New Roman"/>
          <w:szCs w:val="24"/>
        </w:rPr>
        <w:t xml:space="preserve"> o wyk</w:t>
      </w:r>
      <w:r w:rsidR="00A00808" w:rsidRPr="004D42C5">
        <w:rPr>
          <w:rFonts w:ascii="Times New Roman" w:hAnsi="Times New Roman" w:cs="Times New Roman"/>
          <w:szCs w:val="24"/>
        </w:rPr>
        <w:t xml:space="preserve">onanie wyceny nieruchomości </w:t>
      </w:r>
      <w:r w:rsidR="00D876D6" w:rsidRPr="004D42C5">
        <w:rPr>
          <w:rFonts w:ascii="Times New Roman" w:hAnsi="Times New Roman" w:cs="Times New Roman"/>
          <w:szCs w:val="24"/>
        </w:rPr>
        <w:t>zostanie zawa</w:t>
      </w:r>
      <w:r w:rsidR="00A00808" w:rsidRPr="004D42C5">
        <w:rPr>
          <w:rFonts w:ascii="Times New Roman" w:hAnsi="Times New Roman" w:cs="Times New Roman"/>
          <w:szCs w:val="24"/>
        </w:rPr>
        <w:t>rta na podstawie przepisów dotychczasowych, które nie przewidują m.in. obowiązku dołączania</w:t>
      </w:r>
      <w:r w:rsidR="00D876D6" w:rsidRPr="004D42C5">
        <w:rPr>
          <w:rFonts w:ascii="Times New Roman" w:hAnsi="Times New Roman" w:cs="Times New Roman"/>
          <w:szCs w:val="24"/>
        </w:rPr>
        <w:t xml:space="preserve"> kopii dokumentu ubezpieczenia, o</w:t>
      </w:r>
      <w:r w:rsidR="00A00808" w:rsidRPr="004D42C5">
        <w:rPr>
          <w:rFonts w:ascii="Times New Roman" w:hAnsi="Times New Roman" w:cs="Times New Roman"/>
          <w:szCs w:val="24"/>
        </w:rPr>
        <w:t xml:space="preserve">perat szacunkowy natomiast </w:t>
      </w:r>
      <w:r w:rsidR="004D08D4" w:rsidRPr="004D42C5">
        <w:rPr>
          <w:rFonts w:ascii="Times New Roman" w:hAnsi="Times New Roman" w:cs="Times New Roman"/>
          <w:szCs w:val="24"/>
        </w:rPr>
        <w:t xml:space="preserve">zostanie sporządzony </w:t>
      </w:r>
      <w:r w:rsidR="00CB665A">
        <w:rPr>
          <w:rFonts w:ascii="Times New Roman" w:hAnsi="Times New Roman" w:cs="Times New Roman"/>
          <w:szCs w:val="24"/>
        </w:rPr>
        <w:t>według</w:t>
      </w:r>
      <w:r w:rsidR="004455CE" w:rsidRPr="004D42C5">
        <w:rPr>
          <w:rFonts w:ascii="Times New Roman" w:hAnsi="Times New Roman" w:cs="Times New Roman"/>
          <w:szCs w:val="24"/>
        </w:rPr>
        <w:t xml:space="preserve"> nowych przepisów</w:t>
      </w:r>
      <w:r w:rsidR="00A00808" w:rsidRPr="004D42C5">
        <w:rPr>
          <w:rFonts w:ascii="Times New Roman" w:hAnsi="Times New Roman" w:cs="Times New Roman"/>
          <w:szCs w:val="24"/>
        </w:rPr>
        <w:t>.</w:t>
      </w:r>
    </w:p>
    <w:p w:rsidR="00E706B9" w:rsidRPr="004D42C5" w:rsidRDefault="00A24934" w:rsidP="007B2772">
      <w:pPr>
        <w:pStyle w:val="ZARTzmartartykuempunktem"/>
        <w:spacing w:before="120"/>
        <w:ind w:left="426" w:firstLine="0"/>
        <w:rPr>
          <w:rFonts w:ascii="Times New Roman" w:hAnsi="Times New Roman" w:cs="Times New Roman"/>
          <w:szCs w:val="24"/>
        </w:rPr>
      </w:pPr>
      <w:r w:rsidRPr="004D42C5">
        <w:rPr>
          <w:rFonts w:ascii="Times New Roman" w:hAnsi="Times New Roman" w:cs="Times New Roman"/>
          <w:szCs w:val="24"/>
        </w:rPr>
        <w:t xml:space="preserve">Ponadto </w:t>
      </w:r>
      <w:r w:rsidR="00AA040C" w:rsidRPr="004D42C5">
        <w:rPr>
          <w:rFonts w:ascii="Times New Roman" w:hAnsi="Times New Roman" w:cs="Times New Roman"/>
          <w:szCs w:val="24"/>
        </w:rPr>
        <w:t>w</w:t>
      </w:r>
      <w:r w:rsidR="00746A97" w:rsidRPr="004D42C5">
        <w:rPr>
          <w:rFonts w:ascii="Times New Roman" w:hAnsi="Times New Roman" w:cs="Times New Roman"/>
          <w:szCs w:val="24"/>
        </w:rPr>
        <w:t xml:space="preserve"> obowiązującym stanie prawnym obowiązek ubezpieczenia OC dotyczy przedsiębiorców, a zatem nie jest możliwe nałożenie z tego tytułu kar dyscyplinarnych na osoby fizyczne będące rzeczoznawcami majątkowymi.</w:t>
      </w:r>
      <w:r w:rsidR="00CA1982" w:rsidRPr="004D42C5">
        <w:rPr>
          <w:rFonts w:ascii="Times New Roman" w:hAnsi="Times New Roman" w:cs="Times New Roman"/>
          <w:szCs w:val="24"/>
        </w:rPr>
        <w:t xml:space="preserve"> Obowiązek posiadania ubezpieczenia OC przez przedsiębiorców prowadzących działalność w zakresie szacowania nieruchomości kontrolować będzie Inspekcja Handlowa, której kompetencje w tym zakresie wynikają bezpośrednio z przepisów ustawy </w:t>
      </w:r>
      <w:r w:rsidR="0026259A">
        <w:rPr>
          <w:rFonts w:ascii="Times New Roman" w:hAnsi="Times New Roman" w:cs="Times New Roman"/>
          <w:szCs w:val="24"/>
        </w:rPr>
        <w:t xml:space="preserve">z dnia 15 grudnia 2000 r. </w:t>
      </w:r>
      <w:r w:rsidR="00CA1982" w:rsidRPr="004D42C5">
        <w:rPr>
          <w:rFonts w:ascii="Times New Roman" w:hAnsi="Times New Roman" w:cs="Times New Roman"/>
          <w:szCs w:val="24"/>
        </w:rPr>
        <w:t>o Inspekcji Handlowej</w:t>
      </w:r>
      <w:r w:rsidR="0026259A">
        <w:rPr>
          <w:rFonts w:ascii="Times New Roman" w:hAnsi="Times New Roman" w:cs="Times New Roman"/>
          <w:szCs w:val="24"/>
        </w:rPr>
        <w:t xml:space="preserve"> (Dz. U. z 2016 r. </w:t>
      </w:r>
      <w:r w:rsidR="0026259A">
        <w:rPr>
          <w:rFonts w:ascii="Times New Roman" w:hAnsi="Times New Roman" w:cs="Times New Roman"/>
          <w:szCs w:val="24"/>
        </w:rPr>
        <w:lastRenderedPageBreak/>
        <w:t>poz</w:t>
      </w:r>
      <w:r w:rsidR="00CA1982" w:rsidRPr="004D42C5">
        <w:rPr>
          <w:rFonts w:ascii="Times New Roman" w:hAnsi="Times New Roman" w:cs="Times New Roman"/>
          <w:szCs w:val="24"/>
        </w:rPr>
        <w:t>.</w:t>
      </w:r>
      <w:r w:rsidR="0026259A">
        <w:rPr>
          <w:rFonts w:ascii="Times New Roman" w:hAnsi="Times New Roman" w:cs="Times New Roman"/>
          <w:szCs w:val="24"/>
        </w:rPr>
        <w:t> 1059, z późn. zm.).</w:t>
      </w:r>
      <w:r w:rsidR="007B2772" w:rsidRPr="004D42C5">
        <w:rPr>
          <w:rFonts w:ascii="Times New Roman" w:hAnsi="Times New Roman" w:cs="Times New Roman"/>
          <w:szCs w:val="24"/>
        </w:rPr>
        <w:t xml:space="preserve"> </w:t>
      </w:r>
      <w:r w:rsidR="00CA1982" w:rsidRPr="004D42C5">
        <w:rPr>
          <w:rFonts w:ascii="Times New Roman" w:hAnsi="Times New Roman" w:cs="Times New Roman"/>
          <w:szCs w:val="24"/>
        </w:rPr>
        <w:t xml:space="preserve">Zdecydowano przy tym o wprowadzeniu sankcji finansowych za </w:t>
      </w:r>
      <w:r w:rsidR="00D61A46" w:rsidRPr="004D42C5">
        <w:rPr>
          <w:rFonts w:ascii="Times New Roman" w:hAnsi="Times New Roman" w:cs="Times New Roman"/>
          <w:szCs w:val="24"/>
        </w:rPr>
        <w:t>nieprzestrzeganie obowiązku posiadania ubezpieczenia OC w</w:t>
      </w:r>
      <w:r w:rsidR="00B12895" w:rsidRPr="004D42C5">
        <w:rPr>
          <w:rFonts w:ascii="Times New Roman" w:hAnsi="Times New Roman" w:cs="Times New Roman"/>
          <w:szCs w:val="24"/>
        </w:rPr>
        <w:t> </w:t>
      </w:r>
      <w:r w:rsidR="00F9471C" w:rsidRPr="004D42C5">
        <w:rPr>
          <w:rFonts w:ascii="Times New Roman" w:hAnsi="Times New Roman" w:cs="Times New Roman"/>
          <w:szCs w:val="24"/>
        </w:rPr>
        <w:t>wysokości</w:t>
      </w:r>
      <w:r w:rsidR="00B36124" w:rsidRPr="004D42C5">
        <w:rPr>
          <w:rFonts w:ascii="Times New Roman" w:hAnsi="Times New Roman" w:cs="Times New Roman"/>
          <w:szCs w:val="24"/>
        </w:rPr>
        <w:t xml:space="preserve"> </w:t>
      </w:r>
      <w:r w:rsidR="00D61A46" w:rsidRPr="004D42C5">
        <w:rPr>
          <w:rFonts w:ascii="Times New Roman" w:hAnsi="Times New Roman" w:cs="Times New Roman"/>
          <w:szCs w:val="24"/>
        </w:rPr>
        <w:t xml:space="preserve">od dwukrotnego do pięciokrotnego </w:t>
      </w:r>
      <w:r w:rsidR="00CA1982" w:rsidRPr="004D42C5">
        <w:rPr>
          <w:rFonts w:ascii="Times New Roman" w:hAnsi="Times New Roman" w:cs="Times New Roman"/>
          <w:szCs w:val="24"/>
        </w:rPr>
        <w:t>przeciętnego miesięcznego wynagrodzenia w gospodarce narodowej w roku poprzedzają</w:t>
      </w:r>
      <w:r w:rsidR="004E025E" w:rsidRPr="004D42C5">
        <w:rPr>
          <w:rFonts w:ascii="Times New Roman" w:hAnsi="Times New Roman" w:cs="Times New Roman"/>
          <w:szCs w:val="24"/>
        </w:rPr>
        <w:t xml:space="preserve">cym stwierdzenie naruszenia. Wysokość kary pieniężnej uzależniona będzie od </w:t>
      </w:r>
      <w:r w:rsidR="00D40838" w:rsidRPr="004D42C5">
        <w:rPr>
          <w:rFonts w:ascii="Times New Roman" w:hAnsi="Times New Roman" w:cs="Times New Roman"/>
          <w:szCs w:val="24"/>
        </w:rPr>
        <w:t>skali prowadzonej działalności z zakresu szacowania nieruchomości, dotychczasowej działalności przedsiębiorcy oraz czasu trwania naruszenia</w:t>
      </w:r>
      <w:r w:rsidR="006725A1" w:rsidRPr="004D42C5">
        <w:rPr>
          <w:rFonts w:ascii="Times New Roman" w:hAnsi="Times New Roman" w:cs="Times New Roman"/>
          <w:szCs w:val="24"/>
        </w:rPr>
        <w:t xml:space="preserve">, przy czym </w:t>
      </w:r>
      <w:r w:rsidR="00D40838" w:rsidRPr="004D42C5">
        <w:rPr>
          <w:rFonts w:ascii="Times New Roman" w:hAnsi="Times New Roman" w:cs="Times New Roman"/>
          <w:szCs w:val="24"/>
        </w:rPr>
        <w:t xml:space="preserve">kryterium „dotychczasowa działalność przedsiębiorcy” obejmować będzie m.in. wyniki poprzednich kontroli. </w:t>
      </w:r>
      <w:r w:rsidR="006725A1" w:rsidRPr="004D42C5">
        <w:rPr>
          <w:rFonts w:ascii="Times New Roman" w:hAnsi="Times New Roman" w:cs="Times New Roman"/>
          <w:szCs w:val="24"/>
        </w:rPr>
        <w:t>Jednocześnie u</w:t>
      </w:r>
      <w:r w:rsidR="00CA1982" w:rsidRPr="004D42C5">
        <w:rPr>
          <w:rFonts w:ascii="Times New Roman" w:hAnsi="Times New Roman" w:cs="Times New Roman"/>
          <w:szCs w:val="24"/>
        </w:rPr>
        <w:t>znano, że administracyjna kara pieniężna będzie karą efektywną, ze względu na możliwość szybkiego nałożenia, a</w:t>
      </w:r>
      <w:r w:rsidR="00B12895" w:rsidRPr="004D42C5">
        <w:rPr>
          <w:rFonts w:ascii="Times New Roman" w:hAnsi="Times New Roman" w:cs="Times New Roman"/>
          <w:szCs w:val="24"/>
        </w:rPr>
        <w:t> </w:t>
      </w:r>
      <w:r w:rsidR="00CA1982" w:rsidRPr="004D42C5">
        <w:rPr>
          <w:rFonts w:ascii="Times New Roman" w:hAnsi="Times New Roman" w:cs="Times New Roman"/>
          <w:szCs w:val="24"/>
        </w:rPr>
        <w:t>dotkliwość kary będzie skutecznie zniechęcała do naruszania przepisów u</w:t>
      </w:r>
      <w:r w:rsidR="0026259A">
        <w:rPr>
          <w:rFonts w:ascii="Times New Roman" w:hAnsi="Times New Roman" w:cs="Times New Roman"/>
          <w:szCs w:val="24"/>
        </w:rPr>
        <w:t>gn</w:t>
      </w:r>
      <w:r w:rsidR="00CA1982" w:rsidRPr="004D42C5">
        <w:rPr>
          <w:rFonts w:ascii="Times New Roman" w:hAnsi="Times New Roman" w:cs="Times New Roman"/>
          <w:szCs w:val="24"/>
        </w:rPr>
        <w:t xml:space="preserve">. Uprawnienia do nakładania kar finansowych przysługiwać będą wojewódzkim inspektorom </w:t>
      </w:r>
      <w:r w:rsidR="000F0EB7" w:rsidRPr="004D42C5">
        <w:rPr>
          <w:rFonts w:ascii="Times New Roman" w:hAnsi="Times New Roman" w:cs="Times New Roman"/>
          <w:szCs w:val="24"/>
        </w:rPr>
        <w:t>I</w:t>
      </w:r>
      <w:r w:rsidR="00CA1982" w:rsidRPr="004D42C5">
        <w:rPr>
          <w:rFonts w:ascii="Times New Roman" w:hAnsi="Times New Roman" w:cs="Times New Roman"/>
          <w:szCs w:val="24"/>
        </w:rPr>
        <w:t xml:space="preserve">nspekcji </w:t>
      </w:r>
      <w:r w:rsidR="000F0EB7" w:rsidRPr="004D42C5">
        <w:rPr>
          <w:rFonts w:ascii="Times New Roman" w:hAnsi="Times New Roman" w:cs="Times New Roman"/>
          <w:szCs w:val="24"/>
        </w:rPr>
        <w:t>H</w:t>
      </w:r>
      <w:r w:rsidR="00CA1982" w:rsidRPr="004D42C5">
        <w:rPr>
          <w:rFonts w:ascii="Times New Roman" w:hAnsi="Times New Roman" w:cs="Times New Roman"/>
          <w:szCs w:val="24"/>
        </w:rPr>
        <w:t xml:space="preserve">andlowej. </w:t>
      </w:r>
      <w:r w:rsidR="00D40838" w:rsidRPr="004D42C5">
        <w:rPr>
          <w:rFonts w:ascii="Times New Roman" w:hAnsi="Times New Roman" w:cs="Times New Roman"/>
          <w:szCs w:val="24"/>
        </w:rPr>
        <w:t>Od decyzji wydanej w pierwszej instancji, zgodnie z art. 5 ust. 2 ustawy o Inspekcji Handlowej, przysługuje</w:t>
      </w:r>
      <w:r w:rsidR="00D40838" w:rsidRPr="004D42C5">
        <w:rPr>
          <w:rFonts w:ascii="Times New Roman" w:hAnsi="Times New Roman" w:cs="Times New Roman"/>
          <w:color w:val="7030A0"/>
          <w:szCs w:val="24"/>
        </w:rPr>
        <w:t xml:space="preserve"> </w:t>
      </w:r>
      <w:r w:rsidR="00D40838" w:rsidRPr="004D42C5">
        <w:rPr>
          <w:rFonts w:ascii="Times New Roman" w:hAnsi="Times New Roman" w:cs="Times New Roman"/>
          <w:szCs w:val="24"/>
        </w:rPr>
        <w:t>odwołanie do Prezesa Urzędu Ochrony Konkurencji i Konsumentów. Ponadto możliwość nałożenia kary pieniężnej ograniczono do terminu trzech lat</w:t>
      </w:r>
      <w:r w:rsidR="0026259A">
        <w:rPr>
          <w:rFonts w:ascii="Times New Roman" w:hAnsi="Times New Roman" w:cs="Times New Roman"/>
          <w:szCs w:val="24"/>
        </w:rPr>
        <w:t>,</w:t>
      </w:r>
      <w:r w:rsidR="00D40838" w:rsidRPr="004D42C5">
        <w:rPr>
          <w:rFonts w:ascii="Times New Roman" w:hAnsi="Times New Roman" w:cs="Times New Roman"/>
          <w:szCs w:val="24"/>
        </w:rPr>
        <w:t xml:space="preserve"> licząc od dnia powstania obowiązku zawarcia umowy ubezpieczenia OC przez przedsiębiorcę. Norma ta wpisuje się w regulacje zawarte w Kodeksie cywilnym, w którym termin przedawnienia roszczeń związanych z prowadzeniem działalności gospodarczej określono na trzy lata.</w:t>
      </w:r>
    </w:p>
    <w:p w:rsidR="002B3A33" w:rsidRPr="004D42C5" w:rsidRDefault="00CA1982" w:rsidP="007B2772">
      <w:pPr>
        <w:pStyle w:val="ZARTzmartartykuempunktem"/>
        <w:spacing w:before="120"/>
        <w:ind w:left="426" w:firstLine="0"/>
        <w:rPr>
          <w:rFonts w:ascii="Times New Roman" w:hAnsi="Times New Roman" w:cs="Times New Roman"/>
          <w:szCs w:val="24"/>
        </w:rPr>
      </w:pPr>
      <w:r w:rsidRPr="004D42C5">
        <w:rPr>
          <w:rFonts w:ascii="Times New Roman" w:hAnsi="Times New Roman" w:cs="Times New Roman"/>
          <w:szCs w:val="24"/>
        </w:rPr>
        <w:t>Analogiczne rozwiązanie zaproponowano również w odniesieniu do pośredników w obrocie nieruchomościami oraz zarządców nieruchomości</w:t>
      </w:r>
      <w:r w:rsidR="00D01DA4" w:rsidRPr="004D42C5">
        <w:rPr>
          <w:rFonts w:ascii="Times New Roman" w:hAnsi="Times New Roman" w:cs="Times New Roman"/>
          <w:szCs w:val="24"/>
        </w:rPr>
        <w:t xml:space="preserve">. </w:t>
      </w:r>
      <w:r w:rsidR="00B36124" w:rsidRPr="004D42C5">
        <w:rPr>
          <w:rFonts w:ascii="Times New Roman" w:hAnsi="Times New Roman" w:cs="Times New Roman"/>
          <w:szCs w:val="24"/>
        </w:rPr>
        <w:t>Granice wysokości</w:t>
      </w:r>
      <w:r w:rsidRPr="004D42C5">
        <w:rPr>
          <w:rFonts w:ascii="Times New Roman" w:hAnsi="Times New Roman" w:cs="Times New Roman"/>
          <w:szCs w:val="24"/>
        </w:rPr>
        <w:t xml:space="preserve"> kary pieniężnej za brak ubezpieczenia OC pośrednika w obrocie nieruchomościami </w:t>
      </w:r>
      <w:r w:rsidR="00A40C91" w:rsidRPr="004D42C5">
        <w:rPr>
          <w:rFonts w:ascii="Times New Roman" w:hAnsi="Times New Roman" w:cs="Times New Roman"/>
          <w:szCs w:val="24"/>
        </w:rPr>
        <w:t>będ</w:t>
      </w:r>
      <w:r w:rsidR="00B36124" w:rsidRPr="004D42C5">
        <w:rPr>
          <w:rFonts w:ascii="Times New Roman" w:hAnsi="Times New Roman" w:cs="Times New Roman"/>
          <w:szCs w:val="24"/>
        </w:rPr>
        <w:t xml:space="preserve">ą </w:t>
      </w:r>
      <w:r w:rsidR="00E706B9" w:rsidRPr="004D42C5">
        <w:rPr>
          <w:rFonts w:ascii="Times New Roman" w:hAnsi="Times New Roman" w:cs="Times New Roman"/>
          <w:szCs w:val="24"/>
        </w:rPr>
        <w:t>identyczne</w:t>
      </w:r>
      <w:r w:rsidR="00A40C91" w:rsidRPr="004D42C5">
        <w:rPr>
          <w:rFonts w:ascii="Times New Roman" w:hAnsi="Times New Roman" w:cs="Times New Roman"/>
          <w:szCs w:val="24"/>
        </w:rPr>
        <w:t xml:space="preserve"> jak w przypadku przedsiębiorców prowadzących działalność w</w:t>
      </w:r>
      <w:r w:rsidR="00B12895" w:rsidRPr="004D42C5">
        <w:rPr>
          <w:rFonts w:ascii="Times New Roman" w:hAnsi="Times New Roman" w:cs="Times New Roman"/>
          <w:szCs w:val="24"/>
        </w:rPr>
        <w:t> </w:t>
      </w:r>
      <w:r w:rsidR="00A40C91" w:rsidRPr="004D42C5">
        <w:rPr>
          <w:rFonts w:ascii="Times New Roman" w:hAnsi="Times New Roman" w:cs="Times New Roman"/>
          <w:szCs w:val="24"/>
        </w:rPr>
        <w:t xml:space="preserve">zakresie szacowania nieruchomości, natomiast dla zarządców nieruchomości – </w:t>
      </w:r>
      <w:r w:rsidR="00B36124" w:rsidRPr="004D42C5">
        <w:rPr>
          <w:rFonts w:ascii="Times New Roman" w:hAnsi="Times New Roman" w:cs="Times New Roman"/>
          <w:szCs w:val="24"/>
        </w:rPr>
        <w:t xml:space="preserve">zarówno dolna, jak i górna granica wysokości kary </w:t>
      </w:r>
      <w:r w:rsidR="00A40C91" w:rsidRPr="004D42C5">
        <w:rPr>
          <w:rFonts w:ascii="Times New Roman" w:hAnsi="Times New Roman" w:cs="Times New Roman"/>
          <w:szCs w:val="24"/>
        </w:rPr>
        <w:t>stanowić będ</w:t>
      </w:r>
      <w:r w:rsidR="00CF5B4C" w:rsidRPr="004D42C5">
        <w:rPr>
          <w:rFonts w:ascii="Times New Roman" w:hAnsi="Times New Roman" w:cs="Times New Roman"/>
          <w:szCs w:val="24"/>
        </w:rPr>
        <w:t>ą dwukrotności</w:t>
      </w:r>
      <w:r w:rsidR="00A40C91" w:rsidRPr="004D42C5">
        <w:rPr>
          <w:rFonts w:ascii="Times New Roman" w:hAnsi="Times New Roman" w:cs="Times New Roman"/>
          <w:szCs w:val="24"/>
        </w:rPr>
        <w:t xml:space="preserve"> </w:t>
      </w:r>
      <w:r w:rsidR="00CF5B4C" w:rsidRPr="004D42C5">
        <w:rPr>
          <w:rFonts w:ascii="Times New Roman" w:hAnsi="Times New Roman" w:cs="Times New Roman"/>
          <w:szCs w:val="24"/>
        </w:rPr>
        <w:t xml:space="preserve">tych </w:t>
      </w:r>
      <w:r w:rsidR="00A40C91" w:rsidRPr="004D42C5">
        <w:rPr>
          <w:rFonts w:ascii="Times New Roman" w:hAnsi="Times New Roman" w:cs="Times New Roman"/>
          <w:szCs w:val="24"/>
        </w:rPr>
        <w:t>staw</w:t>
      </w:r>
      <w:r w:rsidR="00CF5B4C" w:rsidRPr="004D42C5">
        <w:rPr>
          <w:rFonts w:ascii="Times New Roman" w:hAnsi="Times New Roman" w:cs="Times New Roman"/>
          <w:szCs w:val="24"/>
        </w:rPr>
        <w:t>e</w:t>
      </w:r>
      <w:r w:rsidR="00A40C91" w:rsidRPr="004D42C5">
        <w:rPr>
          <w:rFonts w:ascii="Times New Roman" w:hAnsi="Times New Roman" w:cs="Times New Roman"/>
          <w:szCs w:val="24"/>
        </w:rPr>
        <w:t xml:space="preserve">k. Zróżnicowanie wysokości kar pieniężnych wynika z minimalnej sumy gwarancyjnej ubezpieczenia OC przewidzianej dla przedsiębiorców </w:t>
      </w:r>
      <w:r w:rsidR="00F9471C" w:rsidRPr="004D42C5">
        <w:rPr>
          <w:rFonts w:ascii="Times New Roman" w:hAnsi="Times New Roman" w:cs="Times New Roman"/>
          <w:szCs w:val="24"/>
        </w:rPr>
        <w:t>wykonujących</w:t>
      </w:r>
      <w:r w:rsidR="00A40C91" w:rsidRPr="004D42C5">
        <w:rPr>
          <w:rFonts w:ascii="Times New Roman" w:hAnsi="Times New Roman" w:cs="Times New Roman"/>
          <w:szCs w:val="24"/>
        </w:rPr>
        <w:t xml:space="preserve"> czynności z zakresu odpowiednio szacowania nieruchomości, pośrednictwa w</w:t>
      </w:r>
      <w:r w:rsidR="00B12895" w:rsidRPr="004D42C5">
        <w:rPr>
          <w:rFonts w:ascii="Times New Roman" w:hAnsi="Times New Roman" w:cs="Times New Roman"/>
          <w:szCs w:val="24"/>
        </w:rPr>
        <w:t> </w:t>
      </w:r>
      <w:r w:rsidR="00A40C91" w:rsidRPr="004D42C5">
        <w:rPr>
          <w:rFonts w:ascii="Times New Roman" w:hAnsi="Times New Roman" w:cs="Times New Roman"/>
          <w:szCs w:val="24"/>
        </w:rPr>
        <w:t>obrocie nieruchomościami oraz zarządzania nieruchomości</w:t>
      </w:r>
      <w:r w:rsidR="006215BD" w:rsidRPr="004D42C5">
        <w:rPr>
          <w:rFonts w:ascii="Times New Roman" w:hAnsi="Times New Roman" w:cs="Times New Roman"/>
          <w:szCs w:val="24"/>
        </w:rPr>
        <w:t>ami</w:t>
      </w:r>
      <w:r w:rsidR="00A40C91" w:rsidRPr="004D42C5">
        <w:rPr>
          <w:rFonts w:ascii="Times New Roman" w:hAnsi="Times New Roman" w:cs="Times New Roman"/>
          <w:szCs w:val="24"/>
        </w:rPr>
        <w:t xml:space="preserve">. </w:t>
      </w:r>
    </w:p>
    <w:p w:rsidR="00E36AAC" w:rsidRPr="004D42C5" w:rsidRDefault="00E36AAC" w:rsidP="007B2772">
      <w:pPr>
        <w:pStyle w:val="ZARTzmartartykuempunktem"/>
        <w:spacing w:before="120"/>
        <w:ind w:left="426" w:firstLine="0"/>
        <w:rPr>
          <w:rFonts w:ascii="Times New Roman" w:hAnsi="Times New Roman" w:cs="Times New Roman"/>
          <w:strike/>
          <w:szCs w:val="24"/>
        </w:rPr>
      </w:pPr>
      <w:r w:rsidRPr="004D42C5">
        <w:rPr>
          <w:rFonts w:ascii="Times New Roman" w:hAnsi="Times New Roman" w:cs="Times New Roman"/>
          <w:szCs w:val="24"/>
        </w:rPr>
        <w:t xml:space="preserve">W konsekwencji wprowadzenia przepisów o karach pieniężnych zaszła </w:t>
      </w:r>
      <w:r w:rsidR="00D03846" w:rsidRPr="004D42C5">
        <w:rPr>
          <w:rFonts w:ascii="Times New Roman" w:hAnsi="Times New Roman" w:cs="Times New Roman"/>
          <w:szCs w:val="24"/>
        </w:rPr>
        <w:t xml:space="preserve">także </w:t>
      </w:r>
      <w:r w:rsidRPr="004D42C5">
        <w:rPr>
          <w:rFonts w:ascii="Times New Roman" w:hAnsi="Times New Roman" w:cs="Times New Roman"/>
          <w:szCs w:val="24"/>
        </w:rPr>
        <w:t xml:space="preserve">potrzeba zmodyfikowania tytułu </w:t>
      </w:r>
      <w:r w:rsidR="003B299A">
        <w:rPr>
          <w:rFonts w:ascii="Times New Roman" w:hAnsi="Times New Roman" w:cs="Times New Roman"/>
          <w:szCs w:val="24"/>
        </w:rPr>
        <w:t>d</w:t>
      </w:r>
      <w:r w:rsidRPr="004D42C5">
        <w:rPr>
          <w:rFonts w:ascii="Times New Roman" w:hAnsi="Times New Roman" w:cs="Times New Roman"/>
          <w:szCs w:val="24"/>
        </w:rPr>
        <w:t>ziału VI ugn.</w:t>
      </w:r>
    </w:p>
    <w:p w:rsidR="00880D8D" w:rsidRPr="004D42C5" w:rsidRDefault="002D46FE" w:rsidP="007B2772">
      <w:pPr>
        <w:pStyle w:val="ZARTzmartartykuempunktem"/>
        <w:spacing w:before="120"/>
        <w:ind w:left="426" w:firstLine="0"/>
        <w:rPr>
          <w:rFonts w:ascii="Times New Roman" w:hAnsi="Times New Roman" w:cs="Times New Roman"/>
          <w:szCs w:val="24"/>
        </w:rPr>
      </w:pPr>
      <w:r w:rsidRPr="004D42C5">
        <w:rPr>
          <w:rFonts w:ascii="Times New Roman" w:hAnsi="Times New Roman" w:cs="Times New Roman"/>
          <w:szCs w:val="24"/>
        </w:rPr>
        <w:lastRenderedPageBreak/>
        <w:t>Proponuje się również przywrócenie odpowiedzialności zawodowej za niewypełnianie obowiązku stałego doskonalenia kwal</w:t>
      </w:r>
      <w:r w:rsidR="004059A4" w:rsidRPr="004D42C5">
        <w:rPr>
          <w:rFonts w:ascii="Times New Roman" w:hAnsi="Times New Roman" w:cs="Times New Roman"/>
          <w:szCs w:val="24"/>
        </w:rPr>
        <w:t>ifikacji zawodowych przez rzeczoznawców majątkowych</w:t>
      </w:r>
      <w:r w:rsidRPr="004D42C5">
        <w:rPr>
          <w:rFonts w:ascii="Times New Roman" w:hAnsi="Times New Roman" w:cs="Times New Roman"/>
          <w:szCs w:val="24"/>
        </w:rPr>
        <w:t>. W obecnym stanie prawnym rzeczoznawca majątkowy jest zobowiązany stale doskonalić swoje kwalifikacje zawodowe.</w:t>
      </w:r>
      <w:r w:rsidR="007B2772" w:rsidRPr="004D42C5">
        <w:rPr>
          <w:rFonts w:ascii="Times New Roman" w:hAnsi="Times New Roman" w:cs="Times New Roman"/>
          <w:szCs w:val="24"/>
        </w:rPr>
        <w:t xml:space="preserve"> </w:t>
      </w:r>
      <w:r w:rsidR="00F30AAE" w:rsidRPr="004D42C5">
        <w:rPr>
          <w:rFonts w:ascii="Times New Roman" w:hAnsi="Times New Roman" w:cs="Times New Roman"/>
          <w:szCs w:val="24"/>
        </w:rPr>
        <w:t xml:space="preserve">Na skutek częściowej deregulacji zawodu, która weszła w życie z dniem 1 stycznia 2014 r., zniesiona została jednak odpowiedzialność zawodowa za </w:t>
      </w:r>
      <w:r w:rsidR="00B149ED" w:rsidRPr="004D42C5">
        <w:rPr>
          <w:rFonts w:ascii="Times New Roman" w:hAnsi="Times New Roman" w:cs="Times New Roman"/>
          <w:szCs w:val="24"/>
        </w:rPr>
        <w:t>niewypełnienie</w:t>
      </w:r>
      <w:r w:rsidR="00F30AAE" w:rsidRPr="004D42C5">
        <w:rPr>
          <w:rFonts w:ascii="Times New Roman" w:hAnsi="Times New Roman" w:cs="Times New Roman"/>
          <w:szCs w:val="24"/>
        </w:rPr>
        <w:t xml:space="preserve"> tego obowiązku. </w:t>
      </w:r>
      <w:r w:rsidR="004059A4" w:rsidRPr="004D42C5">
        <w:rPr>
          <w:rFonts w:ascii="Times New Roman" w:hAnsi="Times New Roman" w:cs="Times New Roman"/>
          <w:szCs w:val="24"/>
        </w:rPr>
        <w:t xml:space="preserve">Zrezygnowano wówczas także z określenia sposobów i form doskonalenia, wymogów programowych dla różnych form doskonalenia zawodowego, a także kryteriów oceny spełnienia obowiązku stałego doskonalenia kwalifikacji zawodowych. W konsekwencji doskonalenie kwalifikacji zawodowych może być obecnie realizowane w dowolnej formie i w dowolnym </w:t>
      </w:r>
      <w:r w:rsidR="000D76BC" w:rsidRPr="004D42C5">
        <w:rPr>
          <w:rFonts w:ascii="Times New Roman" w:hAnsi="Times New Roman" w:cs="Times New Roman"/>
          <w:szCs w:val="24"/>
        </w:rPr>
        <w:t xml:space="preserve">wymiarze czasowym. </w:t>
      </w:r>
      <w:r w:rsidR="004059A4" w:rsidRPr="004D42C5">
        <w:rPr>
          <w:rFonts w:ascii="Times New Roman" w:hAnsi="Times New Roman" w:cs="Times New Roman"/>
          <w:szCs w:val="24"/>
        </w:rPr>
        <w:t xml:space="preserve">Jednocześnie </w:t>
      </w:r>
      <w:r w:rsidR="00B149ED" w:rsidRPr="004D42C5">
        <w:rPr>
          <w:rFonts w:ascii="Times New Roman" w:hAnsi="Times New Roman" w:cs="Times New Roman"/>
          <w:szCs w:val="24"/>
        </w:rPr>
        <w:t>niewywiązywanie się z</w:t>
      </w:r>
      <w:r w:rsidR="004059A4" w:rsidRPr="004D42C5">
        <w:rPr>
          <w:rFonts w:ascii="Times New Roman" w:hAnsi="Times New Roman" w:cs="Times New Roman"/>
          <w:szCs w:val="24"/>
        </w:rPr>
        <w:t xml:space="preserve"> obowiązku ustawowego nie wiąże się z konsekwencjami o charakterze dyscyplinarnym</w:t>
      </w:r>
      <w:r w:rsidR="00DE3980" w:rsidRPr="004D42C5">
        <w:rPr>
          <w:rFonts w:ascii="Times New Roman" w:hAnsi="Times New Roman" w:cs="Times New Roman"/>
          <w:szCs w:val="24"/>
        </w:rPr>
        <w:t xml:space="preserve">. </w:t>
      </w:r>
      <w:r w:rsidRPr="004D42C5">
        <w:rPr>
          <w:rFonts w:ascii="Times New Roman" w:hAnsi="Times New Roman" w:cs="Times New Roman"/>
          <w:szCs w:val="24"/>
        </w:rPr>
        <w:t>Propozycja wychodzi naprzeciw postulatom zgłaszanym przez środowisko</w:t>
      </w:r>
      <w:r w:rsidR="00C17E52" w:rsidRPr="004D42C5">
        <w:rPr>
          <w:rFonts w:ascii="Times New Roman" w:hAnsi="Times New Roman" w:cs="Times New Roman"/>
          <w:szCs w:val="24"/>
        </w:rPr>
        <w:t xml:space="preserve"> zawodowe</w:t>
      </w:r>
      <w:r w:rsidRPr="004D42C5">
        <w:rPr>
          <w:rFonts w:ascii="Times New Roman" w:hAnsi="Times New Roman" w:cs="Times New Roman"/>
          <w:szCs w:val="24"/>
        </w:rPr>
        <w:t xml:space="preserve"> rzeczoznawców majątkowych.</w:t>
      </w:r>
      <w:r w:rsidR="006B7D02" w:rsidRPr="004D42C5">
        <w:rPr>
          <w:rFonts w:ascii="Times New Roman" w:hAnsi="Times New Roman" w:cs="Times New Roman"/>
          <w:szCs w:val="24"/>
        </w:rPr>
        <w:t xml:space="preserve"> Jednocześnie</w:t>
      </w:r>
      <w:r w:rsidR="0026259A">
        <w:rPr>
          <w:rFonts w:ascii="Times New Roman" w:hAnsi="Times New Roman" w:cs="Times New Roman"/>
          <w:szCs w:val="24"/>
        </w:rPr>
        <w:t>,</w:t>
      </w:r>
      <w:r w:rsidR="006B7D02" w:rsidRPr="004D42C5">
        <w:rPr>
          <w:rFonts w:ascii="Times New Roman" w:hAnsi="Times New Roman" w:cs="Times New Roman"/>
          <w:szCs w:val="24"/>
        </w:rPr>
        <w:t xml:space="preserve"> mając na uwadze potrzebę zapewnienia możliwości</w:t>
      </w:r>
      <w:r w:rsidR="00EC17B4" w:rsidRPr="004D42C5">
        <w:rPr>
          <w:rFonts w:ascii="Times New Roman" w:hAnsi="Times New Roman" w:cs="Times New Roman"/>
          <w:szCs w:val="24"/>
        </w:rPr>
        <w:t xml:space="preserve"> weryfikacji wypełniania przez rzeczoznawców majątkowych ustawowego obowiązku stałego doskonalenia kwalifikacji zawodowych </w:t>
      </w:r>
      <w:r w:rsidR="0021122F" w:rsidRPr="004D42C5">
        <w:rPr>
          <w:rFonts w:ascii="Times New Roman" w:hAnsi="Times New Roman" w:cs="Times New Roman"/>
          <w:szCs w:val="24"/>
        </w:rPr>
        <w:t>przez Komisję Odpowiedzialności Zawodowej</w:t>
      </w:r>
      <w:r w:rsidR="0026259A">
        <w:rPr>
          <w:rFonts w:ascii="Times New Roman" w:hAnsi="Times New Roman" w:cs="Times New Roman"/>
          <w:szCs w:val="24"/>
        </w:rPr>
        <w:t>,</w:t>
      </w:r>
      <w:r w:rsidR="0021122F" w:rsidRPr="004D42C5">
        <w:rPr>
          <w:rFonts w:ascii="Times New Roman" w:hAnsi="Times New Roman" w:cs="Times New Roman"/>
          <w:szCs w:val="24"/>
        </w:rPr>
        <w:t xml:space="preserve"> </w:t>
      </w:r>
      <w:r w:rsidR="00A33314" w:rsidRPr="004D42C5">
        <w:rPr>
          <w:rFonts w:ascii="Times New Roman" w:hAnsi="Times New Roman" w:cs="Times New Roman"/>
          <w:szCs w:val="24"/>
        </w:rPr>
        <w:t xml:space="preserve">zobligowano rzeczoznawców majątkowych do dokumentowania </w:t>
      </w:r>
      <w:r w:rsidR="007D4901" w:rsidRPr="004D42C5">
        <w:rPr>
          <w:rFonts w:ascii="Times New Roman" w:hAnsi="Times New Roman" w:cs="Times New Roman"/>
          <w:szCs w:val="24"/>
        </w:rPr>
        <w:t xml:space="preserve">wypełniania </w:t>
      </w:r>
      <w:r w:rsidR="00710BBF" w:rsidRPr="004D42C5">
        <w:rPr>
          <w:rFonts w:ascii="Times New Roman" w:hAnsi="Times New Roman" w:cs="Times New Roman"/>
          <w:szCs w:val="24"/>
        </w:rPr>
        <w:t>tego obowiązku oraz przechowywania tej dokumentacji przez okres pięciu lat.</w:t>
      </w:r>
      <w:r w:rsidR="007B2772" w:rsidRPr="004D42C5">
        <w:rPr>
          <w:rFonts w:ascii="Times New Roman" w:hAnsi="Times New Roman" w:cs="Times New Roman"/>
          <w:szCs w:val="24"/>
        </w:rPr>
        <w:t xml:space="preserve"> </w:t>
      </w:r>
    </w:p>
    <w:p w:rsidR="00B641B3" w:rsidRPr="004D42C5" w:rsidRDefault="00B641B3" w:rsidP="007B2772">
      <w:pPr>
        <w:pStyle w:val="ZARTzmartartykuempunktem"/>
        <w:numPr>
          <w:ilvl w:val="1"/>
          <w:numId w:val="1"/>
        </w:numPr>
        <w:tabs>
          <w:tab w:val="num" w:pos="426"/>
        </w:tabs>
        <w:spacing w:before="120"/>
        <w:ind w:left="426" w:hanging="426"/>
        <w:rPr>
          <w:rFonts w:ascii="Times New Roman" w:hAnsi="Times New Roman" w:cs="Times New Roman"/>
          <w:szCs w:val="24"/>
        </w:rPr>
      </w:pPr>
      <w:r w:rsidRPr="004D42C5">
        <w:rPr>
          <w:rFonts w:ascii="Times New Roman" w:hAnsi="Times New Roman" w:cs="Times New Roman"/>
          <w:b/>
          <w:szCs w:val="24"/>
        </w:rPr>
        <w:t>art. 177 ust. 2b</w:t>
      </w:r>
      <w:r w:rsidR="00E42643" w:rsidRPr="004D42C5">
        <w:rPr>
          <w:rFonts w:ascii="Times New Roman" w:hAnsi="Times New Roman" w:cs="Times New Roman"/>
          <w:b/>
          <w:szCs w:val="24"/>
        </w:rPr>
        <w:t xml:space="preserve"> pkt 2</w:t>
      </w:r>
      <w:r w:rsidRPr="004D42C5">
        <w:rPr>
          <w:rFonts w:ascii="Times New Roman" w:hAnsi="Times New Roman" w:cs="Times New Roman"/>
          <w:b/>
          <w:szCs w:val="24"/>
        </w:rPr>
        <w:t xml:space="preserve"> </w:t>
      </w:r>
      <w:r w:rsidR="00233AF8" w:rsidRPr="004D42C5">
        <w:rPr>
          <w:rFonts w:ascii="Times New Roman" w:hAnsi="Times New Roman" w:cs="Times New Roman"/>
          <w:b/>
          <w:szCs w:val="24"/>
        </w:rPr>
        <w:t>–</w:t>
      </w:r>
      <w:r w:rsidRPr="004D42C5">
        <w:rPr>
          <w:rFonts w:ascii="Times New Roman" w:hAnsi="Times New Roman" w:cs="Times New Roman"/>
          <w:b/>
          <w:szCs w:val="24"/>
        </w:rPr>
        <w:t xml:space="preserve"> </w:t>
      </w:r>
      <w:r w:rsidR="00233AF8" w:rsidRPr="004D42C5">
        <w:rPr>
          <w:rFonts w:ascii="Times New Roman" w:hAnsi="Times New Roman" w:cs="Times New Roman"/>
          <w:szCs w:val="24"/>
        </w:rPr>
        <w:t>zmiana ma na celu doprecyzowanie kryteriów oceny spełnienia warunku posiadania doświadczenia zawodowego</w:t>
      </w:r>
      <w:r w:rsidR="00233AF8" w:rsidRPr="004D42C5">
        <w:rPr>
          <w:rFonts w:ascii="Times New Roman" w:hAnsi="Times New Roman" w:cs="Times New Roman"/>
          <w:b/>
          <w:szCs w:val="24"/>
        </w:rPr>
        <w:t xml:space="preserve"> </w:t>
      </w:r>
      <w:r w:rsidR="00233AF8" w:rsidRPr="004D42C5">
        <w:rPr>
          <w:rFonts w:ascii="Times New Roman" w:hAnsi="Times New Roman" w:cs="Times New Roman"/>
          <w:szCs w:val="24"/>
        </w:rPr>
        <w:t xml:space="preserve">przez kandydatów na rzeczoznawców majątkowych </w:t>
      </w:r>
      <w:r w:rsidR="00E42643" w:rsidRPr="004D42C5">
        <w:rPr>
          <w:rFonts w:ascii="Times New Roman" w:hAnsi="Times New Roman" w:cs="Times New Roman"/>
          <w:szCs w:val="24"/>
        </w:rPr>
        <w:t>zwolnionych</w:t>
      </w:r>
      <w:r w:rsidR="00233AF8" w:rsidRPr="004D42C5">
        <w:rPr>
          <w:rFonts w:ascii="Times New Roman" w:hAnsi="Times New Roman" w:cs="Times New Roman"/>
          <w:szCs w:val="24"/>
        </w:rPr>
        <w:t xml:space="preserve"> z obowiązku odbywania </w:t>
      </w:r>
      <w:r w:rsidR="00E42643" w:rsidRPr="004D42C5">
        <w:rPr>
          <w:rFonts w:ascii="Times New Roman" w:hAnsi="Times New Roman" w:cs="Times New Roman"/>
          <w:szCs w:val="24"/>
        </w:rPr>
        <w:t xml:space="preserve">co najmniej </w:t>
      </w:r>
      <w:r w:rsidR="00B12895" w:rsidRPr="004D42C5">
        <w:rPr>
          <w:rFonts w:ascii="Times New Roman" w:hAnsi="Times New Roman" w:cs="Times New Roman"/>
          <w:szCs w:val="24"/>
        </w:rPr>
        <w:br/>
      </w:r>
      <w:r w:rsidR="00233AF8" w:rsidRPr="004D42C5">
        <w:rPr>
          <w:rFonts w:ascii="Times New Roman" w:hAnsi="Times New Roman" w:cs="Times New Roman"/>
          <w:szCs w:val="24"/>
        </w:rPr>
        <w:t>6-miesięcznej praktyki zawodowej</w:t>
      </w:r>
      <w:r w:rsidR="009640C8" w:rsidRPr="004D42C5">
        <w:rPr>
          <w:rFonts w:ascii="Times New Roman" w:hAnsi="Times New Roman" w:cs="Times New Roman"/>
          <w:szCs w:val="24"/>
        </w:rPr>
        <w:t>. Obecnie zarówno ze strony kandydatów, jak i</w:t>
      </w:r>
      <w:r w:rsidR="00B12895" w:rsidRPr="004D42C5">
        <w:rPr>
          <w:rFonts w:ascii="Times New Roman" w:hAnsi="Times New Roman" w:cs="Times New Roman"/>
          <w:szCs w:val="24"/>
        </w:rPr>
        <w:t> </w:t>
      </w:r>
      <w:r w:rsidR="009640C8" w:rsidRPr="004D42C5">
        <w:rPr>
          <w:rFonts w:ascii="Times New Roman" w:hAnsi="Times New Roman" w:cs="Times New Roman"/>
          <w:szCs w:val="24"/>
        </w:rPr>
        <w:t>Państwowej Komisji Kwalifikacyjnej</w:t>
      </w:r>
      <w:r w:rsidR="00E42643" w:rsidRPr="004D42C5">
        <w:rPr>
          <w:rFonts w:ascii="Times New Roman" w:hAnsi="Times New Roman" w:cs="Times New Roman"/>
          <w:szCs w:val="24"/>
        </w:rPr>
        <w:t>,</w:t>
      </w:r>
      <w:r w:rsidR="009640C8" w:rsidRPr="004D42C5">
        <w:rPr>
          <w:rFonts w:ascii="Times New Roman" w:hAnsi="Times New Roman" w:cs="Times New Roman"/>
          <w:szCs w:val="24"/>
        </w:rPr>
        <w:t xml:space="preserve"> napływają sygnały świadczące o</w:t>
      </w:r>
      <w:r w:rsidR="00B12895" w:rsidRPr="004D42C5">
        <w:rPr>
          <w:rFonts w:ascii="Times New Roman" w:hAnsi="Times New Roman" w:cs="Times New Roman"/>
          <w:szCs w:val="24"/>
        </w:rPr>
        <w:t> </w:t>
      </w:r>
      <w:r w:rsidR="009640C8" w:rsidRPr="004D42C5">
        <w:rPr>
          <w:rFonts w:ascii="Times New Roman" w:hAnsi="Times New Roman" w:cs="Times New Roman"/>
          <w:szCs w:val="24"/>
        </w:rPr>
        <w:t>nieprecyzyjnej treści przepisu, co powoduje różną praktykę przy kwalifikowaniu kandydatów oraz niepewność sytuacji prawnej osób ubiegających się o uprawnienia rzeczoznawcy majątkowego</w:t>
      </w:r>
      <w:r w:rsidR="009640C8" w:rsidRPr="004D42C5">
        <w:rPr>
          <w:rFonts w:ascii="Times New Roman" w:hAnsi="Times New Roman" w:cs="Times New Roman"/>
          <w:b/>
          <w:szCs w:val="24"/>
        </w:rPr>
        <w:t xml:space="preserve">. </w:t>
      </w:r>
    </w:p>
    <w:p w:rsidR="00BE7940" w:rsidRPr="004D42C5" w:rsidRDefault="00BE7940" w:rsidP="007B2772">
      <w:pPr>
        <w:pStyle w:val="ZARTzmartartykuempunktem"/>
        <w:numPr>
          <w:ilvl w:val="1"/>
          <w:numId w:val="1"/>
        </w:numPr>
        <w:tabs>
          <w:tab w:val="num" w:pos="426"/>
        </w:tabs>
        <w:spacing w:before="120"/>
        <w:ind w:left="426" w:hanging="426"/>
        <w:rPr>
          <w:rFonts w:ascii="Times New Roman" w:hAnsi="Times New Roman" w:cs="Times New Roman"/>
          <w:szCs w:val="24"/>
        </w:rPr>
      </w:pPr>
      <w:r w:rsidRPr="004D42C5">
        <w:rPr>
          <w:rFonts w:ascii="Times New Roman" w:hAnsi="Times New Roman" w:cs="Times New Roman"/>
          <w:b/>
          <w:szCs w:val="24"/>
        </w:rPr>
        <w:t>art. 178 ust. 2c i art. 193 ust. 6</w:t>
      </w:r>
      <w:r w:rsidRPr="004D42C5">
        <w:rPr>
          <w:rFonts w:ascii="Times New Roman" w:hAnsi="Times New Roman" w:cs="Times New Roman"/>
          <w:szCs w:val="24"/>
        </w:rPr>
        <w:t xml:space="preserve"> </w:t>
      </w:r>
      <w:r w:rsidR="002C4394" w:rsidRPr="004D42C5">
        <w:rPr>
          <w:rFonts w:ascii="Times New Roman" w:hAnsi="Times New Roman" w:cs="Times New Roman"/>
          <w:b/>
          <w:szCs w:val="24"/>
        </w:rPr>
        <w:t>i art. 195a ust. 1a</w:t>
      </w:r>
      <w:r w:rsidR="002C4394" w:rsidRPr="004D42C5">
        <w:rPr>
          <w:rFonts w:ascii="Times New Roman" w:hAnsi="Times New Roman" w:cs="Times New Roman"/>
          <w:szCs w:val="24"/>
        </w:rPr>
        <w:t xml:space="preserve"> </w:t>
      </w:r>
      <w:r w:rsidR="002C4394" w:rsidRPr="004D42C5">
        <w:rPr>
          <w:rFonts w:ascii="Times New Roman" w:eastAsia="Calibri" w:hAnsi="Times New Roman" w:cs="Times New Roman"/>
          <w:spacing w:val="4"/>
          <w:szCs w:val="24"/>
          <w:lang w:eastAsia="en-US"/>
        </w:rPr>
        <w:t>– proponuje się jednoznaczne wskazanie terminu, w którym następuje wykonanie decyzji o zastosowaniu wobec rzeczoznawcy majątkowego kary dyscyplinarnej wydanej w I instancji, w</w:t>
      </w:r>
      <w:r w:rsidR="00B12895" w:rsidRPr="004D42C5">
        <w:rPr>
          <w:rFonts w:ascii="Times New Roman" w:eastAsia="Calibri" w:hAnsi="Times New Roman" w:cs="Times New Roman"/>
          <w:spacing w:val="4"/>
          <w:szCs w:val="24"/>
          <w:lang w:eastAsia="en-US"/>
        </w:rPr>
        <w:t> </w:t>
      </w:r>
      <w:r w:rsidR="002C4394" w:rsidRPr="004D42C5">
        <w:rPr>
          <w:rFonts w:ascii="Times New Roman" w:eastAsia="Calibri" w:hAnsi="Times New Roman" w:cs="Times New Roman"/>
          <w:spacing w:val="4"/>
          <w:szCs w:val="24"/>
          <w:lang w:eastAsia="en-US"/>
        </w:rPr>
        <w:t xml:space="preserve">przypadku gdy rzeczoznawca majątkowy nie złoży w ustawowym terminie wniosku o ponowne rozpatrzenie sprawy. Zaproponowano, aby wykonanie </w:t>
      </w:r>
      <w:r w:rsidR="002C4394" w:rsidRPr="004D42C5">
        <w:rPr>
          <w:rFonts w:ascii="Times New Roman" w:eastAsia="Calibri" w:hAnsi="Times New Roman" w:cs="Times New Roman"/>
          <w:spacing w:val="4"/>
          <w:szCs w:val="24"/>
          <w:lang w:eastAsia="en-US"/>
        </w:rPr>
        <w:lastRenderedPageBreak/>
        <w:t>takiej decyzji następowało po upływie 14 dni od dnia, w którym decyzja ta stała się ostateczna, analogicznie do obowiązującego art. 195a ust. 3 ugn.</w:t>
      </w:r>
      <w:r w:rsidR="002C4394" w:rsidRPr="004D42C5">
        <w:rPr>
          <w:rFonts w:ascii="Times New Roman" w:hAnsi="Times New Roman" w:cs="Times New Roman"/>
          <w:szCs w:val="24"/>
        </w:rPr>
        <w:t xml:space="preserve"> </w:t>
      </w:r>
      <w:r w:rsidR="002C4394" w:rsidRPr="004D42C5">
        <w:rPr>
          <w:rFonts w:ascii="Times New Roman" w:eastAsia="Calibri" w:hAnsi="Times New Roman" w:cs="Times New Roman"/>
          <w:spacing w:val="4"/>
          <w:szCs w:val="24"/>
          <w:lang w:eastAsia="en-US"/>
        </w:rPr>
        <w:t xml:space="preserve">Jednocześnie zaproponowano </w:t>
      </w:r>
      <w:r w:rsidRPr="004D42C5">
        <w:rPr>
          <w:rFonts w:ascii="Times New Roman" w:hAnsi="Times New Roman" w:cs="Times New Roman"/>
          <w:szCs w:val="24"/>
        </w:rPr>
        <w:t xml:space="preserve">doprecyzowanie przepisów odnoszących się do wykonania kary dyscyplinarnej poprzez zaznaczenie, że wykonanie kary dyscyplinarnej następuje przez wpis do centralnego rejestru rzeczoznawców majątkowych. </w:t>
      </w:r>
      <w:r w:rsidR="007404D4" w:rsidRPr="004D42C5">
        <w:rPr>
          <w:rFonts w:ascii="Times New Roman" w:hAnsi="Times New Roman" w:cs="Times New Roman"/>
          <w:szCs w:val="24"/>
        </w:rPr>
        <w:t xml:space="preserve">Wpis </w:t>
      </w:r>
      <w:r w:rsidR="000F0EB7" w:rsidRPr="004D42C5">
        <w:rPr>
          <w:rFonts w:ascii="Times New Roman" w:hAnsi="Times New Roman" w:cs="Times New Roman"/>
          <w:szCs w:val="24"/>
        </w:rPr>
        <w:t xml:space="preserve">będzie </w:t>
      </w:r>
      <w:r w:rsidR="007404D4" w:rsidRPr="004D42C5">
        <w:rPr>
          <w:rFonts w:ascii="Times New Roman" w:hAnsi="Times New Roman" w:cs="Times New Roman"/>
          <w:szCs w:val="24"/>
        </w:rPr>
        <w:t xml:space="preserve">zawierał informacje przewidziane dla zakresu informacyjnego centralnego rejestrów rzeczoznawców majątkowych, o których mowa w przepisach ugn (art. 193 ust. 4). </w:t>
      </w:r>
      <w:r w:rsidRPr="004D42C5">
        <w:rPr>
          <w:rFonts w:ascii="Times New Roman" w:hAnsi="Times New Roman" w:cs="Times New Roman"/>
          <w:szCs w:val="24"/>
        </w:rPr>
        <w:t xml:space="preserve">Ponadto w przypadku orzeczenia kary zawieszenia uprawnień zawodowych wniosek o ponowny wpis może </w:t>
      </w:r>
      <w:r w:rsidR="00D36F58" w:rsidRPr="004D42C5">
        <w:rPr>
          <w:rFonts w:ascii="Times New Roman" w:hAnsi="Times New Roman" w:cs="Times New Roman"/>
          <w:szCs w:val="24"/>
        </w:rPr>
        <w:t xml:space="preserve">zostać </w:t>
      </w:r>
      <w:r w:rsidRPr="004D42C5">
        <w:rPr>
          <w:rFonts w:ascii="Times New Roman" w:hAnsi="Times New Roman" w:cs="Times New Roman"/>
          <w:szCs w:val="24"/>
        </w:rPr>
        <w:t xml:space="preserve">złożony po upływie okresu zawieszenia uprawnień zawodowych, liczonego od daty wykreślenia z centralnego rejestru, a nie np. od daty </w:t>
      </w:r>
      <w:r w:rsidR="002B088F" w:rsidRPr="004D42C5">
        <w:rPr>
          <w:rFonts w:ascii="Times New Roman" w:hAnsi="Times New Roman" w:cs="Times New Roman"/>
          <w:szCs w:val="24"/>
        </w:rPr>
        <w:t>otrzymania</w:t>
      </w:r>
      <w:r w:rsidR="007B2772" w:rsidRPr="004D42C5">
        <w:rPr>
          <w:rFonts w:ascii="Times New Roman" w:hAnsi="Times New Roman" w:cs="Times New Roman"/>
          <w:szCs w:val="24"/>
        </w:rPr>
        <w:t xml:space="preserve"> </w:t>
      </w:r>
      <w:r w:rsidRPr="004D42C5">
        <w:rPr>
          <w:rFonts w:ascii="Times New Roman" w:hAnsi="Times New Roman" w:cs="Times New Roman"/>
          <w:szCs w:val="24"/>
        </w:rPr>
        <w:t>decyzji o</w:t>
      </w:r>
      <w:r w:rsidR="00B12895" w:rsidRPr="004D42C5">
        <w:rPr>
          <w:rFonts w:ascii="Times New Roman" w:hAnsi="Times New Roman" w:cs="Times New Roman"/>
          <w:szCs w:val="24"/>
        </w:rPr>
        <w:t> </w:t>
      </w:r>
      <w:r w:rsidRPr="004D42C5">
        <w:rPr>
          <w:rFonts w:ascii="Times New Roman" w:hAnsi="Times New Roman" w:cs="Times New Roman"/>
          <w:szCs w:val="24"/>
        </w:rPr>
        <w:t>zastosowaniu tej kary.</w:t>
      </w:r>
    </w:p>
    <w:p w:rsidR="00851D0D" w:rsidRPr="004D42C5" w:rsidRDefault="00851D0D" w:rsidP="007B2772">
      <w:pPr>
        <w:pStyle w:val="ZARTzmartartykuempunktem"/>
        <w:numPr>
          <w:ilvl w:val="1"/>
          <w:numId w:val="1"/>
        </w:numPr>
        <w:tabs>
          <w:tab w:val="num" w:pos="426"/>
        </w:tabs>
        <w:spacing w:before="120"/>
        <w:ind w:left="426" w:hanging="426"/>
        <w:rPr>
          <w:rFonts w:ascii="Times New Roman" w:hAnsi="Times New Roman" w:cs="Times New Roman"/>
          <w:szCs w:val="24"/>
        </w:rPr>
      </w:pPr>
      <w:r w:rsidRPr="004D42C5">
        <w:rPr>
          <w:rFonts w:ascii="Times New Roman" w:eastAsia="Calibri" w:hAnsi="Times New Roman" w:cs="Times New Roman"/>
          <w:b/>
          <w:spacing w:val="4"/>
          <w:szCs w:val="24"/>
          <w:lang w:eastAsia="en-US"/>
        </w:rPr>
        <w:t xml:space="preserve">art. 178 ust. 6 – </w:t>
      </w:r>
      <w:r w:rsidRPr="004D42C5">
        <w:rPr>
          <w:rFonts w:ascii="Times New Roman" w:eastAsia="Calibri" w:hAnsi="Times New Roman" w:cs="Times New Roman"/>
          <w:spacing w:val="4"/>
          <w:szCs w:val="24"/>
          <w:lang w:eastAsia="en-US"/>
        </w:rPr>
        <w:t xml:space="preserve">doprecyzowanie, że </w:t>
      </w:r>
      <w:r w:rsidRPr="004D42C5">
        <w:rPr>
          <w:rFonts w:ascii="Times New Roman" w:hAnsi="Times New Roman" w:cs="Times New Roman"/>
          <w:spacing w:val="4"/>
          <w:szCs w:val="24"/>
        </w:rPr>
        <w:t xml:space="preserve">rzeczoznawca majątkowy, który </w:t>
      </w:r>
      <w:r w:rsidR="00A01A9B" w:rsidRPr="004D42C5">
        <w:rPr>
          <w:rFonts w:ascii="Times New Roman" w:hAnsi="Times New Roman" w:cs="Times New Roman"/>
          <w:spacing w:val="4"/>
          <w:szCs w:val="24"/>
        </w:rPr>
        <w:t xml:space="preserve">orzeczeniem </w:t>
      </w:r>
      <w:r w:rsidRPr="004D42C5">
        <w:rPr>
          <w:rFonts w:ascii="Times New Roman" w:hAnsi="Times New Roman" w:cs="Times New Roman"/>
          <w:spacing w:val="4"/>
          <w:szCs w:val="24"/>
        </w:rPr>
        <w:t>sądu został pozbawiony uprawnień zawodowych w wyniku:</w:t>
      </w:r>
    </w:p>
    <w:p w:rsidR="00851D0D" w:rsidRPr="004D42C5" w:rsidRDefault="00851D0D" w:rsidP="0026259A">
      <w:pPr>
        <w:pStyle w:val="ZARTzmartartykuempunktem"/>
        <w:numPr>
          <w:ilvl w:val="0"/>
          <w:numId w:val="7"/>
        </w:numPr>
        <w:ind w:left="851"/>
        <w:rPr>
          <w:rFonts w:ascii="Times New Roman" w:hAnsi="Times New Roman" w:cs="Times New Roman"/>
          <w:szCs w:val="24"/>
        </w:rPr>
      </w:pPr>
      <w:r w:rsidRPr="004D42C5">
        <w:rPr>
          <w:rFonts w:ascii="Times New Roman" w:hAnsi="Times New Roman" w:cs="Times New Roman"/>
          <w:szCs w:val="24"/>
        </w:rPr>
        <w:t>utraty pełnej zdolności do czynności prawnych,</w:t>
      </w:r>
    </w:p>
    <w:p w:rsidR="00851D0D" w:rsidRPr="004D42C5" w:rsidRDefault="00851D0D" w:rsidP="0026259A">
      <w:pPr>
        <w:pStyle w:val="ZARTzmartartykuempunktem"/>
        <w:numPr>
          <w:ilvl w:val="0"/>
          <w:numId w:val="7"/>
        </w:numPr>
        <w:ind w:left="851"/>
        <w:rPr>
          <w:rFonts w:ascii="Times New Roman" w:hAnsi="Times New Roman" w:cs="Times New Roman"/>
          <w:szCs w:val="24"/>
        </w:rPr>
      </w:pPr>
      <w:r w:rsidRPr="004D42C5">
        <w:rPr>
          <w:rFonts w:ascii="Times New Roman" w:hAnsi="Times New Roman" w:cs="Times New Roman"/>
          <w:szCs w:val="24"/>
        </w:rPr>
        <w:t>skazania za przestępstwo przeciwko działalności instytucji państwowych oraz samorządu terytorialnego, za przestępstwo przeciwko wymiarowi sprawiedliwości, za przestępstwo przeciwko wiarygodności dokumentów, za przestępstwo przeciwko mieniu, za przestępstwo przeciwko obrotowi gospodarczemu, za przestępstwo przeciwko obrotowi pieniędzmi i papierami wartościowymi lub za przestępstwo skarbowe,</w:t>
      </w:r>
    </w:p>
    <w:p w:rsidR="00851D0D" w:rsidRPr="004D42C5" w:rsidRDefault="00851D0D" w:rsidP="0026259A">
      <w:pPr>
        <w:pStyle w:val="ZARTzmartartykuempunktem"/>
        <w:numPr>
          <w:ilvl w:val="0"/>
          <w:numId w:val="7"/>
        </w:numPr>
        <w:ind w:left="851"/>
        <w:rPr>
          <w:rFonts w:ascii="Times New Roman" w:hAnsi="Times New Roman" w:cs="Times New Roman"/>
          <w:szCs w:val="24"/>
        </w:rPr>
      </w:pPr>
      <w:r w:rsidRPr="004D42C5">
        <w:rPr>
          <w:rFonts w:ascii="Times New Roman" w:hAnsi="Times New Roman" w:cs="Times New Roman"/>
          <w:szCs w:val="24"/>
        </w:rPr>
        <w:t>sądowego zakazu wykonywania zawodu rzeczoznawcy majątkowego lub zakazu prowadzenia działalności gospodarczej w za</w:t>
      </w:r>
      <w:r w:rsidR="0026259A">
        <w:rPr>
          <w:rFonts w:ascii="Times New Roman" w:hAnsi="Times New Roman" w:cs="Times New Roman"/>
          <w:szCs w:val="24"/>
        </w:rPr>
        <w:t>kresie szacowania nieruchomości</w:t>
      </w:r>
    </w:p>
    <w:p w:rsidR="007954A2" w:rsidRPr="004D42C5" w:rsidRDefault="0026259A" w:rsidP="0026259A">
      <w:pPr>
        <w:pStyle w:val="ZARTzmartartykuempunktem"/>
        <w:ind w:left="567" w:firstLine="0"/>
        <w:rPr>
          <w:rFonts w:ascii="Times New Roman" w:hAnsi="Times New Roman" w:cs="Times New Roman"/>
          <w:spacing w:val="4"/>
          <w:szCs w:val="24"/>
        </w:rPr>
      </w:pPr>
      <w:r>
        <w:rPr>
          <w:rFonts w:ascii="Times New Roman" w:hAnsi="Times New Roman" w:cs="Times New Roman"/>
          <w:spacing w:val="4"/>
          <w:szCs w:val="24"/>
        </w:rPr>
        <w:t xml:space="preserve">– </w:t>
      </w:r>
      <w:r w:rsidR="00851D0D" w:rsidRPr="004D42C5">
        <w:rPr>
          <w:rFonts w:ascii="Times New Roman" w:hAnsi="Times New Roman" w:cs="Times New Roman"/>
          <w:spacing w:val="4"/>
          <w:szCs w:val="24"/>
        </w:rPr>
        <w:t xml:space="preserve">z dniem uprawomocnienia się tego </w:t>
      </w:r>
      <w:r w:rsidR="003B72F1" w:rsidRPr="004D42C5">
        <w:rPr>
          <w:rFonts w:ascii="Times New Roman" w:hAnsi="Times New Roman" w:cs="Times New Roman"/>
          <w:spacing w:val="4"/>
          <w:szCs w:val="24"/>
        </w:rPr>
        <w:t xml:space="preserve">orzeczenia </w:t>
      </w:r>
      <w:r w:rsidR="00851D0D" w:rsidRPr="004D42C5">
        <w:rPr>
          <w:rFonts w:ascii="Times New Roman" w:hAnsi="Times New Roman" w:cs="Times New Roman"/>
          <w:spacing w:val="4"/>
          <w:szCs w:val="24"/>
        </w:rPr>
        <w:t xml:space="preserve">traci prawo wykonywania zawodu i posługiwania się tytułem „rzeczoznawca majątkowy”. Przepis ten jest niezbędny z uwagi na upływ czasu pomiędzy </w:t>
      </w:r>
      <w:r w:rsidR="003E3222" w:rsidRPr="004D42C5">
        <w:rPr>
          <w:rFonts w:ascii="Times New Roman" w:hAnsi="Times New Roman" w:cs="Times New Roman"/>
          <w:spacing w:val="4"/>
          <w:szCs w:val="24"/>
        </w:rPr>
        <w:t xml:space="preserve">uprawomocnieniem się </w:t>
      </w:r>
      <w:r w:rsidR="003B72F1" w:rsidRPr="004D42C5">
        <w:rPr>
          <w:rFonts w:ascii="Times New Roman" w:hAnsi="Times New Roman" w:cs="Times New Roman"/>
          <w:spacing w:val="4"/>
          <w:szCs w:val="24"/>
        </w:rPr>
        <w:t xml:space="preserve">orzeczenia </w:t>
      </w:r>
      <w:r w:rsidR="003E3222" w:rsidRPr="004D42C5">
        <w:rPr>
          <w:rFonts w:ascii="Times New Roman" w:hAnsi="Times New Roman" w:cs="Times New Roman"/>
          <w:spacing w:val="4"/>
          <w:szCs w:val="24"/>
        </w:rPr>
        <w:t xml:space="preserve">sądu </w:t>
      </w:r>
      <w:r w:rsidR="00851D0D" w:rsidRPr="004D42C5">
        <w:rPr>
          <w:rFonts w:ascii="Times New Roman" w:hAnsi="Times New Roman" w:cs="Times New Roman"/>
          <w:spacing w:val="4"/>
          <w:szCs w:val="24"/>
        </w:rPr>
        <w:t xml:space="preserve">a otrzymaniem informacji o tym zdarzeniu przez organ prowadzący centralny rejestr rzeczoznawców majątkowych, a tym samym wykreśleniem z tego rejestru. </w:t>
      </w:r>
    </w:p>
    <w:p w:rsidR="00E61B46" w:rsidRPr="004D42C5" w:rsidRDefault="007954A2" w:rsidP="007B2772">
      <w:pPr>
        <w:pStyle w:val="ZARTzmartartykuempunktem"/>
        <w:numPr>
          <w:ilvl w:val="1"/>
          <w:numId w:val="1"/>
        </w:numPr>
        <w:tabs>
          <w:tab w:val="num" w:pos="426"/>
        </w:tabs>
        <w:spacing w:before="120"/>
        <w:ind w:left="426" w:hanging="426"/>
        <w:rPr>
          <w:rFonts w:ascii="Times New Roman" w:hAnsi="Times New Roman" w:cs="Times New Roman"/>
          <w:szCs w:val="24"/>
        </w:rPr>
      </w:pPr>
      <w:r w:rsidRPr="004D42C5">
        <w:rPr>
          <w:rFonts w:ascii="Times New Roman" w:eastAsia="Calibri" w:hAnsi="Times New Roman" w:cs="Times New Roman"/>
          <w:b/>
          <w:spacing w:val="4"/>
          <w:szCs w:val="24"/>
          <w:lang w:eastAsia="en-US"/>
        </w:rPr>
        <w:t>art. 179a</w:t>
      </w:r>
      <w:r w:rsidR="00FA74EA">
        <w:rPr>
          <w:rFonts w:ascii="Times New Roman" w:eastAsia="Calibri" w:hAnsi="Times New Roman" w:cs="Times New Roman"/>
          <w:b/>
          <w:spacing w:val="4"/>
          <w:szCs w:val="24"/>
          <w:lang w:eastAsia="en-US"/>
        </w:rPr>
        <w:t>, art.</w:t>
      </w:r>
      <w:r w:rsidRPr="004D42C5">
        <w:rPr>
          <w:rFonts w:ascii="Times New Roman" w:eastAsia="Calibri" w:hAnsi="Times New Roman" w:cs="Times New Roman"/>
          <w:b/>
          <w:spacing w:val="4"/>
          <w:szCs w:val="24"/>
          <w:lang w:eastAsia="en-US"/>
        </w:rPr>
        <w:t xml:space="preserve"> 179b, art. 184a</w:t>
      </w:r>
      <w:r w:rsidR="00FA74EA">
        <w:rPr>
          <w:rFonts w:ascii="Times New Roman" w:eastAsia="Calibri" w:hAnsi="Times New Roman" w:cs="Times New Roman"/>
          <w:b/>
          <w:spacing w:val="4"/>
          <w:szCs w:val="24"/>
          <w:lang w:eastAsia="en-US"/>
        </w:rPr>
        <w:t>,</w:t>
      </w:r>
      <w:r w:rsidRPr="004D42C5">
        <w:rPr>
          <w:rFonts w:ascii="Times New Roman" w:eastAsia="Calibri" w:hAnsi="Times New Roman" w:cs="Times New Roman"/>
          <w:b/>
          <w:spacing w:val="4"/>
          <w:szCs w:val="24"/>
          <w:lang w:eastAsia="en-US"/>
        </w:rPr>
        <w:t xml:space="preserve"> </w:t>
      </w:r>
      <w:r w:rsidR="00FA74EA">
        <w:rPr>
          <w:rFonts w:ascii="Times New Roman" w:eastAsia="Calibri" w:hAnsi="Times New Roman" w:cs="Times New Roman"/>
          <w:b/>
          <w:spacing w:val="4"/>
          <w:szCs w:val="24"/>
          <w:lang w:eastAsia="en-US"/>
        </w:rPr>
        <w:t xml:space="preserve">art. </w:t>
      </w:r>
      <w:r w:rsidRPr="004D42C5">
        <w:rPr>
          <w:rFonts w:ascii="Times New Roman" w:eastAsia="Calibri" w:hAnsi="Times New Roman" w:cs="Times New Roman"/>
          <w:b/>
          <w:spacing w:val="4"/>
          <w:szCs w:val="24"/>
          <w:lang w:eastAsia="en-US"/>
        </w:rPr>
        <w:t>184b</w:t>
      </w:r>
      <w:r w:rsidR="00FA74EA">
        <w:rPr>
          <w:rFonts w:ascii="Times New Roman" w:eastAsia="Calibri" w:hAnsi="Times New Roman" w:cs="Times New Roman"/>
          <w:b/>
          <w:spacing w:val="4"/>
          <w:szCs w:val="24"/>
          <w:lang w:eastAsia="en-US"/>
        </w:rPr>
        <w:t xml:space="preserve"> i</w:t>
      </w:r>
      <w:r w:rsidRPr="004D42C5">
        <w:rPr>
          <w:rFonts w:ascii="Times New Roman" w:eastAsia="Calibri" w:hAnsi="Times New Roman" w:cs="Times New Roman"/>
          <w:b/>
          <w:spacing w:val="4"/>
          <w:szCs w:val="24"/>
          <w:lang w:eastAsia="en-US"/>
        </w:rPr>
        <w:t xml:space="preserve"> </w:t>
      </w:r>
      <w:r w:rsidR="00FA74EA">
        <w:rPr>
          <w:rFonts w:ascii="Times New Roman" w:eastAsia="Calibri" w:hAnsi="Times New Roman" w:cs="Times New Roman"/>
          <w:b/>
          <w:spacing w:val="4"/>
          <w:szCs w:val="24"/>
          <w:lang w:eastAsia="en-US"/>
        </w:rPr>
        <w:t xml:space="preserve">art. </w:t>
      </w:r>
      <w:r w:rsidRPr="004D42C5">
        <w:rPr>
          <w:rFonts w:ascii="Times New Roman" w:eastAsia="Calibri" w:hAnsi="Times New Roman" w:cs="Times New Roman"/>
          <w:b/>
          <w:spacing w:val="4"/>
          <w:szCs w:val="24"/>
          <w:lang w:eastAsia="en-US"/>
        </w:rPr>
        <w:t>198b</w:t>
      </w:r>
      <w:r w:rsidRPr="004D42C5">
        <w:rPr>
          <w:rFonts w:ascii="Times New Roman" w:eastAsia="Calibri" w:hAnsi="Times New Roman" w:cs="Times New Roman"/>
          <w:spacing w:val="4"/>
          <w:szCs w:val="24"/>
          <w:lang w:eastAsia="en-US"/>
        </w:rPr>
        <w:t xml:space="preserve"> – zaproponowano </w:t>
      </w:r>
      <w:r w:rsidR="003E3222" w:rsidRPr="004D42C5">
        <w:rPr>
          <w:rFonts w:ascii="Times New Roman" w:hAnsi="Times New Roman" w:cs="Times New Roman"/>
          <w:szCs w:val="24"/>
        </w:rPr>
        <w:t>wprowadzenie</w:t>
      </w:r>
      <w:r w:rsidRPr="004D42C5">
        <w:rPr>
          <w:rFonts w:ascii="Times New Roman" w:hAnsi="Times New Roman" w:cs="Times New Roman"/>
          <w:szCs w:val="24"/>
        </w:rPr>
        <w:t xml:space="preserve"> definicji „pośrednictwa w obrocie nieruchomościami” oraz „zarządzania nieruchomościami”</w:t>
      </w:r>
      <w:r w:rsidR="003E3222" w:rsidRPr="004D42C5">
        <w:rPr>
          <w:rFonts w:ascii="Times New Roman" w:hAnsi="Times New Roman" w:cs="Times New Roman"/>
          <w:szCs w:val="24"/>
        </w:rPr>
        <w:t>, które zostały uchylone u</w:t>
      </w:r>
      <w:r w:rsidRPr="004D42C5">
        <w:rPr>
          <w:rFonts w:ascii="Times New Roman" w:hAnsi="Times New Roman" w:cs="Times New Roman"/>
          <w:szCs w:val="24"/>
        </w:rPr>
        <w:t xml:space="preserve">stawą z dnia 13 czerwca </w:t>
      </w:r>
      <w:r w:rsidRPr="004D42C5">
        <w:rPr>
          <w:rFonts w:ascii="Times New Roman" w:hAnsi="Times New Roman" w:cs="Times New Roman"/>
          <w:szCs w:val="24"/>
        </w:rPr>
        <w:lastRenderedPageBreak/>
        <w:t>2013 r. o</w:t>
      </w:r>
      <w:r w:rsidR="0009522F" w:rsidRPr="004D42C5">
        <w:rPr>
          <w:rFonts w:ascii="Times New Roman" w:hAnsi="Times New Roman" w:cs="Times New Roman"/>
          <w:szCs w:val="24"/>
        </w:rPr>
        <w:t> </w:t>
      </w:r>
      <w:r w:rsidRPr="004D42C5">
        <w:rPr>
          <w:rFonts w:ascii="Times New Roman" w:hAnsi="Times New Roman" w:cs="Times New Roman"/>
          <w:szCs w:val="24"/>
        </w:rPr>
        <w:t>zmianie ustaw regulujących wykonywanie niektórych zawodów (Dz. U. poz. 829)</w:t>
      </w:r>
      <w:r w:rsidR="003E3222" w:rsidRPr="004D42C5">
        <w:rPr>
          <w:rFonts w:ascii="Times New Roman" w:hAnsi="Times New Roman" w:cs="Times New Roman"/>
          <w:szCs w:val="24"/>
        </w:rPr>
        <w:t>.</w:t>
      </w:r>
      <w:r w:rsidR="007B2772" w:rsidRPr="004D42C5">
        <w:rPr>
          <w:rFonts w:ascii="Times New Roman" w:hAnsi="Times New Roman" w:cs="Times New Roman"/>
          <w:szCs w:val="24"/>
        </w:rPr>
        <w:t xml:space="preserve"> </w:t>
      </w:r>
      <w:r w:rsidRPr="004D42C5">
        <w:rPr>
          <w:rFonts w:ascii="Times New Roman" w:hAnsi="Times New Roman" w:cs="Times New Roman"/>
          <w:szCs w:val="24"/>
        </w:rPr>
        <w:t>W konsekwencji w praktyce wykonywania działalności zawodowej pojawiły się wątpliwości interpretacyjne zgłaszane zarówno ze strony pośredników i zarządów, jak również klientów tych podmiotów. Zaistniała zatem potrzeba skatalogowania wykonywanych czynności, co pozwoli zapewnić przejrzystą i stabilną sytuację podmiotom zawierającym umowy pośrednictwa w obrocie nieruchomościami i</w:t>
      </w:r>
      <w:r w:rsidR="0009522F" w:rsidRPr="004D42C5">
        <w:rPr>
          <w:rFonts w:ascii="Times New Roman" w:hAnsi="Times New Roman" w:cs="Times New Roman"/>
          <w:szCs w:val="24"/>
        </w:rPr>
        <w:t> </w:t>
      </w:r>
      <w:r w:rsidRPr="004D42C5">
        <w:rPr>
          <w:rFonts w:ascii="Times New Roman" w:hAnsi="Times New Roman" w:cs="Times New Roman"/>
          <w:szCs w:val="24"/>
        </w:rPr>
        <w:t xml:space="preserve">zarządzania nieruchomościami. Równocześnie pomocne będzie zdefiniowanie pojęć „pośrednik w obrocie nieruchomościami” oraz „zarządca nieruchomości”. </w:t>
      </w:r>
      <w:r w:rsidR="00277FF8" w:rsidRPr="004D42C5">
        <w:rPr>
          <w:rFonts w:ascii="Times New Roman" w:hAnsi="Times New Roman" w:cs="Times New Roman"/>
          <w:szCs w:val="24"/>
        </w:rPr>
        <w:t>Należy zauważyć, że przed dniem 1 stycznia 2</w:t>
      </w:r>
      <w:r w:rsidR="0082271E" w:rsidRPr="004D42C5">
        <w:rPr>
          <w:rFonts w:ascii="Times New Roman" w:hAnsi="Times New Roman" w:cs="Times New Roman"/>
          <w:szCs w:val="24"/>
        </w:rPr>
        <w:t>014 r. pośrednikiem lub zarządcą</w:t>
      </w:r>
      <w:r w:rsidR="00277FF8" w:rsidRPr="004D42C5">
        <w:rPr>
          <w:rFonts w:ascii="Times New Roman" w:hAnsi="Times New Roman" w:cs="Times New Roman"/>
          <w:szCs w:val="24"/>
        </w:rPr>
        <w:t xml:space="preserve"> mogła być wyłącznie osoba</w:t>
      </w:r>
      <w:r w:rsidR="00585DE0" w:rsidRPr="004D42C5">
        <w:rPr>
          <w:rFonts w:ascii="Times New Roman" w:hAnsi="Times New Roman" w:cs="Times New Roman"/>
          <w:szCs w:val="24"/>
        </w:rPr>
        <w:t xml:space="preserve"> fizyczna</w:t>
      </w:r>
      <w:r w:rsidR="00277FF8" w:rsidRPr="004D42C5">
        <w:rPr>
          <w:rFonts w:ascii="Times New Roman" w:hAnsi="Times New Roman" w:cs="Times New Roman"/>
          <w:szCs w:val="24"/>
        </w:rPr>
        <w:t xml:space="preserve">, która posiadała licencję zawodową nadaną przez </w:t>
      </w:r>
      <w:r w:rsidR="00277FF8" w:rsidRPr="004D42C5">
        <w:rPr>
          <w:rFonts w:ascii="Times New Roman" w:hAnsi="Times New Roman" w:cs="Times New Roman"/>
          <w:spacing w:val="4"/>
          <w:szCs w:val="24"/>
        </w:rPr>
        <w:t>m</w:t>
      </w:r>
      <w:r w:rsidR="00277FF8" w:rsidRPr="004D42C5">
        <w:rPr>
          <w:rFonts w:ascii="Times New Roman" w:hAnsi="Times New Roman" w:cs="Times New Roman"/>
          <w:szCs w:val="24"/>
        </w:rPr>
        <w:t xml:space="preserve">inistra właściwego do spraw budownictwa, planowania i zagospodarowania przestrzennego oraz mieszkalnictwa. </w:t>
      </w:r>
      <w:r w:rsidR="0082271E" w:rsidRPr="004D42C5">
        <w:rPr>
          <w:rFonts w:ascii="Times New Roman" w:hAnsi="Times New Roman" w:cs="Times New Roman"/>
          <w:szCs w:val="24"/>
        </w:rPr>
        <w:t>Natomiast w</w:t>
      </w:r>
      <w:r w:rsidR="00277FF8" w:rsidRPr="004D42C5">
        <w:rPr>
          <w:rFonts w:ascii="Times New Roman" w:hAnsi="Times New Roman" w:cs="Times New Roman"/>
          <w:szCs w:val="24"/>
        </w:rPr>
        <w:t xml:space="preserve"> obowiązującym stanie prawnym</w:t>
      </w:r>
      <w:r w:rsidR="0082271E" w:rsidRPr="004D42C5">
        <w:rPr>
          <w:rFonts w:ascii="Times New Roman" w:hAnsi="Times New Roman" w:cs="Times New Roman"/>
          <w:szCs w:val="24"/>
        </w:rPr>
        <w:t xml:space="preserve"> </w:t>
      </w:r>
      <w:r w:rsidR="00277FF8" w:rsidRPr="004D42C5">
        <w:rPr>
          <w:rFonts w:ascii="Times New Roman" w:hAnsi="Times New Roman" w:cs="Times New Roman"/>
          <w:szCs w:val="24"/>
        </w:rPr>
        <w:t xml:space="preserve">czynności pośrednictwa oraz zarządzania może wykonywać każdy pod warunkiem, że zawrze odpowiednio umowę pośrednictwa lub o zarządzanie nieruchomością oraz będzie posiadał obowiązkowe ubezpieczenie OC. </w:t>
      </w:r>
      <w:r w:rsidRPr="004D42C5">
        <w:rPr>
          <w:rFonts w:ascii="Times New Roman" w:hAnsi="Times New Roman" w:cs="Times New Roman"/>
          <w:szCs w:val="24"/>
        </w:rPr>
        <w:t xml:space="preserve">Pojawiają się </w:t>
      </w:r>
      <w:r w:rsidR="007C275E" w:rsidRPr="004D42C5">
        <w:rPr>
          <w:rFonts w:ascii="Times New Roman" w:hAnsi="Times New Roman" w:cs="Times New Roman"/>
          <w:szCs w:val="24"/>
        </w:rPr>
        <w:t>jednak</w:t>
      </w:r>
      <w:r w:rsidR="00585DE0" w:rsidRPr="004D42C5">
        <w:rPr>
          <w:rFonts w:ascii="Times New Roman" w:hAnsi="Times New Roman" w:cs="Times New Roman"/>
          <w:szCs w:val="24"/>
        </w:rPr>
        <w:t xml:space="preserve"> </w:t>
      </w:r>
      <w:r w:rsidRPr="004D42C5">
        <w:rPr>
          <w:rFonts w:ascii="Times New Roman" w:hAnsi="Times New Roman" w:cs="Times New Roman"/>
          <w:szCs w:val="24"/>
        </w:rPr>
        <w:t>wątpliwości, kto powinien wykonywać czynności zawodowe, a przede wszystkim zawrzeć umowę pośrednictwa lub umowę o zarządzanie nieruchomością i</w:t>
      </w:r>
      <w:r w:rsidR="005879EA">
        <w:rPr>
          <w:rFonts w:ascii="Times New Roman" w:hAnsi="Times New Roman" w:cs="Times New Roman"/>
          <w:szCs w:val="24"/>
        </w:rPr>
        <w:t xml:space="preserve"> </w:t>
      </w:r>
      <w:r w:rsidRPr="004D42C5">
        <w:rPr>
          <w:rFonts w:ascii="Times New Roman" w:hAnsi="Times New Roman" w:cs="Times New Roman"/>
          <w:szCs w:val="24"/>
        </w:rPr>
        <w:t>w</w:t>
      </w:r>
      <w:r w:rsidR="005879EA">
        <w:rPr>
          <w:rFonts w:ascii="Times New Roman" w:hAnsi="Times New Roman" w:cs="Times New Roman"/>
          <w:szCs w:val="24"/>
        </w:rPr>
        <w:t xml:space="preserve"> </w:t>
      </w:r>
      <w:r w:rsidRPr="004D42C5">
        <w:rPr>
          <w:rFonts w:ascii="Times New Roman" w:hAnsi="Times New Roman" w:cs="Times New Roman"/>
          <w:szCs w:val="24"/>
        </w:rPr>
        <w:t>związku z tym podlegać obowiązkowemu ubezpieczeniu odpowiedzialności cywilnej, czy np. zarządca jako osoba fizyczna</w:t>
      </w:r>
      <w:r w:rsidR="005879EA">
        <w:rPr>
          <w:rFonts w:ascii="Times New Roman" w:hAnsi="Times New Roman" w:cs="Times New Roman"/>
          <w:szCs w:val="24"/>
        </w:rPr>
        <w:t>,</w:t>
      </w:r>
      <w:r w:rsidRPr="004D42C5">
        <w:rPr>
          <w:rFonts w:ascii="Times New Roman" w:hAnsi="Times New Roman" w:cs="Times New Roman"/>
          <w:szCs w:val="24"/>
        </w:rPr>
        <w:t xml:space="preserve"> czy firma (osoba prawna) zatrudniająca zarządców. W ocenie projektodawcy pośrednikiem lub zarządcą</w:t>
      </w:r>
      <w:r w:rsidRPr="004D42C5">
        <w:rPr>
          <w:rFonts w:ascii="Times New Roman" w:hAnsi="Times New Roman" w:cs="Times New Roman"/>
          <w:color w:val="FF0000"/>
          <w:szCs w:val="24"/>
        </w:rPr>
        <w:t xml:space="preserve"> </w:t>
      </w:r>
      <w:r w:rsidRPr="004D42C5">
        <w:rPr>
          <w:rFonts w:ascii="Times New Roman" w:hAnsi="Times New Roman" w:cs="Times New Roman"/>
          <w:szCs w:val="24"/>
        </w:rPr>
        <w:t xml:space="preserve">powinna być osoba, która realizuje czynności </w:t>
      </w:r>
      <w:r w:rsidR="003E3222" w:rsidRPr="004D42C5">
        <w:rPr>
          <w:rFonts w:ascii="Times New Roman" w:hAnsi="Times New Roman" w:cs="Times New Roman"/>
          <w:szCs w:val="24"/>
        </w:rPr>
        <w:t xml:space="preserve">zawodowe </w:t>
      </w:r>
      <w:r w:rsidRPr="004D42C5">
        <w:rPr>
          <w:rFonts w:ascii="Times New Roman" w:hAnsi="Times New Roman" w:cs="Times New Roman"/>
          <w:szCs w:val="24"/>
        </w:rPr>
        <w:t>odpłatnie, w sposób zorganizowany, ciągły, powtarzalny. Te wszystkie elementy składają się na definicję działalności gospodarczej, dlatego zaproponowano, aby czynności z</w:t>
      </w:r>
      <w:r w:rsidR="0009522F" w:rsidRPr="004D42C5">
        <w:rPr>
          <w:rFonts w:ascii="Times New Roman" w:hAnsi="Times New Roman" w:cs="Times New Roman"/>
          <w:szCs w:val="24"/>
        </w:rPr>
        <w:t> </w:t>
      </w:r>
      <w:r w:rsidRPr="004D42C5">
        <w:rPr>
          <w:rFonts w:ascii="Times New Roman" w:hAnsi="Times New Roman" w:cs="Times New Roman"/>
          <w:szCs w:val="24"/>
        </w:rPr>
        <w:t>zakresu pośrednictwa lub zarządzania nieruchomościami mogli wykonywać przedsiębiorcy. W takim przypadku nie ma przeszkód, aby faktyczne czynności wykonywały osoby fizyczne na podstawie umowy łączącej ich z przedsiębiorcą. Ponadto zdefiniowanie pośrednika i zarządcy jako przedsiębiorcy znacząco ograniczy ryzyko, że pośrednictwem lub zar</w:t>
      </w:r>
      <w:r w:rsidR="003E3222" w:rsidRPr="004D42C5">
        <w:rPr>
          <w:rFonts w:ascii="Times New Roman" w:hAnsi="Times New Roman" w:cs="Times New Roman"/>
          <w:szCs w:val="24"/>
        </w:rPr>
        <w:t>ządzaniem zajmować się będą</w:t>
      </w:r>
      <w:r w:rsidRPr="004D42C5">
        <w:rPr>
          <w:rFonts w:ascii="Times New Roman" w:hAnsi="Times New Roman" w:cs="Times New Roman"/>
          <w:szCs w:val="24"/>
        </w:rPr>
        <w:t xml:space="preserve"> przypadkow</w:t>
      </w:r>
      <w:r w:rsidR="003E3222" w:rsidRPr="004D42C5">
        <w:rPr>
          <w:rFonts w:ascii="Times New Roman" w:hAnsi="Times New Roman" w:cs="Times New Roman"/>
          <w:szCs w:val="24"/>
        </w:rPr>
        <w:t>e</w:t>
      </w:r>
      <w:r w:rsidRPr="004D42C5">
        <w:rPr>
          <w:rFonts w:ascii="Times New Roman" w:hAnsi="Times New Roman" w:cs="Times New Roman"/>
          <w:szCs w:val="24"/>
        </w:rPr>
        <w:t xml:space="preserve"> osob</w:t>
      </w:r>
      <w:r w:rsidR="003E3222" w:rsidRPr="004D42C5">
        <w:rPr>
          <w:rFonts w:ascii="Times New Roman" w:hAnsi="Times New Roman" w:cs="Times New Roman"/>
          <w:szCs w:val="24"/>
        </w:rPr>
        <w:t>y</w:t>
      </w:r>
      <w:r w:rsidR="00B734AD" w:rsidRPr="004D42C5">
        <w:rPr>
          <w:rFonts w:ascii="Times New Roman" w:hAnsi="Times New Roman" w:cs="Times New Roman"/>
          <w:szCs w:val="24"/>
        </w:rPr>
        <w:t>, co w</w:t>
      </w:r>
      <w:r w:rsidR="007C275E" w:rsidRPr="004D42C5">
        <w:rPr>
          <w:rFonts w:ascii="Times New Roman" w:hAnsi="Times New Roman" w:cs="Times New Roman"/>
          <w:szCs w:val="24"/>
        </w:rPr>
        <w:t xml:space="preserve"> konsekwencji zagwarantuje </w:t>
      </w:r>
      <w:r w:rsidR="00B734AD" w:rsidRPr="004D42C5">
        <w:rPr>
          <w:rFonts w:ascii="Times New Roman" w:hAnsi="Times New Roman" w:cs="Times New Roman"/>
          <w:szCs w:val="24"/>
        </w:rPr>
        <w:t xml:space="preserve">również </w:t>
      </w:r>
      <w:r w:rsidR="007C275E" w:rsidRPr="004D42C5">
        <w:rPr>
          <w:rFonts w:ascii="Times New Roman" w:hAnsi="Times New Roman" w:cs="Times New Roman"/>
          <w:szCs w:val="24"/>
        </w:rPr>
        <w:t xml:space="preserve">większą ochronę osobom korzystającym </w:t>
      </w:r>
      <w:r w:rsidR="00B734AD" w:rsidRPr="004D42C5">
        <w:rPr>
          <w:rFonts w:ascii="Times New Roman" w:hAnsi="Times New Roman" w:cs="Times New Roman"/>
          <w:szCs w:val="24"/>
        </w:rPr>
        <w:t xml:space="preserve">z tego rodzaju usług. </w:t>
      </w:r>
    </w:p>
    <w:p w:rsidR="007954A2" w:rsidRPr="004D42C5" w:rsidRDefault="007954A2" w:rsidP="007B2772">
      <w:pPr>
        <w:pStyle w:val="ZARTzmartartykuempunktem"/>
        <w:spacing w:before="120"/>
        <w:ind w:left="426" w:firstLine="0"/>
        <w:rPr>
          <w:rFonts w:ascii="Times New Roman" w:hAnsi="Times New Roman" w:cs="Times New Roman"/>
          <w:szCs w:val="24"/>
        </w:rPr>
      </w:pPr>
      <w:r w:rsidRPr="004D42C5">
        <w:rPr>
          <w:rFonts w:ascii="Times New Roman" w:hAnsi="Times New Roman" w:cs="Times New Roman"/>
          <w:szCs w:val="24"/>
        </w:rPr>
        <w:t xml:space="preserve">Ponadto </w:t>
      </w:r>
      <w:r w:rsidR="003E3222" w:rsidRPr="004D42C5">
        <w:rPr>
          <w:rFonts w:ascii="Times New Roman" w:hAnsi="Times New Roman" w:cs="Times New Roman"/>
          <w:szCs w:val="24"/>
        </w:rPr>
        <w:t xml:space="preserve">wprowadza się </w:t>
      </w:r>
      <w:r w:rsidRPr="004D42C5">
        <w:rPr>
          <w:rFonts w:ascii="Times New Roman" w:hAnsi="Times New Roman" w:cs="Times New Roman"/>
          <w:szCs w:val="24"/>
        </w:rPr>
        <w:t>sankcję finansową za wykonywanie czynności pośrednictwa w obrocie nieruchomościami lub zarządzania nieruchomości</w:t>
      </w:r>
      <w:r w:rsidR="00A009D9" w:rsidRPr="004D42C5">
        <w:rPr>
          <w:rFonts w:ascii="Times New Roman" w:hAnsi="Times New Roman" w:cs="Times New Roman"/>
          <w:szCs w:val="24"/>
        </w:rPr>
        <w:t>ami</w:t>
      </w:r>
      <w:r w:rsidRPr="004D42C5">
        <w:rPr>
          <w:rFonts w:ascii="Times New Roman" w:hAnsi="Times New Roman" w:cs="Times New Roman"/>
          <w:szCs w:val="24"/>
        </w:rPr>
        <w:t xml:space="preserve"> bez </w:t>
      </w:r>
      <w:r w:rsidRPr="004D42C5">
        <w:rPr>
          <w:rFonts w:ascii="Times New Roman" w:hAnsi="Times New Roman" w:cs="Times New Roman"/>
          <w:szCs w:val="24"/>
        </w:rPr>
        <w:lastRenderedPageBreak/>
        <w:t xml:space="preserve">wymaganej </w:t>
      </w:r>
      <w:r w:rsidR="003E3222" w:rsidRPr="004D42C5">
        <w:rPr>
          <w:rFonts w:ascii="Times New Roman" w:hAnsi="Times New Roman" w:cs="Times New Roman"/>
          <w:szCs w:val="24"/>
        </w:rPr>
        <w:t xml:space="preserve">przepisami </w:t>
      </w:r>
      <w:r w:rsidRPr="004D42C5">
        <w:rPr>
          <w:rFonts w:ascii="Times New Roman" w:hAnsi="Times New Roman" w:cs="Times New Roman"/>
          <w:szCs w:val="24"/>
        </w:rPr>
        <w:t>formy.</w:t>
      </w:r>
      <w:r w:rsidR="00D80CA8" w:rsidRPr="004D42C5">
        <w:rPr>
          <w:rFonts w:ascii="Times New Roman" w:hAnsi="Times New Roman" w:cs="Times New Roman"/>
          <w:szCs w:val="24"/>
        </w:rPr>
        <w:t xml:space="preserve"> Analogiczną sankcję przewidziano także dla rzeczoznawców majątkowych wykonujących zawód w niedopuszczalnej przez przepisy formie.</w:t>
      </w:r>
      <w:r w:rsidR="007B2772" w:rsidRPr="004D42C5">
        <w:rPr>
          <w:rFonts w:ascii="Times New Roman" w:hAnsi="Times New Roman" w:cs="Times New Roman"/>
          <w:szCs w:val="24"/>
        </w:rPr>
        <w:t xml:space="preserve"> </w:t>
      </w:r>
      <w:r w:rsidR="00D80CA8" w:rsidRPr="004D42C5">
        <w:rPr>
          <w:rFonts w:ascii="Times New Roman" w:hAnsi="Times New Roman" w:cs="Times New Roman"/>
          <w:szCs w:val="24"/>
        </w:rPr>
        <w:t xml:space="preserve">W obowiązującym stanie prawnym brak jest bowiem sankcji </w:t>
      </w:r>
      <w:r w:rsidR="002E13B7" w:rsidRPr="004D42C5">
        <w:rPr>
          <w:rFonts w:ascii="Times New Roman" w:hAnsi="Times New Roman" w:cs="Times New Roman"/>
          <w:szCs w:val="24"/>
        </w:rPr>
        <w:t>z</w:t>
      </w:r>
      <w:r w:rsidR="0009522F" w:rsidRPr="004D42C5">
        <w:rPr>
          <w:rFonts w:ascii="Times New Roman" w:hAnsi="Times New Roman" w:cs="Times New Roman"/>
          <w:szCs w:val="24"/>
        </w:rPr>
        <w:t> </w:t>
      </w:r>
      <w:r w:rsidR="002E13B7" w:rsidRPr="004D42C5">
        <w:rPr>
          <w:rFonts w:ascii="Times New Roman" w:hAnsi="Times New Roman" w:cs="Times New Roman"/>
          <w:szCs w:val="24"/>
        </w:rPr>
        <w:t xml:space="preserve">tego tytułu </w:t>
      </w:r>
      <w:r w:rsidR="00D80CA8" w:rsidRPr="004D42C5">
        <w:rPr>
          <w:rFonts w:ascii="Times New Roman" w:hAnsi="Times New Roman" w:cs="Times New Roman"/>
          <w:szCs w:val="24"/>
        </w:rPr>
        <w:t xml:space="preserve">wobec rzeczoznawcy majątkowego. </w:t>
      </w:r>
      <w:r w:rsidRPr="004D42C5">
        <w:rPr>
          <w:rFonts w:ascii="Times New Roman" w:hAnsi="Times New Roman" w:cs="Times New Roman"/>
          <w:szCs w:val="24"/>
        </w:rPr>
        <w:t>W ocenie projektodawcy taki instrument prawny zdyscyplinuje podmioty działające na rynku nieruchomości i</w:t>
      </w:r>
      <w:r w:rsidR="0009522F" w:rsidRPr="004D42C5">
        <w:rPr>
          <w:rFonts w:ascii="Times New Roman" w:hAnsi="Times New Roman" w:cs="Times New Roman"/>
          <w:szCs w:val="24"/>
        </w:rPr>
        <w:t> </w:t>
      </w:r>
      <w:r w:rsidRPr="004D42C5">
        <w:rPr>
          <w:rFonts w:ascii="Times New Roman" w:hAnsi="Times New Roman" w:cs="Times New Roman"/>
          <w:szCs w:val="24"/>
        </w:rPr>
        <w:t>jednocześnie zminimalizuje sytuacje, w których czynności pośrednictwa w</w:t>
      </w:r>
      <w:r w:rsidR="0009522F" w:rsidRPr="004D42C5">
        <w:rPr>
          <w:rFonts w:ascii="Times New Roman" w:hAnsi="Times New Roman" w:cs="Times New Roman"/>
          <w:szCs w:val="24"/>
        </w:rPr>
        <w:t> </w:t>
      </w:r>
      <w:r w:rsidRPr="004D42C5">
        <w:rPr>
          <w:rFonts w:ascii="Times New Roman" w:hAnsi="Times New Roman" w:cs="Times New Roman"/>
          <w:szCs w:val="24"/>
        </w:rPr>
        <w:t xml:space="preserve">obrocie nieruchomościami lub zarządzania nieruchomością wykonywać będą podmioty nieuprawnione. </w:t>
      </w:r>
      <w:r w:rsidR="002E13B7" w:rsidRPr="004D42C5">
        <w:rPr>
          <w:rFonts w:ascii="Times New Roman" w:hAnsi="Times New Roman" w:cs="Times New Roman"/>
          <w:szCs w:val="24"/>
        </w:rPr>
        <w:t xml:space="preserve">Wymiar kary będzie przy tym skutecznie </w:t>
      </w:r>
      <w:r w:rsidR="00634E92" w:rsidRPr="004D42C5">
        <w:rPr>
          <w:rFonts w:ascii="Times New Roman" w:hAnsi="Times New Roman" w:cs="Times New Roman"/>
          <w:szCs w:val="24"/>
        </w:rPr>
        <w:t>odstraszał przed łamaniem</w:t>
      </w:r>
      <w:r w:rsidR="002E13B7" w:rsidRPr="004D42C5">
        <w:rPr>
          <w:rFonts w:ascii="Times New Roman" w:hAnsi="Times New Roman" w:cs="Times New Roman"/>
          <w:szCs w:val="24"/>
        </w:rPr>
        <w:t xml:space="preserve"> przepisów.</w:t>
      </w:r>
    </w:p>
    <w:p w:rsidR="00A5054E" w:rsidRPr="004D42C5" w:rsidRDefault="005228DF" w:rsidP="007B2772">
      <w:pPr>
        <w:pStyle w:val="ZARTzmartartykuempunktem"/>
        <w:numPr>
          <w:ilvl w:val="1"/>
          <w:numId w:val="1"/>
        </w:numPr>
        <w:tabs>
          <w:tab w:val="num" w:pos="426"/>
        </w:tabs>
        <w:spacing w:before="120"/>
        <w:ind w:left="426" w:hanging="426"/>
        <w:rPr>
          <w:rFonts w:ascii="Times New Roman" w:hAnsi="Times New Roman" w:cs="Times New Roman"/>
          <w:szCs w:val="24"/>
        </w:rPr>
      </w:pPr>
      <w:r w:rsidRPr="004D42C5">
        <w:rPr>
          <w:rFonts w:ascii="Times New Roman" w:hAnsi="Times New Roman" w:cs="Times New Roman"/>
          <w:b/>
          <w:szCs w:val="24"/>
        </w:rPr>
        <w:t>art. 180 ust. 3 i art. 185 ust. 2</w:t>
      </w:r>
      <w:r w:rsidRPr="004D42C5">
        <w:rPr>
          <w:rFonts w:ascii="Times New Roman" w:hAnsi="Times New Roman" w:cs="Times New Roman"/>
          <w:szCs w:val="24"/>
        </w:rPr>
        <w:t xml:space="preserve"> – </w:t>
      </w:r>
      <w:r w:rsidR="004A054A" w:rsidRPr="004D42C5">
        <w:rPr>
          <w:rFonts w:ascii="Times New Roman" w:hAnsi="Times New Roman" w:cs="Times New Roman"/>
          <w:szCs w:val="24"/>
        </w:rPr>
        <w:t xml:space="preserve">zaproponowano </w:t>
      </w:r>
      <w:r w:rsidRPr="004D42C5">
        <w:rPr>
          <w:rFonts w:ascii="Times New Roman" w:hAnsi="Times New Roman" w:cs="Times New Roman"/>
          <w:szCs w:val="24"/>
        </w:rPr>
        <w:t xml:space="preserve">wprowadzenie możliwości zawarcia umowy pośrednictwa </w:t>
      </w:r>
      <w:r w:rsidR="00AA040C" w:rsidRPr="004D42C5">
        <w:rPr>
          <w:rFonts w:ascii="Times New Roman" w:hAnsi="Times New Roman" w:cs="Times New Roman"/>
          <w:szCs w:val="24"/>
        </w:rPr>
        <w:t xml:space="preserve">w obrocie nieruchomościami </w:t>
      </w:r>
      <w:r w:rsidRPr="004D42C5">
        <w:rPr>
          <w:rFonts w:ascii="Times New Roman" w:hAnsi="Times New Roman" w:cs="Times New Roman"/>
          <w:szCs w:val="24"/>
        </w:rPr>
        <w:t>lub umowy o</w:t>
      </w:r>
      <w:r w:rsidR="0009522F" w:rsidRPr="004D42C5">
        <w:rPr>
          <w:rFonts w:ascii="Times New Roman" w:hAnsi="Times New Roman" w:cs="Times New Roman"/>
          <w:szCs w:val="24"/>
        </w:rPr>
        <w:t> </w:t>
      </w:r>
      <w:r w:rsidRPr="004D42C5">
        <w:rPr>
          <w:rFonts w:ascii="Times New Roman" w:hAnsi="Times New Roman" w:cs="Times New Roman"/>
          <w:szCs w:val="24"/>
        </w:rPr>
        <w:t xml:space="preserve">zarządzanie nieruchomością w </w:t>
      </w:r>
      <w:r w:rsidR="00A5054E" w:rsidRPr="004D42C5">
        <w:rPr>
          <w:rFonts w:ascii="Times New Roman" w:hAnsi="Times New Roman" w:cs="Times New Roman"/>
          <w:szCs w:val="24"/>
        </w:rPr>
        <w:t xml:space="preserve">formie nie tylko pisemnej, ale również w formie </w:t>
      </w:r>
      <w:r w:rsidRPr="004D42C5">
        <w:rPr>
          <w:rFonts w:ascii="Times New Roman" w:hAnsi="Times New Roman" w:cs="Times New Roman"/>
          <w:szCs w:val="24"/>
        </w:rPr>
        <w:t xml:space="preserve">elektronicznej. </w:t>
      </w:r>
    </w:p>
    <w:p w:rsidR="00BE7940" w:rsidRPr="004D42C5" w:rsidRDefault="00851D0D" w:rsidP="007B2772">
      <w:pPr>
        <w:pStyle w:val="ZARTzmartartykuempunktem"/>
        <w:numPr>
          <w:ilvl w:val="1"/>
          <w:numId w:val="1"/>
        </w:numPr>
        <w:tabs>
          <w:tab w:val="num" w:pos="426"/>
        </w:tabs>
        <w:spacing w:before="120"/>
        <w:ind w:left="426" w:hanging="426"/>
        <w:rPr>
          <w:rFonts w:ascii="Times New Roman" w:hAnsi="Times New Roman" w:cs="Times New Roman"/>
          <w:szCs w:val="24"/>
        </w:rPr>
      </w:pPr>
      <w:r w:rsidRPr="004D42C5">
        <w:rPr>
          <w:rFonts w:ascii="Times New Roman" w:hAnsi="Times New Roman" w:cs="Times New Roman"/>
          <w:b/>
          <w:szCs w:val="24"/>
        </w:rPr>
        <w:t>art. 181 ust. 3a i</w:t>
      </w:r>
      <w:r w:rsidR="0069695B" w:rsidRPr="004D42C5">
        <w:rPr>
          <w:rFonts w:ascii="Times New Roman" w:hAnsi="Times New Roman" w:cs="Times New Roman"/>
          <w:b/>
          <w:szCs w:val="24"/>
        </w:rPr>
        <w:t xml:space="preserve"> 3b oraz</w:t>
      </w:r>
      <w:r w:rsidRPr="004D42C5">
        <w:rPr>
          <w:rFonts w:ascii="Times New Roman" w:hAnsi="Times New Roman" w:cs="Times New Roman"/>
          <w:b/>
          <w:szCs w:val="24"/>
        </w:rPr>
        <w:t xml:space="preserve"> art. 186 ust. 3a</w:t>
      </w:r>
      <w:r w:rsidR="0069695B" w:rsidRPr="004D42C5">
        <w:rPr>
          <w:rFonts w:ascii="Times New Roman" w:hAnsi="Times New Roman" w:cs="Times New Roman"/>
          <w:b/>
          <w:szCs w:val="24"/>
        </w:rPr>
        <w:t xml:space="preserve"> i 3b</w:t>
      </w:r>
      <w:r w:rsidRPr="004D42C5">
        <w:rPr>
          <w:rFonts w:ascii="Times New Roman" w:hAnsi="Times New Roman" w:cs="Times New Roman"/>
          <w:szCs w:val="24"/>
        </w:rPr>
        <w:t xml:space="preserve"> </w:t>
      </w:r>
      <w:r w:rsidRPr="004D42C5">
        <w:rPr>
          <w:rFonts w:ascii="Times New Roman" w:eastAsia="Calibri" w:hAnsi="Times New Roman" w:cs="Times New Roman"/>
          <w:spacing w:val="4"/>
          <w:szCs w:val="24"/>
          <w:lang w:eastAsia="en-US"/>
        </w:rPr>
        <w:t>–</w:t>
      </w:r>
      <w:r w:rsidRPr="004D42C5">
        <w:rPr>
          <w:rFonts w:ascii="Times New Roman" w:hAnsi="Times New Roman" w:cs="Times New Roman"/>
          <w:szCs w:val="24"/>
        </w:rPr>
        <w:t xml:space="preserve"> </w:t>
      </w:r>
      <w:r w:rsidR="002F79BD" w:rsidRPr="004D42C5">
        <w:rPr>
          <w:rFonts w:ascii="Times New Roman" w:hAnsi="Times New Roman" w:cs="Times New Roman"/>
          <w:szCs w:val="24"/>
        </w:rPr>
        <w:t>zobowiązano pośrednika w</w:t>
      </w:r>
      <w:r w:rsidR="0009522F" w:rsidRPr="004D42C5">
        <w:rPr>
          <w:rFonts w:ascii="Times New Roman" w:hAnsi="Times New Roman" w:cs="Times New Roman"/>
          <w:szCs w:val="24"/>
        </w:rPr>
        <w:t> </w:t>
      </w:r>
      <w:r w:rsidR="002F79BD" w:rsidRPr="004D42C5">
        <w:rPr>
          <w:rFonts w:ascii="Times New Roman" w:hAnsi="Times New Roman" w:cs="Times New Roman"/>
          <w:szCs w:val="24"/>
        </w:rPr>
        <w:t>obrocie nieruchomościami oraz zarządcę nieruchomości do dołącz</w:t>
      </w:r>
      <w:r w:rsidR="008C0AD8" w:rsidRPr="004D42C5">
        <w:rPr>
          <w:rFonts w:ascii="Times New Roman" w:hAnsi="Times New Roman" w:cs="Times New Roman"/>
          <w:szCs w:val="24"/>
        </w:rPr>
        <w:t>a</w:t>
      </w:r>
      <w:r w:rsidR="002F79BD" w:rsidRPr="004D42C5">
        <w:rPr>
          <w:rFonts w:ascii="Times New Roman" w:hAnsi="Times New Roman" w:cs="Times New Roman"/>
          <w:szCs w:val="24"/>
        </w:rPr>
        <w:t xml:space="preserve">nia do umowy pośrednictwa oraz umowy o zarządzanie nieruchomością kopii dokumentu ubezpieczenia, aby </w:t>
      </w:r>
      <w:r w:rsidR="00F47E90" w:rsidRPr="004D42C5">
        <w:rPr>
          <w:rFonts w:ascii="Times New Roman" w:hAnsi="Times New Roman" w:cs="Times New Roman"/>
          <w:szCs w:val="24"/>
        </w:rPr>
        <w:t xml:space="preserve">strona umowy </w:t>
      </w:r>
      <w:r w:rsidR="002F79BD" w:rsidRPr="004D42C5">
        <w:rPr>
          <w:rFonts w:ascii="Times New Roman" w:hAnsi="Times New Roman" w:cs="Times New Roman"/>
          <w:szCs w:val="24"/>
        </w:rPr>
        <w:t>posiadał</w:t>
      </w:r>
      <w:r w:rsidR="00F47E90" w:rsidRPr="004D42C5">
        <w:rPr>
          <w:rFonts w:ascii="Times New Roman" w:hAnsi="Times New Roman" w:cs="Times New Roman"/>
          <w:szCs w:val="24"/>
        </w:rPr>
        <w:t>a</w:t>
      </w:r>
      <w:r w:rsidR="002F79BD" w:rsidRPr="004D42C5">
        <w:rPr>
          <w:rFonts w:ascii="Times New Roman" w:hAnsi="Times New Roman" w:cs="Times New Roman"/>
          <w:szCs w:val="24"/>
        </w:rPr>
        <w:t xml:space="preserve"> inf</w:t>
      </w:r>
      <w:r w:rsidR="002B088F" w:rsidRPr="004D42C5">
        <w:rPr>
          <w:rFonts w:ascii="Times New Roman" w:hAnsi="Times New Roman" w:cs="Times New Roman"/>
          <w:szCs w:val="24"/>
        </w:rPr>
        <w:t>or</w:t>
      </w:r>
      <w:r w:rsidR="002F79BD" w:rsidRPr="004D42C5">
        <w:rPr>
          <w:rFonts w:ascii="Times New Roman" w:hAnsi="Times New Roman" w:cs="Times New Roman"/>
          <w:szCs w:val="24"/>
        </w:rPr>
        <w:t>mację niezbędną w przypadku ubiegania się o odszkodowanie za szkody spowodowane w związku z</w:t>
      </w:r>
      <w:r w:rsidR="0009522F" w:rsidRPr="004D42C5">
        <w:rPr>
          <w:rFonts w:ascii="Times New Roman" w:hAnsi="Times New Roman" w:cs="Times New Roman"/>
          <w:szCs w:val="24"/>
        </w:rPr>
        <w:t> </w:t>
      </w:r>
      <w:r w:rsidR="002F79BD" w:rsidRPr="004D42C5">
        <w:rPr>
          <w:rFonts w:ascii="Times New Roman" w:hAnsi="Times New Roman" w:cs="Times New Roman"/>
          <w:szCs w:val="24"/>
        </w:rPr>
        <w:t>wykonywaniem czynności odpowiednio pośrednictwa lub zarządzania nieruchomościami. W</w:t>
      </w:r>
      <w:r w:rsidRPr="004D42C5">
        <w:rPr>
          <w:rFonts w:ascii="Times New Roman" w:eastAsia="Calibri" w:hAnsi="Times New Roman" w:cs="Times New Roman"/>
          <w:spacing w:val="4"/>
          <w:szCs w:val="24"/>
          <w:lang w:eastAsia="en-US"/>
        </w:rPr>
        <w:t>prowadz</w:t>
      </w:r>
      <w:r w:rsidR="002F79BD" w:rsidRPr="004D42C5">
        <w:rPr>
          <w:rFonts w:ascii="Times New Roman" w:eastAsia="Calibri" w:hAnsi="Times New Roman" w:cs="Times New Roman"/>
          <w:spacing w:val="4"/>
          <w:szCs w:val="24"/>
          <w:lang w:eastAsia="en-US"/>
        </w:rPr>
        <w:t xml:space="preserve">ono także </w:t>
      </w:r>
      <w:r w:rsidRPr="004D42C5">
        <w:rPr>
          <w:rFonts w:ascii="Times New Roman" w:eastAsia="Calibri" w:hAnsi="Times New Roman" w:cs="Times New Roman"/>
          <w:spacing w:val="4"/>
          <w:szCs w:val="24"/>
          <w:lang w:eastAsia="en-US"/>
        </w:rPr>
        <w:t>sankcj</w:t>
      </w:r>
      <w:r w:rsidR="002F79BD" w:rsidRPr="004D42C5">
        <w:rPr>
          <w:rFonts w:ascii="Times New Roman" w:eastAsia="Calibri" w:hAnsi="Times New Roman" w:cs="Times New Roman"/>
          <w:spacing w:val="4"/>
          <w:szCs w:val="24"/>
          <w:lang w:eastAsia="en-US"/>
        </w:rPr>
        <w:t>ę za niezrealizowanie tego obowiązku, polegającą na prawie wypowiedzenia umowy ze skutkiem natychmiastowym.</w:t>
      </w:r>
      <w:r w:rsidR="008A6A58" w:rsidRPr="004D42C5">
        <w:rPr>
          <w:rFonts w:ascii="Times New Roman" w:eastAsia="Calibri" w:hAnsi="Times New Roman" w:cs="Times New Roman"/>
          <w:spacing w:val="4"/>
          <w:szCs w:val="24"/>
          <w:lang w:eastAsia="en-US"/>
        </w:rPr>
        <w:t xml:space="preserve"> Jednocześnie zaproponowano przepis dostosowujący do umów pośrednictwa i umów o zarządzanie nieruchomością </w:t>
      </w:r>
      <w:r w:rsidR="002D5BB7" w:rsidRPr="004D42C5">
        <w:rPr>
          <w:rFonts w:ascii="Times New Roman" w:eastAsia="Calibri" w:hAnsi="Times New Roman" w:cs="Times New Roman"/>
          <w:spacing w:val="4"/>
          <w:szCs w:val="24"/>
          <w:lang w:eastAsia="en-US"/>
        </w:rPr>
        <w:t>zawartych przed dniem</w:t>
      </w:r>
      <w:r w:rsidR="00BE0015" w:rsidRPr="004D42C5">
        <w:rPr>
          <w:rFonts w:ascii="Times New Roman" w:eastAsia="Calibri" w:hAnsi="Times New Roman" w:cs="Times New Roman"/>
          <w:spacing w:val="4"/>
          <w:szCs w:val="24"/>
          <w:lang w:eastAsia="en-US"/>
        </w:rPr>
        <w:t xml:space="preserve"> wejścia w życie niniejszej ustawy i nadal obowiązujących, zgodnie z</w:t>
      </w:r>
      <w:r w:rsidR="0009522F" w:rsidRPr="004D42C5">
        <w:rPr>
          <w:rFonts w:ascii="Times New Roman" w:eastAsia="Calibri" w:hAnsi="Times New Roman" w:cs="Times New Roman"/>
          <w:spacing w:val="4"/>
          <w:szCs w:val="24"/>
          <w:lang w:eastAsia="en-US"/>
        </w:rPr>
        <w:t> </w:t>
      </w:r>
      <w:r w:rsidR="00BE0015" w:rsidRPr="004D42C5">
        <w:rPr>
          <w:rFonts w:ascii="Times New Roman" w:eastAsia="Calibri" w:hAnsi="Times New Roman" w:cs="Times New Roman"/>
          <w:spacing w:val="4"/>
          <w:szCs w:val="24"/>
          <w:lang w:eastAsia="en-US"/>
        </w:rPr>
        <w:t>którym w</w:t>
      </w:r>
      <w:r w:rsidR="00AD56E6" w:rsidRPr="004D42C5">
        <w:rPr>
          <w:rFonts w:ascii="Times New Roman" w:eastAsia="Calibri" w:hAnsi="Times New Roman" w:cs="Times New Roman"/>
          <w:spacing w:val="4"/>
          <w:szCs w:val="24"/>
          <w:lang w:eastAsia="en-US"/>
        </w:rPr>
        <w:t xml:space="preserve"> takim przypadku </w:t>
      </w:r>
      <w:r w:rsidR="002D5BB7" w:rsidRPr="004D42C5">
        <w:rPr>
          <w:rFonts w:ascii="Times New Roman" w:eastAsia="Calibri" w:hAnsi="Times New Roman" w:cs="Times New Roman"/>
          <w:spacing w:val="4"/>
          <w:szCs w:val="24"/>
          <w:lang w:eastAsia="en-US"/>
        </w:rPr>
        <w:t>pośrednik w ob</w:t>
      </w:r>
      <w:r w:rsidR="00BE0015" w:rsidRPr="004D42C5">
        <w:rPr>
          <w:rFonts w:ascii="Times New Roman" w:eastAsia="Calibri" w:hAnsi="Times New Roman" w:cs="Times New Roman"/>
          <w:spacing w:val="4"/>
          <w:szCs w:val="24"/>
          <w:lang w:eastAsia="en-US"/>
        </w:rPr>
        <w:t>r</w:t>
      </w:r>
      <w:r w:rsidR="002D5BB7" w:rsidRPr="004D42C5">
        <w:rPr>
          <w:rFonts w:ascii="Times New Roman" w:eastAsia="Calibri" w:hAnsi="Times New Roman" w:cs="Times New Roman"/>
          <w:spacing w:val="4"/>
          <w:szCs w:val="24"/>
          <w:lang w:eastAsia="en-US"/>
        </w:rPr>
        <w:t>o</w:t>
      </w:r>
      <w:r w:rsidR="00BE0015" w:rsidRPr="004D42C5">
        <w:rPr>
          <w:rFonts w:ascii="Times New Roman" w:eastAsia="Calibri" w:hAnsi="Times New Roman" w:cs="Times New Roman"/>
          <w:spacing w:val="4"/>
          <w:szCs w:val="24"/>
          <w:lang w:eastAsia="en-US"/>
        </w:rPr>
        <w:t xml:space="preserve">cie nieruchomościami oraz zarządca nieruchomości </w:t>
      </w:r>
      <w:r w:rsidR="00AD56E6" w:rsidRPr="004D42C5">
        <w:rPr>
          <w:rFonts w:ascii="Times New Roman" w:eastAsia="Calibri" w:hAnsi="Times New Roman" w:cs="Times New Roman"/>
          <w:spacing w:val="4"/>
          <w:szCs w:val="24"/>
          <w:lang w:eastAsia="en-US"/>
        </w:rPr>
        <w:t xml:space="preserve">będzie obowiązany do przekazania stronie </w:t>
      </w:r>
      <w:r w:rsidR="0061250C" w:rsidRPr="004D42C5">
        <w:rPr>
          <w:rFonts w:ascii="Times New Roman" w:eastAsia="Calibri" w:hAnsi="Times New Roman" w:cs="Times New Roman"/>
          <w:spacing w:val="4"/>
          <w:szCs w:val="24"/>
          <w:lang w:eastAsia="en-US"/>
        </w:rPr>
        <w:t xml:space="preserve">odpowiedniej </w:t>
      </w:r>
      <w:r w:rsidR="00AD56E6" w:rsidRPr="004D42C5">
        <w:rPr>
          <w:rFonts w:ascii="Times New Roman" w:eastAsia="Calibri" w:hAnsi="Times New Roman" w:cs="Times New Roman"/>
          <w:spacing w:val="4"/>
          <w:szCs w:val="24"/>
          <w:lang w:eastAsia="en-US"/>
        </w:rPr>
        <w:t xml:space="preserve">kopii dokumentu ubezpieczenia wyłącznie na jej wniosek. </w:t>
      </w:r>
    </w:p>
    <w:p w:rsidR="0016172E" w:rsidRPr="004D42C5" w:rsidRDefault="00851D0D"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181a –</w:t>
      </w:r>
      <w:r w:rsidR="00074DE2" w:rsidRPr="004D42C5">
        <w:rPr>
          <w:rFonts w:ascii="Times New Roman" w:eastAsia="Calibri" w:hAnsi="Times New Roman" w:cs="Times New Roman"/>
          <w:spacing w:val="4"/>
          <w:szCs w:val="24"/>
          <w:lang w:eastAsia="en-US"/>
        </w:rPr>
        <w:t xml:space="preserve"> powrócono do</w:t>
      </w:r>
      <w:r w:rsidR="00074DE2" w:rsidRPr="004D42C5">
        <w:rPr>
          <w:rFonts w:ascii="Times New Roman" w:eastAsia="Calibri" w:hAnsi="Times New Roman" w:cs="Times New Roman"/>
          <w:b/>
          <w:spacing w:val="4"/>
          <w:szCs w:val="24"/>
          <w:lang w:eastAsia="en-US"/>
        </w:rPr>
        <w:t xml:space="preserve"> </w:t>
      </w:r>
      <w:r w:rsidR="00074DE2" w:rsidRPr="004D42C5">
        <w:rPr>
          <w:rFonts w:ascii="Times New Roman" w:eastAsia="Calibri" w:hAnsi="Times New Roman" w:cs="Times New Roman"/>
          <w:spacing w:val="4"/>
          <w:szCs w:val="24"/>
          <w:lang w:eastAsia="en-US"/>
        </w:rPr>
        <w:t>wcześniejszej regulacji, obowiązują</w:t>
      </w:r>
      <w:r w:rsidR="00B90889" w:rsidRPr="004D42C5">
        <w:rPr>
          <w:rFonts w:ascii="Times New Roman" w:eastAsia="Calibri" w:hAnsi="Times New Roman" w:cs="Times New Roman"/>
          <w:spacing w:val="4"/>
          <w:szCs w:val="24"/>
          <w:lang w:eastAsia="en-US"/>
        </w:rPr>
        <w:t>cej od dnia 22</w:t>
      </w:r>
      <w:r w:rsidR="0009522F" w:rsidRPr="004D42C5">
        <w:rPr>
          <w:rFonts w:ascii="Times New Roman" w:eastAsia="Calibri" w:hAnsi="Times New Roman" w:cs="Times New Roman"/>
          <w:spacing w:val="4"/>
          <w:szCs w:val="24"/>
          <w:lang w:eastAsia="en-US"/>
        </w:rPr>
        <w:t> </w:t>
      </w:r>
      <w:r w:rsidR="00B90889" w:rsidRPr="004D42C5">
        <w:rPr>
          <w:rFonts w:ascii="Times New Roman" w:eastAsia="Calibri" w:hAnsi="Times New Roman" w:cs="Times New Roman"/>
          <w:spacing w:val="4"/>
          <w:szCs w:val="24"/>
          <w:lang w:eastAsia="en-US"/>
        </w:rPr>
        <w:t>września 2004 r.</w:t>
      </w:r>
      <w:r w:rsidR="00074DE2" w:rsidRPr="004D42C5">
        <w:rPr>
          <w:rFonts w:ascii="Times New Roman" w:eastAsia="Calibri" w:hAnsi="Times New Roman" w:cs="Times New Roman"/>
          <w:spacing w:val="4"/>
          <w:szCs w:val="24"/>
          <w:lang w:eastAsia="en-US"/>
        </w:rPr>
        <w:t xml:space="preserve"> </w:t>
      </w:r>
      <w:r w:rsidR="00B90889" w:rsidRPr="004D42C5">
        <w:rPr>
          <w:rFonts w:ascii="Times New Roman" w:eastAsia="Calibri" w:hAnsi="Times New Roman" w:cs="Times New Roman"/>
          <w:spacing w:val="4"/>
          <w:szCs w:val="24"/>
          <w:lang w:eastAsia="en-US"/>
        </w:rPr>
        <w:t xml:space="preserve">do dnia 31 grudnia 2013 r., </w:t>
      </w:r>
      <w:r w:rsidR="00074DE2" w:rsidRPr="004D42C5">
        <w:rPr>
          <w:rFonts w:ascii="Times New Roman" w:eastAsia="Calibri" w:hAnsi="Times New Roman" w:cs="Times New Roman"/>
          <w:spacing w:val="4"/>
          <w:szCs w:val="24"/>
          <w:lang w:eastAsia="en-US"/>
        </w:rPr>
        <w:t>która dotyczyła dostępu do rejestrów obejmujących nieruchomości i prawa do nieruchomości, przy czym</w:t>
      </w:r>
      <w:r w:rsidR="007B2772" w:rsidRPr="004D42C5">
        <w:rPr>
          <w:rFonts w:ascii="Times New Roman" w:eastAsia="Calibri" w:hAnsi="Times New Roman" w:cs="Times New Roman"/>
          <w:spacing w:val="4"/>
          <w:szCs w:val="24"/>
          <w:lang w:eastAsia="en-US"/>
        </w:rPr>
        <w:t xml:space="preserve"> </w:t>
      </w:r>
      <w:r w:rsidR="00074DE2" w:rsidRPr="004D42C5">
        <w:rPr>
          <w:rFonts w:ascii="Times New Roman" w:eastAsia="Calibri" w:hAnsi="Times New Roman" w:cs="Times New Roman"/>
          <w:spacing w:val="4"/>
          <w:szCs w:val="24"/>
          <w:lang w:eastAsia="en-US"/>
        </w:rPr>
        <w:t xml:space="preserve">dostęp </w:t>
      </w:r>
      <w:r w:rsidR="00B90889" w:rsidRPr="004D42C5">
        <w:rPr>
          <w:rFonts w:ascii="Times New Roman" w:eastAsia="Calibri" w:hAnsi="Times New Roman" w:cs="Times New Roman"/>
          <w:spacing w:val="4"/>
          <w:szCs w:val="24"/>
          <w:lang w:eastAsia="en-US"/>
        </w:rPr>
        <w:t xml:space="preserve">ten jest uzależniony od </w:t>
      </w:r>
      <w:r w:rsidR="00074DE2" w:rsidRPr="004D42C5">
        <w:rPr>
          <w:rFonts w:ascii="Times New Roman" w:eastAsia="Calibri" w:hAnsi="Times New Roman" w:cs="Times New Roman"/>
          <w:spacing w:val="4"/>
          <w:szCs w:val="24"/>
          <w:lang w:eastAsia="en-US"/>
        </w:rPr>
        <w:t>zawartej umowy pośrednictwa. Prawidłowe i</w:t>
      </w:r>
      <w:r w:rsidR="0009522F" w:rsidRPr="004D42C5">
        <w:rPr>
          <w:rFonts w:ascii="Times New Roman" w:eastAsia="Calibri" w:hAnsi="Times New Roman" w:cs="Times New Roman"/>
          <w:spacing w:val="4"/>
          <w:szCs w:val="24"/>
          <w:lang w:eastAsia="en-US"/>
        </w:rPr>
        <w:t> </w:t>
      </w:r>
      <w:r w:rsidR="00074DE2" w:rsidRPr="004D42C5">
        <w:rPr>
          <w:rFonts w:ascii="Times New Roman" w:eastAsia="Calibri" w:hAnsi="Times New Roman" w:cs="Times New Roman"/>
          <w:spacing w:val="4"/>
          <w:szCs w:val="24"/>
          <w:lang w:eastAsia="en-US"/>
        </w:rPr>
        <w:t xml:space="preserve">rzetelne wykonywanie czynności pośrednictwa w obrocie nieruchomościami </w:t>
      </w:r>
      <w:r w:rsidR="00B90889" w:rsidRPr="004D42C5">
        <w:rPr>
          <w:rFonts w:ascii="Times New Roman" w:eastAsia="Calibri" w:hAnsi="Times New Roman" w:cs="Times New Roman"/>
          <w:spacing w:val="4"/>
          <w:szCs w:val="24"/>
          <w:lang w:eastAsia="en-US"/>
        </w:rPr>
        <w:lastRenderedPageBreak/>
        <w:t>wymaga</w:t>
      </w:r>
      <w:r w:rsidR="00074DE2" w:rsidRPr="004D42C5">
        <w:rPr>
          <w:rFonts w:ascii="Times New Roman" w:eastAsia="Calibri" w:hAnsi="Times New Roman" w:cs="Times New Roman"/>
          <w:spacing w:val="4"/>
          <w:szCs w:val="24"/>
          <w:lang w:eastAsia="en-US"/>
        </w:rPr>
        <w:t xml:space="preserve"> dostępu do </w:t>
      </w:r>
      <w:r w:rsidR="00B90889" w:rsidRPr="004D42C5">
        <w:rPr>
          <w:rFonts w:ascii="Times New Roman" w:eastAsia="Calibri" w:hAnsi="Times New Roman" w:cs="Times New Roman"/>
          <w:spacing w:val="4"/>
          <w:szCs w:val="24"/>
          <w:lang w:eastAsia="en-US"/>
        </w:rPr>
        <w:t>rejestrów lub dokumentów.</w:t>
      </w:r>
      <w:r w:rsidR="00074DE2" w:rsidRPr="004D42C5">
        <w:rPr>
          <w:rFonts w:ascii="Times New Roman" w:eastAsia="Calibri" w:hAnsi="Times New Roman" w:cs="Times New Roman"/>
          <w:spacing w:val="4"/>
          <w:szCs w:val="24"/>
          <w:lang w:eastAsia="en-US"/>
        </w:rPr>
        <w:t xml:space="preserve"> Pośrednik powinien przeds</w:t>
      </w:r>
      <w:r w:rsidR="00A009D9" w:rsidRPr="004D42C5">
        <w:rPr>
          <w:rFonts w:ascii="Times New Roman" w:eastAsia="Calibri" w:hAnsi="Times New Roman" w:cs="Times New Roman"/>
          <w:spacing w:val="4"/>
          <w:szCs w:val="24"/>
          <w:lang w:eastAsia="en-US"/>
        </w:rPr>
        <w:t>tawić klientowi pełną informację</w:t>
      </w:r>
      <w:r w:rsidR="00074DE2" w:rsidRPr="004D42C5">
        <w:rPr>
          <w:rFonts w:ascii="Times New Roman" w:eastAsia="Calibri" w:hAnsi="Times New Roman" w:cs="Times New Roman"/>
          <w:spacing w:val="4"/>
          <w:szCs w:val="24"/>
          <w:lang w:eastAsia="en-US"/>
        </w:rPr>
        <w:t xml:space="preserve"> na temat oferowanej nieruchomości i nie może w tym zakresie usprawiedliwiać się brakiem dostępu do danych z różnych rejestrów. </w:t>
      </w:r>
      <w:r w:rsidR="00B90889" w:rsidRPr="004D42C5">
        <w:rPr>
          <w:rFonts w:ascii="Times New Roman" w:eastAsia="Calibri" w:hAnsi="Times New Roman" w:cs="Times New Roman"/>
          <w:spacing w:val="4"/>
          <w:szCs w:val="24"/>
          <w:lang w:eastAsia="en-US"/>
        </w:rPr>
        <w:t>Podkreślenia wymaga</w:t>
      </w:r>
      <w:r w:rsidR="00074DE2" w:rsidRPr="004D42C5">
        <w:rPr>
          <w:rFonts w:ascii="Times New Roman" w:eastAsia="Calibri" w:hAnsi="Times New Roman" w:cs="Times New Roman"/>
          <w:spacing w:val="4"/>
          <w:szCs w:val="24"/>
          <w:lang w:eastAsia="en-US"/>
        </w:rPr>
        <w:t xml:space="preserve">, że dostęp do większości rejestrów zawartych w tym przepisie (poza ewidencją ludności i rejestrem osób, którym przysługuje spółdzielcze własnościowe prawo do lokalu) przysługuje każdemu, ze względu na publiczny charakter tych rejestrów. Zestawienie ww. rejestrów </w:t>
      </w:r>
      <w:r w:rsidR="00B90889" w:rsidRPr="004D42C5">
        <w:rPr>
          <w:rFonts w:ascii="Times New Roman" w:eastAsia="Calibri" w:hAnsi="Times New Roman" w:cs="Times New Roman"/>
          <w:spacing w:val="4"/>
          <w:szCs w:val="24"/>
          <w:lang w:eastAsia="en-US"/>
        </w:rPr>
        <w:t xml:space="preserve">jest zasadne ze względu na </w:t>
      </w:r>
      <w:r w:rsidR="00074DE2" w:rsidRPr="004D42C5">
        <w:rPr>
          <w:rFonts w:ascii="Times New Roman" w:eastAsia="Calibri" w:hAnsi="Times New Roman" w:cs="Times New Roman"/>
          <w:spacing w:val="4"/>
          <w:szCs w:val="24"/>
          <w:lang w:eastAsia="en-US"/>
        </w:rPr>
        <w:t>wskazani</w:t>
      </w:r>
      <w:r w:rsidR="00B90889" w:rsidRPr="004D42C5">
        <w:rPr>
          <w:rFonts w:ascii="Times New Roman" w:eastAsia="Calibri" w:hAnsi="Times New Roman" w:cs="Times New Roman"/>
          <w:spacing w:val="4"/>
          <w:szCs w:val="24"/>
          <w:lang w:eastAsia="en-US"/>
        </w:rPr>
        <w:t>e</w:t>
      </w:r>
      <w:r w:rsidR="00074DE2" w:rsidRPr="004D42C5">
        <w:rPr>
          <w:rFonts w:ascii="Times New Roman" w:eastAsia="Calibri" w:hAnsi="Times New Roman" w:cs="Times New Roman"/>
          <w:spacing w:val="4"/>
          <w:szCs w:val="24"/>
          <w:lang w:eastAsia="en-US"/>
        </w:rPr>
        <w:t xml:space="preserve">, jakie </w:t>
      </w:r>
      <w:r w:rsidR="00B90889" w:rsidRPr="004D42C5">
        <w:rPr>
          <w:rFonts w:ascii="Times New Roman" w:eastAsia="Calibri" w:hAnsi="Times New Roman" w:cs="Times New Roman"/>
          <w:spacing w:val="4"/>
          <w:szCs w:val="24"/>
          <w:lang w:eastAsia="en-US"/>
        </w:rPr>
        <w:t>niezbędne rejestry i dokumenty</w:t>
      </w:r>
      <w:r w:rsidR="00074DE2" w:rsidRPr="004D42C5">
        <w:rPr>
          <w:rFonts w:ascii="Times New Roman" w:eastAsia="Calibri" w:hAnsi="Times New Roman" w:cs="Times New Roman"/>
          <w:spacing w:val="4"/>
          <w:szCs w:val="24"/>
          <w:lang w:eastAsia="en-US"/>
        </w:rPr>
        <w:t xml:space="preserve"> powinien </w:t>
      </w:r>
      <w:r w:rsidR="00B90889" w:rsidRPr="004D42C5">
        <w:rPr>
          <w:rFonts w:ascii="Times New Roman" w:eastAsia="Calibri" w:hAnsi="Times New Roman" w:cs="Times New Roman"/>
          <w:spacing w:val="4"/>
          <w:szCs w:val="24"/>
          <w:lang w:eastAsia="en-US"/>
        </w:rPr>
        <w:t>zweryfikować</w:t>
      </w:r>
      <w:r w:rsidR="00074DE2" w:rsidRPr="004D42C5">
        <w:rPr>
          <w:rFonts w:ascii="Times New Roman" w:eastAsia="Calibri" w:hAnsi="Times New Roman" w:cs="Times New Roman"/>
          <w:spacing w:val="4"/>
          <w:szCs w:val="24"/>
          <w:lang w:eastAsia="en-US"/>
        </w:rPr>
        <w:t xml:space="preserve"> pośrednik w obrocie nieruchomościami w trakcie wykonywania czynności pośrednictwa. W przypadku ewidencji ludności istotne są informacje na temat </w:t>
      </w:r>
      <w:r w:rsidR="00B90889" w:rsidRPr="004D42C5">
        <w:rPr>
          <w:rFonts w:ascii="Times New Roman" w:eastAsia="Calibri" w:hAnsi="Times New Roman" w:cs="Times New Roman"/>
          <w:spacing w:val="4"/>
          <w:szCs w:val="24"/>
          <w:lang w:eastAsia="en-US"/>
        </w:rPr>
        <w:t xml:space="preserve">osób </w:t>
      </w:r>
      <w:r w:rsidR="00074DE2" w:rsidRPr="004D42C5">
        <w:rPr>
          <w:rFonts w:ascii="Times New Roman" w:eastAsia="Calibri" w:hAnsi="Times New Roman" w:cs="Times New Roman"/>
          <w:spacing w:val="4"/>
          <w:szCs w:val="24"/>
          <w:lang w:eastAsia="en-US"/>
        </w:rPr>
        <w:t>zameldowan</w:t>
      </w:r>
      <w:r w:rsidR="00B90889" w:rsidRPr="004D42C5">
        <w:rPr>
          <w:rFonts w:ascii="Times New Roman" w:eastAsia="Calibri" w:hAnsi="Times New Roman" w:cs="Times New Roman"/>
          <w:spacing w:val="4"/>
          <w:szCs w:val="24"/>
          <w:lang w:eastAsia="en-US"/>
        </w:rPr>
        <w:t>ych</w:t>
      </w:r>
      <w:r w:rsidR="00074DE2" w:rsidRPr="004D42C5">
        <w:rPr>
          <w:rFonts w:ascii="Times New Roman" w:eastAsia="Calibri" w:hAnsi="Times New Roman" w:cs="Times New Roman"/>
          <w:spacing w:val="4"/>
          <w:szCs w:val="24"/>
          <w:lang w:eastAsia="en-US"/>
        </w:rPr>
        <w:t>. Brak tych informacji lub posiadanie niezweryfikowanych informacji może</w:t>
      </w:r>
      <w:r w:rsidR="00074DE2" w:rsidRPr="004D42C5">
        <w:rPr>
          <w:rFonts w:ascii="Times New Roman" w:eastAsia="Calibri" w:hAnsi="Times New Roman" w:cs="Times New Roman"/>
          <w:color w:val="FF0000"/>
          <w:spacing w:val="4"/>
          <w:szCs w:val="24"/>
          <w:lang w:eastAsia="en-US"/>
        </w:rPr>
        <w:t xml:space="preserve"> </w:t>
      </w:r>
      <w:r w:rsidR="00074DE2" w:rsidRPr="004D42C5">
        <w:rPr>
          <w:rFonts w:ascii="Times New Roman" w:eastAsia="Calibri" w:hAnsi="Times New Roman" w:cs="Times New Roman"/>
          <w:spacing w:val="4"/>
          <w:szCs w:val="24"/>
          <w:lang w:eastAsia="en-US"/>
        </w:rPr>
        <w:t>utrudnić sfinalizowanie transakcji dotyczącej nieruchomości, a tym samym wpłynąć na jakość świadczonych usług z zakresu pośrednictwa. Podobnie jest w przypadku danych obejmujących spółdzielcze prawo do lokalu. Ponieważ ww. prawo jest zbywalne i w związku z</w:t>
      </w:r>
      <w:r w:rsidR="0009522F" w:rsidRPr="004D42C5">
        <w:rPr>
          <w:rFonts w:ascii="Times New Roman" w:eastAsia="Calibri" w:hAnsi="Times New Roman" w:cs="Times New Roman"/>
          <w:spacing w:val="4"/>
          <w:szCs w:val="24"/>
          <w:lang w:eastAsia="en-US"/>
        </w:rPr>
        <w:t> </w:t>
      </w:r>
      <w:r w:rsidR="00074DE2" w:rsidRPr="004D42C5">
        <w:rPr>
          <w:rFonts w:ascii="Times New Roman" w:eastAsia="Calibri" w:hAnsi="Times New Roman" w:cs="Times New Roman"/>
          <w:spacing w:val="4"/>
          <w:szCs w:val="24"/>
          <w:lang w:eastAsia="en-US"/>
        </w:rPr>
        <w:t xml:space="preserve">tym może być przedmiotem obrotu, pośrednik w obrocie nieruchomościami </w:t>
      </w:r>
      <w:r w:rsidR="00B90889" w:rsidRPr="004D42C5">
        <w:rPr>
          <w:rFonts w:ascii="Times New Roman" w:eastAsia="Calibri" w:hAnsi="Times New Roman" w:cs="Times New Roman"/>
          <w:spacing w:val="4"/>
          <w:szCs w:val="24"/>
          <w:lang w:eastAsia="en-US"/>
        </w:rPr>
        <w:t>powinien</w:t>
      </w:r>
      <w:r w:rsidR="00074DE2" w:rsidRPr="004D42C5">
        <w:rPr>
          <w:rFonts w:ascii="Times New Roman" w:eastAsia="Calibri" w:hAnsi="Times New Roman" w:cs="Times New Roman"/>
          <w:spacing w:val="4"/>
          <w:szCs w:val="24"/>
          <w:lang w:eastAsia="en-US"/>
        </w:rPr>
        <w:t xml:space="preserve"> mieć możliwość uzyskania szczegółowych informacji na ten temat, aby je następnie przekazać klientowi.</w:t>
      </w:r>
    </w:p>
    <w:p w:rsidR="00DB4B60" w:rsidRPr="004D42C5" w:rsidRDefault="00451CAF"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190a</w:t>
      </w:r>
      <w:r w:rsidRPr="004D42C5">
        <w:rPr>
          <w:rFonts w:ascii="Times New Roman" w:eastAsia="Calibri" w:hAnsi="Times New Roman" w:cs="Times New Roman"/>
          <w:spacing w:val="4"/>
          <w:szCs w:val="24"/>
          <w:lang w:eastAsia="en-US"/>
        </w:rPr>
        <w:t xml:space="preserve"> – </w:t>
      </w:r>
      <w:r w:rsidR="00FA076B" w:rsidRPr="004D42C5">
        <w:rPr>
          <w:rFonts w:ascii="Times New Roman" w:eastAsia="Calibri" w:hAnsi="Times New Roman" w:cs="Times New Roman"/>
          <w:spacing w:val="4"/>
          <w:szCs w:val="24"/>
          <w:lang w:eastAsia="en-US"/>
        </w:rPr>
        <w:t xml:space="preserve">propozycja ma na celu zwolnienie podmiotów, które </w:t>
      </w:r>
      <w:r w:rsidR="007E1031" w:rsidRPr="004D42C5">
        <w:rPr>
          <w:rFonts w:ascii="Times New Roman" w:eastAsia="Calibri" w:hAnsi="Times New Roman" w:cs="Times New Roman"/>
          <w:spacing w:val="4"/>
          <w:szCs w:val="24"/>
          <w:lang w:eastAsia="en-US"/>
        </w:rPr>
        <w:t xml:space="preserve">samodzielnie </w:t>
      </w:r>
      <w:r w:rsidR="00FA076B" w:rsidRPr="004D42C5">
        <w:rPr>
          <w:rFonts w:ascii="Times New Roman" w:hAnsi="Times New Roman" w:cs="Times New Roman"/>
          <w:szCs w:val="24"/>
        </w:rPr>
        <w:t>gospodarują nieruchomości</w:t>
      </w:r>
      <w:r w:rsidR="005879EA">
        <w:rPr>
          <w:rFonts w:ascii="Times New Roman" w:hAnsi="Times New Roman" w:cs="Times New Roman"/>
          <w:szCs w:val="24"/>
        </w:rPr>
        <w:t xml:space="preserve">ami </w:t>
      </w:r>
      <w:r w:rsidR="00FA076B" w:rsidRPr="004D42C5">
        <w:rPr>
          <w:rFonts w:ascii="Times New Roman" w:hAnsi="Times New Roman" w:cs="Times New Roman"/>
          <w:szCs w:val="24"/>
        </w:rPr>
        <w:t xml:space="preserve">powierzonymi im </w:t>
      </w:r>
      <w:r w:rsidR="00991CD9" w:rsidRPr="004D42C5">
        <w:rPr>
          <w:rFonts w:ascii="Times New Roman" w:hAnsi="Times New Roman" w:cs="Times New Roman"/>
          <w:szCs w:val="24"/>
        </w:rPr>
        <w:t>do gospodarowania</w:t>
      </w:r>
      <w:r w:rsidR="007828AC" w:rsidRPr="004D42C5">
        <w:rPr>
          <w:rFonts w:ascii="Times New Roman" w:hAnsi="Times New Roman" w:cs="Times New Roman"/>
          <w:szCs w:val="24"/>
        </w:rPr>
        <w:t xml:space="preserve"> (</w:t>
      </w:r>
      <w:r w:rsidR="000B5815" w:rsidRPr="004D42C5">
        <w:rPr>
          <w:rFonts w:ascii="Times New Roman" w:hAnsi="Times New Roman" w:cs="Times New Roman"/>
          <w:szCs w:val="24"/>
        </w:rPr>
        <w:t>tj. organów</w:t>
      </w:r>
      <w:r w:rsidR="006454CC" w:rsidRPr="004D42C5">
        <w:rPr>
          <w:rFonts w:ascii="Times New Roman" w:hAnsi="Times New Roman" w:cs="Times New Roman"/>
          <w:szCs w:val="24"/>
        </w:rPr>
        <w:t xml:space="preserve"> wykonawcz</w:t>
      </w:r>
      <w:r w:rsidR="000B5815" w:rsidRPr="004D42C5">
        <w:rPr>
          <w:rFonts w:ascii="Times New Roman" w:hAnsi="Times New Roman" w:cs="Times New Roman"/>
          <w:szCs w:val="24"/>
        </w:rPr>
        <w:t>ych</w:t>
      </w:r>
      <w:r w:rsidR="006454CC" w:rsidRPr="004D42C5">
        <w:rPr>
          <w:rFonts w:ascii="Times New Roman" w:hAnsi="Times New Roman" w:cs="Times New Roman"/>
          <w:szCs w:val="24"/>
        </w:rPr>
        <w:t xml:space="preserve"> jednostek samorządu terytorialnego gospodarujących zasobami nieruchomości tych jedno</w:t>
      </w:r>
      <w:r w:rsidR="00E36300" w:rsidRPr="004D42C5">
        <w:rPr>
          <w:rFonts w:ascii="Times New Roman" w:hAnsi="Times New Roman" w:cs="Times New Roman"/>
          <w:szCs w:val="24"/>
        </w:rPr>
        <w:t>s</w:t>
      </w:r>
      <w:r w:rsidR="000B5815" w:rsidRPr="004D42C5">
        <w:rPr>
          <w:rFonts w:ascii="Times New Roman" w:hAnsi="Times New Roman" w:cs="Times New Roman"/>
          <w:szCs w:val="24"/>
        </w:rPr>
        <w:t>tek, starostó</w:t>
      </w:r>
      <w:r w:rsidR="006454CC" w:rsidRPr="004D42C5">
        <w:rPr>
          <w:rFonts w:ascii="Times New Roman" w:hAnsi="Times New Roman" w:cs="Times New Roman"/>
          <w:szCs w:val="24"/>
        </w:rPr>
        <w:t>w gospodarujący</w:t>
      </w:r>
      <w:r w:rsidR="000B5815" w:rsidRPr="004D42C5">
        <w:rPr>
          <w:rFonts w:ascii="Times New Roman" w:hAnsi="Times New Roman" w:cs="Times New Roman"/>
          <w:szCs w:val="24"/>
        </w:rPr>
        <w:t>ch</w:t>
      </w:r>
      <w:r w:rsidR="006454CC" w:rsidRPr="004D42C5">
        <w:rPr>
          <w:rFonts w:ascii="Times New Roman" w:hAnsi="Times New Roman" w:cs="Times New Roman"/>
          <w:szCs w:val="24"/>
        </w:rPr>
        <w:t xml:space="preserve"> </w:t>
      </w:r>
      <w:r w:rsidR="00E36300" w:rsidRPr="004D42C5">
        <w:rPr>
          <w:rFonts w:ascii="Times New Roman" w:hAnsi="Times New Roman" w:cs="Times New Roman"/>
          <w:szCs w:val="24"/>
        </w:rPr>
        <w:t xml:space="preserve">nieruchomościami Skarbu Państwa oraz </w:t>
      </w:r>
      <w:r w:rsidR="006454CC" w:rsidRPr="004D42C5">
        <w:rPr>
          <w:rFonts w:ascii="Times New Roman" w:hAnsi="Times New Roman" w:cs="Times New Roman"/>
          <w:szCs w:val="24"/>
        </w:rPr>
        <w:t>agencj</w:t>
      </w:r>
      <w:r w:rsidR="000B5815" w:rsidRPr="004D42C5">
        <w:rPr>
          <w:rFonts w:ascii="Times New Roman" w:hAnsi="Times New Roman" w:cs="Times New Roman"/>
          <w:szCs w:val="24"/>
        </w:rPr>
        <w:t>i</w:t>
      </w:r>
      <w:r w:rsidR="006454CC" w:rsidRPr="004D42C5">
        <w:rPr>
          <w:rFonts w:ascii="Times New Roman" w:hAnsi="Times New Roman" w:cs="Times New Roman"/>
          <w:szCs w:val="24"/>
        </w:rPr>
        <w:t>, które na podstawie odrębnych przepisów wykonują</w:t>
      </w:r>
      <w:r w:rsidR="00E36300" w:rsidRPr="004D42C5">
        <w:rPr>
          <w:rFonts w:ascii="Times New Roman" w:hAnsi="Times New Roman" w:cs="Times New Roman"/>
          <w:szCs w:val="24"/>
        </w:rPr>
        <w:t xml:space="preserve"> prawo własności oraz inne prawa rzeczowe na rzecz Skarbu Państwa, a co za tym idzie również gospodarują tymi nieruchomościami)</w:t>
      </w:r>
      <w:r w:rsidR="00991CD9" w:rsidRPr="004D42C5">
        <w:rPr>
          <w:rFonts w:ascii="Times New Roman" w:hAnsi="Times New Roman" w:cs="Times New Roman"/>
          <w:szCs w:val="24"/>
        </w:rPr>
        <w:t xml:space="preserve">, jak również </w:t>
      </w:r>
      <w:r w:rsidR="00FA076B" w:rsidRPr="004D42C5">
        <w:rPr>
          <w:rFonts w:ascii="Times New Roman" w:hAnsi="Times New Roman" w:cs="Times New Roman"/>
          <w:szCs w:val="24"/>
        </w:rPr>
        <w:t xml:space="preserve">właścicieli nieruchomości samodzielnie zarządzających </w:t>
      </w:r>
      <w:r w:rsidR="009607A0" w:rsidRPr="004D42C5">
        <w:rPr>
          <w:rFonts w:ascii="Times New Roman" w:hAnsi="Times New Roman" w:cs="Times New Roman"/>
          <w:szCs w:val="24"/>
        </w:rPr>
        <w:t xml:space="preserve">nieruchomościami </w:t>
      </w:r>
      <w:r w:rsidR="004B020F" w:rsidRPr="004D42C5">
        <w:rPr>
          <w:rFonts w:ascii="Times New Roman" w:hAnsi="Times New Roman" w:cs="Times New Roman"/>
          <w:szCs w:val="24"/>
        </w:rPr>
        <w:t>stanowiącymi ich własność</w:t>
      </w:r>
      <w:r w:rsidR="00FA076B" w:rsidRPr="004D42C5">
        <w:rPr>
          <w:rFonts w:ascii="Times New Roman" w:hAnsi="Times New Roman" w:cs="Times New Roman"/>
          <w:szCs w:val="24"/>
        </w:rPr>
        <w:t xml:space="preserve"> oraz użytkowników wieczystych </w:t>
      </w:r>
      <w:r w:rsidR="00991CD9" w:rsidRPr="004D42C5">
        <w:rPr>
          <w:rFonts w:ascii="Times New Roman" w:hAnsi="Times New Roman" w:cs="Times New Roman"/>
          <w:szCs w:val="24"/>
        </w:rPr>
        <w:t xml:space="preserve">i </w:t>
      </w:r>
      <w:r w:rsidR="00FA076B" w:rsidRPr="004D42C5">
        <w:rPr>
          <w:rFonts w:ascii="Times New Roman" w:hAnsi="Times New Roman" w:cs="Times New Roman"/>
          <w:szCs w:val="24"/>
        </w:rPr>
        <w:t>trwałych zarządców, którzy samodzielnie zarządzają n</w:t>
      </w:r>
      <w:r w:rsidR="00991CD9" w:rsidRPr="004D42C5">
        <w:rPr>
          <w:rFonts w:ascii="Times New Roman" w:hAnsi="Times New Roman" w:cs="Times New Roman"/>
          <w:szCs w:val="24"/>
        </w:rPr>
        <w:t xml:space="preserve">ieruchomościami oddanymi im </w:t>
      </w:r>
      <w:r w:rsidR="00FA076B" w:rsidRPr="004D42C5">
        <w:rPr>
          <w:rFonts w:ascii="Times New Roman" w:hAnsi="Times New Roman" w:cs="Times New Roman"/>
          <w:szCs w:val="24"/>
        </w:rPr>
        <w:t>odpowiednio w</w:t>
      </w:r>
      <w:r w:rsidR="0009522F" w:rsidRPr="004D42C5">
        <w:rPr>
          <w:rFonts w:ascii="Times New Roman" w:hAnsi="Times New Roman" w:cs="Times New Roman"/>
          <w:szCs w:val="24"/>
        </w:rPr>
        <w:t> </w:t>
      </w:r>
      <w:r w:rsidR="00FA076B" w:rsidRPr="004D42C5">
        <w:rPr>
          <w:rFonts w:ascii="Times New Roman" w:hAnsi="Times New Roman" w:cs="Times New Roman"/>
          <w:szCs w:val="24"/>
        </w:rPr>
        <w:t>użytkowanie wieczyste i trwały zarząd</w:t>
      </w:r>
      <w:r w:rsidR="00282283" w:rsidRPr="004D42C5">
        <w:rPr>
          <w:rFonts w:ascii="Times New Roman" w:hAnsi="Times New Roman" w:cs="Times New Roman"/>
          <w:szCs w:val="24"/>
        </w:rPr>
        <w:t>,</w:t>
      </w:r>
      <w:r w:rsidR="00FA076B" w:rsidRPr="004D42C5">
        <w:rPr>
          <w:rFonts w:ascii="Times New Roman" w:hAnsi="Times New Roman" w:cs="Times New Roman"/>
          <w:szCs w:val="24"/>
        </w:rPr>
        <w:t xml:space="preserve"> z obowiązków </w:t>
      </w:r>
      <w:r w:rsidR="00EA4804" w:rsidRPr="004D42C5">
        <w:rPr>
          <w:rFonts w:ascii="Times New Roman" w:hAnsi="Times New Roman" w:cs="Times New Roman"/>
          <w:szCs w:val="24"/>
        </w:rPr>
        <w:t>dotyczących</w:t>
      </w:r>
      <w:r w:rsidR="00FA076B" w:rsidRPr="004D42C5">
        <w:rPr>
          <w:rFonts w:ascii="Times New Roman" w:hAnsi="Times New Roman" w:cs="Times New Roman"/>
          <w:szCs w:val="24"/>
        </w:rPr>
        <w:t xml:space="preserve"> zarządców nieruchomości </w:t>
      </w:r>
      <w:r w:rsidR="007828AC" w:rsidRPr="004D42C5">
        <w:rPr>
          <w:rFonts w:ascii="Times New Roman" w:hAnsi="Times New Roman" w:cs="Times New Roman"/>
          <w:szCs w:val="24"/>
        </w:rPr>
        <w:t>przewidzianych</w:t>
      </w:r>
      <w:r w:rsidR="00FA076B" w:rsidRPr="004D42C5">
        <w:rPr>
          <w:rFonts w:ascii="Times New Roman" w:hAnsi="Times New Roman" w:cs="Times New Roman"/>
          <w:szCs w:val="24"/>
        </w:rPr>
        <w:t xml:space="preserve"> w projekcie</w:t>
      </w:r>
      <w:r w:rsidR="007828AC" w:rsidRPr="004D42C5">
        <w:rPr>
          <w:rFonts w:ascii="Times New Roman" w:hAnsi="Times New Roman" w:cs="Times New Roman"/>
          <w:szCs w:val="24"/>
        </w:rPr>
        <w:t xml:space="preserve"> oraz zawartych w przepisach ugn</w:t>
      </w:r>
      <w:r w:rsidR="00FA076B" w:rsidRPr="004D42C5">
        <w:rPr>
          <w:rFonts w:ascii="Times New Roman" w:hAnsi="Times New Roman" w:cs="Times New Roman"/>
          <w:szCs w:val="24"/>
        </w:rPr>
        <w:t xml:space="preserve">. </w:t>
      </w:r>
      <w:r w:rsidR="00007177" w:rsidRPr="004D42C5">
        <w:rPr>
          <w:rFonts w:ascii="Times New Roman" w:hAnsi="Times New Roman" w:cs="Times New Roman"/>
          <w:szCs w:val="24"/>
        </w:rPr>
        <w:t>W</w:t>
      </w:r>
      <w:r w:rsidR="0009522F" w:rsidRPr="004D42C5">
        <w:rPr>
          <w:rFonts w:ascii="Times New Roman" w:hAnsi="Times New Roman" w:cs="Times New Roman"/>
          <w:szCs w:val="24"/>
        </w:rPr>
        <w:t> </w:t>
      </w:r>
      <w:r w:rsidR="00007177" w:rsidRPr="004D42C5">
        <w:rPr>
          <w:rFonts w:ascii="Times New Roman" w:hAnsi="Times New Roman" w:cs="Times New Roman"/>
          <w:szCs w:val="24"/>
        </w:rPr>
        <w:t xml:space="preserve">konsekwencji bowiem wprowadzenia definicji „zarządcy nieruchomości” oraz „zarządzania nieruchomościami”, </w:t>
      </w:r>
      <w:r w:rsidR="00DB4B60" w:rsidRPr="004D42C5">
        <w:rPr>
          <w:rFonts w:ascii="Times New Roman" w:hAnsi="Times New Roman" w:cs="Times New Roman"/>
          <w:szCs w:val="24"/>
        </w:rPr>
        <w:t xml:space="preserve">nieracjonalne jest, </w:t>
      </w:r>
      <w:r w:rsidR="00007177" w:rsidRPr="004D42C5">
        <w:rPr>
          <w:rFonts w:ascii="Times New Roman" w:hAnsi="Times New Roman" w:cs="Times New Roman"/>
          <w:szCs w:val="24"/>
        </w:rPr>
        <w:t xml:space="preserve">aby </w:t>
      </w:r>
      <w:r w:rsidR="001D0EB9" w:rsidRPr="004D42C5">
        <w:rPr>
          <w:rFonts w:ascii="Times New Roman" w:hAnsi="Times New Roman" w:cs="Times New Roman"/>
          <w:szCs w:val="24"/>
        </w:rPr>
        <w:t>podmioty</w:t>
      </w:r>
      <w:r w:rsidR="005A72F1" w:rsidRPr="004D42C5">
        <w:rPr>
          <w:rFonts w:ascii="Times New Roman" w:hAnsi="Times New Roman" w:cs="Times New Roman"/>
          <w:szCs w:val="24"/>
        </w:rPr>
        <w:t>,</w:t>
      </w:r>
      <w:r w:rsidR="001D0EB9" w:rsidRPr="004D42C5">
        <w:rPr>
          <w:rFonts w:ascii="Times New Roman" w:hAnsi="Times New Roman" w:cs="Times New Roman"/>
          <w:szCs w:val="24"/>
        </w:rPr>
        <w:t xml:space="preserve"> </w:t>
      </w:r>
      <w:r w:rsidR="00DB4B60" w:rsidRPr="004D42C5">
        <w:rPr>
          <w:rFonts w:ascii="Times New Roman" w:hAnsi="Times New Roman" w:cs="Times New Roman"/>
          <w:szCs w:val="24"/>
        </w:rPr>
        <w:t xml:space="preserve">które </w:t>
      </w:r>
      <w:r w:rsidR="005A72F1" w:rsidRPr="004D42C5">
        <w:rPr>
          <w:rFonts w:ascii="Times New Roman" w:hAnsi="Times New Roman" w:cs="Times New Roman"/>
          <w:szCs w:val="24"/>
        </w:rPr>
        <w:t>zdecydują się</w:t>
      </w:r>
      <w:r w:rsidR="00DB4B60" w:rsidRPr="004D42C5">
        <w:rPr>
          <w:rFonts w:ascii="Times New Roman" w:hAnsi="Times New Roman" w:cs="Times New Roman"/>
          <w:szCs w:val="24"/>
        </w:rPr>
        <w:t xml:space="preserve"> </w:t>
      </w:r>
      <w:r w:rsidR="0016172E" w:rsidRPr="004D42C5">
        <w:rPr>
          <w:rFonts w:ascii="Times New Roman" w:hAnsi="Times New Roman" w:cs="Times New Roman"/>
          <w:szCs w:val="24"/>
        </w:rPr>
        <w:t>sam</w:t>
      </w:r>
      <w:r w:rsidR="00060B89" w:rsidRPr="004D42C5">
        <w:rPr>
          <w:rFonts w:ascii="Times New Roman" w:hAnsi="Times New Roman" w:cs="Times New Roman"/>
          <w:szCs w:val="24"/>
        </w:rPr>
        <w:t xml:space="preserve">odzielnie wykonywać czynności z </w:t>
      </w:r>
      <w:r w:rsidR="0016172E" w:rsidRPr="004D42C5">
        <w:rPr>
          <w:rFonts w:ascii="Times New Roman" w:hAnsi="Times New Roman" w:cs="Times New Roman"/>
          <w:szCs w:val="24"/>
        </w:rPr>
        <w:t xml:space="preserve">zakresu zarządzania </w:t>
      </w:r>
      <w:r w:rsidR="00934874" w:rsidRPr="004D42C5">
        <w:rPr>
          <w:rFonts w:ascii="Times New Roman" w:hAnsi="Times New Roman" w:cs="Times New Roman"/>
          <w:szCs w:val="24"/>
        </w:rPr>
        <w:t>„</w:t>
      </w:r>
      <w:r w:rsidR="0016172E" w:rsidRPr="004D42C5">
        <w:rPr>
          <w:rFonts w:ascii="Times New Roman" w:hAnsi="Times New Roman" w:cs="Times New Roman"/>
          <w:szCs w:val="24"/>
        </w:rPr>
        <w:t>swoi</w:t>
      </w:r>
      <w:r w:rsidR="005A72F1" w:rsidRPr="004D42C5">
        <w:rPr>
          <w:rFonts w:ascii="Times New Roman" w:hAnsi="Times New Roman" w:cs="Times New Roman"/>
          <w:szCs w:val="24"/>
        </w:rPr>
        <w:t>mi</w:t>
      </w:r>
      <w:r w:rsidR="00934874" w:rsidRPr="004D42C5">
        <w:rPr>
          <w:rFonts w:ascii="Times New Roman" w:hAnsi="Times New Roman" w:cs="Times New Roman"/>
          <w:szCs w:val="24"/>
        </w:rPr>
        <w:t>”</w:t>
      </w:r>
      <w:r w:rsidR="0016172E" w:rsidRPr="004D42C5">
        <w:rPr>
          <w:rFonts w:ascii="Times New Roman" w:hAnsi="Times New Roman" w:cs="Times New Roman"/>
          <w:szCs w:val="24"/>
        </w:rPr>
        <w:t xml:space="preserve"> </w:t>
      </w:r>
      <w:r w:rsidR="0016172E" w:rsidRPr="004D42C5">
        <w:rPr>
          <w:rFonts w:ascii="Times New Roman" w:hAnsi="Times New Roman" w:cs="Times New Roman"/>
          <w:szCs w:val="24"/>
        </w:rPr>
        <w:lastRenderedPageBreak/>
        <w:t>nieruchomościami</w:t>
      </w:r>
      <w:r w:rsidR="006B02DA">
        <w:rPr>
          <w:rFonts w:ascii="Times New Roman" w:hAnsi="Times New Roman" w:cs="Times New Roman"/>
          <w:szCs w:val="24"/>
        </w:rPr>
        <w:t>,</w:t>
      </w:r>
      <w:r w:rsidR="00007177" w:rsidRPr="004D42C5">
        <w:rPr>
          <w:rFonts w:ascii="Times New Roman" w:hAnsi="Times New Roman" w:cs="Times New Roman"/>
          <w:szCs w:val="24"/>
        </w:rPr>
        <w:t xml:space="preserve"> </w:t>
      </w:r>
      <w:r w:rsidR="006B02DA" w:rsidRPr="004D42C5">
        <w:rPr>
          <w:rFonts w:ascii="Times New Roman" w:hAnsi="Times New Roman" w:cs="Times New Roman"/>
          <w:szCs w:val="24"/>
        </w:rPr>
        <w:t xml:space="preserve">były </w:t>
      </w:r>
      <w:r w:rsidR="007E0D36" w:rsidRPr="004D42C5">
        <w:rPr>
          <w:rFonts w:ascii="Times New Roman" w:hAnsi="Times New Roman" w:cs="Times New Roman"/>
          <w:szCs w:val="24"/>
        </w:rPr>
        <w:t>obowiązane do prowadzenia działalności</w:t>
      </w:r>
      <w:r w:rsidR="00DB4B60" w:rsidRPr="004D42C5">
        <w:rPr>
          <w:rFonts w:ascii="Times New Roman" w:hAnsi="Times New Roman" w:cs="Times New Roman"/>
          <w:szCs w:val="24"/>
        </w:rPr>
        <w:t xml:space="preserve"> </w:t>
      </w:r>
      <w:r w:rsidR="001D0EB9" w:rsidRPr="004D42C5">
        <w:rPr>
          <w:rFonts w:ascii="Times New Roman" w:hAnsi="Times New Roman" w:cs="Times New Roman"/>
          <w:szCs w:val="24"/>
        </w:rPr>
        <w:t>gospodarcz</w:t>
      </w:r>
      <w:r w:rsidR="007E0D36" w:rsidRPr="004D42C5">
        <w:rPr>
          <w:rFonts w:ascii="Times New Roman" w:hAnsi="Times New Roman" w:cs="Times New Roman"/>
          <w:szCs w:val="24"/>
        </w:rPr>
        <w:t>ej w</w:t>
      </w:r>
      <w:r w:rsidR="0009522F" w:rsidRPr="004D42C5">
        <w:rPr>
          <w:rFonts w:ascii="Times New Roman" w:hAnsi="Times New Roman" w:cs="Times New Roman"/>
          <w:szCs w:val="24"/>
        </w:rPr>
        <w:t> </w:t>
      </w:r>
      <w:r w:rsidR="007E0D36" w:rsidRPr="004D42C5">
        <w:rPr>
          <w:rFonts w:ascii="Times New Roman" w:hAnsi="Times New Roman" w:cs="Times New Roman"/>
          <w:szCs w:val="24"/>
        </w:rPr>
        <w:t>tym zakresie</w:t>
      </w:r>
      <w:r w:rsidR="000720B5" w:rsidRPr="004D42C5">
        <w:rPr>
          <w:rFonts w:ascii="Times New Roman" w:hAnsi="Times New Roman" w:cs="Times New Roman"/>
          <w:szCs w:val="24"/>
        </w:rPr>
        <w:t xml:space="preserve">, </w:t>
      </w:r>
      <w:r w:rsidR="007E0D36" w:rsidRPr="004D42C5">
        <w:rPr>
          <w:rFonts w:ascii="Times New Roman" w:hAnsi="Times New Roman" w:cs="Times New Roman"/>
          <w:szCs w:val="24"/>
        </w:rPr>
        <w:t>posiadania</w:t>
      </w:r>
      <w:r w:rsidR="001D0EB9" w:rsidRPr="004D42C5">
        <w:rPr>
          <w:rFonts w:ascii="Times New Roman" w:hAnsi="Times New Roman" w:cs="Times New Roman"/>
          <w:szCs w:val="24"/>
        </w:rPr>
        <w:t xml:space="preserve"> obowiązkowe</w:t>
      </w:r>
      <w:r w:rsidR="007E0D36" w:rsidRPr="004D42C5">
        <w:rPr>
          <w:rFonts w:ascii="Times New Roman" w:hAnsi="Times New Roman" w:cs="Times New Roman"/>
          <w:szCs w:val="24"/>
        </w:rPr>
        <w:t>go</w:t>
      </w:r>
      <w:r w:rsidR="001D0EB9" w:rsidRPr="004D42C5">
        <w:rPr>
          <w:rFonts w:ascii="Times New Roman" w:hAnsi="Times New Roman" w:cs="Times New Roman"/>
          <w:szCs w:val="24"/>
        </w:rPr>
        <w:t xml:space="preserve"> ubezpieczeni</w:t>
      </w:r>
      <w:r w:rsidR="007E0D36" w:rsidRPr="004D42C5">
        <w:rPr>
          <w:rFonts w:ascii="Times New Roman" w:hAnsi="Times New Roman" w:cs="Times New Roman"/>
          <w:szCs w:val="24"/>
        </w:rPr>
        <w:t>a</w:t>
      </w:r>
      <w:r w:rsidR="001D0EB9" w:rsidRPr="004D42C5">
        <w:rPr>
          <w:rFonts w:ascii="Times New Roman" w:hAnsi="Times New Roman" w:cs="Times New Roman"/>
          <w:szCs w:val="24"/>
        </w:rPr>
        <w:t xml:space="preserve"> OC</w:t>
      </w:r>
      <w:r w:rsidR="000720B5" w:rsidRPr="004D42C5">
        <w:rPr>
          <w:rFonts w:ascii="Times New Roman" w:hAnsi="Times New Roman" w:cs="Times New Roman"/>
          <w:szCs w:val="24"/>
        </w:rPr>
        <w:t xml:space="preserve"> czy zawierania umowy o zarządzanie nieruchomością</w:t>
      </w:r>
      <w:r w:rsidR="001D0EB9" w:rsidRPr="004D42C5">
        <w:rPr>
          <w:rFonts w:ascii="Times New Roman" w:hAnsi="Times New Roman" w:cs="Times New Roman"/>
          <w:szCs w:val="24"/>
        </w:rPr>
        <w:t xml:space="preserve">. </w:t>
      </w:r>
      <w:r w:rsidR="007E0D36" w:rsidRPr="004D42C5">
        <w:rPr>
          <w:rFonts w:ascii="Times New Roman" w:hAnsi="Times New Roman" w:cs="Times New Roman"/>
          <w:szCs w:val="24"/>
        </w:rPr>
        <w:t>Analogiczna regulacja funkcjonowała również</w:t>
      </w:r>
      <w:r w:rsidR="005A72F1" w:rsidRPr="004D42C5">
        <w:rPr>
          <w:rFonts w:ascii="Times New Roman" w:hAnsi="Times New Roman" w:cs="Times New Roman"/>
          <w:szCs w:val="24"/>
        </w:rPr>
        <w:t xml:space="preserve"> przed dniem 1 stycznia 2014 r.</w:t>
      </w:r>
      <w:r w:rsidR="00381890" w:rsidRPr="004D42C5">
        <w:rPr>
          <w:rFonts w:ascii="Times New Roman" w:hAnsi="Times New Roman" w:cs="Times New Roman"/>
          <w:szCs w:val="24"/>
        </w:rPr>
        <w:t xml:space="preserve"> </w:t>
      </w:r>
    </w:p>
    <w:p w:rsidR="00EC6617" w:rsidRPr="004D42C5" w:rsidRDefault="004A5A42" w:rsidP="007B2772">
      <w:pPr>
        <w:pStyle w:val="ZARTzmartartykuempunktem"/>
        <w:numPr>
          <w:ilvl w:val="1"/>
          <w:numId w:val="1"/>
        </w:numPr>
        <w:tabs>
          <w:tab w:val="num" w:pos="426"/>
        </w:tabs>
        <w:spacing w:before="120"/>
        <w:ind w:left="425" w:hanging="425"/>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191 ust. 3a</w:t>
      </w:r>
      <w:r w:rsidR="00CE33FB" w:rsidRPr="004D42C5">
        <w:rPr>
          <w:rFonts w:ascii="Times New Roman" w:eastAsia="Calibri" w:hAnsi="Times New Roman" w:cs="Times New Roman"/>
          <w:b/>
          <w:spacing w:val="4"/>
          <w:szCs w:val="24"/>
          <w:lang w:eastAsia="en-US"/>
        </w:rPr>
        <w:t>, 3c</w:t>
      </w:r>
      <w:r w:rsidRPr="004D42C5">
        <w:rPr>
          <w:rFonts w:ascii="Times New Roman" w:eastAsia="Calibri" w:hAnsi="Times New Roman" w:cs="Times New Roman"/>
          <w:b/>
          <w:spacing w:val="4"/>
          <w:szCs w:val="24"/>
          <w:lang w:eastAsia="en-US"/>
        </w:rPr>
        <w:t xml:space="preserve"> i 3e</w:t>
      </w:r>
      <w:r w:rsidRPr="004D42C5">
        <w:rPr>
          <w:rFonts w:ascii="Times New Roman" w:eastAsia="Calibri" w:hAnsi="Times New Roman" w:cs="Times New Roman"/>
          <w:spacing w:val="4"/>
          <w:szCs w:val="24"/>
          <w:lang w:eastAsia="en-US"/>
        </w:rPr>
        <w:t xml:space="preserve"> –</w:t>
      </w:r>
      <w:r w:rsidR="00FD5C12" w:rsidRPr="004D42C5">
        <w:rPr>
          <w:rFonts w:ascii="Times New Roman" w:eastAsia="Calibri" w:hAnsi="Times New Roman" w:cs="Times New Roman"/>
          <w:spacing w:val="4"/>
          <w:szCs w:val="24"/>
          <w:lang w:eastAsia="en-US"/>
        </w:rPr>
        <w:t xml:space="preserve"> </w:t>
      </w:r>
      <w:r w:rsidR="00EA0EB9" w:rsidRPr="004D42C5">
        <w:rPr>
          <w:rFonts w:ascii="Times New Roman" w:eastAsia="Calibri" w:hAnsi="Times New Roman" w:cs="Times New Roman"/>
          <w:spacing w:val="4"/>
          <w:szCs w:val="24"/>
          <w:lang w:eastAsia="en-US"/>
        </w:rPr>
        <w:t xml:space="preserve">propozycja doprecyzowania </w:t>
      </w:r>
      <w:r w:rsidR="002A52CF" w:rsidRPr="004D42C5">
        <w:rPr>
          <w:rFonts w:ascii="Times New Roman" w:eastAsia="Calibri" w:hAnsi="Times New Roman" w:cs="Times New Roman"/>
          <w:spacing w:val="4"/>
          <w:szCs w:val="24"/>
          <w:lang w:eastAsia="en-US"/>
        </w:rPr>
        <w:t>terminu rozpatrzenia</w:t>
      </w:r>
      <w:r w:rsidR="00EC6617" w:rsidRPr="004D42C5">
        <w:rPr>
          <w:rFonts w:ascii="Times New Roman" w:eastAsia="Calibri" w:hAnsi="Times New Roman" w:cs="Times New Roman"/>
          <w:spacing w:val="4"/>
          <w:szCs w:val="24"/>
          <w:lang w:eastAsia="en-US"/>
        </w:rPr>
        <w:t xml:space="preserve"> wniosku o nadanie uprawnień zawodowych w zakresie szacowania nieruchomości. Z uwagi na fakt, że postępowanie kwalifikacyjne w sprawie nadania uprawnień zawodowych</w:t>
      </w:r>
      <w:r w:rsidR="007B2772" w:rsidRPr="004D42C5">
        <w:rPr>
          <w:rFonts w:ascii="Times New Roman" w:eastAsia="Calibri" w:hAnsi="Times New Roman" w:cs="Times New Roman"/>
          <w:spacing w:val="4"/>
          <w:szCs w:val="24"/>
          <w:lang w:eastAsia="en-US"/>
        </w:rPr>
        <w:t xml:space="preserve"> </w:t>
      </w:r>
      <w:r w:rsidR="00EC6617" w:rsidRPr="004D42C5">
        <w:rPr>
          <w:rFonts w:ascii="Times New Roman" w:eastAsia="Calibri" w:hAnsi="Times New Roman" w:cs="Times New Roman"/>
          <w:spacing w:val="4"/>
          <w:szCs w:val="24"/>
          <w:lang w:eastAsia="en-US"/>
        </w:rPr>
        <w:t>dzieli się na kilka etapów (etap wstępny – analiza dokumentacji, następnie egzamin pisemny i ustny), w trakcie których mogą nastąpić różne okoliczności powodujące przesunięcie terminu przystąpienia kandydata do danego etapu egzaminu</w:t>
      </w:r>
      <w:r w:rsidR="006B02DA">
        <w:rPr>
          <w:rFonts w:ascii="Times New Roman" w:eastAsia="Calibri" w:hAnsi="Times New Roman" w:cs="Times New Roman"/>
          <w:spacing w:val="4"/>
          <w:szCs w:val="24"/>
          <w:lang w:eastAsia="en-US"/>
        </w:rPr>
        <w:t>, na</w:t>
      </w:r>
      <w:r w:rsidR="00EC6617" w:rsidRPr="004D42C5">
        <w:rPr>
          <w:rFonts w:ascii="Times New Roman" w:eastAsia="Calibri" w:hAnsi="Times New Roman" w:cs="Times New Roman"/>
          <w:spacing w:val="4"/>
          <w:szCs w:val="24"/>
          <w:lang w:eastAsia="en-US"/>
        </w:rPr>
        <w:t xml:space="preserve"> gruncie obowiązującego brzmienia art. 191 ust. 3a powstawały wątpliwości</w:t>
      </w:r>
      <w:r w:rsidR="005A72F1" w:rsidRPr="004D42C5">
        <w:rPr>
          <w:rFonts w:ascii="Times New Roman" w:eastAsia="Calibri" w:hAnsi="Times New Roman" w:cs="Times New Roman"/>
          <w:spacing w:val="4"/>
          <w:szCs w:val="24"/>
          <w:lang w:eastAsia="en-US"/>
        </w:rPr>
        <w:t>,</w:t>
      </w:r>
      <w:r w:rsidR="00EC6617" w:rsidRPr="004D42C5">
        <w:rPr>
          <w:rFonts w:ascii="Times New Roman" w:eastAsia="Calibri" w:hAnsi="Times New Roman" w:cs="Times New Roman"/>
          <w:spacing w:val="4"/>
          <w:szCs w:val="24"/>
          <w:lang w:eastAsia="en-US"/>
        </w:rPr>
        <w:t xml:space="preserve"> od jakiej daty następuje bieg dwumiesięcznego terminu. Nie jest jednoznaczne, czy data wszczęcia postępowania to data złożenia wniosku przez kandydata, czy może data etapu wstępnego, który przeprowadza Państwowa Komisja Kwalifikacyjna stwierdzająca spełnienie wymogów nadania uprawnień. </w:t>
      </w:r>
    </w:p>
    <w:p w:rsidR="00FD5C12" w:rsidRPr="004D42C5" w:rsidRDefault="006335A1" w:rsidP="007B2772">
      <w:pPr>
        <w:pStyle w:val="ZARTzmartartykuempunktem"/>
        <w:spacing w:before="120"/>
        <w:ind w:left="425" w:firstLine="0"/>
        <w:rPr>
          <w:rFonts w:ascii="Times New Roman" w:hAnsi="Times New Roman" w:cs="Times New Roman"/>
          <w:spacing w:val="4"/>
          <w:szCs w:val="24"/>
        </w:rPr>
      </w:pPr>
      <w:r w:rsidRPr="004D42C5">
        <w:rPr>
          <w:rFonts w:ascii="Times New Roman" w:hAnsi="Times New Roman" w:cs="Times New Roman"/>
          <w:spacing w:val="4"/>
          <w:szCs w:val="24"/>
        </w:rPr>
        <w:t>Z</w:t>
      </w:r>
      <w:r w:rsidR="00EC6617" w:rsidRPr="004D42C5">
        <w:rPr>
          <w:rFonts w:ascii="Times New Roman" w:hAnsi="Times New Roman" w:cs="Times New Roman"/>
          <w:spacing w:val="4"/>
          <w:szCs w:val="24"/>
        </w:rPr>
        <w:t xml:space="preserve">aproponowano, aby termin </w:t>
      </w:r>
      <w:r w:rsidR="00EA0EB9" w:rsidRPr="004D42C5">
        <w:rPr>
          <w:rFonts w:ascii="Times New Roman" w:hAnsi="Times New Roman" w:cs="Times New Roman"/>
          <w:spacing w:val="4"/>
          <w:szCs w:val="24"/>
        </w:rPr>
        <w:t xml:space="preserve">rozpatrzenia wniosku </w:t>
      </w:r>
      <w:r w:rsidR="00EC6617" w:rsidRPr="004D42C5">
        <w:rPr>
          <w:rFonts w:ascii="Times New Roman" w:hAnsi="Times New Roman" w:cs="Times New Roman"/>
          <w:spacing w:val="4"/>
          <w:szCs w:val="24"/>
        </w:rPr>
        <w:t xml:space="preserve">liczyć od </w:t>
      </w:r>
      <w:r w:rsidR="002A52CF" w:rsidRPr="004D42C5">
        <w:rPr>
          <w:rFonts w:ascii="Times New Roman" w:hAnsi="Times New Roman" w:cs="Times New Roman"/>
          <w:spacing w:val="4"/>
          <w:szCs w:val="24"/>
        </w:rPr>
        <w:t xml:space="preserve">daty </w:t>
      </w:r>
      <w:r w:rsidR="00260297" w:rsidRPr="004D42C5">
        <w:rPr>
          <w:rFonts w:ascii="Times New Roman" w:hAnsi="Times New Roman" w:cs="Times New Roman"/>
          <w:spacing w:val="4"/>
          <w:szCs w:val="24"/>
        </w:rPr>
        <w:t xml:space="preserve">przeprowadzenia </w:t>
      </w:r>
      <w:r w:rsidR="002A52CF" w:rsidRPr="004D42C5">
        <w:rPr>
          <w:rFonts w:ascii="Times New Roman" w:hAnsi="Times New Roman" w:cs="Times New Roman"/>
          <w:spacing w:val="4"/>
          <w:szCs w:val="24"/>
        </w:rPr>
        <w:t>etapu</w:t>
      </w:r>
      <w:r w:rsidR="00EC6617" w:rsidRPr="004D42C5">
        <w:rPr>
          <w:rFonts w:ascii="Times New Roman" w:hAnsi="Times New Roman" w:cs="Times New Roman"/>
          <w:spacing w:val="4"/>
          <w:szCs w:val="24"/>
        </w:rPr>
        <w:t xml:space="preserve"> postępowania kwalifikacyjnego, którego dotyczy wniosek. W przy</w:t>
      </w:r>
      <w:r w:rsidR="00335E98" w:rsidRPr="004D42C5">
        <w:rPr>
          <w:rFonts w:ascii="Times New Roman" w:hAnsi="Times New Roman" w:cs="Times New Roman"/>
          <w:spacing w:val="4"/>
          <w:szCs w:val="24"/>
        </w:rPr>
        <w:t>padku zatem</w:t>
      </w:r>
      <w:r w:rsidR="00EC6617" w:rsidRPr="004D42C5">
        <w:rPr>
          <w:rFonts w:ascii="Times New Roman" w:hAnsi="Times New Roman" w:cs="Times New Roman"/>
          <w:spacing w:val="4"/>
          <w:szCs w:val="24"/>
        </w:rPr>
        <w:t xml:space="preserve"> gdy kandydat po raz pierwszy wnioskuje o</w:t>
      </w:r>
      <w:r w:rsidR="0009522F" w:rsidRPr="004D42C5">
        <w:rPr>
          <w:rFonts w:ascii="Times New Roman" w:hAnsi="Times New Roman" w:cs="Times New Roman"/>
          <w:spacing w:val="4"/>
          <w:szCs w:val="24"/>
        </w:rPr>
        <w:t> </w:t>
      </w:r>
      <w:r w:rsidR="00EC6617" w:rsidRPr="004D42C5">
        <w:rPr>
          <w:rFonts w:ascii="Times New Roman" w:hAnsi="Times New Roman" w:cs="Times New Roman"/>
          <w:spacing w:val="4"/>
          <w:szCs w:val="24"/>
        </w:rPr>
        <w:t>nadanie uprawnień zawodowych</w:t>
      </w:r>
      <w:r w:rsidR="00FA1CCC">
        <w:rPr>
          <w:rFonts w:ascii="Times New Roman" w:hAnsi="Times New Roman" w:cs="Times New Roman"/>
          <w:spacing w:val="4"/>
          <w:szCs w:val="24"/>
        </w:rPr>
        <w:t>,</w:t>
      </w:r>
      <w:r w:rsidR="00EC6617" w:rsidRPr="004D42C5">
        <w:rPr>
          <w:rFonts w:ascii="Times New Roman" w:hAnsi="Times New Roman" w:cs="Times New Roman"/>
          <w:spacing w:val="4"/>
          <w:szCs w:val="24"/>
        </w:rPr>
        <w:t xml:space="preserve"> organ będzie zobowiązany rozpatrzyć wniosek w terminie dwóch miesięcy od </w:t>
      </w:r>
      <w:r w:rsidR="002A52CF" w:rsidRPr="004D42C5">
        <w:rPr>
          <w:rFonts w:ascii="Times New Roman" w:hAnsi="Times New Roman" w:cs="Times New Roman"/>
          <w:spacing w:val="4"/>
          <w:szCs w:val="24"/>
        </w:rPr>
        <w:t>daty</w:t>
      </w:r>
      <w:r w:rsidR="00EC6617" w:rsidRPr="004D42C5">
        <w:rPr>
          <w:rFonts w:ascii="Times New Roman" w:hAnsi="Times New Roman" w:cs="Times New Roman"/>
          <w:spacing w:val="4"/>
          <w:szCs w:val="24"/>
        </w:rPr>
        <w:t xml:space="preserve"> </w:t>
      </w:r>
      <w:r w:rsidR="00444FA5" w:rsidRPr="004D42C5">
        <w:rPr>
          <w:rFonts w:ascii="Times New Roman" w:hAnsi="Times New Roman" w:cs="Times New Roman"/>
          <w:spacing w:val="4"/>
          <w:szCs w:val="24"/>
        </w:rPr>
        <w:t xml:space="preserve">przeprowadzenia </w:t>
      </w:r>
      <w:r w:rsidR="00EC6617" w:rsidRPr="004D42C5">
        <w:rPr>
          <w:rFonts w:ascii="Times New Roman" w:hAnsi="Times New Roman" w:cs="Times New Roman"/>
          <w:spacing w:val="4"/>
          <w:szCs w:val="24"/>
        </w:rPr>
        <w:t>etapu wstępnego, który przeprowadza Państwowa Komi</w:t>
      </w:r>
      <w:r w:rsidR="00335E98" w:rsidRPr="004D42C5">
        <w:rPr>
          <w:rFonts w:ascii="Times New Roman" w:hAnsi="Times New Roman" w:cs="Times New Roman"/>
          <w:spacing w:val="4"/>
          <w:szCs w:val="24"/>
        </w:rPr>
        <w:t>sja Kwalifikacyjna. W przypadku</w:t>
      </w:r>
      <w:r w:rsidR="00EC6617" w:rsidRPr="004D42C5">
        <w:rPr>
          <w:rFonts w:ascii="Times New Roman" w:hAnsi="Times New Roman" w:cs="Times New Roman"/>
          <w:spacing w:val="4"/>
          <w:szCs w:val="24"/>
        </w:rPr>
        <w:t xml:space="preserve"> gdy kandydat, który uzyskał wynik negatywny egzaminu pisemnego lub ustnego</w:t>
      </w:r>
      <w:r w:rsidR="00335E98" w:rsidRPr="004D42C5">
        <w:rPr>
          <w:rFonts w:ascii="Times New Roman" w:hAnsi="Times New Roman" w:cs="Times New Roman"/>
          <w:spacing w:val="4"/>
          <w:szCs w:val="24"/>
        </w:rPr>
        <w:t>,</w:t>
      </w:r>
      <w:r w:rsidR="00EC6617" w:rsidRPr="004D42C5">
        <w:rPr>
          <w:rFonts w:ascii="Times New Roman" w:hAnsi="Times New Roman" w:cs="Times New Roman"/>
          <w:spacing w:val="4"/>
          <w:szCs w:val="24"/>
        </w:rPr>
        <w:t xml:space="preserve"> występuje ponownie z wnioskiem o nadanie uprawnień, etap wstępny jest pomijany, a zatem bieg terminu będzie </w:t>
      </w:r>
      <w:r w:rsidR="00EA0EB9" w:rsidRPr="004D42C5">
        <w:rPr>
          <w:rFonts w:ascii="Times New Roman" w:hAnsi="Times New Roman" w:cs="Times New Roman"/>
          <w:spacing w:val="4"/>
          <w:szCs w:val="24"/>
        </w:rPr>
        <w:t xml:space="preserve">liczony </w:t>
      </w:r>
      <w:r w:rsidR="00EC6617" w:rsidRPr="004D42C5">
        <w:rPr>
          <w:rFonts w:ascii="Times New Roman" w:hAnsi="Times New Roman" w:cs="Times New Roman"/>
          <w:spacing w:val="4"/>
          <w:szCs w:val="24"/>
        </w:rPr>
        <w:t xml:space="preserve">od dnia przeprowadzenia egzaminu, do którego przystąpi kandydat. </w:t>
      </w:r>
    </w:p>
    <w:p w:rsidR="00EC6617" w:rsidRPr="004D42C5" w:rsidRDefault="00EC6617" w:rsidP="007B2772">
      <w:pPr>
        <w:pStyle w:val="ZARTzmartartykuempunktem"/>
        <w:spacing w:before="120"/>
        <w:ind w:left="425" w:firstLine="0"/>
        <w:rPr>
          <w:rFonts w:ascii="Times New Roman" w:hAnsi="Times New Roman" w:cs="Times New Roman"/>
          <w:spacing w:val="4"/>
          <w:szCs w:val="24"/>
        </w:rPr>
      </w:pPr>
      <w:r w:rsidRPr="004D42C5">
        <w:rPr>
          <w:rFonts w:ascii="Times New Roman" w:hAnsi="Times New Roman" w:cs="Times New Roman"/>
          <w:spacing w:val="4"/>
          <w:szCs w:val="24"/>
        </w:rPr>
        <w:t>Zmiany w ar</w:t>
      </w:r>
      <w:r w:rsidR="00335E98" w:rsidRPr="004D42C5">
        <w:rPr>
          <w:rFonts w:ascii="Times New Roman" w:hAnsi="Times New Roman" w:cs="Times New Roman"/>
          <w:spacing w:val="4"/>
          <w:szCs w:val="24"/>
        </w:rPr>
        <w:t>t. 191 ust. 3</w:t>
      </w:r>
      <w:r w:rsidRPr="004D42C5">
        <w:rPr>
          <w:rFonts w:ascii="Times New Roman" w:hAnsi="Times New Roman" w:cs="Times New Roman"/>
          <w:spacing w:val="4"/>
          <w:szCs w:val="24"/>
        </w:rPr>
        <w:t>c mają jedynie charakter redakcyjny, dostosowujący przepisy ugn do praktyki działania Państwowej Komisji Kwalifikacyjnej i jej zespołów.</w:t>
      </w:r>
    </w:p>
    <w:p w:rsidR="00BE7940" w:rsidRPr="004D42C5" w:rsidRDefault="0022568B" w:rsidP="007B2772">
      <w:pPr>
        <w:pStyle w:val="ZARTzmartartykuempunktem"/>
        <w:numPr>
          <w:ilvl w:val="1"/>
          <w:numId w:val="1"/>
        </w:numPr>
        <w:tabs>
          <w:tab w:val="num" w:pos="426"/>
        </w:tabs>
        <w:spacing w:before="120"/>
        <w:ind w:left="426" w:hanging="426"/>
        <w:rPr>
          <w:rFonts w:ascii="Times New Roman" w:eastAsia="Calibri" w:hAnsi="Times New Roman" w:cs="Times New Roman"/>
          <w:strike/>
          <w:spacing w:val="4"/>
          <w:szCs w:val="24"/>
          <w:lang w:eastAsia="en-US"/>
        </w:rPr>
      </w:pPr>
      <w:r w:rsidRPr="004D42C5">
        <w:rPr>
          <w:rFonts w:ascii="Times New Roman" w:eastAsia="Calibri" w:hAnsi="Times New Roman" w:cs="Times New Roman"/>
          <w:b/>
          <w:spacing w:val="4"/>
          <w:szCs w:val="24"/>
          <w:lang w:eastAsia="en-US"/>
        </w:rPr>
        <w:t>art. 191 ust. 4 i art. 194 ust. 3</w:t>
      </w:r>
      <w:r w:rsidRPr="004D42C5">
        <w:rPr>
          <w:rFonts w:ascii="Times New Roman" w:eastAsia="Calibri" w:hAnsi="Times New Roman" w:cs="Times New Roman"/>
          <w:spacing w:val="4"/>
          <w:szCs w:val="24"/>
          <w:lang w:eastAsia="en-US"/>
        </w:rPr>
        <w:t xml:space="preserve"> – korekta prze</w:t>
      </w:r>
      <w:r w:rsidR="00746A97" w:rsidRPr="004D42C5">
        <w:rPr>
          <w:rFonts w:ascii="Times New Roman" w:eastAsia="Calibri" w:hAnsi="Times New Roman" w:cs="Times New Roman"/>
          <w:spacing w:val="4"/>
          <w:szCs w:val="24"/>
          <w:lang w:eastAsia="en-US"/>
        </w:rPr>
        <w:t>pisów</w:t>
      </w:r>
      <w:r w:rsidR="00BE7940" w:rsidRPr="004D42C5">
        <w:rPr>
          <w:rFonts w:ascii="Times New Roman" w:eastAsia="Calibri" w:hAnsi="Times New Roman" w:cs="Times New Roman"/>
          <w:spacing w:val="4"/>
          <w:szCs w:val="24"/>
          <w:lang w:eastAsia="en-US"/>
        </w:rPr>
        <w:t xml:space="preserve"> upoważni</w:t>
      </w:r>
      <w:r w:rsidR="00746A97" w:rsidRPr="004D42C5">
        <w:rPr>
          <w:rFonts w:ascii="Times New Roman" w:eastAsia="Calibri" w:hAnsi="Times New Roman" w:cs="Times New Roman"/>
          <w:spacing w:val="4"/>
          <w:szCs w:val="24"/>
          <w:lang w:eastAsia="en-US"/>
        </w:rPr>
        <w:t>ających</w:t>
      </w:r>
      <w:r w:rsidR="00BE7940" w:rsidRPr="004D42C5">
        <w:rPr>
          <w:rFonts w:ascii="Times New Roman" w:eastAsia="Calibri" w:hAnsi="Times New Roman" w:cs="Times New Roman"/>
          <w:spacing w:val="4"/>
          <w:szCs w:val="24"/>
          <w:lang w:eastAsia="en-US"/>
        </w:rPr>
        <w:t xml:space="preserve"> do wydania akt</w:t>
      </w:r>
      <w:r w:rsidR="00335E98" w:rsidRPr="004D42C5">
        <w:rPr>
          <w:rFonts w:ascii="Times New Roman" w:eastAsia="Calibri" w:hAnsi="Times New Roman" w:cs="Times New Roman"/>
          <w:spacing w:val="4"/>
          <w:szCs w:val="24"/>
          <w:lang w:eastAsia="en-US"/>
        </w:rPr>
        <w:t>ów</w:t>
      </w:r>
      <w:r w:rsidR="00BE7940" w:rsidRPr="004D42C5">
        <w:rPr>
          <w:rFonts w:ascii="Times New Roman" w:eastAsia="Calibri" w:hAnsi="Times New Roman" w:cs="Times New Roman"/>
          <w:spacing w:val="4"/>
          <w:szCs w:val="24"/>
          <w:lang w:eastAsia="en-US"/>
        </w:rPr>
        <w:t xml:space="preserve"> </w:t>
      </w:r>
      <w:r w:rsidR="006B02DA">
        <w:rPr>
          <w:rFonts w:ascii="Times New Roman" w:eastAsia="Calibri" w:hAnsi="Times New Roman" w:cs="Times New Roman"/>
          <w:spacing w:val="4"/>
          <w:szCs w:val="24"/>
          <w:lang w:eastAsia="en-US"/>
        </w:rPr>
        <w:t>normatywn</w:t>
      </w:r>
      <w:r w:rsidR="00335E98" w:rsidRPr="004D42C5">
        <w:rPr>
          <w:rFonts w:ascii="Times New Roman" w:eastAsia="Calibri" w:hAnsi="Times New Roman" w:cs="Times New Roman"/>
          <w:spacing w:val="4"/>
          <w:szCs w:val="24"/>
          <w:lang w:eastAsia="en-US"/>
        </w:rPr>
        <w:t>ych</w:t>
      </w:r>
      <w:r w:rsidR="00BE7940" w:rsidRPr="004D42C5">
        <w:rPr>
          <w:rFonts w:ascii="Times New Roman" w:eastAsia="Calibri" w:hAnsi="Times New Roman" w:cs="Times New Roman"/>
          <w:spacing w:val="4"/>
          <w:szCs w:val="24"/>
          <w:lang w:eastAsia="en-US"/>
        </w:rPr>
        <w:t xml:space="preserve"> (zarządzeń o powołaniu Państwowej Komisji Kwalifikacyjnej oraz Komisji Odpowiedzialności Zawodowej) umożliwiająca </w:t>
      </w:r>
      <w:r w:rsidR="00BE7940" w:rsidRPr="004D42C5">
        <w:rPr>
          <w:rFonts w:ascii="Times New Roman" w:eastAsia="Calibri" w:hAnsi="Times New Roman" w:cs="Times New Roman"/>
          <w:spacing w:val="4"/>
          <w:szCs w:val="24"/>
          <w:lang w:eastAsia="en-US"/>
        </w:rPr>
        <w:lastRenderedPageBreak/>
        <w:t xml:space="preserve">odwołanie </w:t>
      </w:r>
      <w:r w:rsidR="00CF2F23" w:rsidRPr="004D42C5">
        <w:rPr>
          <w:rFonts w:ascii="Times New Roman" w:eastAsia="Calibri" w:hAnsi="Times New Roman" w:cs="Times New Roman"/>
          <w:spacing w:val="4"/>
          <w:szCs w:val="24"/>
          <w:lang w:eastAsia="en-US"/>
        </w:rPr>
        <w:t xml:space="preserve">i powołanie </w:t>
      </w:r>
      <w:r w:rsidR="002A52CF" w:rsidRPr="004D42C5">
        <w:rPr>
          <w:rFonts w:ascii="Times New Roman" w:eastAsia="Calibri" w:hAnsi="Times New Roman" w:cs="Times New Roman"/>
          <w:spacing w:val="4"/>
          <w:szCs w:val="24"/>
          <w:lang w:eastAsia="en-US"/>
        </w:rPr>
        <w:t xml:space="preserve">całych Komisji </w:t>
      </w:r>
      <w:r w:rsidR="00260297" w:rsidRPr="004D42C5">
        <w:rPr>
          <w:rFonts w:ascii="Times New Roman" w:eastAsia="Calibri" w:hAnsi="Times New Roman" w:cs="Times New Roman"/>
          <w:spacing w:val="4"/>
          <w:szCs w:val="24"/>
          <w:lang w:eastAsia="en-US"/>
        </w:rPr>
        <w:t xml:space="preserve">lub </w:t>
      </w:r>
      <w:r w:rsidR="00BE7940" w:rsidRPr="004D42C5">
        <w:rPr>
          <w:rFonts w:ascii="Times New Roman" w:eastAsia="Calibri" w:hAnsi="Times New Roman" w:cs="Times New Roman"/>
          <w:spacing w:val="4"/>
          <w:szCs w:val="24"/>
          <w:lang w:eastAsia="en-US"/>
        </w:rPr>
        <w:t>poszczególnych członków Komisji (</w:t>
      </w:r>
      <w:r w:rsidR="002A52CF" w:rsidRPr="004D42C5">
        <w:rPr>
          <w:rFonts w:ascii="Times New Roman" w:eastAsia="Calibri" w:hAnsi="Times New Roman" w:cs="Times New Roman"/>
          <w:spacing w:val="4"/>
          <w:szCs w:val="24"/>
          <w:lang w:eastAsia="en-US"/>
        </w:rPr>
        <w:t xml:space="preserve">np. </w:t>
      </w:r>
      <w:r w:rsidR="00BE7940" w:rsidRPr="004D42C5">
        <w:rPr>
          <w:rFonts w:ascii="Times New Roman" w:eastAsia="Calibri" w:hAnsi="Times New Roman" w:cs="Times New Roman"/>
          <w:spacing w:val="4"/>
          <w:szCs w:val="24"/>
          <w:lang w:eastAsia="en-US"/>
        </w:rPr>
        <w:t>w przypadku rezygnacji</w:t>
      </w:r>
      <w:r w:rsidR="002A52CF" w:rsidRPr="004D42C5">
        <w:rPr>
          <w:rFonts w:ascii="Times New Roman" w:eastAsia="Calibri" w:hAnsi="Times New Roman" w:cs="Times New Roman"/>
          <w:spacing w:val="4"/>
          <w:szCs w:val="24"/>
          <w:lang w:eastAsia="en-US"/>
        </w:rPr>
        <w:t>, śmierci, itp.</w:t>
      </w:r>
      <w:r w:rsidR="00BE7940" w:rsidRPr="004D42C5">
        <w:rPr>
          <w:rFonts w:ascii="Times New Roman" w:eastAsia="Calibri" w:hAnsi="Times New Roman" w:cs="Times New Roman"/>
          <w:spacing w:val="4"/>
          <w:szCs w:val="24"/>
          <w:lang w:eastAsia="en-US"/>
        </w:rPr>
        <w:t>).</w:t>
      </w:r>
      <w:r w:rsidR="00CF2F23" w:rsidRPr="004D42C5">
        <w:rPr>
          <w:rFonts w:ascii="Times New Roman" w:eastAsia="Calibri" w:hAnsi="Times New Roman" w:cs="Times New Roman"/>
          <w:spacing w:val="4"/>
          <w:szCs w:val="24"/>
          <w:lang w:eastAsia="en-US"/>
        </w:rPr>
        <w:t xml:space="preserve"> Dodatkowo zaproponowano, aby </w:t>
      </w:r>
      <w:r w:rsidR="00A438BE" w:rsidRPr="004D42C5">
        <w:rPr>
          <w:rFonts w:ascii="Times New Roman" w:eastAsia="Calibri" w:hAnsi="Times New Roman" w:cs="Times New Roman"/>
          <w:spacing w:val="4"/>
          <w:szCs w:val="24"/>
          <w:lang w:eastAsia="en-US"/>
        </w:rPr>
        <w:t xml:space="preserve">osoby wchodzące w skład ww. Komisji mogły pełnić swoje funkcje do czasu powołania nowych składów, jednak nie dłużej niż przez 6 miesięcy. </w:t>
      </w:r>
    </w:p>
    <w:p w:rsidR="00373428" w:rsidRPr="004D42C5" w:rsidRDefault="002C4394"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hAnsi="Times New Roman" w:cs="Times New Roman"/>
          <w:b/>
          <w:szCs w:val="24"/>
        </w:rPr>
        <w:t xml:space="preserve">art. 192 ust. 2 i art. 193 ust. 3 </w:t>
      </w:r>
      <w:r w:rsidRPr="004D42C5">
        <w:rPr>
          <w:rFonts w:ascii="Times New Roman" w:eastAsia="Calibri" w:hAnsi="Times New Roman" w:cs="Times New Roman"/>
          <w:spacing w:val="4"/>
          <w:szCs w:val="24"/>
          <w:lang w:eastAsia="en-US"/>
        </w:rPr>
        <w:t>– proponuje się sformułowanie podstawy prawnej do wydawania świadectw nadania uprawnień zawodowych w zakresie szacowania nieruchomości obywatelom UE, którym na podstawie przepisów ustawy z dnia 22 grudnia 2015 r. o zasadach uznawania kwalifikacji zawodowych nabytych w państwach członkowskich Unii Europejskiej (Dz. U. z</w:t>
      </w:r>
      <w:r w:rsidR="0009522F" w:rsidRPr="004D42C5">
        <w:rPr>
          <w:rFonts w:ascii="Times New Roman" w:eastAsia="Calibri" w:hAnsi="Times New Roman" w:cs="Times New Roman"/>
          <w:spacing w:val="4"/>
          <w:szCs w:val="24"/>
          <w:lang w:eastAsia="en-US"/>
        </w:rPr>
        <w:t> </w:t>
      </w:r>
      <w:r w:rsidRPr="004D42C5">
        <w:rPr>
          <w:rFonts w:ascii="Times New Roman" w:eastAsia="Calibri" w:hAnsi="Times New Roman" w:cs="Times New Roman"/>
          <w:spacing w:val="4"/>
          <w:szCs w:val="24"/>
          <w:lang w:eastAsia="en-US"/>
        </w:rPr>
        <w:t>2016 r. poz. 65), uznano nabyte w tych państwach kwalifikacje zawodowe do wykonywania zawodu rzeczoznawcy majątkowego. Zgodnie z obowiązującymi przepisami osoby, którym uznane zostały kwalifikacje do wykonywania zawodu rzeczoznawcy majątkowego na terenie Polski, uzyskują prawo wykonywania zawodu oraz używania tytułu zawodowego „rzeczoznawca majątkowy”. Osoby te są również wpisywane do centralnego rejestru rzeczoznawców majątkowych. Oznacza to tym samym, że obywatele UE, którym uznano kwalifikacje do wykonywania zawodu rzeczoznawcy majątkowego, mają analogiczne prawo do wykonywania tego zawodu jak osoby, którym uprawnienia zawodowe do szacowania nieruchomości nadano w trybie przepisów działu IV rozdziału 4 ugn. Należy jednak zauważyć, że w odniesieniu do osób, któ</w:t>
      </w:r>
      <w:r w:rsidR="002A52CF" w:rsidRPr="004D42C5">
        <w:rPr>
          <w:rFonts w:ascii="Times New Roman" w:eastAsia="Calibri" w:hAnsi="Times New Roman" w:cs="Times New Roman"/>
          <w:spacing w:val="4"/>
          <w:szCs w:val="24"/>
          <w:lang w:eastAsia="en-US"/>
        </w:rPr>
        <w:t xml:space="preserve">rym nadano </w:t>
      </w:r>
      <w:r w:rsidRPr="004D42C5">
        <w:rPr>
          <w:rFonts w:ascii="Times New Roman" w:eastAsia="Calibri" w:hAnsi="Times New Roman" w:cs="Times New Roman"/>
          <w:spacing w:val="4"/>
          <w:szCs w:val="24"/>
          <w:lang w:eastAsia="en-US"/>
        </w:rPr>
        <w:t>uprawnienia zawodowe w zakresie szacowania według</w:t>
      </w:r>
      <w:r w:rsidR="000E1FD7" w:rsidRPr="004D42C5">
        <w:rPr>
          <w:rFonts w:ascii="Times New Roman" w:eastAsia="Calibri" w:hAnsi="Times New Roman" w:cs="Times New Roman"/>
          <w:spacing w:val="4"/>
          <w:szCs w:val="24"/>
          <w:lang w:eastAsia="en-US"/>
        </w:rPr>
        <w:t xml:space="preserve"> przepisów</w:t>
      </w:r>
      <w:r w:rsidRPr="004D42C5">
        <w:rPr>
          <w:rFonts w:ascii="Times New Roman" w:eastAsia="Calibri" w:hAnsi="Times New Roman" w:cs="Times New Roman"/>
          <w:spacing w:val="4"/>
          <w:szCs w:val="24"/>
          <w:lang w:eastAsia="en-US"/>
        </w:rPr>
        <w:t xml:space="preserve"> ugn, dokumentem potwierdzającym nadanie tych uprawnień jest świadectwo. Natomiast obywatele UE, którzy uzyskują de facto takie same uprawnienia, </w:t>
      </w:r>
      <w:r w:rsidR="002A52CF" w:rsidRPr="004D42C5">
        <w:rPr>
          <w:rFonts w:ascii="Times New Roman" w:eastAsia="Calibri" w:hAnsi="Times New Roman" w:cs="Times New Roman"/>
          <w:spacing w:val="4"/>
          <w:szCs w:val="24"/>
          <w:lang w:eastAsia="en-US"/>
        </w:rPr>
        <w:t>jednakże</w:t>
      </w:r>
      <w:r w:rsidRPr="004D42C5">
        <w:rPr>
          <w:rFonts w:ascii="Times New Roman" w:eastAsia="Calibri" w:hAnsi="Times New Roman" w:cs="Times New Roman"/>
          <w:spacing w:val="4"/>
          <w:szCs w:val="24"/>
          <w:lang w:eastAsia="en-US"/>
        </w:rPr>
        <w:t xml:space="preserve"> na podstawie innych przepisów dotyczących uznawania kwalifikacji zawodowych, otrzymują decyzję organu. Zasadne wydaje się zatem, aby całe środowisko zawodowe rzeczoznawców majątkowych mogło legitymować się jednolitym dokumentem potwierdzającym posiadane uprawnienia zawodowe w</w:t>
      </w:r>
      <w:r w:rsidR="0009522F" w:rsidRPr="004D42C5">
        <w:rPr>
          <w:rFonts w:ascii="Times New Roman" w:eastAsia="Calibri" w:hAnsi="Times New Roman" w:cs="Times New Roman"/>
          <w:spacing w:val="4"/>
          <w:szCs w:val="24"/>
          <w:lang w:eastAsia="en-US"/>
        </w:rPr>
        <w:t> </w:t>
      </w:r>
      <w:r w:rsidRPr="004D42C5">
        <w:rPr>
          <w:rFonts w:ascii="Times New Roman" w:eastAsia="Calibri" w:hAnsi="Times New Roman" w:cs="Times New Roman"/>
          <w:spacing w:val="4"/>
          <w:szCs w:val="24"/>
          <w:lang w:eastAsia="en-US"/>
        </w:rPr>
        <w:t>zakresie szacowania nieruchomości.</w:t>
      </w:r>
      <w:r w:rsidR="00886BF2" w:rsidRPr="004D42C5">
        <w:rPr>
          <w:rFonts w:ascii="Times New Roman" w:eastAsia="Calibri" w:hAnsi="Times New Roman" w:cs="Times New Roman"/>
          <w:spacing w:val="4"/>
          <w:szCs w:val="24"/>
          <w:lang w:eastAsia="en-US"/>
        </w:rPr>
        <w:t xml:space="preserve"> </w:t>
      </w:r>
    </w:p>
    <w:p w:rsidR="002C4394" w:rsidRPr="004D42C5" w:rsidRDefault="00373428" w:rsidP="007B2772">
      <w:pPr>
        <w:pStyle w:val="ZARTzmartartykuempunktem"/>
        <w:spacing w:before="120"/>
        <w:ind w:left="426" w:firstLine="0"/>
        <w:rPr>
          <w:rFonts w:ascii="Times New Roman" w:eastAsia="Calibri" w:hAnsi="Times New Roman" w:cs="Times New Roman"/>
          <w:spacing w:val="4"/>
          <w:szCs w:val="24"/>
          <w:lang w:eastAsia="en-US"/>
        </w:rPr>
      </w:pPr>
      <w:r w:rsidRPr="004D42C5">
        <w:rPr>
          <w:rFonts w:ascii="Times New Roman" w:hAnsi="Times New Roman" w:cs="Times New Roman"/>
          <w:szCs w:val="24"/>
        </w:rPr>
        <w:t>Należy również podkreślić, że p</w:t>
      </w:r>
      <w:r w:rsidR="00886BF2" w:rsidRPr="004D42C5">
        <w:rPr>
          <w:rFonts w:ascii="Times New Roman" w:eastAsia="Calibri" w:hAnsi="Times New Roman" w:cs="Times New Roman"/>
          <w:spacing w:val="4"/>
          <w:szCs w:val="24"/>
          <w:lang w:eastAsia="en-US"/>
        </w:rPr>
        <w:t xml:space="preserve">ropozycja ma na celu wyłącznie zapewnienie możliwości uzyskania </w:t>
      </w:r>
      <w:r w:rsidR="00EA240B" w:rsidRPr="004D42C5">
        <w:rPr>
          <w:rFonts w:ascii="Times New Roman" w:eastAsia="Calibri" w:hAnsi="Times New Roman" w:cs="Times New Roman"/>
          <w:spacing w:val="4"/>
          <w:szCs w:val="24"/>
          <w:lang w:eastAsia="en-US"/>
        </w:rPr>
        <w:t xml:space="preserve">i posługiwania się </w:t>
      </w:r>
      <w:r w:rsidR="00886BF2" w:rsidRPr="004D42C5">
        <w:rPr>
          <w:rFonts w:ascii="Times New Roman" w:eastAsia="Calibri" w:hAnsi="Times New Roman" w:cs="Times New Roman"/>
          <w:spacing w:val="4"/>
          <w:szCs w:val="24"/>
          <w:lang w:eastAsia="en-US"/>
        </w:rPr>
        <w:t>przez obywateli UE, którym uznano kwalifikacje</w:t>
      </w:r>
      <w:r w:rsidR="00E9322A" w:rsidRPr="004D42C5">
        <w:rPr>
          <w:rFonts w:ascii="Times New Roman" w:eastAsia="Calibri" w:hAnsi="Times New Roman" w:cs="Times New Roman"/>
          <w:spacing w:val="4"/>
          <w:szCs w:val="24"/>
          <w:lang w:eastAsia="en-US"/>
        </w:rPr>
        <w:t xml:space="preserve"> do wykonywania zawodu rzeczoznawcy majątkowego na terenie Polski</w:t>
      </w:r>
      <w:r w:rsidR="00330CA1" w:rsidRPr="004D42C5">
        <w:rPr>
          <w:rFonts w:ascii="Times New Roman" w:eastAsia="Calibri" w:hAnsi="Times New Roman" w:cs="Times New Roman"/>
          <w:spacing w:val="4"/>
          <w:szCs w:val="24"/>
          <w:lang w:eastAsia="en-US"/>
        </w:rPr>
        <w:t>,</w:t>
      </w:r>
      <w:r w:rsidR="00EA240B" w:rsidRPr="004D42C5">
        <w:rPr>
          <w:rFonts w:ascii="Times New Roman" w:eastAsia="Calibri" w:hAnsi="Times New Roman" w:cs="Times New Roman"/>
          <w:spacing w:val="4"/>
          <w:szCs w:val="24"/>
          <w:lang w:eastAsia="en-US"/>
        </w:rPr>
        <w:t xml:space="preserve"> takim samym dokumentem, jak rzeczoznawcy majątkowi, którzy </w:t>
      </w:r>
      <w:r w:rsidR="00EA240B" w:rsidRPr="004D42C5">
        <w:rPr>
          <w:rFonts w:ascii="Times New Roman" w:eastAsia="Calibri" w:hAnsi="Times New Roman" w:cs="Times New Roman"/>
          <w:spacing w:val="4"/>
          <w:szCs w:val="24"/>
          <w:lang w:eastAsia="en-US"/>
        </w:rPr>
        <w:lastRenderedPageBreak/>
        <w:t xml:space="preserve">uzyskali uprawnienia zawodowe w trybie ugn. </w:t>
      </w:r>
      <w:r w:rsidR="00F871F4" w:rsidRPr="004D42C5">
        <w:rPr>
          <w:rFonts w:ascii="Times New Roman" w:eastAsia="Calibri" w:hAnsi="Times New Roman" w:cs="Times New Roman"/>
          <w:spacing w:val="4"/>
          <w:szCs w:val="24"/>
          <w:lang w:eastAsia="en-US"/>
        </w:rPr>
        <w:t>Wydanie dokumentu następować będzie na wniosek osoby zainteresowanej.</w:t>
      </w:r>
    </w:p>
    <w:p w:rsidR="002C4394" w:rsidRPr="004D42C5" w:rsidRDefault="002C4394" w:rsidP="007B2772">
      <w:pPr>
        <w:pStyle w:val="ZARTzmartartykuempunktem"/>
        <w:spacing w:before="120"/>
        <w:ind w:left="426" w:firstLine="0"/>
        <w:rPr>
          <w:rFonts w:ascii="Times New Roman" w:eastAsia="Calibri" w:hAnsi="Times New Roman" w:cs="Times New Roman"/>
          <w:spacing w:val="4"/>
          <w:szCs w:val="24"/>
          <w:lang w:eastAsia="en-US"/>
        </w:rPr>
      </w:pPr>
      <w:r w:rsidRPr="004D42C5">
        <w:rPr>
          <w:rFonts w:ascii="Times New Roman" w:eastAsia="Calibri" w:hAnsi="Times New Roman" w:cs="Times New Roman"/>
          <w:spacing w:val="4"/>
          <w:szCs w:val="24"/>
          <w:lang w:eastAsia="en-US"/>
        </w:rPr>
        <w:t xml:space="preserve">Ponadto w projekcie przewidziano, że prawo ubiegania się o wydanie świadectwa nadania uprawnień zawodowych przysługiwać będzie również obywatelom UE, którym kwalifikacje do wykonywania zawodu rzeczoznawcy majątkowego zostały uznane przed dniem wejścia w życie </w:t>
      </w:r>
      <w:r w:rsidR="006B02DA">
        <w:rPr>
          <w:rFonts w:ascii="Times New Roman" w:eastAsia="Calibri" w:hAnsi="Times New Roman" w:cs="Times New Roman"/>
          <w:spacing w:val="4"/>
          <w:szCs w:val="24"/>
          <w:lang w:eastAsia="en-US"/>
        </w:rPr>
        <w:t>projektowanej</w:t>
      </w:r>
      <w:r w:rsidRPr="004D42C5">
        <w:rPr>
          <w:rFonts w:ascii="Times New Roman" w:eastAsia="Calibri" w:hAnsi="Times New Roman" w:cs="Times New Roman"/>
          <w:spacing w:val="4"/>
          <w:szCs w:val="24"/>
          <w:lang w:eastAsia="en-US"/>
        </w:rPr>
        <w:t xml:space="preserve"> ustawy. </w:t>
      </w:r>
    </w:p>
    <w:p w:rsidR="00BE7940" w:rsidRPr="004D42C5"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193 ust. 4 pkt 6</w:t>
      </w:r>
      <w:r w:rsidRPr="004D42C5">
        <w:rPr>
          <w:rFonts w:ascii="Times New Roman" w:eastAsia="Calibri" w:hAnsi="Times New Roman" w:cs="Times New Roman"/>
          <w:spacing w:val="4"/>
          <w:szCs w:val="24"/>
          <w:lang w:eastAsia="en-US"/>
        </w:rPr>
        <w:t xml:space="preserve"> – zaproponowano </w:t>
      </w:r>
      <w:r w:rsidRPr="004D42C5">
        <w:rPr>
          <w:rFonts w:ascii="Times New Roman" w:hAnsi="Times New Roman" w:cs="Times New Roman"/>
          <w:szCs w:val="24"/>
        </w:rPr>
        <w:t xml:space="preserve">zastąpienie </w:t>
      </w:r>
      <w:r w:rsidR="00B90889" w:rsidRPr="004D42C5">
        <w:rPr>
          <w:rFonts w:ascii="Times New Roman" w:hAnsi="Times New Roman" w:cs="Times New Roman"/>
          <w:szCs w:val="24"/>
        </w:rPr>
        <w:t>informacji zamies</w:t>
      </w:r>
      <w:r w:rsidR="00A3615D" w:rsidRPr="004D42C5">
        <w:rPr>
          <w:rFonts w:ascii="Times New Roman" w:hAnsi="Times New Roman" w:cs="Times New Roman"/>
          <w:szCs w:val="24"/>
        </w:rPr>
        <w:t>zczanej w</w:t>
      </w:r>
      <w:r w:rsidR="0009522F" w:rsidRPr="004D42C5">
        <w:rPr>
          <w:rFonts w:ascii="Times New Roman" w:hAnsi="Times New Roman" w:cs="Times New Roman"/>
          <w:szCs w:val="24"/>
        </w:rPr>
        <w:t> </w:t>
      </w:r>
      <w:r w:rsidR="00A3615D" w:rsidRPr="004D42C5">
        <w:rPr>
          <w:rFonts w:ascii="Times New Roman" w:hAnsi="Times New Roman" w:cs="Times New Roman"/>
          <w:szCs w:val="24"/>
        </w:rPr>
        <w:t>centralnym rejestrze rzeczoznawców m</w:t>
      </w:r>
      <w:r w:rsidR="00B90889" w:rsidRPr="004D42C5">
        <w:rPr>
          <w:rFonts w:ascii="Times New Roman" w:hAnsi="Times New Roman" w:cs="Times New Roman"/>
          <w:szCs w:val="24"/>
        </w:rPr>
        <w:t xml:space="preserve">ajątkowych dotyczącej </w:t>
      </w:r>
      <w:r w:rsidRPr="004D42C5">
        <w:rPr>
          <w:rFonts w:ascii="Times New Roman" w:hAnsi="Times New Roman" w:cs="Times New Roman"/>
          <w:szCs w:val="24"/>
        </w:rPr>
        <w:t>adresu</w:t>
      </w:r>
      <w:r w:rsidR="00CF2F23" w:rsidRPr="004D42C5">
        <w:rPr>
          <w:rFonts w:ascii="Times New Roman" w:hAnsi="Times New Roman" w:cs="Times New Roman"/>
          <w:szCs w:val="24"/>
        </w:rPr>
        <w:t xml:space="preserve"> zamieszkania osoby uprawnionej</w:t>
      </w:r>
      <w:r w:rsidR="00BE5F35" w:rsidRPr="004D42C5">
        <w:rPr>
          <w:rFonts w:ascii="Times New Roman" w:hAnsi="Times New Roman" w:cs="Times New Roman"/>
          <w:szCs w:val="24"/>
        </w:rPr>
        <w:t xml:space="preserve"> adresem korespondencyjnym.</w:t>
      </w:r>
      <w:r w:rsidRPr="004D42C5">
        <w:rPr>
          <w:rFonts w:ascii="Times New Roman" w:hAnsi="Times New Roman" w:cs="Times New Roman"/>
          <w:szCs w:val="24"/>
        </w:rPr>
        <w:t xml:space="preserve"> Propozycja wynika z zasady adekwatności gromadzenia oraz przetwarzania danych osobowych do celów</w:t>
      </w:r>
      <w:r w:rsidR="00CF2F23" w:rsidRPr="004D42C5">
        <w:rPr>
          <w:rFonts w:ascii="Times New Roman" w:hAnsi="Times New Roman" w:cs="Times New Roman"/>
          <w:szCs w:val="24"/>
        </w:rPr>
        <w:t>,</w:t>
      </w:r>
      <w:r w:rsidRPr="004D42C5">
        <w:rPr>
          <w:rFonts w:ascii="Times New Roman" w:hAnsi="Times New Roman" w:cs="Times New Roman"/>
          <w:szCs w:val="24"/>
        </w:rPr>
        <w:t xml:space="preserve"> w jakich są przetwarzane. Zaproponowane</w:t>
      </w:r>
      <w:r w:rsidR="00AA040C" w:rsidRPr="004D42C5">
        <w:rPr>
          <w:rFonts w:ascii="Times New Roman" w:hAnsi="Times New Roman" w:cs="Times New Roman"/>
          <w:szCs w:val="24"/>
        </w:rPr>
        <w:t xml:space="preserve"> rozwiązanie uwzględnia postulat</w:t>
      </w:r>
      <w:r w:rsidRPr="004D42C5">
        <w:rPr>
          <w:rFonts w:ascii="Times New Roman" w:hAnsi="Times New Roman" w:cs="Times New Roman"/>
          <w:szCs w:val="24"/>
        </w:rPr>
        <w:t xml:space="preserve"> zgłoszony przez </w:t>
      </w:r>
      <w:r w:rsidR="0059392C" w:rsidRPr="004D42C5">
        <w:rPr>
          <w:rFonts w:ascii="Times New Roman" w:hAnsi="Times New Roman" w:cs="Times New Roman"/>
          <w:szCs w:val="24"/>
        </w:rPr>
        <w:t>Generalnego</w:t>
      </w:r>
      <w:r w:rsidRPr="004D42C5">
        <w:rPr>
          <w:rFonts w:ascii="Times New Roman" w:hAnsi="Times New Roman" w:cs="Times New Roman"/>
          <w:szCs w:val="24"/>
        </w:rPr>
        <w:t xml:space="preserve"> Inspektora </w:t>
      </w:r>
      <w:r w:rsidR="00CF2F23" w:rsidRPr="004D42C5">
        <w:rPr>
          <w:rFonts w:ascii="Times New Roman" w:hAnsi="Times New Roman" w:cs="Times New Roman"/>
          <w:szCs w:val="24"/>
        </w:rPr>
        <w:t xml:space="preserve">Ochrony </w:t>
      </w:r>
      <w:r w:rsidRPr="004D42C5">
        <w:rPr>
          <w:rFonts w:ascii="Times New Roman" w:hAnsi="Times New Roman" w:cs="Times New Roman"/>
          <w:szCs w:val="24"/>
        </w:rPr>
        <w:t>Danych Osobowych.</w:t>
      </w:r>
      <w:r w:rsidR="007B2772" w:rsidRPr="004D42C5">
        <w:rPr>
          <w:rFonts w:ascii="Times New Roman" w:hAnsi="Times New Roman" w:cs="Times New Roman"/>
          <w:szCs w:val="24"/>
        </w:rPr>
        <w:t xml:space="preserve"> </w:t>
      </w:r>
    </w:p>
    <w:p w:rsidR="00BE7940" w:rsidRPr="004D42C5"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193 ust. 10</w:t>
      </w:r>
      <w:r w:rsidRPr="004D42C5">
        <w:rPr>
          <w:rFonts w:ascii="Times New Roman" w:eastAsia="Calibri" w:hAnsi="Times New Roman" w:cs="Times New Roman"/>
          <w:spacing w:val="4"/>
          <w:szCs w:val="24"/>
          <w:lang w:eastAsia="en-US"/>
        </w:rPr>
        <w:t xml:space="preserve"> – propozycja ma na celu wyłączenie obowiązku zamieszczania informacji o wykształceniu osób uprawnionych </w:t>
      </w:r>
      <w:r w:rsidR="00B90889" w:rsidRPr="004D42C5">
        <w:rPr>
          <w:rFonts w:ascii="Times New Roman" w:eastAsia="Calibri" w:hAnsi="Times New Roman" w:cs="Times New Roman"/>
          <w:spacing w:val="4"/>
          <w:szCs w:val="24"/>
          <w:lang w:eastAsia="en-US"/>
        </w:rPr>
        <w:t xml:space="preserve">do szacowania nieruchomości </w:t>
      </w:r>
      <w:r w:rsidRPr="004D42C5">
        <w:rPr>
          <w:rFonts w:ascii="Times New Roman" w:eastAsia="Calibri" w:hAnsi="Times New Roman" w:cs="Times New Roman"/>
          <w:spacing w:val="4"/>
          <w:szCs w:val="24"/>
          <w:lang w:eastAsia="en-US"/>
        </w:rPr>
        <w:t>w</w:t>
      </w:r>
      <w:r w:rsidR="0009522F" w:rsidRPr="004D42C5">
        <w:rPr>
          <w:rFonts w:ascii="Times New Roman" w:eastAsia="Calibri" w:hAnsi="Times New Roman" w:cs="Times New Roman"/>
          <w:spacing w:val="4"/>
          <w:szCs w:val="24"/>
          <w:lang w:eastAsia="en-US"/>
        </w:rPr>
        <w:t> </w:t>
      </w:r>
      <w:r w:rsidRPr="004D42C5">
        <w:rPr>
          <w:rFonts w:ascii="Times New Roman" w:eastAsia="Calibri" w:hAnsi="Times New Roman" w:cs="Times New Roman"/>
          <w:spacing w:val="4"/>
          <w:szCs w:val="24"/>
          <w:lang w:eastAsia="en-US"/>
        </w:rPr>
        <w:t xml:space="preserve">dzienniku urzędowym ministra właściwego do spraw budownictwa, planowania i zagospodarowania przestrzennego oraz mieszkalnictwa, a także publikacji </w:t>
      </w:r>
      <w:r w:rsidR="00B90889" w:rsidRPr="004D42C5">
        <w:rPr>
          <w:rFonts w:ascii="Times New Roman" w:eastAsia="Calibri" w:hAnsi="Times New Roman" w:cs="Times New Roman"/>
          <w:spacing w:val="4"/>
          <w:szCs w:val="24"/>
          <w:lang w:eastAsia="en-US"/>
        </w:rPr>
        <w:t xml:space="preserve">tej informacji </w:t>
      </w:r>
      <w:r w:rsidRPr="004D42C5">
        <w:rPr>
          <w:rFonts w:ascii="Times New Roman" w:eastAsia="Calibri" w:hAnsi="Times New Roman" w:cs="Times New Roman"/>
          <w:spacing w:val="4"/>
          <w:szCs w:val="24"/>
          <w:lang w:eastAsia="en-US"/>
        </w:rPr>
        <w:t xml:space="preserve">na stronach internetowych urzędu. </w:t>
      </w:r>
      <w:r w:rsidR="00851D0D" w:rsidRPr="004D42C5">
        <w:rPr>
          <w:rFonts w:ascii="Times New Roman" w:hAnsi="Times New Roman" w:cs="Times New Roman"/>
          <w:szCs w:val="24"/>
        </w:rPr>
        <w:t>Zaproponowane rozwiązanie uwzględnia postula</w:t>
      </w:r>
      <w:r w:rsidR="00AA040C" w:rsidRPr="004D42C5">
        <w:rPr>
          <w:rFonts w:ascii="Times New Roman" w:hAnsi="Times New Roman" w:cs="Times New Roman"/>
          <w:szCs w:val="24"/>
        </w:rPr>
        <w:t>t</w:t>
      </w:r>
      <w:r w:rsidR="00851D0D" w:rsidRPr="004D42C5">
        <w:rPr>
          <w:rFonts w:ascii="Times New Roman" w:hAnsi="Times New Roman" w:cs="Times New Roman"/>
          <w:szCs w:val="24"/>
        </w:rPr>
        <w:t xml:space="preserve"> zgłoszony przez Rzecznika Praw Obywatelskich. </w:t>
      </w:r>
      <w:r w:rsidR="00146FB9" w:rsidRPr="004D42C5">
        <w:rPr>
          <w:rFonts w:ascii="Times New Roman" w:hAnsi="Times New Roman" w:cs="Times New Roman"/>
          <w:szCs w:val="24"/>
        </w:rPr>
        <w:t>Utrzymuje się przy tym obowiązek publikowania danych dotyczących imion rodziców osób, którym nadano uprawnienia zaw</w:t>
      </w:r>
      <w:r w:rsidR="00D36F58" w:rsidRPr="004D42C5">
        <w:rPr>
          <w:rFonts w:ascii="Times New Roman" w:hAnsi="Times New Roman" w:cs="Times New Roman"/>
          <w:szCs w:val="24"/>
        </w:rPr>
        <w:t>odowe, co pozwoli na</w:t>
      </w:r>
      <w:r w:rsidR="00146FB9" w:rsidRPr="004D42C5">
        <w:rPr>
          <w:rFonts w:ascii="Times New Roman" w:hAnsi="Times New Roman" w:cs="Times New Roman"/>
          <w:szCs w:val="24"/>
        </w:rPr>
        <w:t xml:space="preserve"> zapewnienie możliwości weryfikacji przez klientów rzeczoznawców majątkowych posiadanych przez nich uprawnień zawodowych w zakresie wyceny nieruchomości. Na skutek proponowanych zmian w praktyce zniknie bowiem możliwość dodatkowej weryfikacji rzeczoznawcy majątkowego według miejsca zamieszkania. </w:t>
      </w:r>
      <w:r w:rsidR="00D36F58" w:rsidRPr="004D42C5">
        <w:rPr>
          <w:rFonts w:ascii="Times New Roman" w:hAnsi="Times New Roman" w:cs="Times New Roman"/>
          <w:szCs w:val="24"/>
        </w:rPr>
        <w:t>Ponadto</w:t>
      </w:r>
      <w:r w:rsidR="00146FB9" w:rsidRPr="004D42C5">
        <w:rPr>
          <w:rFonts w:ascii="Times New Roman" w:hAnsi="Times New Roman" w:cs="Times New Roman"/>
          <w:szCs w:val="24"/>
        </w:rPr>
        <w:t xml:space="preserve"> imię i nazwisko, w przypadku najbardziej popularnych nazwisk, w żaden sposób nie identyfikuje osoby fizycznej. </w:t>
      </w:r>
      <w:r w:rsidR="00D36F58" w:rsidRPr="004D42C5">
        <w:rPr>
          <w:rFonts w:ascii="Times New Roman" w:hAnsi="Times New Roman" w:cs="Times New Roman"/>
          <w:szCs w:val="24"/>
        </w:rPr>
        <w:t xml:space="preserve">Obecnie </w:t>
      </w:r>
      <w:r w:rsidR="00146FB9" w:rsidRPr="004D42C5">
        <w:rPr>
          <w:rFonts w:ascii="Times New Roman" w:hAnsi="Times New Roman" w:cs="Times New Roman"/>
          <w:szCs w:val="24"/>
        </w:rPr>
        <w:t xml:space="preserve">centralny rejestr rzeczoznawców majątkowych zawiera ponad 50 przypadków, kiedy co najmniej dwie osoby mają identyczne imię i nazwisko. </w:t>
      </w:r>
      <w:r w:rsidR="00D36F58" w:rsidRPr="004D42C5">
        <w:rPr>
          <w:rFonts w:ascii="Times New Roman" w:hAnsi="Times New Roman" w:cs="Times New Roman"/>
          <w:szCs w:val="24"/>
        </w:rPr>
        <w:t xml:space="preserve">Tym samym postanowiono o pozostawieniu bez zmian przepisu odnoszącego się do ujawniania w rejestrze imion rodziców osób, którym nadano uprawnienia zawodowe w zakresie </w:t>
      </w:r>
      <w:r w:rsidR="00B90889" w:rsidRPr="004D42C5">
        <w:rPr>
          <w:rFonts w:ascii="Times New Roman" w:hAnsi="Times New Roman" w:cs="Times New Roman"/>
          <w:szCs w:val="24"/>
        </w:rPr>
        <w:t>szacowania nieruchomości</w:t>
      </w:r>
      <w:r w:rsidR="00D36F58" w:rsidRPr="004D42C5">
        <w:rPr>
          <w:rFonts w:ascii="Times New Roman" w:hAnsi="Times New Roman" w:cs="Times New Roman"/>
          <w:szCs w:val="24"/>
        </w:rPr>
        <w:t>.</w:t>
      </w:r>
    </w:p>
    <w:p w:rsidR="00BE7940" w:rsidRPr="004D42C5" w:rsidRDefault="00BE7940"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lastRenderedPageBreak/>
        <w:t>art. 194 ust. 1b</w:t>
      </w:r>
      <w:r w:rsidRPr="004D42C5">
        <w:rPr>
          <w:rFonts w:ascii="Times New Roman" w:eastAsia="Calibri" w:hAnsi="Times New Roman" w:cs="Times New Roman"/>
          <w:spacing w:val="4"/>
          <w:szCs w:val="24"/>
          <w:lang w:eastAsia="en-US"/>
        </w:rPr>
        <w:t xml:space="preserve"> </w:t>
      </w:r>
      <w:r w:rsidRPr="004D42C5">
        <w:rPr>
          <w:rFonts w:ascii="Times New Roman" w:eastAsia="Calibri" w:hAnsi="Times New Roman" w:cs="Times New Roman"/>
          <w:b/>
          <w:spacing w:val="4"/>
          <w:szCs w:val="24"/>
          <w:lang w:eastAsia="en-US"/>
        </w:rPr>
        <w:t xml:space="preserve">– </w:t>
      </w:r>
      <w:r w:rsidR="007F4BFE" w:rsidRPr="004D42C5">
        <w:rPr>
          <w:rFonts w:ascii="Times New Roman" w:eastAsia="Calibri" w:hAnsi="Times New Roman" w:cs="Times New Roman"/>
          <w:spacing w:val="4"/>
          <w:szCs w:val="24"/>
          <w:lang w:eastAsia="en-US"/>
        </w:rPr>
        <w:t>z</w:t>
      </w:r>
      <w:r w:rsidRPr="004D42C5">
        <w:rPr>
          <w:rFonts w:ascii="Times New Roman" w:eastAsia="Calibri" w:hAnsi="Times New Roman" w:cs="Times New Roman"/>
          <w:spacing w:val="4"/>
          <w:szCs w:val="24"/>
          <w:lang w:eastAsia="en-US"/>
        </w:rPr>
        <w:t xml:space="preserve">godnie z </w:t>
      </w:r>
      <w:r w:rsidR="0046182F" w:rsidRPr="004D42C5">
        <w:rPr>
          <w:rFonts w:ascii="Times New Roman" w:eastAsia="Calibri" w:hAnsi="Times New Roman" w:cs="Times New Roman"/>
          <w:spacing w:val="4"/>
          <w:szCs w:val="24"/>
          <w:lang w:eastAsia="en-US"/>
        </w:rPr>
        <w:t>obowiązującą zasadą</w:t>
      </w:r>
      <w:r w:rsidRPr="004D42C5">
        <w:rPr>
          <w:rFonts w:ascii="Times New Roman" w:eastAsia="Calibri" w:hAnsi="Times New Roman" w:cs="Times New Roman"/>
          <w:spacing w:val="4"/>
          <w:szCs w:val="24"/>
          <w:lang w:eastAsia="en-US"/>
        </w:rPr>
        <w:t xml:space="preserve"> o</w:t>
      </w:r>
      <w:r w:rsidRPr="004D42C5">
        <w:rPr>
          <w:rFonts w:ascii="Times New Roman" w:hAnsi="Times New Roman" w:cs="Times New Roman"/>
          <w:szCs w:val="24"/>
        </w:rPr>
        <w:t xml:space="preserve">rgan administracji publicznej nie </w:t>
      </w:r>
      <w:r w:rsidR="007F4BFE" w:rsidRPr="004D42C5">
        <w:rPr>
          <w:rFonts w:ascii="Times New Roman" w:hAnsi="Times New Roman" w:cs="Times New Roman"/>
          <w:szCs w:val="24"/>
        </w:rPr>
        <w:t>może</w:t>
      </w:r>
      <w:r w:rsidRPr="004D42C5">
        <w:rPr>
          <w:rFonts w:ascii="Times New Roman" w:hAnsi="Times New Roman" w:cs="Times New Roman"/>
          <w:szCs w:val="24"/>
        </w:rPr>
        <w:t xml:space="preserve"> </w:t>
      </w:r>
      <w:r w:rsidR="007F075B" w:rsidRPr="004D42C5">
        <w:rPr>
          <w:rFonts w:ascii="Times New Roman" w:hAnsi="Times New Roman" w:cs="Times New Roman"/>
          <w:szCs w:val="24"/>
        </w:rPr>
        <w:t xml:space="preserve">wszcząć postępowania z tytułu odpowiedzialności zawodowej wobec rzeczoznawcy majątkowego powołanego lub ustanowionego przez sąd. Nie </w:t>
      </w:r>
      <w:r w:rsidR="007F4BFE" w:rsidRPr="004D42C5">
        <w:rPr>
          <w:rFonts w:ascii="Times New Roman" w:hAnsi="Times New Roman" w:cs="Times New Roman"/>
          <w:szCs w:val="24"/>
        </w:rPr>
        <w:t>jest zatem możliwa ocena</w:t>
      </w:r>
      <w:r w:rsidR="007F075B" w:rsidRPr="004D42C5">
        <w:rPr>
          <w:rFonts w:ascii="Times New Roman" w:hAnsi="Times New Roman" w:cs="Times New Roman"/>
          <w:szCs w:val="24"/>
        </w:rPr>
        <w:t xml:space="preserve"> czynności zawodowych szacowania nieruchomości dokonanych przez rzeczoznawcę majątkowego jako biegłego sądowego, podczas sporządzania operatu szacunkowego w toku prowadzonego postępowania sądowego, chyba że zwróci się o </w:t>
      </w:r>
      <w:r w:rsidR="007F4BFE" w:rsidRPr="004D42C5">
        <w:rPr>
          <w:rFonts w:ascii="Times New Roman" w:hAnsi="Times New Roman" w:cs="Times New Roman"/>
          <w:szCs w:val="24"/>
        </w:rPr>
        <w:t xml:space="preserve">to sąd. </w:t>
      </w:r>
      <w:r w:rsidR="007F075B" w:rsidRPr="004D42C5">
        <w:rPr>
          <w:rFonts w:ascii="Times New Roman" w:hAnsi="Times New Roman" w:cs="Times New Roman"/>
          <w:szCs w:val="24"/>
        </w:rPr>
        <w:t xml:space="preserve">Konieczne jest </w:t>
      </w:r>
      <w:r w:rsidR="007F075B" w:rsidRPr="004D42C5">
        <w:rPr>
          <w:rFonts w:ascii="Times New Roman" w:hAnsi="Times New Roman" w:cs="Times New Roman"/>
          <w:bCs/>
          <w:szCs w:val="24"/>
        </w:rPr>
        <w:t xml:space="preserve">uzupełnienie dotychczasowej treści przepisu o czynności szacowania wykonane przez rzeczoznawcę majątkowego na zlecenie prokuratora </w:t>
      </w:r>
      <w:r w:rsidR="00CF2F23" w:rsidRPr="004D42C5">
        <w:rPr>
          <w:rFonts w:ascii="Times New Roman" w:hAnsi="Times New Roman" w:cs="Times New Roman"/>
          <w:bCs/>
          <w:szCs w:val="24"/>
        </w:rPr>
        <w:t xml:space="preserve">lub </w:t>
      </w:r>
      <w:r w:rsidR="007F075B" w:rsidRPr="004D42C5">
        <w:rPr>
          <w:rFonts w:ascii="Times New Roman" w:hAnsi="Times New Roman" w:cs="Times New Roman"/>
          <w:bCs/>
          <w:szCs w:val="24"/>
        </w:rPr>
        <w:t>komornika</w:t>
      </w:r>
      <w:r w:rsidR="007F075B" w:rsidRPr="004D42C5">
        <w:rPr>
          <w:rFonts w:ascii="Times New Roman" w:hAnsi="Times New Roman" w:cs="Times New Roman"/>
          <w:szCs w:val="24"/>
        </w:rPr>
        <w:t>. Czynności te podlegają ocenie sądu w toku prowadzonych postępowań</w:t>
      </w:r>
      <w:r w:rsidR="00CB1A31" w:rsidRPr="004D42C5">
        <w:rPr>
          <w:rFonts w:ascii="Times New Roman" w:hAnsi="Times New Roman" w:cs="Times New Roman"/>
          <w:szCs w:val="24"/>
        </w:rPr>
        <w:t xml:space="preserve">. </w:t>
      </w:r>
      <w:r w:rsidR="007F4BFE" w:rsidRPr="004D42C5">
        <w:rPr>
          <w:rFonts w:ascii="Times New Roman" w:hAnsi="Times New Roman" w:cs="Times New Roman"/>
          <w:szCs w:val="24"/>
        </w:rPr>
        <w:t>Wskazane jest zatem</w:t>
      </w:r>
      <w:r w:rsidR="00444FA5" w:rsidRPr="004D42C5">
        <w:rPr>
          <w:rFonts w:ascii="Times New Roman" w:hAnsi="Times New Roman" w:cs="Times New Roman"/>
          <w:szCs w:val="24"/>
        </w:rPr>
        <w:t>,</w:t>
      </w:r>
      <w:r w:rsidR="007F4BFE" w:rsidRPr="004D42C5">
        <w:rPr>
          <w:rFonts w:ascii="Times New Roman" w:hAnsi="Times New Roman" w:cs="Times New Roman"/>
          <w:szCs w:val="24"/>
        </w:rPr>
        <w:t xml:space="preserve"> aby </w:t>
      </w:r>
      <w:r w:rsidR="002B088F" w:rsidRPr="004D42C5">
        <w:rPr>
          <w:rFonts w:ascii="Times New Roman" w:hAnsi="Times New Roman" w:cs="Times New Roman"/>
          <w:szCs w:val="24"/>
        </w:rPr>
        <w:t>czynności zlecan</w:t>
      </w:r>
      <w:r w:rsidR="007F4BFE" w:rsidRPr="004D42C5">
        <w:rPr>
          <w:rFonts w:ascii="Times New Roman" w:hAnsi="Times New Roman" w:cs="Times New Roman"/>
          <w:szCs w:val="24"/>
        </w:rPr>
        <w:t>e</w:t>
      </w:r>
      <w:r w:rsidR="002B088F" w:rsidRPr="004D42C5">
        <w:rPr>
          <w:rFonts w:ascii="Times New Roman" w:hAnsi="Times New Roman" w:cs="Times New Roman"/>
          <w:szCs w:val="24"/>
        </w:rPr>
        <w:t xml:space="preserve"> przez komornika lub prokuratora</w:t>
      </w:r>
      <w:r w:rsidR="007F4BFE" w:rsidRPr="004D42C5">
        <w:rPr>
          <w:rFonts w:ascii="Times New Roman" w:hAnsi="Times New Roman" w:cs="Times New Roman"/>
          <w:szCs w:val="24"/>
        </w:rPr>
        <w:t xml:space="preserve"> również podlegały ocenie w </w:t>
      </w:r>
      <w:r w:rsidR="00CB1A31" w:rsidRPr="004D42C5">
        <w:rPr>
          <w:rFonts w:ascii="Times New Roman" w:hAnsi="Times New Roman" w:cs="Times New Roman"/>
          <w:szCs w:val="24"/>
        </w:rPr>
        <w:t>postępowa</w:t>
      </w:r>
      <w:r w:rsidR="007F4BFE" w:rsidRPr="004D42C5">
        <w:rPr>
          <w:rFonts w:ascii="Times New Roman" w:hAnsi="Times New Roman" w:cs="Times New Roman"/>
          <w:szCs w:val="24"/>
        </w:rPr>
        <w:t>niu</w:t>
      </w:r>
      <w:r w:rsidR="00CB1A31" w:rsidRPr="004D42C5">
        <w:rPr>
          <w:rFonts w:ascii="Times New Roman" w:hAnsi="Times New Roman" w:cs="Times New Roman"/>
          <w:szCs w:val="24"/>
        </w:rPr>
        <w:t xml:space="preserve"> z tytułu odpowiedzialności zawodowej</w:t>
      </w:r>
      <w:r w:rsidR="007F4BFE" w:rsidRPr="004D42C5">
        <w:rPr>
          <w:rFonts w:ascii="Times New Roman" w:hAnsi="Times New Roman" w:cs="Times New Roman"/>
          <w:szCs w:val="24"/>
        </w:rPr>
        <w:t>, jednakże w przypadku gdy o wszczęcie postępowania zwróci się sąd lub prokurator.</w:t>
      </w:r>
      <w:r w:rsidR="007B2772" w:rsidRPr="004D42C5">
        <w:rPr>
          <w:rFonts w:ascii="Times New Roman" w:hAnsi="Times New Roman" w:cs="Times New Roman"/>
          <w:szCs w:val="24"/>
        </w:rPr>
        <w:t xml:space="preserve"> </w:t>
      </w:r>
      <w:r w:rsidR="00CE2B06" w:rsidRPr="004D42C5">
        <w:rPr>
          <w:rFonts w:ascii="Times New Roman" w:hAnsi="Times New Roman" w:cs="Times New Roman"/>
          <w:szCs w:val="24"/>
        </w:rPr>
        <w:t>Aby móc zakończyć dotychczas prowadzone postępowania</w:t>
      </w:r>
      <w:r w:rsidR="00CE2B06" w:rsidRPr="004D42C5">
        <w:rPr>
          <w:rFonts w:ascii="Times New Roman" w:hAnsi="Times New Roman" w:cs="Times New Roman"/>
          <w:b/>
          <w:szCs w:val="24"/>
        </w:rPr>
        <w:t xml:space="preserve"> </w:t>
      </w:r>
      <w:r w:rsidR="00CE2B06" w:rsidRPr="004D42C5">
        <w:rPr>
          <w:rFonts w:ascii="Times New Roman" w:hAnsi="Times New Roman" w:cs="Times New Roman"/>
          <w:szCs w:val="24"/>
        </w:rPr>
        <w:t>w</w:t>
      </w:r>
      <w:r w:rsidR="007F075B" w:rsidRPr="004D42C5">
        <w:rPr>
          <w:rFonts w:ascii="Times New Roman" w:hAnsi="Times New Roman" w:cs="Times New Roman"/>
          <w:szCs w:val="24"/>
        </w:rPr>
        <w:t xml:space="preserve">prowadzono </w:t>
      </w:r>
      <w:r w:rsidR="00CB1A31" w:rsidRPr="004D42C5">
        <w:rPr>
          <w:rFonts w:ascii="Times New Roman" w:hAnsi="Times New Roman" w:cs="Times New Roman"/>
          <w:szCs w:val="24"/>
        </w:rPr>
        <w:t xml:space="preserve">także </w:t>
      </w:r>
      <w:r w:rsidR="007F075B" w:rsidRPr="004D42C5">
        <w:rPr>
          <w:rFonts w:ascii="Times New Roman" w:hAnsi="Times New Roman" w:cs="Times New Roman"/>
          <w:szCs w:val="24"/>
        </w:rPr>
        <w:t>przepis przejściowy</w:t>
      </w:r>
      <w:r w:rsidR="00CE2B06" w:rsidRPr="004D42C5">
        <w:rPr>
          <w:rFonts w:ascii="Times New Roman" w:hAnsi="Times New Roman" w:cs="Times New Roman"/>
          <w:szCs w:val="24"/>
        </w:rPr>
        <w:t xml:space="preserve"> przesądzający</w:t>
      </w:r>
      <w:r w:rsidR="007F075B" w:rsidRPr="004D42C5">
        <w:rPr>
          <w:rFonts w:ascii="Times New Roman" w:hAnsi="Times New Roman" w:cs="Times New Roman"/>
          <w:szCs w:val="24"/>
        </w:rPr>
        <w:t>, że do spraw wszczętych i niezakończonych stosuje się przepis w</w:t>
      </w:r>
      <w:r w:rsidR="0009522F" w:rsidRPr="004D42C5">
        <w:rPr>
          <w:rFonts w:ascii="Times New Roman" w:hAnsi="Times New Roman" w:cs="Times New Roman"/>
          <w:szCs w:val="24"/>
        </w:rPr>
        <w:t> </w:t>
      </w:r>
      <w:r w:rsidR="007F075B" w:rsidRPr="004D42C5">
        <w:rPr>
          <w:rFonts w:ascii="Times New Roman" w:hAnsi="Times New Roman" w:cs="Times New Roman"/>
          <w:szCs w:val="24"/>
        </w:rPr>
        <w:t>brzmieniu dotychczasowym</w:t>
      </w:r>
      <w:r w:rsidR="00CB1A31" w:rsidRPr="004D42C5">
        <w:rPr>
          <w:rFonts w:ascii="Times New Roman" w:hAnsi="Times New Roman" w:cs="Times New Roman"/>
          <w:szCs w:val="24"/>
        </w:rPr>
        <w:t>, aby zakończyć dotychczas prowadzone postępowania</w:t>
      </w:r>
      <w:r w:rsidR="00851D0D" w:rsidRPr="004D42C5">
        <w:rPr>
          <w:rFonts w:ascii="Times New Roman" w:hAnsi="Times New Roman" w:cs="Times New Roman"/>
          <w:szCs w:val="24"/>
        </w:rPr>
        <w:t>.</w:t>
      </w:r>
    </w:p>
    <w:p w:rsidR="00BA4798" w:rsidRPr="004D42C5" w:rsidRDefault="004F5096"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 xml:space="preserve">art. 194 ust. 2 </w:t>
      </w:r>
      <w:r w:rsidR="004A2361" w:rsidRPr="004D42C5">
        <w:rPr>
          <w:rFonts w:ascii="Times New Roman" w:eastAsia="Calibri" w:hAnsi="Times New Roman" w:cs="Times New Roman"/>
          <w:b/>
          <w:spacing w:val="4"/>
          <w:szCs w:val="24"/>
          <w:lang w:eastAsia="en-US"/>
        </w:rPr>
        <w:t>–</w:t>
      </w:r>
      <w:r w:rsidRPr="004D42C5">
        <w:rPr>
          <w:rFonts w:ascii="Times New Roman" w:eastAsia="Calibri" w:hAnsi="Times New Roman" w:cs="Times New Roman"/>
          <w:b/>
          <w:spacing w:val="4"/>
          <w:szCs w:val="24"/>
          <w:lang w:eastAsia="en-US"/>
        </w:rPr>
        <w:t xml:space="preserve"> </w:t>
      </w:r>
      <w:r w:rsidRPr="004D42C5">
        <w:rPr>
          <w:rFonts w:ascii="Times New Roman" w:eastAsia="Calibri" w:hAnsi="Times New Roman" w:cs="Times New Roman"/>
          <w:spacing w:val="4"/>
          <w:szCs w:val="24"/>
          <w:lang w:eastAsia="en-US"/>
        </w:rPr>
        <w:t>zmiana</w:t>
      </w:r>
      <w:r w:rsidR="004A2361" w:rsidRPr="004D42C5">
        <w:rPr>
          <w:rFonts w:ascii="Times New Roman" w:eastAsia="Calibri" w:hAnsi="Times New Roman" w:cs="Times New Roman"/>
          <w:spacing w:val="4"/>
          <w:szCs w:val="24"/>
          <w:lang w:eastAsia="en-US"/>
        </w:rPr>
        <w:t xml:space="preserve"> </w:t>
      </w:r>
      <w:r w:rsidRPr="004D42C5">
        <w:rPr>
          <w:rFonts w:ascii="Times New Roman" w:eastAsia="Calibri" w:hAnsi="Times New Roman" w:cs="Times New Roman"/>
          <w:spacing w:val="4"/>
          <w:szCs w:val="24"/>
          <w:lang w:eastAsia="en-US"/>
        </w:rPr>
        <w:t>doprecyzowująca, która jest konsekwencją zmiany wprowadzonej w art. 178 ust. 1</w:t>
      </w:r>
      <w:r w:rsidR="00BA4798" w:rsidRPr="004D42C5">
        <w:rPr>
          <w:rFonts w:ascii="Times New Roman" w:eastAsia="Calibri" w:hAnsi="Times New Roman" w:cs="Times New Roman"/>
          <w:spacing w:val="4"/>
          <w:szCs w:val="24"/>
          <w:lang w:eastAsia="en-US"/>
        </w:rPr>
        <w:t xml:space="preserve"> oraz propozycją uchylenia art. 158.</w:t>
      </w:r>
    </w:p>
    <w:p w:rsidR="00AF7422" w:rsidRPr="004D42C5" w:rsidRDefault="00D34353"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art. 197a</w:t>
      </w:r>
      <w:r w:rsidR="004A2361" w:rsidRPr="004D42C5">
        <w:rPr>
          <w:rFonts w:ascii="Times New Roman" w:eastAsia="Calibri" w:hAnsi="Times New Roman" w:cs="Times New Roman"/>
          <w:b/>
          <w:spacing w:val="4"/>
          <w:szCs w:val="24"/>
          <w:lang w:eastAsia="en-US"/>
        </w:rPr>
        <w:t xml:space="preserve"> </w:t>
      </w:r>
      <w:r w:rsidR="00AF7422" w:rsidRPr="004D42C5">
        <w:rPr>
          <w:rFonts w:ascii="Times New Roman" w:eastAsia="Calibri" w:hAnsi="Times New Roman" w:cs="Times New Roman"/>
          <w:b/>
          <w:spacing w:val="4"/>
          <w:szCs w:val="24"/>
          <w:lang w:eastAsia="en-US"/>
        </w:rPr>
        <w:t xml:space="preserve">– </w:t>
      </w:r>
      <w:r w:rsidR="00AF7422" w:rsidRPr="004D42C5">
        <w:rPr>
          <w:rFonts w:ascii="Times New Roman" w:eastAsia="Calibri" w:hAnsi="Times New Roman" w:cs="Times New Roman"/>
          <w:spacing w:val="4"/>
          <w:szCs w:val="24"/>
          <w:lang w:eastAsia="en-US"/>
        </w:rPr>
        <w:t xml:space="preserve">dodanie </w:t>
      </w:r>
      <w:r w:rsidR="007C7B94" w:rsidRPr="004D42C5">
        <w:rPr>
          <w:rFonts w:ascii="Times New Roman" w:eastAsia="Calibri" w:hAnsi="Times New Roman" w:cs="Times New Roman"/>
          <w:spacing w:val="4"/>
          <w:szCs w:val="24"/>
          <w:lang w:eastAsia="en-US"/>
        </w:rPr>
        <w:t xml:space="preserve">upoważnienia </w:t>
      </w:r>
      <w:r w:rsidR="00AF7422" w:rsidRPr="004D42C5">
        <w:rPr>
          <w:rFonts w:ascii="Times New Roman" w:eastAsia="Calibri" w:hAnsi="Times New Roman" w:cs="Times New Roman"/>
          <w:spacing w:val="4"/>
          <w:szCs w:val="24"/>
          <w:lang w:eastAsia="en-US"/>
        </w:rPr>
        <w:t>do wydania aktu wykonawczego w związku z</w:t>
      </w:r>
      <w:r w:rsidR="006B02DA">
        <w:rPr>
          <w:rFonts w:ascii="Times New Roman" w:eastAsia="Calibri" w:hAnsi="Times New Roman" w:cs="Times New Roman"/>
          <w:spacing w:val="4"/>
          <w:szCs w:val="24"/>
          <w:lang w:eastAsia="en-US"/>
        </w:rPr>
        <w:t> </w:t>
      </w:r>
      <w:r w:rsidR="00AF7422" w:rsidRPr="004D42C5">
        <w:rPr>
          <w:rFonts w:ascii="Times New Roman" w:eastAsia="Calibri" w:hAnsi="Times New Roman" w:cs="Times New Roman"/>
          <w:spacing w:val="4"/>
          <w:szCs w:val="24"/>
          <w:lang w:eastAsia="en-US"/>
        </w:rPr>
        <w:t xml:space="preserve">propozycją przywrócenia odpowiedzialności zawodowej za </w:t>
      </w:r>
      <w:r w:rsidR="00AF7422" w:rsidRPr="004D42C5">
        <w:rPr>
          <w:rFonts w:ascii="Times New Roman" w:hAnsi="Times New Roman" w:cs="Times New Roman"/>
          <w:szCs w:val="24"/>
        </w:rPr>
        <w:t>n</w:t>
      </w:r>
      <w:r w:rsidR="00164163" w:rsidRPr="004D42C5">
        <w:rPr>
          <w:rFonts w:ascii="Times New Roman" w:hAnsi="Times New Roman" w:cs="Times New Roman"/>
          <w:szCs w:val="24"/>
        </w:rPr>
        <w:t xml:space="preserve">iewypełnianie obowiązku stałego </w:t>
      </w:r>
      <w:r w:rsidR="00AF7422" w:rsidRPr="004D42C5">
        <w:rPr>
          <w:rFonts w:ascii="Times New Roman" w:hAnsi="Times New Roman" w:cs="Times New Roman"/>
          <w:szCs w:val="24"/>
        </w:rPr>
        <w:t>doskonalenia kwalifikacji zawodowych, o którym mowa w</w:t>
      </w:r>
      <w:r w:rsidR="0009522F" w:rsidRPr="004D42C5">
        <w:rPr>
          <w:rFonts w:ascii="Times New Roman" w:hAnsi="Times New Roman" w:cs="Times New Roman"/>
          <w:szCs w:val="24"/>
        </w:rPr>
        <w:t> </w:t>
      </w:r>
      <w:r w:rsidR="00AF7422" w:rsidRPr="004D42C5">
        <w:rPr>
          <w:rFonts w:ascii="Times New Roman" w:hAnsi="Times New Roman" w:cs="Times New Roman"/>
          <w:szCs w:val="24"/>
        </w:rPr>
        <w:t>art.</w:t>
      </w:r>
      <w:r w:rsidR="0009522F" w:rsidRPr="004D42C5">
        <w:rPr>
          <w:rFonts w:ascii="Times New Roman" w:hAnsi="Times New Roman" w:cs="Times New Roman"/>
          <w:szCs w:val="24"/>
        </w:rPr>
        <w:t> </w:t>
      </w:r>
      <w:r w:rsidR="00AF7422" w:rsidRPr="004D42C5">
        <w:rPr>
          <w:rFonts w:ascii="Times New Roman" w:hAnsi="Times New Roman" w:cs="Times New Roman"/>
          <w:szCs w:val="24"/>
        </w:rPr>
        <w:t>175 ust. 2 u</w:t>
      </w:r>
      <w:r w:rsidR="00DE3980" w:rsidRPr="004D42C5">
        <w:rPr>
          <w:rFonts w:ascii="Times New Roman" w:hAnsi="Times New Roman" w:cs="Times New Roman"/>
          <w:szCs w:val="24"/>
        </w:rPr>
        <w:t>gn</w:t>
      </w:r>
      <w:r w:rsidR="00AF7422" w:rsidRPr="004D42C5">
        <w:rPr>
          <w:rFonts w:ascii="Times New Roman" w:hAnsi="Times New Roman" w:cs="Times New Roman"/>
          <w:szCs w:val="24"/>
        </w:rPr>
        <w:t xml:space="preserve"> (</w:t>
      </w:r>
      <w:r w:rsidR="00AF7422" w:rsidRPr="00FA1CCC">
        <w:rPr>
          <w:rFonts w:ascii="Times New Roman" w:hAnsi="Times New Roman" w:cs="Times New Roman"/>
          <w:i/>
          <w:szCs w:val="24"/>
        </w:rPr>
        <w:t>vide</w:t>
      </w:r>
      <w:r w:rsidR="00AF7422" w:rsidRPr="004D42C5">
        <w:rPr>
          <w:rFonts w:ascii="Times New Roman" w:hAnsi="Times New Roman" w:cs="Times New Roman"/>
          <w:szCs w:val="24"/>
        </w:rPr>
        <w:t xml:space="preserve"> zmiana art. 178 ust. 1). Mając na uwadze koniecznoś</w:t>
      </w:r>
      <w:r w:rsidR="007C7B94" w:rsidRPr="004D42C5">
        <w:rPr>
          <w:rFonts w:ascii="Times New Roman" w:hAnsi="Times New Roman" w:cs="Times New Roman"/>
          <w:szCs w:val="24"/>
        </w:rPr>
        <w:t>ć</w:t>
      </w:r>
      <w:r w:rsidR="00AF7422" w:rsidRPr="004D42C5">
        <w:rPr>
          <w:rFonts w:ascii="Times New Roman" w:hAnsi="Times New Roman" w:cs="Times New Roman"/>
          <w:szCs w:val="24"/>
        </w:rPr>
        <w:t xml:space="preserve"> weryfikacji spełniania przez rzeczoznawców majątkowych ww. obowiązku zasadne jest określenie sposobów doskonalenia kwalifikacji zawodowych, </w:t>
      </w:r>
      <w:r w:rsidR="00D447B9" w:rsidRPr="004D42C5">
        <w:rPr>
          <w:rFonts w:ascii="Times New Roman" w:hAnsi="Times New Roman" w:cs="Times New Roman"/>
          <w:szCs w:val="24"/>
        </w:rPr>
        <w:t>sposobów</w:t>
      </w:r>
      <w:r w:rsidR="00AF7422" w:rsidRPr="004D42C5">
        <w:rPr>
          <w:rFonts w:ascii="Times New Roman" w:hAnsi="Times New Roman" w:cs="Times New Roman"/>
          <w:szCs w:val="24"/>
        </w:rPr>
        <w:t xml:space="preserve"> dokumentowania oraz </w:t>
      </w:r>
      <w:r w:rsidR="00164163" w:rsidRPr="004D42C5">
        <w:rPr>
          <w:rFonts w:ascii="Times New Roman" w:hAnsi="Times New Roman" w:cs="Times New Roman"/>
          <w:szCs w:val="24"/>
        </w:rPr>
        <w:t xml:space="preserve">sposobu </w:t>
      </w:r>
      <w:r w:rsidR="00AF7422" w:rsidRPr="004D42C5">
        <w:rPr>
          <w:rFonts w:ascii="Times New Roman" w:hAnsi="Times New Roman" w:cs="Times New Roman"/>
          <w:szCs w:val="24"/>
        </w:rPr>
        <w:t>oceny spełnienia tego obowiązku.</w:t>
      </w:r>
    </w:p>
    <w:p w:rsidR="002C4394" w:rsidRPr="004D42C5" w:rsidRDefault="00E96590" w:rsidP="007B2772">
      <w:pPr>
        <w:pStyle w:val="ZARTzmartartykuempunktem"/>
        <w:numPr>
          <w:ilvl w:val="1"/>
          <w:numId w:val="1"/>
        </w:numPr>
        <w:tabs>
          <w:tab w:val="num" w:pos="426"/>
        </w:tabs>
        <w:spacing w:before="120"/>
        <w:ind w:left="426" w:hanging="426"/>
        <w:rPr>
          <w:rFonts w:ascii="Times New Roman" w:eastAsia="Calibri" w:hAnsi="Times New Roman" w:cs="Times New Roman"/>
          <w:spacing w:val="4"/>
          <w:szCs w:val="24"/>
          <w:lang w:eastAsia="en-US"/>
        </w:rPr>
      </w:pPr>
      <w:r w:rsidRPr="004D42C5">
        <w:rPr>
          <w:rFonts w:ascii="Times New Roman" w:eastAsia="Calibri" w:hAnsi="Times New Roman" w:cs="Times New Roman"/>
          <w:b/>
          <w:spacing w:val="4"/>
          <w:szCs w:val="24"/>
          <w:lang w:eastAsia="en-US"/>
        </w:rPr>
        <w:t xml:space="preserve">art. 198 ust. 1 </w:t>
      </w:r>
      <w:r w:rsidR="002C4394" w:rsidRPr="004D42C5">
        <w:rPr>
          <w:rFonts w:ascii="Times New Roman" w:eastAsia="Calibri" w:hAnsi="Times New Roman" w:cs="Times New Roman"/>
          <w:b/>
          <w:spacing w:val="4"/>
          <w:szCs w:val="24"/>
          <w:lang w:eastAsia="en-US"/>
        </w:rPr>
        <w:t>i 2</w:t>
      </w:r>
      <w:r w:rsidR="00CF76E1" w:rsidRPr="004D42C5">
        <w:rPr>
          <w:rFonts w:ascii="Times New Roman" w:eastAsia="Calibri" w:hAnsi="Times New Roman" w:cs="Times New Roman"/>
          <w:b/>
          <w:spacing w:val="4"/>
          <w:szCs w:val="24"/>
          <w:lang w:eastAsia="en-US"/>
        </w:rPr>
        <w:t xml:space="preserve"> oraz art. 198a</w:t>
      </w:r>
      <w:r w:rsidR="002C4394" w:rsidRPr="004D42C5">
        <w:rPr>
          <w:rFonts w:ascii="Times New Roman" w:eastAsia="Calibri" w:hAnsi="Times New Roman" w:cs="Times New Roman"/>
          <w:b/>
          <w:spacing w:val="4"/>
          <w:szCs w:val="24"/>
          <w:lang w:eastAsia="en-US"/>
        </w:rPr>
        <w:t xml:space="preserve"> – </w:t>
      </w:r>
      <w:r w:rsidR="002C4394" w:rsidRPr="004D42C5">
        <w:rPr>
          <w:rFonts w:ascii="Times New Roman" w:eastAsia="Calibri" w:hAnsi="Times New Roman" w:cs="Times New Roman"/>
          <w:spacing w:val="4"/>
          <w:szCs w:val="24"/>
          <w:lang w:eastAsia="en-US"/>
        </w:rPr>
        <w:t xml:space="preserve">propozycja ma na celu doprecyzowanie sankcji za wykonywanie czynności w zakresie rzeczoznawstwa majątkowego bez uprawnień zawodowych. Zgodnie z obowiązującymi przepisami osoby wykonujące działalność zawodową w zakresie rzeczoznawstwa majątkowego, polegającą na określaniu wartości nieruchomości lub </w:t>
      </w:r>
      <w:r w:rsidR="00444FA5" w:rsidRPr="004D42C5">
        <w:rPr>
          <w:rFonts w:ascii="Times New Roman" w:eastAsia="Calibri" w:hAnsi="Times New Roman" w:cs="Times New Roman"/>
          <w:spacing w:val="4"/>
          <w:szCs w:val="24"/>
          <w:lang w:eastAsia="en-US"/>
        </w:rPr>
        <w:t>trwale związanych z</w:t>
      </w:r>
      <w:r w:rsidR="0009522F" w:rsidRPr="004D42C5">
        <w:rPr>
          <w:rFonts w:ascii="Times New Roman" w:eastAsia="Calibri" w:hAnsi="Times New Roman" w:cs="Times New Roman"/>
          <w:spacing w:val="4"/>
          <w:szCs w:val="24"/>
          <w:lang w:eastAsia="en-US"/>
        </w:rPr>
        <w:t> </w:t>
      </w:r>
      <w:r w:rsidR="00444FA5" w:rsidRPr="004D42C5">
        <w:rPr>
          <w:rFonts w:ascii="Times New Roman" w:eastAsia="Calibri" w:hAnsi="Times New Roman" w:cs="Times New Roman"/>
          <w:spacing w:val="4"/>
          <w:szCs w:val="24"/>
          <w:lang w:eastAsia="en-US"/>
        </w:rPr>
        <w:t>nieruchomością maszyn lub</w:t>
      </w:r>
      <w:r w:rsidR="006B40D6" w:rsidRPr="004D42C5">
        <w:rPr>
          <w:rFonts w:ascii="Times New Roman" w:eastAsia="Calibri" w:hAnsi="Times New Roman" w:cs="Times New Roman"/>
          <w:spacing w:val="4"/>
          <w:szCs w:val="24"/>
          <w:lang w:eastAsia="en-US"/>
        </w:rPr>
        <w:t xml:space="preserve"> urządzeń,</w:t>
      </w:r>
      <w:r w:rsidR="00444FA5" w:rsidRPr="004D42C5">
        <w:rPr>
          <w:rFonts w:ascii="Times New Roman" w:eastAsia="Calibri" w:hAnsi="Times New Roman" w:cs="Times New Roman"/>
          <w:color w:val="FF0000"/>
          <w:spacing w:val="4"/>
          <w:szCs w:val="24"/>
          <w:lang w:eastAsia="en-US"/>
        </w:rPr>
        <w:t xml:space="preserve"> </w:t>
      </w:r>
      <w:r w:rsidR="002C4394" w:rsidRPr="004D42C5">
        <w:rPr>
          <w:rFonts w:ascii="Times New Roman" w:eastAsia="Calibri" w:hAnsi="Times New Roman" w:cs="Times New Roman"/>
          <w:spacing w:val="4"/>
          <w:szCs w:val="24"/>
          <w:lang w:eastAsia="en-US"/>
        </w:rPr>
        <w:t xml:space="preserve">bez uprawnień zawodowych podlegają </w:t>
      </w:r>
      <w:r w:rsidR="002C4394" w:rsidRPr="004D42C5">
        <w:rPr>
          <w:rFonts w:ascii="Times New Roman" w:eastAsia="Calibri" w:hAnsi="Times New Roman" w:cs="Times New Roman"/>
          <w:spacing w:val="4"/>
          <w:szCs w:val="24"/>
          <w:lang w:eastAsia="en-US"/>
        </w:rPr>
        <w:lastRenderedPageBreak/>
        <w:t xml:space="preserve">karze aresztu, ograniczenia wolności albo grzywny. Dotychczasowa praktyka wskazuje, że kary pozbawienia wolności albo aresztu nie są zasądzane z uwagi na „niską szkodliwość społeczną czynu”. Natomiast kary grzywny, możliwe do zasądzenia w wysokości maksymalnie 5000 zł, nie są wystarczająco skuteczne ze względu na zbyt niską dotkliwość tych kar. Zaproponowano zatem, aby osoba wykonująca czynności z zakresu szacowania nieruchomości bez uprawnień zawodowych podlegała karze pieniężnej w wysokości </w:t>
      </w:r>
      <w:r w:rsidR="005A64B7" w:rsidRPr="004D42C5">
        <w:rPr>
          <w:rFonts w:ascii="Times New Roman" w:eastAsia="Calibri" w:hAnsi="Times New Roman" w:cs="Times New Roman"/>
          <w:spacing w:val="4"/>
          <w:szCs w:val="24"/>
          <w:lang w:eastAsia="en-US"/>
        </w:rPr>
        <w:t xml:space="preserve">do </w:t>
      </w:r>
      <w:r w:rsidR="002C4394" w:rsidRPr="004D42C5">
        <w:rPr>
          <w:rFonts w:ascii="Times New Roman" w:eastAsia="Calibri" w:hAnsi="Times New Roman" w:cs="Times New Roman"/>
          <w:spacing w:val="4"/>
          <w:szCs w:val="24"/>
          <w:lang w:eastAsia="en-US"/>
        </w:rPr>
        <w:t>50</w:t>
      </w:r>
      <w:r w:rsidR="0009522F" w:rsidRPr="004D42C5">
        <w:rPr>
          <w:rFonts w:ascii="Times New Roman" w:eastAsia="Calibri" w:hAnsi="Times New Roman" w:cs="Times New Roman"/>
          <w:spacing w:val="4"/>
          <w:szCs w:val="24"/>
          <w:lang w:eastAsia="en-US"/>
        </w:rPr>
        <w:t> </w:t>
      </w:r>
      <w:r w:rsidR="002C4394" w:rsidRPr="004D42C5">
        <w:rPr>
          <w:rFonts w:ascii="Times New Roman" w:eastAsia="Calibri" w:hAnsi="Times New Roman" w:cs="Times New Roman"/>
          <w:spacing w:val="4"/>
          <w:szCs w:val="24"/>
          <w:lang w:eastAsia="en-US"/>
        </w:rPr>
        <w:t>000 zł. Tak</w:t>
      </w:r>
      <w:r w:rsidR="00503D63" w:rsidRPr="004D42C5">
        <w:rPr>
          <w:rFonts w:ascii="Times New Roman" w:eastAsia="Calibri" w:hAnsi="Times New Roman" w:cs="Times New Roman"/>
          <w:spacing w:val="4"/>
          <w:szCs w:val="24"/>
          <w:lang w:eastAsia="en-US"/>
        </w:rPr>
        <w:t>a</w:t>
      </w:r>
      <w:r w:rsidR="004A2361" w:rsidRPr="004D42C5">
        <w:rPr>
          <w:rFonts w:ascii="Times New Roman" w:eastAsia="Calibri" w:hAnsi="Times New Roman" w:cs="Times New Roman"/>
          <w:spacing w:val="4"/>
          <w:szCs w:val="24"/>
          <w:lang w:eastAsia="en-US"/>
        </w:rPr>
        <w:t xml:space="preserve"> </w:t>
      </w:r>
      <w:r w:rsidR="002C4394" w:rsidRPr="004D42C5">
        <w:rPr>
          <w:rFonts w:ascii="Times New Roman" w:eastAsia="Calibri" w:hAnsi="Times New Roman" w:cs="Times New Roman"/>
          <w:spacing w:val="4"/>
          <w:szCs w:val="24"/>
          <w:lang w:eastAsia="en-US"/>
        </w:rPr>
        <w:t>sankcja ograniczy ryzyko, że wyceną nieruchomości zajmować się będą nieuprawnione osoby. Jednocześnie rozszerzono katalog podmiotów, wobec których możliwe będzie zastosowanie kary pieniężnej.</w:t>
      </w:r>
      <w:r w:rsidR="002232F6" w:rsidRPr="004D42C5">
        <w:rPr>
          <w:rFonts w:ascii="Times New Roman" w:eastAsia="Calibri" w:hAnsi="Times New Roman" w:cs="Times New Roman"/>
          <w:spacing w:val="4"/>
          <w:szCs w:val="24"/>
          <w:lang w:eastAsia="en-US"/>
        </w:rPr>
        <w:t xml:space="preserve"> </w:t>
      </w:r>
      <w:r w:rsidR="002C4394" w:rsidRPr="004D42C5">
        <w:rPr>
          <w:rFonts w:ascii="Times New Roman" w:eastAsia="Calibri" w:hAnsi="Times New Roman" w:cs="Times New Roman"/>
          <w:spacing w:val="4"/>
          <w:szCs w:val="24"/>
          <w:lang w:eastAsia="en-US"/>
        </w:rPr>
        <w:t>Zaproponowano obj</w:t>
      </w:r>
      <w:r w:rsidR="00FA1CCC">
        <w:rPr>
          <w:rFonts w:ascii="Times New Roman" w:eastAsia="Calibri" w:hAnsi="Times New Roman" w:cs="Times New Roman"/>
          <w:spacing w:val="4"/>
          <w:szCs w:val="24"/>
          <w:lang w:eastAsia="en-US"/>
        </w:rPr>
        <w:t>ę</w:t>
      </w:r>
      <w:r w:rsidR="002C4394" w:rsidRPr="004D42C5">
        <w:rPr>
          <w:rFonts w:ascii="Times New Roman" w:eastAsia="Calibri" w:hAnsi="Times New Roman" w:cs="Times New Roman"/>
          <w:spacing w:val="4"/>
          <w:szCs w:val="24"/>
          <w:lang w:eastAsia="en-US"/>
        </w:rPr>
        <w:t xml:space="preserve">cie sankcją również rzeczoznawców majątkowych, którzy w okresie odbywania kary dyscyplinarnej w postaci zawieszenia uprawnień zawodowych dokonują określania wartości nieruchomości lub </w:t>
      </w:r>
      <w:r w:rsidR="006B40D6" w:rsidRPr="004D42C5">
        <w:rPr>
          <w:rFonts w:ascii="Times New Roman" w:eastAsia="Calibri" w:hAnsi="Times New Roman" w:cs="Times New Roman"/>
          <w:spacing w:val="4"/>
          <w:szCs w:val="24"/>
          <w:lang w:eastAsia="en-US"/>
        </w:rPr>
        <w:t xml:space="preserve">trwale związanych z nieruchomością maszyn lub urządzeń. </w:t>
      </w:r>
      <w:r w:rsidR="002C4394" w:rsidRPr="004D42C5">
        <w:rPr>
          <w:rFonts w:ascii="Times New Roman" w:eastAsia="Calibri" w:hAnsi="Times New Roman" w:cs="Times New Roman"/>
          <w:spacing w:val="4"/>
          <w:szCs w:val="24"/>
          <w:lang w:eastAsia="en-US"/>
        </w:rPr>
        <w:t>Powyższe rozwiązanie jest konieczne z uwagi na fakt, że obowiązujący system prawny nie przewiduje wobec takich rzeczoznawców majątkowych sankcji. Obowiązujący przepis art. 198 ust. 1 ugn dotyczy bowiem osób wykonujących czynności szacowania bez uprawnień zawodowych, natomiast rzeczoznawca majątkowy, wobec którego orzeczono karę dyscyplinarną w postaci zawieszenia uprawnień</w:t>
      </w:r>
      <w:r w:rsidR="00FA1CCC">
        <w:rPr>
          <w:rFonts w:ascii="Times New Roman" w:eastAsia="Calibri" w:hAnsi="Times New Roman" w:cs="Times New Roman"/>
          <w:spacing w:val="4"/>
          <w:szCs w:val="24"/>
          <w:lang w:eastAsia="en-US"/>
        </w:rPr>
        <w:t>,</w:t>
      </w:r>
      <w:r w:rsidR="002C4394" w:rsidRPr="004D42C5">
        <w:rPr>
          <w:rFonts w:ascii="Times New Roman" w:eastAsia="Calibri" w:hAnsi="Times New Roman" w:cs="Times New Roman"/>
          <w:spacing w:val="4"/>
          <w:szCs w:val="24"/>
          <w:lang w:eastAsia="en-US"/>
        </w:rPr>
        <w:t xml:space="preserve"> </w:t>
      </w:r>
      <w:r w:rsidR="002C4394" w:rsidRPr="00FA1CCC">
        <w:rPr>
          <w:rFonts w:ascii="Times New Roman" w:eastAsia="Calibri" w:hAnsi="Times New Roman" w:cs="Times New Roman"/>
          <w:i/>
          <w:spacing w:val="4"/>
          <w:szCs w:val="24"/>
          <w:lang w:eastAsia="en-US"/>
        </w:rPr>
        <w:t>de facto</w:t>
      </w:r>
      <w:r w:rsidR="002C4394" w:rsidRPr="004D42C5">
        <w:rPr>
          <w:rFonts w:ascii="Times New Roman" w:eastAsia="Calibri" w:hAnsi="Times New Roman" w:cs="Times New Roman"/>
          <w:spacing w:val="4"/>
          <w:szCs w:val="24"/>
          <w:lang w:eastAsia="en-US"/>
        </w:rPr>
        <w:t xml:space="preserve"> posiada uprawnienia zawodowe, nie może jednak wykonywać czynności szacowania nieruchomości. </w:t>
      </w:r>
    </w:p>
    <w:p w:rsidR="002C4394" w:rsidRPr="004D42C5" w:rsidRDefault="004E7EE9" w:rsidP="0009522F">
      <w:pPr>
        <w:pStyle w:val="ZARTzmartartykuempunktem"/>
        <w:spacing w:before="120"/>
        <w:ind w:left="426" w:firstLine="0"/>
        <w:rPr>
          <w:rFonts w:ascii="Times New Roman" w:eastAsia="Calibri" w:hAnsi="Times New Roman" w:cs="Times New Roman"/>
          <w:spacing w:val="4"/>
          <w:szCs w:val="24"/>
          <w:lang w:eastAsia="en-US"/>
        </w:rPr>
      </w:pPr>
      <w:r w:rsidRPr="004D42C5">
        <w:rPr>
          <w:rFonts w:ascii="Times New Roman" w:eastAsia="Calibri" w:hAnsi="Times New Roman" w:cs="Times New Roman"/>
          <w:spacing w:val="4"/>
          <w:szCs w:val="24"/>
          <w:lang w:eastAsia="en-US"/>
        </w:rPr>
        <w:t>Ponadto z</w:t>
      </w:r>
      <w:r w:rsidR="00CF76E1" w:rsidRPr="004D42C5">
        <w:rPr>
          <w:rFonts w:ascii="Times New Roman" w:eastAsia="Calibri" w:hAnsi="Times New Roman" w:cs="Times New Roman"/>
          <w:spacing w:val="4"/>
          <w:szCs w:val="24"/>
          <w:lang w:eastAsia="en-US"/>
        </w:rPr>
        <w:t xml:space="preserve">miana w art. 198a </w:t>
      </w:r>
      <w:r w:rsidRPr="004D42C5">
        <w:rPr>
          <w:rFonts w:ascii="Times New Roman" w:eastAsia="Calibri" w:hAnsi="Times New Roman" w:cs="Times New Roman"/>
          <w:spacing w:val="4"/>
          <w:szCs w:val="24"/>
          <w:lang w:eastAsia="en-US"/>
        </w:rPr>
        <w:t>ma charakter dostosowujący i wynika ze zmiany brzmienia art. 198 ugn.</w:t>
      </w:r>
    </w:p>
    <w:p w:rsidR="0027443A" w:rsidRPr="004D42C5" w:rsidRDefault="008D5F05" w:rsidP="007B2772">
      <w:pPr>
        <w:pStyle w:val="ZARTzmartartykuempunktem"/>
        <w:spacing w:before="120"/>
        <w:ind w:left="0" w:firstLine="0"/>
        <w:rPr>
          <w:rFonts w:ascii="Times New Roman" w:eastAsia="Calibri" w:hAnsi="Times New Roman" w:cs="Times New Roman"/>
          <w:spacing w:val="4"/>
          <w:szCs w:val="24"/>
          <w:lang w:eastAsia="en-US"/>
        </w:rPr>
      </w:pPr>
      <w:r w:rsidRPr="004D42C5">
        <w:rPr>
          <w:rFonts w:ascii="Times New Roman" w:eastAsia="Calibri" w:hAnsi="Times New Roman" w:cs="Times New Roman"/>
          <w:spacing w:val="4"/>
          <w:szCs w:val="24"/>
          <w:lang w:eastAsia="en-US"/>
        </w:rPr>
        <w:t>W zakresie Pgik</w:t>
      </w:r>
      <w:r w:rsidR="001453A4" w:rsidRPr="004D42C5">
        <w:rPr>
          <w:rFonts w:ascii="Times New Roman" w:eastAsia="Calibri" w:hAnsi="Times New Roman" w:cs="Times New Roman"/>
          <w:spacing w:val="4"/>
          <w:szCs w:val="24"/>
          <w:lang w:eastAsia="en-US"/>
        </w:rPr>
        <w:t xml:space="preserve"> </w:t>
      </w:r>
      <w:r w:rsidR="00EF77F8" w:rsidRPr="004D42C5">
        <w:rPr>
          <w:rFonts w:ascii="Times New Roman" w:eastAsia="Calibri" w:hAnsi="Times New Roman" w:cs="Times New Roman"/>
          <w:spacing w:val="4"/>
          <w:szCs w:val="24"/>
          <w:lang w:eastAsia="en-US"/>
        </w:rPr>
        <w:t xml:space="preserve">oraz ustawy o mieniu zabużańskim </w:t>
      </w:r>
      <w:r w:rsidR="001453A4" w:rsidRPr="004D42C5">
        <w:rPr>
          <w:rFonts w:ascii="Times New Roman" w:eastAsia="Calibri" w:hAnsi="Times New Roman" w:cs="Times New Roman"/>
          <w:spacing w:val="4"/>
          <w:szCs w:val="24"/>
          <w:lang w:eastAsia="en-US"/>
        </w:rPr>
        <w:t xml:space="preserve">proponowane zmiany </w:t>
      </w:r>
      <w:r w:rsidR="00EF77F8" w:rsidRPr="004D42C5">
        <w:rPr>
          <w:rFonts w:ascii="Times New Roman" w:eastAsia="Calibri" w:hAnsi="Times New Roman" w:cs="Times New Roman"/>
          <w:spacing w:val="4"/>
          <w:szCs w:val="24"/>
          <w:lang w:eastAsia="en-US"/>
        </w:rPr>
        <w:t>mają charakter dostosowujący i wynikają z propozycji uchylenia art. 158</w:t>
      </w:r>
      <w:r w:rsidR="00335E98" w:rsidRPr="004D42C5">
        <w:rPr>
          <w:rFonts w:ascii="Times New Roman" w:eastAsia="Calibri" w:hAnsi="Times New Roman" w:cs="Times New Roman"/>
          <w:spacing w:val="4"/>
          <w:szCs w:val="24"/>
          <w:lang w:eastAsia="en-US"/>
        </w:rPr>
        <w:t xml:space="preserve"> ugn</w:t>
      </w:r>
      <w:r w:rsidR="00EF77F8" w:rsidRPr="004D42C5">
        <w:rPr>
          <w:rFonts w:ascii="Times New Roman" w:eastAsia="Calibri" w:hAnsi="Times New Roman" w:cs="Times New Roman"/>
          <w:spacing w:val="4"/>
          <w:szCs w:val="24"/>
          <w:lang w:eastAsia="en-US"/>
        </w:rPr>
        <w:t xml:space="preserve">. </w:t>
      </w:r>
    </w:p>
    <w:p w:rsidR="0027443A" w:rsidRPr="004D42C5" w:rsidRDefault="00CE2B06" w:rsidP="007B2772">
      <w:pPr>
        <w:pStyle w:val="ZARTzmartartykuempunktem"/>
        <w:spacing w:before="120"/>
        <w:ind w:left="0" w:firstLine="0"/>
        <w:rPr>
          <w:rFonts w:ascii="Times New Roman" w:eastAsia="Calibri" w:hAnsi="Times New Roman" w:cs="Times New Roman"/>
          <w:spacing w:val="4"/>
          <w:szCs w:val="24"/>
          <w:lang w:eastAsia="en-US"/>
        </w:rPr>
      </w:pPr>
      <w:r w:rsidRPr="004D42C5">
        <w:rPr>
          <w:rFonts w:ascii="Times New Roman" w:eastAsia="Calibri" w:hAnsi="Times New Roman" w:cs="Times New Roman"/>
          <w:spacing w:val="4"/>
          <w:szCs w:val="24"/>
          <w:lang w:eastAsia="en-US"/>
        </w:rPr>
        <w:t xml:space="preserve">W projekcie ustawy w odniesieniu do </w:t>
      </w:r>
      <w:r w:rsidR="000F0158" w:rsidRPr="004D42C5">
        <w:rPr>
          <w:rFonts w:ascii="Times New Roman" w:eastAsia="Calibri" w:hAnsi="Times New Roman" w:cs="Times New Roman"/>
          <w:spacing w:val="4"/>
          <w:szCs w:val="24"/>
          <w:lang w:eastAsia="en-US"/>
        </w:rPr>
        <w:t xml:space="preserve">niektórych postępowań lub obowiązków zaproponowano </w:t>
      </w:r>
      <w:r w:rsidRPr="004D42C5">
        <w:rPr>
          <w:rFonts w:ascii="Times New Roman" w:eastAsia="Calibri" w:hAnsi="Times New Roman" w:cs="Times New Roman"/>
          <w:spacing w:val="4"/>
          <w:szCs w:val="24"/>
          <w:lang w:eastAsia="en-US"/>
        </w:rPr>
        <w:t>przepis</w:t>
      </w:r>
      <w:r w:rsidR="000F0158" w:rsidRPr="004D42C5">
        <w:rPr>
          <w:rFonts w:ascii="Times New Roman" w:eastAsia="Calibri" w:hAnsi="Times New Roman" w:cs="Times New Roman"/>
          <w:spacing w:val="4"/>
          <w:szCs w:val="24"/>
          <w:lang w:eastAsia="en-US"/>
        </w:rPr>
        <w:t>y</w:t>
      </w:r>
      <w:r w:rsidRPr="004D42C5">
        <w:rPr>
          <w:rFonts w:ascii="Times New Roman" w:eastAsia="Calibri" w:hAnsi="Times New Roman" w:cs="Times New Roman"/>
          <w:spacing w:val="4"/>
          <w:szCs w:val="24"/>
          <w:lang w:eastAsia="en-US"/>
        </w:rPr>
        <w:t xml:space="preserve"> przejściowe</w:t>
      </w:r>
      <w:r w:rsidR="000F0158" w:rsidRPr="004D42C5">
        <w:rPr>
          <w:rFonts w:ascii="Times New Roman" w:eastAsia="Calibri" w:hAnsi="Times New Roman" w:cs="Times New Roman"/>
          <w:spacing w:val="4"/>
          <w:szCs w:val="24"/>
          <w:lang w:eastAsia="en-US"/>
        </w:rPr>
        <w:t xml:space="preserve">, przesądzające o </w:t>
      </w:r>
      <w:r w:rsidR="00B149ED" w:rsidRPr="004D42C5">
        <w:rPr>
          <w:rFonts w:ascii="Times New Roman" w:eastAsia="Calibri" w:hAnsi="Times New Roman" w:cs="Times New Roman"/>
          <w:spacing w:val="4"/>
          <w:szCs w:val="24"/>
          <w:lang w:eastAsia="en-US"/>
        </w:rPr>
        <w:t>stosowaniu</w:t>
      </w:r>
      <w:r w:rsidR="000F0158" w:rsidRPr="004D42C5">
        <w:rPr>
          <w:rFonts w:ascii="Times New Roman" w:eastAsia="Calibri" w:hAnsi="Times New Roman" w:cs="Times New Roman"/>
          <w:spacing w:val="4"/>
          <w:szCs w:val="24"/>
          <w:lang w:eastAsia="en-US"/>
        </w:rPr>
        <w:t xml:space="preserve"> </w:t>
      </w:r>
      <w:r w:rsidR="00B149ED" w:rsidRPr="004D42C5">
        <w:rPr>
          <w:rFonts w:ascii="Times New Roman" w:eastAsia="Calibri" w:hAnsi="Times New Roman" w:cs="Times New Roman"/>
          <w:spacing w:val="4"/>
          <w:szCs w:val="24"/>
          <w:lang w:eastAsia="en-US"/>
        </w:rPr>
        <w:t xml:space="preserve">dotychczasowych </w:t>
      </w:r>
      <w:r w:rsidR="000F0158" w:rsidRPr="004D42C5">
        <w:rPr>
          <w:rFonts w:ascii="Times New Roman" w:eastAsia="Calibri" w:hAnsi="Times New Roman" w:cs="Times New Roman"/>
          <w:spacing w:val="4"/>
          <w:szCs w:val="24"/>
          <w:lang w:eastAsia="en-US"/>
        </w:rPr>
        <w:t xml:space="preserve">regulacji </w:t>
      </w:r>
      <w:r w:rsidR="00B149ED" w:rsidRPr="004D42C5">
        <w:rPr>
          <w:rFonts w:ascii="Times New Roman" w:eastAsia="Calibri" w:hAnsi="Times New Roman" w:cs="Times New Roman"/>
          <w:spacing w:val="4"/>
          <w:szCs w:val="24"/>
          <w:lang w:eastAsia="en-US"/>
        </w:rPr>
        <w:t>do</w:t>
      </w:r>
      <w:r w:rsidR="000F0158" w:rsidRPr="004D42C5">
        <w:rPr>
          <w:rFonts w:ascii="Times New Roman" w:eastAsia="Calibri" w:hAnsi="Times New Roman" w:cs="Times New Roman"/>
          <w:spacing w:val="4"/>
          <w:szCs w:val="24"/>
          <w:lang w:eastAsia="en-US"/>
        </w:rPr>
        <w:t xml:space="preserve"> spraw wszczętych</w:t>
      </w:r>
      <w:r w:rsidR="00B149ED" w:rsidRPr="004D42C5">
        <w:rPr>
          <w:rFonts w:ascii="Times New Roman" w:eastAsia="Calibri" w:hAnsi="Times New Roman" w:cs="Times New Roman"/>
          <w:spacing w:val="4"/>
          <w:szCs w:val="24"/>
          <w:lang w:eastAsia="en-US"/>
        </w:rPr>
        <w:t xml:space="preserve"> i niezakończonych</w:t>
      </w:r>
      <w:r w:rsidR="000F0158" w:rsidRPr="004D42C5">
        <w:rPr>
          <w:rFonts w:ascii="Times New Roman" w:eastAsia="Calibri" w:hAnsi="Times New Roman" w:cs="Times New Roman"/>
          <w:spacing w:val="4"/>
          <w:szCs w:val="24"/>
          <w:lang w:eastAsia="en-US"/>
        </w:rPr>
        <w:t xml:space="preserve">. </w:t>
      </w:r>
    </w:p>
    <w:p w:rsidR="00B14636" w:rsidRPr="004D42C5" w:rsidRDefault="00D40838" w:rsidP="007B2772">
      <w:pPr>
        <w:pStyle w:val="ZARTzmartartykuempunktem"/>
        <w:spacing w:before="120"/>
        <w:ind w:left="0" w:firstLine="0"/>
        <w:rPr>
          <w:rFonts w:ascii="Times New Roman" w:hAnsi="Times New Roman" w:cs="Times New Roman"/>
          <w:szCs w:val="24"/>
        </w:rPr>
      </w:pPr>
      <w:r w:rsidRPr="004D42C5">
        <w:rPr>
          <w:rFonts w:ascii="Times New Roman" w:hAnsi="Times New Roman" w:cs="Times New Roman"/>
          <w:szCs w:val="24"/>
        </w:rPr>
        <w:t xml:space="preserve">Ustawa wchodzi w życie </w:t>
      </w:r>
      <w:r w:rsidR="00E5232C" w:rsidRPr="004D42C5">
        <w:rPr>
          <w:rFonts w:ascii="Times New Roman" w:hAnsi="Times New Roman" w:cs="Times New Roman"/>
          <w:szCs w:val="24"/>
        </w:rPr>
        <w:t>z dniem 1 września 2017 r.</w:t>
      </w:r>
      <w:r w:rsidRPr="004D42C5">
        <w:rPr>
          <w:rFonts w:ascii="Times New Roman" w:hAnsi="Times New Roman" w:cs="Times New Roman"/>
          <w:szCs w:val="24"/>
        </w:rPr>
        <w:t>, z wyjątkiem</w:t>
      </w:r>
      <w:r w:rsidR="00B14636" w:rsidRPr="004D42C5">
        <w:rPr>
          <w:rFonts w:ascii="Times New Roman" w:hAnsi="Times New Roman" w:cs="Times New Roman"/>
          <w:szCs w:val="24"/>
        </w:rPr>
        <w:t>:</w:t>
      </w:r>
    </w:p>
    <w:p w:rsidR="00B06B17" w:rsidRPr="004D42C5" w:rsidRDefault="004C26A1" w:rsidP="0009522F">
      <w:pPr>
        <w:pStyle w:val="ZARTzmartartykuempunktem"/>
        <w:numPr>
          <w:ilvl w:val="0"/>
          <w:numId w:val="6"/>
        </w:numPr>
        <w:spacing w:before="120"/>
        <w:ind w:left="360"/>
        <w:rPr>
          <w:rFonts w:ascii="Times New Roman" w:hAnsi="Times New Roman" w:cs="Times New Roman"/>
          <w:szCs w:val="24"/>
        </w:rPr>
      </w:pPr>
      <w:r w:rsidRPr="004D42C5">
        <w:rPr>
          <w:rFonts w:ascii="Times New Roman" w:hAnsi="Times New Roman" w:cs="Times New Roman"/>
          <w:szCs w:val="24"/>
        </w:rPr>
        <w:t>z</w:t>
      </w:r>
      <w:r w:rsidR="009F4479" w:rsidRPr="004D42C5">
        <w:rPr>
          <w:rFonts w:ascii="Times New Roman" w:hAnsi="Times New Roman" w:cs="Times New Roman"/>
          <w:szCs w:val="24"/>
        </w:rPr>
        <w:t>nowelizowanego art. 60 ust. 1 pkt 3</w:t>
      </w:r>
      <w:r w:rsidRPr="004D42C5">
        <w:rPr>
          <w:rFonts w:ascii="Times New Roman" w:hAnsi="Times New Roman" w:cs="Times New Roman"/>
          <w:szCs w:val="24"/>
        </w:rPr>
        <w:t xml:space="preserve"> ugn</w:t>
      </w:r>
      <w:r w:rsidR="009F4479" w:rsidRPr="004D42C5">
        <w:rPr>
          <w:rFonts w:ascii="Times New Roman" w:hAnsi="Times New Roman" w:cs="Times New Roman"/>
          <w:szCs w:val="24"/>
        </w:rPr>
        <w:t>, który wejdzie w życie z dniem następującym po dniu ogłoszenia ustawy w Dzienniku Ustaw</w:t>
      </w:r>
      <w:r w:rsidR="00282283" w:rsidRPr="004D42C5">
        <w:rPr>
          <w:rFonts w:ascii="Times New Roman" w:hAnsi="Times New Roman" w:cs="Times New Roman"/>
          <w:szCs w:val="24"/>
        </w:rPr>
        <w:t xml:space="preserve"> Rzeczypospolitej Polskiej</w:t>
      </w:r>
      <w:r w:rsidRPr="004D42C5">
        <w:rPr>
          <w:rFonts w:ascii="Times New Roman" w:hAnsi="Times New Roman" w:cs="Times New Roman"/>
          <w:szCs w:val="24"/>
        </w:rPr>
        <w:t xml:space="preserve">. </w:t>
      </w:r>
      <w:r w:rsidR="00F350BC" w:rsidRPr="004D42C5">
        <w:rPr>
          <w:rFonts w:ascii="Times New Roman" w:eastAsia="Calibri" w:hAnsi="Times New Roman" w:cs="Times New Roman"/>
          <w:spacing w:val="4"/>
          <w:szCs w:val="24"/>
          <w:lang w:eastAsia="en-US"/>
        </w:rPr>
        <w:t>W związku z reformą zasad zarządzan</w:t>
      </w:r>
      <w:r w:rsidRPr="004D42C5">
        <w:rPr>
          <w:rFonts w:ascii="Times New Roman" w:eastAsia="Calibri" w:hAnsi="Times New Roman" w:cs="Times New Roman"/>
          <w:spacing w:val="4"/>
          <w:szCs w:val="24"/>
          <w:lang w:eastAsia="en-US"/>
        </w:rPr>
        <w:t>ia mieniem państwowym</w:t>
      </w:r>
      <w:r w:rsidR="00F350BC" w:rsidRPr="004D42C5">
        <w:rPr>
          <w:rFonts w:ascii="Times New Roman" w:eastAsia="Calibri" w:hAnsi="Times New Roman" w:cs="Times New Roman"/>
          <w:spacing w:val="4"/>
          <w:szCs w:val="24"/>
          <w:lang w:eastAsia="en-US"/>
        </w:rPr>
        <w:t xml:space="preserve"> od dnia 1 stycznia 2017 r. na ministra </w:t>
      </w:r>
      <w:r w:rsidR="00282283" w:rsidRPr="004D42C5">
        <w:rPr>
          <w:rFonts w:ascii="Times New Roman" w:eastAsia="Calibri" w:hAnsi="Times New Roman" w:cs="Times New Roman"/>
          <w:spacing w:val="4"/>
          <w:szCs w:val="24"/>
          <w:lang w:eastAsia="en-US"/>
        </w:rPr>
        <w:t xml:space="preserve">właściwego do spraw budownictwa, planowania </w:t>
      </w:r>
      <w:r w:rsidR="00282283" w:rsidRPr="004D42C5">
        <w:rPr>
          <w:rFonts w:ascii="Times New Roman" w:eastAsia="Calibri" w:hAnsi="Times New Roman" w:cs="Times New Roman"/>
          <w:spacing w:val="4"/>
          <w:szCs w:val="24"/>
          <w:lang w:eastAsia="en-US"/>
        </w:rPr>
        <w:lastRenderedPageBreak/>
        <w:t>i</w:t>
      </w:r>
      <w:r w:rsidR="0009522F" w:rsidRPr="004D42C5">
        <w:rPr>
          <w:rFonts w:ascii="Times New Roman" w:eastAsia="Calibri" w:hAnsi="Times New Roman" w:cs="Times New Roman"/>
          <w:spacing w:val="4"/>
          <w:szCs w:val="24"/>
          <w:lang w:eastAsia="en-US"/>
        </w:rPr>
        <w:t> </w:t>
      </w:r>
      <w:r w:rsidR="00282283" w:rsidRPr="004D42C5">
        <w:rPr>
          <w:rFonts w:ascii="Times New Roman" w:eastAsia="Calibri" w:hAnsi="Times New Roman" w:cs="Times New Roman"/>
          <w:spacing w:val="4"/>
          <w:szCs w:val="24"/>
          <w:lang w:eastAsia="en-US"/>
        </w:rPr>
        <w:t xml:space="preserve">zagospodarowania przestrzennego oraz mieszkalnictwa </w:t>
      </w:r>
      <w:r w:rsidR="00F350BC" w:rsidRPr="004D42C5">
        <w:rPr>
          <w:rFonts w:ascii="Times New Roman" w:eastAsia="Calibri" w:hAnsi="Times New Roman" w:cs="Times New Roman"/>
          <w:spacing w:val="4"/>
          <w:szCs w:val="24"/>
          <w:lang w:eastAsia="en-US"/>
        </w:rPr>
        <w:t>nałożono obowiązek gospodarowania wszystkimi nieruchomościami prz</w:t>
      </w:r>
      <w:r w:rsidR="00727755" w:rsidRPr="004D42C5">
        <w:rPr>
          <w:rFonts w:ascii="Times New Roman" w:eastAsia="Calibri" w:hAnsi="Times New Roman" w:cs="Times New Roman"/>
          <w:spacing w:val="4"/>
          <w:szCs w:val="24"/>
          <w:lang w:eastAsia="en-US"/>
        </w:rPr>
        <w:t xml:space="preserve">eznaczonymi na potrzeby GDDKiA. </w:t>
      </w:r>
      <w:r w:rsidR="00F350BC" w:rsidRPr="004D42C5">
        <w:rPr>
          <w:rFonts w:ascii="Times New Roman" w:eastAsia="Calibri" w:hAnsi="Times New Roman" w:cs="Times New Roman"/>
          <w:spacing w:val="4"/>
          <w:szCs w:val="24"/>
          <w:lang w:eastAsia="en-US"/>
        </w:rPr>
        <w:t xml:space="preserve">Nowelizacja przepisu art. 60 ust. 1 pkt 3 ugn ograniczy ten zasób. </w:t>
      </w:r>
      <w:r w:rsidR="005F7A86" w:rsidRPr="004D42C5">
        <w:rPr>
          <w:rFonts w:ascii="Times New Roman" w:eastAsia="Calibri" w:hAnsi="Times New Roman" w:cs="Times New Roman"/>
          <w:spacing w:val="4"/>
          <w:szCs w:val="24"/>
          <w:lang w:eastAsia="en-US"/>
        </w:rPr>
        <w:t>Jednakże z</w:t>
      </w:r>
      <w:r w:rsidR="00F350BC" w:rsidRPr="004D42C5">
        <w:rPr>
          <w:rFonts w:ascii="Times New Roman" w:eastAsia="Calibri" w:hAnsi="Times New Roman" w:cs="Times New Roman"/>
          <w:spacing w:val="4"/>
          <w:szCs w:val="24"/>
          <w:lang w:eastAsia="en-US"/>
        </w:rPr>
        <w:t xml:space="preserve">godnie z </w:t>
      </w:r>
      <w:r w:rsidR="00B06B17" w:rsidRPr="004D42C5">
        <w:rPr>
          <w:rFonts w:ascii="Times New Roman" w:eastAsia="Calibri" w:hAnsi="Times New Roman" w:cs="Times New Roman"/>
          <w:spacing w:val="4"/>
          <w:szCs w:val="24"/>
          <w:lang w:eastAsia="en-US"/>
        </w:rPr>
        <w:t>przepis</w:t>
      </w:r>
      <w:r w:rsidR="00F350BC" w:rsidRPr="004D42C5">
        <w:rPr>
          <w:rFonts w:ascii="Times New Roman" w:eastAsia="Calibri" w:hAnsi="Times New Roman" w:cs="Times New Roman"/>
          <w:spacing w:val="4"/>
          <w:szCs w:val="24"/>
          <w:lang w:eastAsia="en-US"/>
        </w:rPr>
        <w:t>em</w:t>
      </w:r>
      <w:r w:rsidR="00B06B17" w:rsidRPr="004D42C5">
        <w:rPr>
          <w:rFonts w:ascii="Times New Roman" w:eastAsia="Calibri" w:hAnsi="Times New Roman" w:cs="Times New Roman"/>
          <w:spacing w:val="4"/>
          <w:szCs w:val="24"/>
          <w:lang w:eastAsia="en-US"/>
        </w:rPr>
        <w:t xml:space="preserve"> art. 124 ustawy z dnia 16 grudnia 2016 r. – Przepisy wprowadzające ustawę o zasadach zarządzania mieniem państwowym (Dz. U. poz. 2260) starostowie </w:t>
      </w:r>
      <w:r w:rsidR="006B02DA" w:rsidRPr="004D42C5">
        <w:rPr>
          <w:rFonts w:ascii="Times New Roman" w:eastAsia="Calibri" w:hAnsi="Times New Roman" w:cs="Times New Roman"/>
          <w:spacing w:val="4"/>
          <w:szCs w:val="24"/>
          <w:lang w:eastAsia="en-US"/>
        </w:rPr>
        <w:t xml:space="preserve">są </w:t>
      </w:r>
      <w:r w:rsidR="00B06B17" w:rsidRPr="004D42C5">
        <w:rPr>
          <w:rFonts w:ascii="Times New Roman" w:eastAsia="Calibri" w:hAnsi="Times New Roman" w:cs="Times New Roman"/>
          <w:spacing w:val="4"/>
          <w:szCs w:val="24"/>
          <w:lang w:eastAsia="en-US"/>
        </w:rPr>
        <w:t xml:space="preserve">obowiązani </w:t>
      </w:r>
      <w:r w:rsidR="00F350BC" w:rsidRPr="004D42C5">
        <w:rPr>
          <w:rFonts w:ascii="Times New Roman" w:eastAsia="Calibri" w:hAnsi="Times New Roman" w:cs="Times New Roman"/>
          <w:spacing w:val="4"/>
          <w:szCs w:val="24"/>
          <w:lang w:eastAsia="en-US"/>
        </w:rPr>
        <w:t>w terminie 6 miesięcy (do 30</w:t>
      </w:r>
      <w:r w:rsidR="0009522F" w:rsidRPr="004D42C5">
        <w:rPr>
          <w:rFonts w:ascii="Times New Roman" w:eastAsia="Calibri" w:hAnsi="Times New Roman" w:cs="Times New Roman"/>
          <w:spacing w:val="4"/>
          <w:szCs w:val="24"/>
          <w:lang w:eastAsia="en-US"/>
        </w:rPr>
        <w:t> </w:t>
      </w:r>
      <w:r w:rsidR="00F350BC" w:rsidRPr="004D42C5">
        <w:rPr>
          <w:rFonts w:ascii="Times New Roman" w:eastAsia="Calibri" w:hAnsi="Times New Roman" w:cs="Times New Roman"/>
          <w:spacing w:val="4"/>
          <w:szCs w:val="24"/>
          <w:lang w:eastAsia="en-US"/>
        </w:rPr>
        <w:t>czerwca</w:t>
      </w:r>
      <w:r w:rsidR="00D92FB6" w:rsidRPr="004D42C5">
        <w:rPr>
          <w:rFonts w:ascii="Times New Roman" w:eastAsia="Calibri" w:hAnsi="Times New Roman" w:cs="Times New Roman"/>
          <w:spacing w:val="4"/>
          <w:szCs w:val="24"/>
          <w:lang w:eastAsia="en-US"/>
        </w:rPr>
        <w:t xml:space="preserve"> 2017 r.</w:t>
      </w:r>
      <w:r w:rsidR="00F350BC" w:rsidRPr="004D42C5">
        <w:rPr>
          <w:rFonts w:ascii="Times New Roman" w:eastAsia="Calibri" w:hAnsi="Times New Roman" w:cs="Times New Roman"/>
          <w:spacing w:val="4"/>
          <w:szCs w:val="24"/>
          <w:lang w:eastAsia="en-US"/>
        </w:rPr>
        <w:t xml:space="preserve">) </w:t>
      </w:r>
      <w:r w:rsidR="00B06B17" w:rsidRPr="004D42C5">
        <w:rPr>
          <w:rFonts w:ascii="Times New Roman" w:eastAsia="Calibri" w:hAnsi="Times New Roman" w:cs="Times New Roman"/>
          <w:spacing w:val="4"/>
          <w:szCs w:val="24"/>
          <w:lang w:eastAsia="en-US"/>
        </w:rPr>
        <w:t>przekazać dokumentację dotyczącą nieruchomości</w:t>
      </w:r>
      <w:r w:rsidR="00F350BC" w:rsidRPr="004D42C5">
        <w:rPr>
          <w:rFonts w:ascii="Times New Roman" w:eastAsia="Calibri" w:hAnsi="Times New Roman" w:cs="Times New Roman"/>
          <w:spacing w:val="4"/>
          <w:szCs w:val="24"/>
          <w:lang w:eastAsia="en-US"/>
        </w:rPr>
        <w:t xml:space="preserve">. Mając na uwadze powyższe oraz fakt, iż </w:t>
      </w:r>
      <w:r w:rsidRPr="004D42C5">
        <w:rPr>
          <w:rFonts w:ascii="Times New Roman" w:eastAsia="Calibri" w:hAnsi="Times New Roman" w:cs="Times New Roman"/>
          <w:spacing w:val="4"/>
          <w:szCs w:val="24"/>
          <w:lang w:eastAsia="en-US"/>
        </w:rPr>
        <w:t>na mocy znowelizowanego</w:t>
      </w:r>
      <w:r w:rsidR="00F350BC" w:rsidRPr="004D42C5">
        <w:rPr>
          <w:rFonts w:ascii="Times New Roman" w:eastAsia="Calibri" w:hAnsi="Times New Roman" w:cs="Times New Roman"/>
          <w:spacing w:val="4"/>
          <w:szCs w:val="24"/>
          <w:lang w:eastAsia="en-US"/>
        </w:rPr>
        <w:t xml:space="preserve"> przepisu </w:t>
      </w:r>
      <w:r w:rsidRPr="004D42C5">
        <w:rPr>
          <w:rFonts w:ascii="Times New Roman" w:eastAsia="Calibri" w:hAnsi="Times New Roman" w:cs="Times New Roman"/>
          <w:spacing w:val="4"/>
          <w:szCs w:val="24"/>
          <w:lang w:eastAsia="en-US"/>
        </w:rPr>
        <w:t xml:space="preserve">art. 60 ust. 1 pkt 3 ugn </w:t>
      </w:r>
      <w:r w:rsidR="00F350BC" w:rsidRPr="004D42C5">
        <w:rPr>
          <w:rFonts w:ascii="Times New Roman" w:eastAsia="Calibri" w:hAnsi="Times New Roman" w:cs="Times New Roman"/>
          <w:spacing w:val="4"/>
          <w:szCs w:val="24"/>
          <w:lang w:eastAsia="en-US"/>
        </w:rPr>
        <w:t xml:space="preserve">starostowie nadal </w:t>
      </w:r>
      <w:r w:rsidR="005F7A86" w:rsidRPr="004D42C5">
        <w:rPr>
          <w:rFonts w:ascii="Times New Roman" w:eastAsia="Calibri" w:hAnsi="Times New Roman" w:cs="Times New Roman"/>
          <w:spacing w:val="4"/>
          <w:szCs w:val="24"/>
          <w:lang w:eastAsia="en-US"/>
        </w:rPr>
        <w:t xml:space="preserve">będą </w:t>
      </w:r>
      <w:r w:rsidR="00F350BC" w:rsidRPr="004D42C5">
        <w:rPr>
          <w:rFonts w:ascii="Times New Roman" w:eastAsia="Calibri" w:hAnsi="Times New Roman" w:cs="Times New Roman"/>
          <w:spacing w:val="4"/>
          <w:szCs w:val="24"/>
          <w:lang w:eastAsia="en-US"/>
        </w:rPr>
        <w:t>gospodarowali nieruchomościami przeznaczony</w:t>
      </w:r>
      <w:r w:rsidRPr="004D42C5">
        <w:rPr>
          <w:rFonts w:ascii="Times New Roman" w:eastAsia="Calibri" w:hAnsi="Times New Roman" w:cs="Times New Roman"/>
          <w:spacing w:val="4"/>
          <w:szCs w:val="24"/>
          <w:lang w:eastAsia="en-US"/>
        </w:rPr>
        <w:t>mi</w:t>
      </w:r>
      <w:r w:rsidR="00F350BC" w:rsidRPr="004D42C5">
        <w:rPr>
          <w:rFonts w:ascii="Times New Roman" w:eastAsia="Calibri" w:hAnsi="Times New Roman" w:cs="Times New Roman"/>
          <w:spacing w:val="4"/>
          <w:szCs w:val="24"/>
          <w:lang w:eastAsia="en-US"/>
        </w:rPr>
        <w:t xml:space="preserve"> na potrzeby rejonów GDDKiA, a także zajęty</w:t>
      </w:r>
      <w:r w:rsidR="00727755" w:rsidRPr="004D42C5">
        <w:rPr>
          <w:rFonts w:ascii="Times New Roman" w:eastAsia="Calibri" w:hAnsi="Times New Roman" w:cs="Times New Roman"/>
          <w:spacing w:val="4"/>
          <w:szCs w:val="24"/>
          <w:lang w:eastAsia="en-US"/>
        </w:rPr>
        <w:t>mi</w:t>
      </w:r>
      <w:r w:rsidR="00F350BC" w:rsidRPr="004D42C5">
        <w:rPr>
          <w:rFonts w:ascii="Times New Roman" w:eastAsia="Calibri" w:hAnsi="Times New Roman" w:cs="Times New Roman"/>
          <w:spacing w:val="4"/>
          <w:szCs w:val="24"/>
          <w:lang w:eastAsia="en-US"/>
        </w:rPr>
        <w:t xml:space="preserve"> pod drogi publiczne lub przeznaczony</w:t>
      </w:r>
      <w:r w:rsidR="00727755" w:rsidRPr="004D42C5">
        <w:rPr>
          <w:rFonts w:ascii="Times New Roman" w:eastAsia="Calibri" w:hAnsi="Times New Roman" w:cs="Times New Roman"/>
          <w:spacing w:val="4"/>
          <w:szCs w:val="24"/>
          <w:lang w:eastAsia="en-US"/>
        </w:rPr>
        <w:t>mi</w:t>
      </w:r>
      <w:r w:rsidR="00F350BC" w:rsidRPr="004D42C5">
        <w:rPr>
          <w:rFonts w:ascii="Times New Roman" w:eastAsia="Calibri" w:hAnsi="Times New Roman" w:cs="Times New Roman"/>
          <w:spacing w:val="4"/>
          <w:szCs w:val="24"/>
          <w:lang w:eastAsia="en-US"/>
        </w:rPr>
        <w:t xml:space="preserve"> na realizację inwestycji drogowych</w:t>
      </w:r>
      <w:r w:rsidR="005F7A86" w:rsidRPr="004D42C5">
        <w:rPr>
          <w:rFonts w:ascii="Times New Roman" w:eastAsia="Calibri" w:hAnsi="Times New Roman" w:cs="Times New Roman"/>
          <w:spacing w:val="4"/>
          <w:szCs w:val="24"/>
          <w:lang w:eastAsia="en-US"/>
        </w:rPr>
        <w:t xml:space="preserve">, niezasadne jest przekazywanie dokumentacji ministrowi. Tym samym </w:t>
      </w:r>
      <w:r w:rsidR="00727755" w:rsidRPr="004D42C5">
        <w:rPr>
          <w:rFonts w:ascii="Times New Roman" w:eastAsia="Calibri" w:hAnsi="Times New Roman" w:cs="Times New Roman"/>
          <w:spacing w:val="4"/>
          <w:szCs w:val="24"/>
          <w:lang w:eastAsia="en-US"/>
        </w:rPr>
        <w:t>zachodzi potrzeba</w:t>
      </w:r>
      <w:r w:rsidRPr="004D42C5">
        <w:rPr>
          <w:rFonts w:ascii="Times New Roman" w:eastAsia="Calibri" w:hAnsi="Times New Roman" w:cs="Times New Roman"/>
          <w:spacing w:val="4"/>
          <w:szCs w:val="24"/>
          <w:lang w:eastAsia="en-US"/>
        </w:rPr>
        <w:t>,</w:t>
      </w:r>
      <w:r w:rsidR="00727755" w:rsidRPr="004D42C5">
        <w:rPr>
          <w:rFonts w:ascii="Times New Roman" w:eastAsia="Calibri" w:hAnsi="Times New Roman" w:cs="Times New Roman"/>
          <w:spacing w:val="4"/>
          <w:szCs w:val="24"/>
          <w:lang w:eastAsia="en-US"/>
        </w:rPr>
        <w:t xml:space="preserve"> aby </w:t>
      </w:r>
      <w:r w:rsidR="005F7A86" w:rsidRPr="004D42C5">
        <w:rPr>
          <w:rFonts w:ascii="Times New Roman" w:eastAsia="Calibri" w:hAnsi="Times New Roman" w:cs="Times New Roman"/>
          <w:spacing w:val="4"/>
          <w:szCs w:val="24"/>
          <w:lang w:eastAsia="en-US"/>
        </w:rPr>
        <w:t xml:space="preserve">nowelizacja </w:t>
      </w:r>
      <w:r w:rsidRPr="004D42C5">
        <w:rPr>
          <w:rFonts w:ascii="Times New Roman" w:eastAsia="Calibri" w:hAnsi="Times New Roman" w:cs="Times New Roman"/>
          <w:spacing w:val="4"/>
          <w:szCs w:val="24"/>
          <w:lang w:eastAsia="en-US"/>
        </w:rPr>
        <w:t xml:space="preserve">ww. </w:t>
      </w:r>
      <w:r w:rsidR="005F7A86" w:rsidRPr="004D42C5">
        <w:rPr>
          <w:rFonts w:ascii="Times New Roman" w:eastAsia="Calibri" w:hAnsi="Times New Roman" w:cs="Times New Roman"/>
          <w:spacing w:val="4"/>
          <w:szCs w:val="24"/>
          <w:lang w:eastAsia="en-US"/>
        </w:rPr>
        <w:t xml:space="preserve">przepisu weszła w życie przed dniem 30 czerwca 2017 r. </w:t>
      </w:r>
      <w:r w:rsidR="00B06B17" w:rsidRPr="004D42C5">
        <w:rPr>
          <w:rFonts w:ascii="Times New Roman" w:eastAsia="Calibri" w:hAnsi="Times New Roman" w:cs="Times New Roman"/>
          <w:spacing w:val="4"/>
          <w:szCs w:val="24"/>
          <w:lang w:eastAsia="en-US"/>
        </w:rPr>
        <w:t>W</w:t>
      </w:r>
      <w:r w:rsidR="0009522F" w:rsidRPr="004D42C5">
        <w:rPr>
          <w:rFonts w:ascii="Times New Roman" w:eastAsia="Calibri" w:hAnsi="Times New Roman" w:cs="Times New Roman"/>
          <w:spacing w:val="4"/>
          <w:szCs w:val="24"/>
          <w:lang w:eastAsia="en-US"/>
        </w:rPr>
        <w:t> </w:t>
      </w:r>
      <w:r w:rsidR="00B06B17" w:rsidRPr="004D42C5">
        <w:rPr>
          <w:rFonts w:ascii="Times New Roman" w:eastAsia="Calibri" w:hAnsi="Times New Roman" w:cs="Times New Roman"/>
          <w:spacing w:val="4"/>
          <w:szCs w:val="24"/>
          <w:lang w:eastAsia="en-US"/>
        </w:rPr>
        <w:t>związku z powyższym oraz wypełnieniem dyspozycji art. 4 ust. 2 ustawy z</w:t>
      </w:r>
      <w:r w:rsidR="0009522F" w:rsidRPr="004D42C5">
        <w:rPr>
          <w:rFonts w:ascii="Times New Roman" w:eastAsia="Calibri" w:hAnsi="Times New Roman" w:cs="Times New Roman"/>
          <w:spacing w:val="4"/>
          <w:szCs w:val="24"/>
          <w:lang w:eastAsia="en-US"/>
        </w:rPr>
        <w:t> </w:t>
      </w:r>
      <w:r w:rsidR="00B06B17" w:rsidRPr="004D42C5">
        <w:rPr>
          <w:rFonts w:ascii="Times New Roman" w:eastAsia="Calibri" w:hAnsi="Times New Roman" w:cs="Times New Roman"/>
          <w:spacing w:val="4"/>
          <w:szCs w:val="24"/>
          <w:lang w:eastAsia="en-US"/>
        </w:rPr>
        <w:t>dnia 20 lipca 2000 r. o ogłaszaniu aktów normatywnych i niektórych innych aktów prawnych (Dz. U. z 201</w:t>
      </w:r>
      <w:r w:rsidR="00727755" w:rsidRPr="004D42C5">
        <w:rPr>
          <w:rFonts w:ascii="Times New Roman" w:eastAsia="Calibri" w:hAnsi="Times New Roman" w:cs="Times New Roman"/>
          <w:spacing w:val="4"/>
          <w:szCs w:val="24"/>
          <w:lang w:eastAsia="en-US"/>
        </w:rPr>
        <w:t>6</w:t>
      </w:r>
      <w:r w:rsidR="00B06B17" w:rsidRPr="004D42C5">
        <w:rPr>
          <w:rFonts w:ascii="Times New Roman" w:eastAsia="Calibri" w:hAnsi="Times New Roman" w:cs="Times New Roman"/>
          <w:spacing w:val="4"/>
          <w:szCs w:val="24"/>
          <w:lang w:eastAsia="en-US"/>
        </w:rPr>
        <w:t xml:space="preserve"> r. poz. </w:t>
      </w:r>
      <w:r w:rsidR="00727755" w:rsidRPr="004D42C5">
        <w:rPr>
          <w:rFonts w:ascii="Times New Roman" w:eastAsia="Calibri" w:hAnsi="Times New Roman" w:cs="Times New Roman"/>
          <w:spacing w:val="4"/>
          <w:szCs w:val="24"/>
          <w:lang w:eastAsia="en-US"/>
        </w:rPr>
        <w:t>296</w:t>
      </w:r>
      <w:r w:rsidR="00B06B17" w:rsidRPr="004D42C5">
        <w:rPr>
          <w:rFonts w:ascii="Times New Roman" w:eastAsia="Calibri" w:hAnsi="Times New Roman" w:cs="Times New Roman"/>
          <w:spacing w:val="4"/>
          <w:szCs w:val="24"/>
          <w:lang w:eastAsia="en-US"/>
        </w:rPr>
        <w:t xml:space="preserve">, z późn. zm.), </w:t>
      </w:r>
      <w:r w:rsidR="005F7A86" w:rsidRPr="004D42C5">
        <w:rPr>
          <w:rFonts w:ascii="Times New Roman" w:eastAsia="Calibri" w:hAnsi="Times New Roman" w:cs="Times New Roman"/>
          <w:spacing w:val="4"/>
          <w:szCs w:val="24"/>
          <w:lang w:eastAsia="en-US"/>
        </w:rPr>
        <w:t xml:space="preserve">zgodnie z którą </w:t>
      </w:r>
      <w:r w:rsidR="00B06B17" w:rsidRPr="004D42C5">
        <w:rPr>
          <w:rFonts w:ascii="Times New Roman" w:eastAsia="Calibri" w:hAnsi="Times New Roman" w:cs="Times New Roman"/>
          <w:spacing w:val="4"/>
          <w:szCs w:val="24"/>
          <w:lang w:eastAsia="en-US"/>
        </w:rPr>
        <w:t>w</w:t>
      </w:r>
      <w:r w:rsidR="0009522F" w:rsidRPr="004D42C5">
        <w:rPr>
          <w:rFonts w:ascii="Times New Roman" w:eastAsia="Calibri" w:hAnsi="Times New Roman" w:cs="Times New Roman"/>
          <w:spacing w:val="4"/>
          <w:szCs w:val="24"/>
          <w:lang w:eastAsia="en-US"/>
        </w:rPr>
        <w:t> </w:t>
      </w:r>
      <w:r w:rsidR="00B06B17" w:rsidRPr="004D42C5">
        <w:rPr>
          <w:rFonts w:ascii="Times New Roman" w:eastAsia="Calibri" w:hAnsi="Times New Roman" w:cs="Times New Roman"/>
          <w:spacing w:val="4"/>
          <w:szCs w:val="24"/>
          <w:lang w:eastAsia="en-US"/>
        </w:rPr>
        <w:t>uzasadnionych przypadkach akty normatywne mogą wchodzić w życie w</w:t>
      </w:r>
      <w:r w:rsidR="0009522F" w:rsidRPr="004D42C5">
        <w:rPr>
          <w:rFonts w:ascii="Times New Roman" w:eastAsia="Calibri" w:hAnsi="Times New Roman" w:cs="Times New Roman"/>
          <w:spacing w:val="4"/>
          <w:szCs w:val="24"/>
          <w:lang w:eastAsia="en-US"/>
        </w:rPr>
        <w:t> </w:t>
      </w:r>
      <w:r w:rsidR="00B06B17" w:rsidRPr="004D42C5">
        <w:rPr>
          <w:rFonts w:ascii="Times New Roman" w:eastAsia="Calibri" w:hAnsi="Times New Roman" w:cs="Times New Roman"/>
          <w:spacing w:val="4"/>
          <w:szCs w:val="24"/>
          <w:lang w:eastAsia="en-US"/>
        </w:rPr>
        <w:t>terminie krótszym niż czternaście dni, jeżeli ważny interes państwa wymaga natychmiastowego wejścia w życie aktu normatywnego i zasady demokratycznego państwa prawnego nie stoją temu na przeszkodzie, uzasadnione jest</w:t>
      </w:r>
      <w:r w:rsidR="00FA1CCC">
        <w:rPr>
          <w:rFonts w:ascii="Times New Roman" w:eastAsia="Calibri" w:hAnsi="Times New Roman" w:cs="Times New Roman"/>
          <w:spacing w:val="4"/>
          <w:szCs w:val="24"/>
          <w:lang w:eastAsia="en-US"/>
        </w:rPr>
        <w:t>,</w:t>
      </w:r>
      <w:r w:rsidR="00B06B17" w:rsidRPr="004D42C5">
        <w:rPr>
          <w:rFonts w:ascii="Times New Roman" w:eastAsia="Calibri" w:hAnsi="Times New Roman" w:cs="Times New Roman"/>
          <w:spacing w:val="4"/>
          <w:szCs w:val="24"/>
          <w:lang w:eastAsia="en-US"/>
        </w:rPr>
        <w:t xml:space="preserve"> aby projektowan</w:t>
      </w:r>
      <w:r w:rsidR="005F7A86" w:rsidRPr="004D42C5">
        <w:rPr>
          <w:rFonts w:ascii="Times New Roman" w:eastAsia="Calibri" w:hAnsi="Times New Roman" w:cs="Times New Roman"/>
          <w:spacing w:val="4"/>
          <w:szCs w:val="24"/>
          <w:lang w:eastAsia="en-US"/>
        </w:rPr>
        <w:t xml:space="preserve">y przepis </w:t>
      </w:r>
      <w:r w:rsidR="00B06B17" w:rsidRPr="004D42C5">
        <w:rPr>
          <w:rFonts w:ascii="Times New Roman" w:eastAsia="Calibri" w:hAnsi="Times New Roman" w:cs="Times New Roman"/>
          <w:spacing w:val="4"/>
          <w:szCs w:val="24"/>
          <w:lang w:eastAsia="en-US"/>
        </w:rPr>
        <w:t>wsz</w:t>
      </w:r>
      <w:r w:rsidR="005F7A86" w:rsidRPr="004D42C5">
        <w:rPr>
          <w:rFonts w:ascii="Times New Roman" w:eastAsia="Calibri" w:hAnsi="Times New Roman" w:cs="Times New Roman"/>
          <w:spacing w:val="4"/>
          <w:szCs w:val="24"/>
          <w:lang w:eastAsia="en-US"/>
        </w:rPr>
        <w:t>edł</w:t>
      </w:r>
      <w:r w:rsidR="00B06B17" w:rsidRPr="004D42C5">
        <w:rPr>
          <w:rFonts w:ascii="Times New Roman" w:eastAsia="Calibri" w:hAnsi="Times New Roman" w:cs="Times New Roman"/>
          <w:spacing w:val="4"/>
          <w:szCs w:val="24"/>
          <w:lang w:eastAsia="en-US"/>
        </w:rPr>
        <w:t xml:space="preserve"> w życie z dniem następującym po dniu ogłoszenia</w:t>
      </w:r>
      <w:r w:rsidR="005F7A86" w:rsidRPr="004D42C5">
        <w:rPr>
          <w:rFonts w:ascii="Times New Roman" w:eastAsia="Calibri" w:hAnsi="Times New Roman" w:cs="Times New Roman"/>
          <w:spacing w:val="4"/>
          <w:szCs w:val="24"/>
          <w:lang w:eastAsia="en-US"/>
        </w:rPr>
        <w:t>.</w:t>
      </w:r>
      <w:r w:rsidR="007B2772" w:rsidRPr="004D42C5">
        <w:rPr>
          <w:rFonts w:ascii="Times New Roman" w:eastAsia="Calibri" w:hAnsi="Times New Roman" w:cs="Times New Roman"/>
          <w:spacing w:val="4"/>
          <w:szCs w:val="24"/>
          <w:lang w:eastAsia="en-US"/>
        </w:rPr>
        <w:t xml:space="preserve"> </w:t>
      </w:r>
    </w:p>
    <w:p w:rsidR="0027443A" w:rsidRPr="004D42C5" w:rsidRDefault="004C26A1" w:rsidP="0009522F">
      <w:pPr>
        <w:pStyle w:val="ZARTzmartartykuempunktem"/>
        <w:numPr>
          <w:ilvl w:val="0"/>
          <w:numId w:val="6"/>
        </w:numPr>
        <w:spacing w:before="120"/>
        <w:ind w:left="349" w:hanging="283"/>
        <w:rPr>
          <w:rFonts w:ascii="Times New Roman" w:hAnsi="Times New Roman" w:cs="Times New Roman"/>
          <w:strike/>
          <w:szCs w:val="24"/>
        </w:rPr>
      </w:pPr>
      <w:r w:rsidRPr="004D42C5">
        <w:rPr>
          <w:rFonts w:ascii="Times New Roman" w:hAnsi="Times New Roman" w:cs="Times New Roman"/>
          <w:szCs w:val="24"/>
        </w:rPr>
        <w:t>p</w:t>
      </w:r>
      <w:r w:rsidR="00D40838" w:rsidRPr="004D42C5">
        <w:rPr>
          <w:rFonts w:ascii="Times New Roman" w:hAnsi="Times New Roman" w:cs="Times New Roman"/>
          <w:szCs w:val="24"/>
        </w:rPr>
        <w:t xml:space="preserve">rzepisów zawierających zmiany </w:t>
      </w:r>
      <w:r w:rsidR="00FE3956" w:rsidRPr="004D42C5">
        <w:rPr>
          <w:rFonts w:ascii="Times New Roman" w:hAnsi="Times New Roman" w:cs="Times New Roman"/>
          <w:szCs w:val="24"/>
        </w:rPr>
        <w:t>do</w:t>
      </w:r>
      <w:r w:rsidR="00305A9B" w:rsidRPr="004D42C5">
        <w:rPr>
          <w:rFonts w:ascii="Times New Roman" w:hAnsi="Times New Roman" w:cs="Times New Roman"/>
          <w:szCs w:val="24"/>
        </w:rPr>
        <w:t xml:space="preserve">tyczące gospodarowania nieruchomościami stanowiącymi własność Skarbu Państwa oraz własność jednostek samorządu terytorialnego </w:t>
      </w:r>
      <w:r w:rsidR="006654F6" w:rsidRPr="004D42C5">
        <w:rPr>
          <w:rFonts w:ascii="Times New Roman" w:hAnsi="Times New Roman" w:cs="Times New Roman"/>
          <w:szCs w:val="24"/>
        </w:rPr>
        <w:t>(</w:t>
      </w:r>
      <w:r w:rsidR="005879EA">
        <w:rPr>
          <w:rFonts w:ascii="Times New Roman" w:hAnsi="Times New Roman" w:cs="Times New Roman"/>
          <w:szCs w:val="24"/>
        </w:rPr>
        <w:t>d</w:t>
      </w:r>
      <w:r w:rsidR="006654F6" w:rsidRPr="004D42C5">
        <w:rPr>
          <w:rFonts w:ascii="Times New Roman" w:hAnsi="Times New Roman" w:cs="Times New Roman"/>
          <w:szCs w:val="24"/>
        </w:rPr>
        <w:t xml:space="preserve">ział II ugn) </w:t>
      </w:r>
      <w:r w:rsidR="00305A9B" w:rsidRPr="004D42C5">
        <w:rPr>
          <w:rFonts w:ascii="Times New Roman" w:hAnsi="Times New Roman" w:cs="Times New Roman"/>
          <w:szCs w:val="24"/>
        </w:rPr>
        <w:t xml:space="preserve">oraz </w:t>
      </w:r>
      <w:r w:rsidR="006654F6" w:rsidRPr="004D42C5">
        <w:rPr>
          <w:rFonts w:ascii="Times New Roman" w:hAnsi="Times New Roman" w:cs="Times New Roman"/>
          <w:szCs w:val="24"/>
        </w:rPr>
        <w:t>wykonywania, ograniczania lub pozbawiania praw do nieruchomości (</w:t>
      </w:r>
      <w:r w:rsidR="005879EA">
        <w:rPr>
          <w:rFonts w:ascii="Times New Roman" w:hAnsi="Times New Roman" w:cs="Times New Roman"/>
          <w:szCs w:val="24"/>
        </w:rPr>
        <w:t>d</w:t>
      </w:r>
      <w:r w:rsidR="006654F6" w:rsidRPr="004D42C5">
        <w:rPr>
          <w:rFonts w:ascii="Times New Roman" w:hAnsi="Times New Roman" w:cs="Times New Roman"/>
          <w:szCs w:val="24"/>
        </w:rPr>
        <w:t>ział III ugn)</w:t>
      </w:r>
      <w:r w:rsidR="00FE3956" w:rsidRPr="004D42C5">
        <w:rPr>
          <w:rFonts w:ascii="Times New Roman" w:hAnsi="Times New Roman" w:cs="Times New Roman"/>
          <w:szCs w:val="24"/>
        </w:rPr>
        <w:t>, które wejdą w życie po up</w:t>
      </w:r>
      <w:r w:rsidR="009F4479" w:rsidRPr="004D42C5">
        <w:rPr>
          <w:rFonts w:ascii="Times New Roman" w:hAnsi="Times New Roman" w:cs="Times New Roman"/>
          <w:szCs w:val="24"/>
        </w:rPr>
        <w:t>ływie 14 dni od dnia ogłoszenia.</w:t>
      </w:r>
      <w:r w:rsidR="00FE3956" w:rsidRPr="004D42C5">
        <w:rPr>
          <w:rFonts w:ascii="Times New Roman" w:hAnsi="Times New Roman" w:cs="Times New Roman"/>
          <w:szCs w:val="24"/>
        </w:rPr>
        <w:t xml:space="preserve"> </w:t>
      </w:r>
    </w:p>
    <w:p w:rsidR="0027443A" w:rsidRPr="004D42C5" w:rsidRDefault="00BE7940" w:rsidP="007B2772">
      <w:pPr>
        <w:spacing w:before="120" w:after="0" w:line="360" w:lineRule="auto"/>
        <w:jc w:val="both"/>
        <w:rPr>
          <w:rFonts w:ascii="Times New Roman" w:hAnsi="Times New Roman"/>
          <w:spacing w:val="4"/>
          <w:sz w:val="24"/>
          <w:szCs w:val="24"/>
        </w:rPr>
      </w:pPr>
      <w:r w:rsidRPr="004D42C5">
        <w:rPr>
          <w:rFonts w:ascii="Times New Roman" w:hAnsi="Times New Roman"/>
          <w:spacing w:val="4"/>
          <w:sz w:val="24"/>
          <w:szCs w:val="24"/>
          <w:lang w:val="x-none"/>
        </w:rPr>
        <w:t xml:space="preserve">Projekt </w:t>
      </w:r>
      <w:r w:rsidRPr="004D42C5">
        <w:rPr>
          <w:rFonts w:ascii="Times New Roman" w:hAnsi="Times New Roman"/>
          <w:spacing w:val="4"/>
          <w:sz w:val="24"/>
          <w:szCs w:val="24"/>
        </w:rPr>
        <w:t xml:space="preserve">ustawy nie </w:t>
      </w:r>
      <w:r w:rsidRPr="004D42C5">
        <w:rPr>
          <w:rFonts w:ascii="Times New Roman" w:hAnsi="Times New Roman"/>
          <w:spacing w:val="4"/>
          <w:sz w:val="24"/>
          <w:szCs w:val="24"/>
          <w:lang w:val="x-none"/>
        </w:rPr>
        <w:t xml:space="preserve">jest </w:t>
      </w:r>
      <w:r w:rsidR="006215BD" w:rsidRPr="004D42C5">
        <w:rPr>
          <w:rFonts w:ascii="Times New Roman" w:hAnsi="Times New Roman"/>
          <w:spacing w:val="4"/>
          <w:sz w:val="24"/>
          <w:szCs w:val="24"/>
        </w:rPr>
        <w:t xml:space="preserve">sprzeczny z </w:t>
      </w:r>
      <w:r w:rsidRPr="004D42C5">
        <w:rPr>
          <w:rFonts w:ascii="Times New Roman" w:hAnsi="Times New Roman"/>
          <w:spacing w:val="4"/>
          <w:sz w:val="24"/>
          <w:szCs w:val="24"/>
          <w:lang w:val="x-none"/>
        </w:rPr>
        <w:t>praw</w:t>
      </w:r>
      <w:r w:rsidR="006215BD" w:rsidRPr="004D42C5">
        <w:rPr>
          <w:rFonts w:ascii="Times New Roman" w:hAnsi="Times New Roman"/>
          <w:spacing w:val="4"/>
          <w:sz w:val="24"/>
          <w:szCs w:val="24"/>
        </w:rPr>
        <w:t>em</w:t>
      </w:r>
      <w:r w:rsidRPr="004D42C5">
        <w:rPr>
          <w:rFonts w:ascii="Times New Roman" w:hAnsi="Times New Roman"/>
          <w:spacing w:val="4"/>
          <w:sz w:val="24"/>
          <w:szCs w:val="24"/>
          <w:lang w:val="x-none"/>
        </w:rPr>
        <w:t xml:space="preserve"> Unii Europejskiej.</w:t>
      </w:r>
    </w:p>
    <w:p w:rsidR="0027443A" w:rsidRPr="004D42C5" w:rsidRDefault="00BE7940" w:rsidP="007B2772">
      <w:pPr>
        <w:pStyle w:val="Tekstpodstawowy"/>
        <w:spacing w:before="120"/>
        <w:rPr>
          <w:i w:val="0"/>
          <w:spacing w:val="4"/>
          <w:lang w:val="pl-PL"/>
        </w:rPr>
      </w:pPr>
      <w:r w:rsidRPr="004D42C5">
        <w:rPr>
          <w:i w:val="0"/>
          <w:iCs w:val="0"/>
          <w:spacing w:val="4"/>
        </w:rPr>
        <w:t>Projekt ustawy nie zawiera przepisów technicznych i w związku z tym nie podlega notyfikacji</w:t>
      </w:r>
      <w:r w:rsidR="0009522F" w:rsidRPr="004D42C5">
        <w:rPr>
          <w:i w:val="0"/>
          <w:iCs w:val="0"/>
          <w:spacing w:val="4"/>
          <w:lang w:val="pl-PL"/>
        </w:rPr>
        <w:t xml:space="preserve"> </w:t>
      </w:r>
      <w:r w:rsidRPr="004D42C5">
        <w:rPr>
          <w:i w:val="0"/>
          <w:iCs w:val="0"/>
          <w:spacing w:val="4"/>
        </w:rPr>
        <w:t xml:space="preserve">w rozumieniu przepisów </w:t>
      </w:r>
      <w:r w:rsidRPr="004D42C5">
        <w:rPr>
          <w:i w:val="0"/>
          <w:spacing w:val="4"/>
        </w:rPr>
        <w:t>rozporzą</w:t>
      </w:r>
      <w:r w:rsidR="0009522F" w:rsidRPr="004D42C5">
        <w:rPr>
          <w:i w:val="0"/>
          <w:spacing w:val="4"/>
        </w:rPr>
        <w:t>dzenia Rady Ministrów z dnia 23</w:t>
      </w:r>
      <w:r w:rsidR="0009522F" w:rsidRPr="004D42C5">
        <w:rPr>
          <w:i w:val="0"/>
          <w:spacing w:val="4"/>
          <w:lang w:val="pl-PL"/>
        </w:rPr>
        <w:t> </w:t>
      </w:r>
      <w:r w:rsidRPr="004D42C5">
        <w:rPr>
          <w:i w:val="0"/>
          <w:spacing w:val="4"/>
        </w:rPr>
        <w:t>grudnia 2002 r. w sprawie sposobu funkcjonowania krajowego systemu notyfikacji norm i aktów prawnych (Dz. U. poz. 2039</w:t>
      </w:r>
      <w:r w:rsidR="00CF2F23" w:rsidRPr="004D42C5">
        <w:rPr>
          <w:i w:val="0"/>
          <w:spacing w:val="4"/>
        </w:rPr>
        <w:t>,</w:t>
      </w:r>
      <w:r w:rsidRPr="004D42C5">
        <w:rPr>
          <w:i w:val="0"/>
          <w:spacing w:val="4"/>
        </w:rPr>
        <w:t xml:space="preserve"> z późn. zm.).</w:t>
      </w:r>
    </w:p>
    <w:p w:rsidR="0027443A" w:rsidRPr="004D42C5" w:rsidRDefault="0027443A" w:rsidP="007B2772">
      <w:pPr>
        <w:pStyle w:val="Tekstpodstawowy"/>
        <w:spacing w:before="120"/>
        <w:rPr>
          <w:i w:val="0"/>
          <w:spacing w:val="4"/>
          <w:lang w:val="pl-PL"/>
        </w:rPr>
      </w:pPr>
      <w:r w:rsidRPr="004D42C5">
        <w:rPr>
          <w:i w:val="0"/>
          <w:spacing w:val="4"/>
          <w:lang w:val="pl-PL"/>
        </w:rPr>
        <w:lastRenderedPageBreak/>
        <w:t xml:space="preserve">Rozwiązania zaproponowane w projekcie nie dotyczą </w:t>
      </w:r>
      <w:r w:rsidR="00B917A3" w:rsidRPr="004D42C5">
        <w:rPr>
          <w:i w:val="0"/>
          <w:spacing w:val="4"/>
          <w:lang w:val="pl-PL"/>
        </w:rPr>
        <w:t>majątkowych</w:t>
      </w:r>
      <w:r w:rsidRPr="004D42C5">
        <w:rPr>
          <w:i w:val="0"/>
          <w:spacing w:val="4"/>
          <w:lang w:val="pl-PL"/>
        </w:rPr>
        <w:t xml:space="preserve"> praw i</w:t>
      </w:r>
      <w:r w:rsidR="0009522F" w:rsidRPr="004D42C5">
        <w:rPr>
          <w:i w:val="0"/>
          <w:spacing w:val="4"/>
          <w:lang w:val="pl-PL"/>
        </w:rPr>
        <w:t> </w:t>
      </w:r>
      <w:r w:rsidRPr="004D42C5">
        <w:rPr>
          <w:i w:val="0"/>
          <w:spacing w:val="4"/>
          <w:lang w:val="pl-PL"/>
        </w:rPr>
        <w:t>obowiązków przedsiębiorców, a także praw i obowiązków przedsiębiorców wobec organów administracji publicznej, zatem projekt nie będzie miał wpływu na działalność mikroprzedsiębiorców oraz mały</w:t>
      </w:r>
      <w:r w:rsidR="0009522F" w:rsidRPr="004D42C5">
        <w:rPr>
          <w:i w:val="0"/>
          <w:spacing w:val="4"/>
          <w:lang w:val="pl-PL"/>
        </w:rPr>
        <w:t xml:space="preserve">ch i średnich przedsiębiorców. </w:t>
      </w:r>
    </w:p>
    <w:p w:rsidR="0027443A" w:rsidRPr="00A57FEF" w:rsidRDefault="00BE7940" w:rsidP="007B2772">
      <w:pPr>
        <w:pStyle w:val="Tekstpodstawowy"/>
        <w:spacing w:before="120"/>
        <w:rPr>
          <w:i w:val="0"/>
          <w:spacing w:val="4"/>
          <w:lang w:val="pl-PL"/>
        </w:rPr>
      </w:pPr>
      <w:r w:rsidRPr="004D42C5">
        <w:rPr>
          <w:i w:val="0"/>
          <w:spacing w:val="4"/>
        </w:rPr>
        <w:t xml:space="preserve">Zgodnie z art. 5 ustawy z dnia 7 lipca 2005 r. o działalności lobbingowej w procesie stanowienia prawa (Dz. U. </w:t>
      </w:r>
      <w:r w:rsidR="00282283" w:rsidRPr="004D42C5">
        <w:rPr>
          <w:i w:val="0"/>
          <w:spacing w:val="4"/>
          <w:lang w:val="pl-PL"/>
        </w:rPr>
        <w:t>z 2017 r. poz. 248</w:t>
      </w:r>
      <w:r w:rsidRPr="004D42C5">
        <w:rPr>
          <w:i w:val="0"/>
          <w:spacing w:val="4"/>
        </w:rPr>
        <w:t>) projekt ustawy zosta</w:t>
      </w:r>
      <w:r w:rsidR="000F0158" w:rsidRPr="004D42C5">
        <w:rPr>
          <w:i w:val="0"/>
          <w:spacing w:val="4"/>
          <w:lang w:val="pl-PL"/>
        </w:rPr>
        <w:t>ł</w:t>
      </w:r>
      <w:r w:rsidRPr="004D42C5">
        <w:rPr>
          <w:i w:val="0"/>
          <w:spacing w:val="4"/>
        </w:rPr>
        <w:t xml:space="preserve"> udostępniony na stronie internetowej Biuletynu Informacji Publicznej Ministerstwa Infrastruktury i Budownictwa. Ponadto, stosownie do § 52 ust. 1 uchwały nr 190 Rady Ministrów z</w:t>
      </w:r>
      <w:r w:rsidR="0009522F" w:rsidRPr="004D42C5">
        <w:rPr>
          <w:i w:val="0"/>
          <w:spacing w:val="4"/>
          <w:lang w:val="pl-PL"/>
        </w:rPr>
        <w:t> </w:t>
      </w:r>
      <w:r w:rsidRPr="004D42C5">
        <w:rPr>
          <w:i w:val="0"/>
          <w:spacing w:val="4"/>
        </w:rPr>
        <w:t xml:space="preserve">dnia 29 października 2013 r. – Regulamin pracy Rady Ministrów (M. P. </w:t>
      </w:r>
      <w:r w:rsidR="00335E98" w:rsidRPr="004D42C5">
        <w:rPr>
          <w:i w:val="0"/>
          <w:spacing w:val="4"/>
          <w:lang w:val="pl-PL"/>
        </w:rPr>
        <w:t xml:space="preserve">z 2016 r. </w:t>
      </w:r>
      <w:r w:rsidRPr="004D42C5">
        <w:rPr>
          <w:i w:val="0"/>
          <w:spacing w:val="4"/>
        </w:rPr>
        <w:t xml:space="preserve">poz. </w:t>
      </w:r>
      <w:r w:rsidR="00335E98" w:rsidRPr="004D42C5">
        <w:rPr>
          <w:i w:val="0"/>
          <w:spacing w:val="4"/>
          <w:lang w:val="pl-PL"/>
        </w:rPr>
        <w:t>1006</w:t>
      </w:r>
      <w:r w:rsidR="00CF2F23" w:rsidRPr="004D42C5">
        <w:rPr>
          <w:i w:val="0"/>
          <w:spacing w:val="4"/>
        </w:rPr>
        <w:t>,</w:t>
      </w:r>
      <w:r w:rsidRPr="004D42C5">
        <w:rPr>
          <w:i w:val="0"/>
          <w:spacing w:val="4"/>
        </w:rPr>
        <w:t xml:space="preserve"> z późn. zm.) projekt zosta</w:t>
      </w:r>
      <w:r w:rsidR="000F0158" w:rsidRPr="004D42C5">
        <w:rPr>
          <w:i w:val="0"/>
          <w:spacing w:val="4"/>
          <w:lang w:val="pl-PL"/>
        </w:rPr>
        <w:t>ł</w:t>
      </w:r>
      <w:r w:rsidRPr="004D42C5">
        <w:rPr>
          <w:i w:val="0"/>
          <w:spacing w:val="4"/>
        </w:rPr>
        <w:t xml:space="preserve"> udostępniony w Biuletynie Informacji Publicznej na stronie podmiotowej Rządowego Centrum Legislacji, w serwisie Rządowy Proces Legislacyjny</w:t>
      </w:r>
      <w:r w:rsidR="00A57FEF">
        <w:rPr>
          <w:i w:val="0"/>
          <w:spacing w:val="4"/>
          <w:lang w:val="pl-PL"/>
        </w:rPr>
        <w:t xml:space="preserve"> (</w:t>
      </w:r>
      <w:r w:rsidR="00804551" w:rsidRPr="004D42C5">
        <w:rPr>
          <w:i w:val="0"/>
          <w:spacing w:val="4"/>
        </w:rPr>
        <w:t>http://legislacja.rcl.gov.pl/projekt/12286750</w:t>
      </w:r>
      <w:r w:rsidR="00A57FEF">
        <w:rPr>
          <w:i w:val="0"/>
          <w:spacing w:val="4"/>
          <w:lang w:val="pl-PL"/>
        </w:rPr>
        <w:t>).</w:t>
      </w:r>
    </w:p>
    <w:p w:rsidR="0009522F" w:rsidRPr="004D42C5" w:rsidRDefault="00BE7940" w:rsidP="007B2772">
      <w:pPr>
        <w:pStyle w:val="Tekstpodstawowy"/>
        <w:spacing w:before="120"/>
        <w:rPr>
          <w:i w:val="0"/>
          <w:iCs w:val="0"/>
          <w:spacing w:val="4"/>
          <w:lang w:val="pl-PL"/>
        </w:rPr>
      </w:pPr>
      <w:r w:rsidRPr="004D42C5">
        <w:rPr>
          <w:i w:val="0"/>
          <w:iCs w:val="0"/>
          <w:spacing w:val="4"/>
        </w:rPr>
        <w:t>Do</w:t>
      </w:r>
      <w:r w:rsidR="000F0158" w:rsidRPr="004D42C5">
        <w:rPr>
          <w:i w:val="0"/>
          <w:iCs w:val="0"/>
          <w:spacing w:val="4"/>
          <w:lang w:val="pl-PL"/>
        </w:rPr>
        <w:t xml:space="preserve">tychczas </w:t>
      </w:r>
      <w:r w:rsidRPr="004D42C5">
        <w:rPr>
          <w:i w:val="0"/>
          <w:iCs w:val="0"/>
          <w:spacing w:val="4"/>
        </w:rPr>
        <w:t>żaden podmiot nie zgłosił zainteresowania pracami nad projektem w</w:t>
      </w:r>
      <w:r w:rsidR="0009522F" w:rsidRPr="004D42C5">
        <w:rPr>
          <w:i w:val="0"/>
          <w:iCs w:val="0"/>
          <w:spacing w:val="4"/>
          <w:lang w:val="pl-PL"/>
        </w:rPr>
        <w:t> </w:t>
      </w:r>
      <w:r w:rsidRPr="004D42C5">
        <w:rPr>
          <w:i w:val="0"/>
          <w:iCs w:val="0"/>
          <w:spacing w:val="4"/>
        </w:rPr>
        <w:t>trybie ww. ustawy.</w:t>
      </w:r>
    </w:p>
    <w:sectPr w:rsidR="0009522F" w:rsidRPr="004D42C5" w:rsidSect="007B2772">
      <w:footerReference w:type="default" r:id="rId9"/>
      <w:pgSz w:w="11906" w:h="16838" w:code="9"/>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429" w:rsidRDefault="00BD6429" w:rsidP="008F3EAB">
      <w:pPr>
        <w:spacing w:after="0" w:line="240" w:lineRule="auto"/>
      </w:pPr>
      <w:r>
        <w:separator/>
      </w:r>
    </w:p>
  </w:endnote>
  <w:endnote w:type="continuationSeparator" w:id="0">
    <w:p w:rsidR="00BD6429" w:rsidRDefault="00BD6429" w:rsidP="008F3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755" w:rsidRPr="007B2772" w:rsidRDefault="007B2772" w:rsidP="007B2772">
    <w:pPr>
      <w:pStyle w:val="Stopka"/>
      <w:jc w:val="center"/>
      <w:rPr>
        <w:rFonts w:ascii="Times New Roman" w:hAnsi="Times New Roman"/>
        <w:sz w:val="24"/>
        <w:szCs w:val="24"/>
        <w:lang w:val="pl-PL"/>
      </w:rPr>
    </w:pPr>
    <w:r w:rsidRPr="007B2772">
      <w:rPr>
        <w:rFonts w:ascii="Times New Roman" w:hAnsi="Times New Roman"/>
        <w:sz w:val="24"/>
        <w:szCs w:val="24"/>
      </w:rPr>
      <w:fldChar w:fldCharType="begin"/>
    </w:r>
    <w:r w:rsidRPr="007B2772">
      <w:rPr>
        <w:rFonts w:ascii="Times New Roman" w:hAnsi="Times New Roman"/>
        <w:sz w:val="24"/>
        <w:szCs w:val="24"/>
      </w:rPr>
      <w:instrText>PAGE   \* MERGEFORMAT</w:instrText>
    </w:r>
    <w:r w:rsidRPr="007B2772">
      <w:rPr>
        <w:rFonts w:ascii="Times New Roman" w:hAnsi="Times New Roman"/>
        <w:sz w:val="24"/>
        <w:szCs w:val="24"/>
      </w:rPr>
      <w:fldChar w:fldCharType="separate"/>
    </w:r>
    <w:r w:rsidR="00517F34" w:rsidRPr="00517F34">
      <w:rPr>
        <w:rFonts w:ascii="Times New Roman" w:hAnsi="Times New Roman"/>
        <w:noProof/>
        <w:sz w:val="24"/>
        <w:szCs w:val="24"/>
        <w:lang w:val="pl-PL"/>
      </w:rPr>
      <w:t>30</w:t>
    </w:r>
    <w:r w:rsidRPr="007B2772">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429" w:rsidRDefault="00BD6429" w:rsidP="008F3EAB">
      <w:pPr>
        <w:spacing w:after="0" w:line="240" w:lineRule="auto"/>
      </w:pPr>
      <w:r>
        <w:separator/>
      </w:r>
    </w:p>
  </w:footnote>
  <w:footnote w:type="continuationSeparator" w:id="0">
    <w:p w:rsidR="00BD6429" w:rsidRDefault="00BD6429" w:rsidP="008F3E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50A9"/>
    <w:multiLevelType w:val="hybridMultilevel"/>
    <w:tmpl w:val="E75A24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CC661C"/>
    <w:multiLevelType w:val="hybridMultilevel"/>
    <w:tmpl w:val="3E6060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B616201"/>
    <w:multiLevelType w:val="hybridMultilevel"/>
    <w:tmpl w:val="89006C5A"/>
    <w:lvl w:ilvl="0" w:tplc="0B7874AE">
      <w:start w:val="1"/>
      <w:numFmt w:val="decimal"/>
      <w:lvlText w:val="%1)"/>
      <w:lvlJc w:val="left"/>
      <w:pPr>
        <w:ind w:left="840" w:hanging="360"/>
      </w:pPr>
    </w:lvl>
    <w:lvl w:ilvl="1" w:tplc="29AC2F16">
      <w:start w:val="1"/>
      <w:numFmt w:val="decimal"/>
      <w:lvlText w:val="%2)"/>
      <w:lvlJc w:val="left"/>
      <w:pPr>
        <w:tabs>
          <w:tab w:val="num" w:pos="502"/>
        </w:tabs>
        <w:ind w:left="502" w:hanging="360"/>
      </w:pPr>
      <w:rPr>
        <w:rFonts w:ascii="Times New Roman" w:eastAsia="Calibri" w:hAnsi="Times New Roman" w:cs="Times New Roman" w:hint="default"/>
        <w:b/>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58D65098"/>
    <w:multiLevelType w:val="hybridMultilevel"/>
    <w:tmpl w:val="3BF460CC"/>
    <w:lvl w:ilvl="0" w:tplc="10E204A8">
      <w:start w:val="1"/>
      <w:numFmt w:val="decimal"/>
      <w:lvlText w:val="%1)"/>
      <w:lvlJc w:val="left"/>
      <w:pPr>
        <w:ind w:left="502" w:hanging="360"/>
      </w:pPr>
      <w:rPr>
        <w:rFonts w:ascii="Times New Roman" w:eastAsia="Times New Roman" w:hAnsi="Times New Roman" w:cs="Times New Roman"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49859B2"/>
    <w:multiLevelType w:val="hybridMultilevel"/>
    <w:tmpl w:val="3CD06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F765485"/>
    <w:multiLevelType w:val="hybridMultilevel"/>
    <w:tmpl w:val="5A3044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7771093A"/>
    <w:multiLevelType w:val="hybridMultilevel"/>
    <w:tmpl w:val="4566AA22"/>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EAB"/>
    <w:rsid w:val="00000057"/>
    <w:rsid w:val="0000101C"/>
    <w:rsid w:val="000040FE"/>
    <w:rsid w:val="00004346"/>
    <w:rsid w:val="00004581"/>
    <w:rsid w:val="0000554D"/>
    <w:rsid w:val="000064D3"/>
    <w:rsid w:val="000065CD"/>
    <w:rsid w:val="0000688D"/>
    <w:rsid w:val="00007177"/>
    <w:rsid w:val="00007686"/>
    <w:rsid w:val="00010348"/>
    <w:rsid w:val="00010917"/>
    <w:rsid w:val="000110D6"/>
    <w:rsid w:val="00015D35"/>
    <w:rsid w:val="000167BB"/>
    <w:rsid w:val="00016EEE"/>
    <w:rsid w:val="00022047"/>
    <w:rsid w:val="0002271C"/>
    <w:rsid w:val="00023D3B"/>
    <w:rsid w:val="00023D6D"/>
    <w:rsid w:val="000241A6"/>
    <w:rsid w:val="00026077"/>
    <w:rsid w:val="000306DB"/>
    <w:rsid w:val="00030883"/>
    <w:rsid w:val="00031EC3"/>
    <w:rsid w:val="0003220B"/>
    <w:rsid w:val="000323B2"/>
    <w:rsid w:val="000326BB"/>
    <w:rsid w:val="00033E70"/>
    <w:rsid w:val="0003461D"/>
    <w:rsid w:val="00035C9C"/>
    <w:rsid w:val="000361B3"/>
    <w:rsid w:val="00037659"/>
    <w:rsid w:val="00042262"/>
    <w:rsid w:val="00045BE6"/>
    <w:rsid w:val="00050DBC"/>
    <w:rsid w:val="00052051"/>
    <w:rsid w:val="00052102"/>
    <w:rsid w:val="0005218B"/>
    <w:rsid w:val="000531C4"/>
    <w:rsid w:val="00053F48"/>
    <w:rsid w:val="000555B8"/>
    <w:rsid w:val="000564F2"/>
    <w:rsid w:val="00060076"/>
    <w:rsid w:val="0006021E"/>
    <w:rsid w:val="00060B89"/>
    <w:rsid w:val="00061101"/>
    <w:rsid w:val="00061291"/>
    <w:rsid w:val="000631EF"/>
    <w:rsid w:val="00063E6E"/>
    <w:rsid w:val="00065BCC"/>
    <w:rsid w:val="00066D11"/>
    <w:rsid w:val="000671DC"/>
    <w:rsid w:val="00070FA3"/>
    <w:rsid w:val="000720B5"/>
    <w:rsid w:val="0007255C"/>
    <w:rsid w:val="00073910"/>
    <w:rsid w:val="00073BD4"/>
    <w:rsid w:val="00074891"/>
    <w:rsid w:val="00074DE2"/>
    <w:rsid w:val="000761EC"/>
    <w:rsid w:val="00081751"/>
    <w:rsid w:val="00083DBA"/>
    <w:rsid w:val="000843D3"/>
    <w:rsid w:val="00084482"/>
    <w:rsid w:val="00084541"/>
    <w:rsid w:val="00084DAE"/>
    <w:rsid w:val="00085F48"/>
    <w:rsid w:val="00086632"/>
    <w:rsid w:val="00086D21"/>
    <w:rsid w:val="00087458"/>
    <w:rsid w:val="000902CE"/>
    <w:rsid w:val="00092966"/>
    <w:rsid w:val="00094251"/>
    <w:rsid w:val="00094463"/>
    <w:rsid w:val="00094811"/>
    <w:rsid w:val="00094F8D"/>
    <w:rsid w:val="0009522F"/>
    <w:rsid w:val="0009644A"/>
    <w:rsid w:val="00096EE3"/>
    <w:rsid w:val="00097F2D"/>
    <w:rsid w:val="000A07C1"/>
    <w:rsid w:val="000A18AF"/>
    <w:rsid w:val="000A4005"/>
    <w:rsid w:val="000A4DD0"/>
    <w:rsid w:val="000A738A"/>
    <w:rsid w:val="000A778B"/>
    <w:rsid w:val="000B03F5"/>
    <w:rsid w:val="000B3DA3"/>
    <w:rsid w:val="000B48B6"/>
    <w:rsid w:val="000B5815"/>
    <w:rsid w:val="000B62B4"/>
    <w:rsid w:val="000B6C4B"/>
    <w:rsid w:val="000C3EBE"/>
    <w:rsid w:val="000C4C07"/>
    <w:rsid w:val="000C4D64"/>
    <w:rsid w:val="000C581A"/>
    <w:rsid w:val="000C5ADC"/>
    <w:rsid w:val="000C6DDE"/>
    <w:rsid w:val="000C706C"/>
    <w:rsid w:val="000C7A14"/>
    <w:rsid w:val="000C7E25"/>
    <w:rsid w:val="000D0DAF"/>
    <w:rsid w:val="000D0E14"/>
    <w:rsid w:val="000D236D"/>
    <w:rsid w:val="000D2C2E"/>
    <w:rsid w:val="000D3B2B"/>
    <w:rsid w:val="000D3E5C"/>
    <w:rsid w:val="000D4EB2"/>
    <w:rsid w:val="000D6C56"/>
    <w:rsid w:val="000D70AB"/>
    <w:rsid w:val="000D758B"/>
    <w:rsid w:val="000D76BC"/>
    <w:rsid w:val="000D7D37"/>
    <w:rsid w:val="000E14DB"/>
    <w:rsid w:val="000E1DE8"/>
    <w:rsid w:val="000E1FD7"/>
    <w:rsid w:val="000E26DD"/>
    <w:rsid w:val="000E27B0"/>
    <w:rsid w:val="000E53F8"/>
    <w:rsid w:val="000E662C"/>
    <w:rsid w:val="000F0158"/>
    <w:rsid w:val="000F0EB7"/>
    <w:rsid w:val="000F1036"/>
    <w:rsid w:val="000F293B"/>
    <w:rsid w:val="000F48A1"/>
    <w:rsid w:val="000F5B94"/>
    <w:rsid w:val="000F5D6C"/>
    <w:rsid w:val="000F6971"/>
    <w:rsid w:val="000F6DED"/>
    <w:rsid w:val="000F71C5"/>
    <w:rsid w:val="000F76DA"/>
    <w:rsid w:val="00101979"/>
    <w:rsid w:val="00101BAD"/>
    <w:rsid w:val="00101CD4"/>
    <w:rsid w:val="00102A2B"/>
    <w:rsid w:val="001032FF"/>
    <w:rsid w:val="001073C0"/>
    <w:rsid w:val="001076C6"/>
    <w:rsid w:val="00107723"/>
    <w:rsid w:val="00111132"/>
    <w:rsid w:val="00113794"/>
    <w:rsid w:val="001139A9"/>
    <w:rsid w:val="00115037"/>
    <w:rsid w:val="001155D8"/>
    <w:rsid w:val="00121E3C"/>
    <w:rsid w:val="0012470F"/>
    <w:rsid w:val="00125085"/>
    <w:rsid w:val="00125127"/>
    <w:rsid w:val="001260BB"/>
    <w:rsid w:val="001263C0"/>
    <w:rsid w:val="00127135"/>
    <w:rsid w:val="00130D96"/>
    <w:rsid w:val="00131BCC"/>
    <w:rsid w:val="00132770"/>
    <w:rsid w:val="0013308F"/>
    <w:rsid w:val="00134226"/>
    <w:rsid w:val="00135CC8"/>
    <w:rsid w:val="00136D1F"/>
    <w:rsid w:val="0013732F"/>
    <w:rsid w:val="00137D37"/>
    <w:rsid w:val="00137DF0"/>
    <w:rsid w:val="00141134"/>
    <w:rsid w:val="001425BF"/>
    <w:rsid w:val="00143ED1"/>
    <w:rsid w:val="00144FB8"/>
    <w:rsid w:val="001453A4"/>
    <w:rsid w:val="00146FB9"/>
    <w:rsid w:val="00150E13"/>
    <w:rsid w:val="0015241C"/>
    <w:rsid w:val="00152B42"/>
    <w:rsid w:val="0015301C"/>
    <w:rsid w:val="0015314A"/>
    <w:rsid w:val="00153292"/>
    <w:rsid w:val="001555CE"/>
    <w:rsid w:val="001566FC"/>
    <w:rsid w:val="001577A3"/>
    <w:rsid w:val="00157C75"/>
    <w:rsid w:val="00161530"/>
    <w:rsid w:val="0016172E"/>
    <w:rsid w:val="00161E9E"/>
    <w:rsid w:val="00162750"/>
    <w:rsid w:val="0016342B"/>
    <w:rsid w:val="00164080"/>
    <w:rsid w:val="00164086"/>
    <w:rsid w:val="00164163"/>
    <w:rsid w:val="00166DC9"/>
    <w:rsid w:val="00166DE0"/>
    <w:rsid w:val="00170C63"/>
    <w:rsid w:val="00172163"/>
    <w:rsid w:val="001734F1"/>
    <w:rsid w:val="001772FA"/>
    <w:rsid w:val="00180E25"/>
    <w:rsid w:val="001812B8"/>
    <w:rsid w:val="00182BAD"/>
    <w:rsid w:val="00183284"/>
    <w:rsid w:val="00184101"/>
    <w:rsid w:val="0018487C"/>
    <w:rsid w:val="00185757"/>
    <w:rsid w:val="00186E9D"/>
    <w:rsid w:val="00186EF0"/>
    <w:rsid w:val="001873DB"/>
    <w:rsid w:val="00187C07"/>
    <w:rsid w:val="001900EB"/>
    <w:rsid w:val="00191761"/>
    <w:rsid w:val="00195271"/>
    <w:rsid w:val="001A21B7"/>
    <w:rsid w:val="001A3AF3"/>
    <w:rsid w:val="001A438C"/>
    <w:rsid w:val="001A452E"/>
    <w:rsid w:val="001A4B64"/>
    <w:rsid w:val="001A521C"/>
    <w:rsid w:val="001A5869"/>
    <w:rsid w:val="001B1596"/>
    <w:rsid w:val="001B1773"/>
    <w:rsid w:val="001B1A8C"/>
    <w:rsid w:val="001B34E9"/>
    <w:rsid w:val="001B3F9E"/>
    <w:rsid w:val="001B4713"/>
    <w:rsid w:val="001B50CE"/>
    <w:rsid w:val="001C052F"/>
    <w:rsid w:val="001C2A52"/>
    <w:rsid w:val="001C3A2E"/>
    <w:rsid w:val="001C3F48"/>
    <w:rsid w:val="001C6E9F"/>
    <w:rsid w:val="001C6FB0"/>
    <w:rsid w:val="001D0EB9"/>
    <w:rsid w:val="001D16AC"/>
    <w:rsid w:val="001D30F9"/>
    <w:rsid w:val="001D3171"/>
    <w:rsid w:val="001D69EC"/>
    <w:rsid w:val="001D7A43"/>
    <w:rsid w:val="001D7B58"/>
    <w:rsid w:val="001E131F"/>
    <w:rsid w:val="001E14B5"/>
    <w:rsid w:val="001E2C58"/>
    <w:rsid w:val="001E2C6B"/>
    <w:rsid w:val="001E33E5"/>
    <w:rsid w:val="001E350E"/>
    <w:rsid w:val="001E5584"/>
    <w:rsid w:val="001E5854"/>
    <w:rsid w:val="001F0039"/>
    <w:rsid w:val="001F161B"/>
    <w:rsid w:val="001F1C6F"/>
    <w:rsid w:val="001F1F3E"/>
    <w:rsid w:val="001F217C"/>
    <w:rsid w:val="001F5619"/>
    <w:rsid w:val="001F6C33"/>
    <w:rsid w:val="001F7A74"/>
    <w:rsid w:val="0020561E"/>
    <w:rsid w:val="002072B9"/>
    <w:rsid w:val="00210278"/>
    <w:rsid w:val="00210B63"/>
    <w:rsid w:val="0021122F"/>
    <w:rsid w:val="00211B60"/>
    <w:rsid w:val="00216431"/>
    <w:rsid w:val="00216676"/>
    <w:rsid w:val="00216A26"/>
    <w:rsid w:val="00222841"/>
    <w:rsid w:val="002232F6"/>
    <w:rsid w:val="002235C4"/>
    <w:rsid w:val="002238A5"/>
    <w:rsid w:val="00223F66"/>
    <w:rsid w:val="00225552"/>
    <w:rsid w:val="0022568B"/>
    <w:rsid w:val="0022579E"/>
    <w:rsid w:val="00226D1D"/>
    <w:rsid w:val="002312A9"/>
    <w:rsid w:val="002318C5"/>
    <w:rsid w:val="002329BB"/>
    <w:rsid w:val="00233AF8"/>
    <w:rsid w:val="00234BFB"/>
    <w:rsid w:val="00235C1A"/>
    <w:rsid w:val="00235F1F"/>
    <w:rsid w:val="00235F37"/>
    <w:rsid w:val="00240D47"/>
    <w:rsid w:val="002417BB"/>
    <w:rsid w:val="00242127"/>
    <w:rsid w:val="002429FB"/>
    <w:rsid w:val="002433D2"/>
    <w:rsid w:val="00243F19"/>
    <w:rsid w:val="00245BAF"/>
    <w:rsid w:val="00247985"/>
    <w:rsid w:val="00250D68"/>
    <w:rsid w:val="0025164C"/>
    <w:rsid w:val="00251D93"/>
    <w:rsid w:val="002531B1"/>
    <w:rsid w:val="00254871"/>
    <w:rsid w:val="00255B54"/>
    <w:rsid w:val="00256BB5"/>
    <w:rsid w:val="00256BE4"/>
    <w:rsid w:val="00260297"/>
    <w:rsid w:val="00260D18"/>
    <w:rsid w:val="00261032"/>
    <w:rsid w:val="0026207D"/>
    <w:rsid w:val="0026259A"/>
    <w:rsid w:val="0026320A"/>
    <w:rsid w:val="0026431F"/>
    <w:rsid w:val="002643C9"/>
    <w:rsid w:val="002644EF"/>
    <w:rsid w:val="0026466E"/>
    <w:rsid w:val="00265970"/>
    <w:rsid w:val="00265CB8"/>
    <w:rsid w:val="00266DFA"/>
    <w:rsid w:val="002673F5"/>
    <w:rsid w:val="00270F99"/>
    <w:rsid w:val="00272183"/>
    <w:rsid w:val="002743C4"/>
    <w:rsid w:val="0027443A"/>
    <w:rsid w:val="00274C01"/>
    <w:rsid w:val="002757C0"/>
    <w:rsid w:val="00275F3F"/>
    <w:rsid w:val="00276EDC"/>
    <w:rsid w:val="00276F3E"/>
    <w:rsid w:val="00277098"/>
    <w:rsid w:val="00277FF8"/>
    <w:rsid w:val="0028185E"/>
    <w:rsid w:val="00282283"/>
    <w:rsid w:val="00284556"/>
    <w:rsid w:val="00285448"/>
    <w:rsid w:val="0029072E"/>
    <w:rsid w:val="002923C5"/>
    <w:rsid w:val="0029270C"/>
    <w:rsid w:val="0029391E"/>
    <w:rsid w:val="002952B9"/>
    <w:rsid w:val="002974B7"/>
    <w:rsid w:val="00297DE7"/>
    <w:rsid w:val="002A0F7E"/>
    <w:rsid w:val="002A21C1"/>
    <w:rsid w:val="002A22DE"/>
    <w:rsid w:val="002A2476"/>
    <w:rsid w:val="002A4F3D"/>
    <w:rsid w:val="002A52CF"/>
    <w:rsid w:val="002A6322"/>
    <w:rsid w:val="002A636D"/>
    <w:rsid w:val="002B04D8"/>
    <w:rsid w:val="002B0821"/>
    <w:rsid w:val="002B088F"/>
    <w:rsid w:val="002B239C"/>
    <w:rsid w:val="002B264E"/>
    <w:rsid w:val="002B2E66"/>
    <w:rsid w:val="002B3527"/>
    <w:rsid w:val="002B3A33"/>
    <w:rsid w:val="002B3A4B"/>
    <w:rsid w:val="002B477C"/>
    <w:rsid w:val="002B5386"/>
    <w:rsid w:val="002B6574"/>
    <w:rsid w:val="002B6D82"/>
    <w:rsid w:val="002C2A2D"/>
    <w:rsid w:val="002C34A9"/>
    <w:rsid w:val="002C34EE"/>
    <w:rsid w:val="002C4146"/>
    <w:rsid w:val="002C4394"/>
    <w:rsid w:val="002C43EB"/>
    <w:rsid w:val="002C4FED"/>
    <w:rsid w:val="002C5605"/>
    <w:rsid w:val="002C67A5"/>
    <w:rsid w:val="002C7515"/>
    <w:rsid w:val="002D0ABB"/>
    <w:rsid w:val="002D2AFE"/>
    <w:rsid w:val="002D35C3"/>
    <w:rsid w:val="002D38CE"/>
    <w:rsid w:val="002D4000"/>
    <w:rsid w:val="002D4673"/>
    <w:rsid w:val="002D46FE"/>
    <w:rsid w:val="002D50FE"/>
    <w:rsid w:val="002D5BB7"/>
    <w:rsid w:val="002D6641"/>
    <w:rsid w:val="002D7312"/>
    <w:rsid w:val="002E0A6A"/>
    <w:rsid w:val="002E0B90"/>
    <w:rsid w:val="002E1343"/>
    <w:rsid w:val="002E13B7"/>
    <w:rsid w:val="002E1745"/>
    <w:rsid w:val="002E385B"/>
    <w:rsid w:val="002E390D"/>
    <w:rsid w:val="002E3C54"/>
    <w:rsid w:val="002E4563"/>
    <w:rsid w:val="002E647E"/>
    <w:rsid w:val="002E64C9"/>
    <w:rsid w:val="002E7326"/>
    <w:rsid w:val="002E7915"/>
    <w:rsid w:val="002F07D5"/>
    <w:rsid w:val="002F0D01"/>
    <w:rsid w:val="002F275C"/>
    <w:rsid w:val="002F2EF1"/>
    <w:rsid w:val="002F32D1"/>
    <w:rsid w:val="002F4447"/>
    <w:rsid w:val="002F4E8F"/>
    <w:rsid w:val="002F79BD"/>
    <w:rsid w:val="0030166E"/>
    <w:rsid w:val="0030238D"/>
    <w:rsid w:val="00302A26"/>
    <w:rsid w:val="00302CAA"/>
    <w:rsid w:val="00305A9B"/>
    <w:rsid w:val="003103AB"/>
    <w:rsid w:val="00310946"/>
    <w:rsid w:val="00311D64"/>
    <w:rsid w:val="003131DC"/>
    <w:rsid w:val="0031669F"/>
    <w:rsid w:val="00317207"/>
    <w:rsid w:val="00317573"/>
    <w:rsid w:val="003237E6"/>
    <w:rsid w:val="003255A7"/>
    <w:rsid w:val="00325ECD"/>
    <w:rsid w:val="003278CA"/>
    <w:rsid w:val="003300C2"/>
    <w:rsid w:val="00330CA1"/>
    <w:rsid w:val="003310FD"/>
    <w:rsid w:val="00331F12"/>
    <w:rsid w:val="00332321"/>
    <w:rsid w:val="00332B8F"/>
    <w:rsid w:val="003345AB"/>
    <w:rsid w:val="00335E98"/>
    <w:rsid w:val="0034202E"/>
    <w:rsid w:val="00344DB7"/>
    <w:rsid w:val="0034529A"/>
    <w:rsid w:val="00346071"/>
    <w:rsid w:val="00346662"/>
    <w:rsid w:val="00350D14"/>
    <w:rsid w:val="00351811"/>
    <w:rsid w:val="00351A43"/>
    <w:rsid w:val="00353FEE"/>
    <w:rsid w:val="0035408A"/>
    <w:rsid w:val="003546E8"/>
    <w:rsid w:val="00354BD1"/>
    <w:rsid w:val="003554F7"/>
    <w:rsid w:val="00355F9E"/>
    <w:rsid w:val="003565D5"/>
    <w:rsid w:val="00360A46"/>
    <w:rsid w:val="00361509"/>
    <w:rsid w:val="0036226C"/>
    <w:rsid w:val="003628FD"/>
    <w:rsid w:val="00364057"/>
    <w:rsid w:val="0036579F"/>
    <w:rsid w:val="003657E8"/>
    <w:rsid w:val="003663B1"/>
    <w:rsid w:val="00366C08"/>
    <w:rsid w:val="00370612"/>
    <w:rsid w:val="00370B0A"/>
    <w:rsid w:val="00371997"/>
    <w:rsid w:val="00373428"/>
    <w:rsid w:val="00373DCC"/>
    <w:rsid w:val="00375E5F"/>
    <w:rsid w:val="00377F5F"/>
    <w:rsid w:val="0038017A"/>
    <w:rsid w:val="003806BA"/>
    <w:rsid w:val="00380986"/>
    <w:rsid w:val="00381890"/>
    <w:rsid w:val="00382A64"/>
    <w:rsid w:val="00383796"/>
    <w:rsid w:val="003850CF"/>
    <w:rsid w:val="0038515B"/>
    <w:rsid w:val="00385986"/>
    <w:rsid w:val="00387A17"/>
    <w:rsid w:val="003920E0"/>
    <w:rsid w:val="003964B4"/>
    <w:rsid w:val="00396822"/>
    <w:rsid w:val="00396FDF"/>
    <w:rsid w:val="003A088B"/>
    <w:rsid w:val="003A0903"/>
    <w:rsid w:val="003A120A"/>
    <w:rsid w:val="003A1378"/>
    <w:rsid w:val="003A3289"/>
    <w:rsid w:val="003A3CBD"/>
    <w:rsid w:val="003A3D6D"/>
    <w:rsid w:val="003A692A"/>
    <w:rsid w:val="003A6B4F"/>
    <w:rsid w:val="003A7CDB"/>
    <w:rsid w:val="003B100E"/>
    <w:rsid w:val="003B299A"/>
    <w:rsid w:val="003B3128"/>
    <w:rsid w:val="003B4209"/>
    <w:rsid w:val="003B72F1"/>
    <w:rsid w:val="003C3CAB"/>
    <w:rsid w:val="003C452F"/>
    <w:rsid w:val="003C455B"/>
    <w:rsid w:val="003C57EA"/>
    <w:rsid w:val="003C6D1F"/>
    <w:rsid w:val="003C7536"/>
    <w:rsid w:val="003D058C"/>
    <w:rsid w:val="003D13B0"/>
    <w:rsid w:val="003D1C59"/>
    <w:rsid w:val="003D368F"/>
    <w:rsid w:val="003D4C89"/>
    <w:rsid w:val="003D54C4"/>
    <w:rsid w:val="003D6205"/>
    <w:rsid w:val="003D6A8C"/>
    <w:rsid w:val="003D7D9A"/>
    <w:rsid w:val="003D7E37"/>
    <w:rsid w:val="003E117D"/>
    <w:rsid w:val="003E247E"/>
    <w:rsid w:val="003E3222"/>
    <w:rsid w:val="003E3D06"/>
    <w:rsid w:val="003E43B3"/>
    <w:rsid w:val="003E5B50"/>
    <w:rsid w:val="003E5D9A"/>
    <w:rsid w:val="003E5E45"/>
    <w:rsid w:val="003F0296"/>
    <w:rsid w:val="003F055F"/>
    <w:rsid w:val="003F2A24"/>
    <w:rsid w:val="003F2E8B"/>
    <w:rsid w:val="003F3FC7"/>
    <w:rsid w:val="00402F84"/>
    <w:rsid w:val="00403BFB"/>
    <w:rsid w:val="00404A91"/>
    <w:rsid w:val="004054CC"/>
    <w:rsid w:val="004059A4"/>
    <w:rsid w:val="00405B3C"/>
    <w:rsid w:val="00405F64"/>
    <w:rsid w:val="004064F3"/>
    <w:rsid w:val="004073F6"/>
    <w:rsid w:val="00412864"/>
    <w:rsid w:val="00413307"/>
    <w:rsid w:val="0041336B"/>
    <w:rsid w:val="00415423"/>
    <w:rsid w:val="00416FE6"/>
    <w:rsid w:val="00425643"/>
    <w:rsid w:val="00427028"/>
    <w:rsid w:val="004278AE"/>
    <w:rsid w:val="00430950"/>
    <w:rsid w:val="0043266E"/>
    <w:rsid w:val="004328CB"/>
    <w:rsid w:val="004328FD"/>
    <w:rsid w:val="004333A5"/>
    <w:rsid w:val="004335DE"/>
    <w:rsid w:val="00433FAB"/>
    <w:rsid w:val="00435992"/>
    <w:rsid w:val="00435F1C"/>
    <w:rsid w:val="00436677"/>
    <w:rsid w:val="00436A38"/>
    <w:rsid w:val="004441AF"/>
    <w:rsid w:val="004441C9"/>
    <w:rsid w:val="00444FA5"/>
    <w:rsid w:val="004455A2"/>
    <w:rsid w:val="004455CE"/>
    <w:rsid w:val="004469A9"/>
    <w:rsid w:val="00447B62"/>
    <w:rsid w:val="00447D54"/>
    <w:rsid w:val="004500D3"/>
    <w:rsid w:val="004506D5"/>
    <w:rsid w:val="00451CAF"/>
    <w:rsid w:val="00452453"/>
    <w:rsid w:val="00452FB5"/>
    <w:rsid w:val="004535AE"/>
    <w:rsid w:val="00453627"/>
    <w:rsid w:val="00454CAB"/>
    <w:rsid w:val="00455A6F"/>
    <w:rsid w:val="00456D4E"/>
    <w:rsid w:val="00460106"/>
    <w:rsid w:val="0046182F"/>
    <w:rsid w:val="00461C50"/>
    <w:rsid w:val="00461D61"/>
    <w:rsid w:val="004633B5"/>
    <w:rsid w:val="00464A72"/>
    <w:rsid w:val="004665D1"/>
    <w:rsid w:val="004703D2"/>
    <w:rsid w:val="00470A47"/>
    <w:rsid w:val="00471748"/>
    <w:rsid w:val="0047444B"/>
    <w:rsid w:val="00474FF7"/>
    <w:rsid w:val="004758F4"/>
    <w:rsid w:val="00476B0B"/>
    <w:rsid w:val="004776B2"/>
    <w:rsid w:val="00477DEC"/>
    <w:rsid w:val="00480121"/>
    <w:rsid w:val="00480D8F"/>
    <w:rsid w:val="0048183B"/>
    <w:rsid w:val="00481F82"/>
    <w:rsid w:val="004854D2"/>
    <w:rsid w:val="004862C3"/>
    <w:rsid w:val="00486840"/>
    <w:rsid w:val="00486AF9"/>
    <w:rsid w:val="00487280"/>
    <w:rsid w:val="00487439"/>
    <w:rsid w:val="00487DA5"/>
    <w:rsid w:val="00493421"/>
    <w:rsid w:val="00494E78"/>
    <w:rsid w:val="00495513"/>
    <w:rsid w:val="00495751"/>
    <w:rsid w:val="004968D9"/>
    <w:rsid w:val="004A054A"/>
    <w:rsid w:val="004A2361"/>
    <w:rsid w:val="004A350A"/>
    <w:rsid w:val="004A5A42"/>
    <w:rsid w:val="004A660B"/>
    <w:rsid w:val="004B0146"/>
    <w:rsid w:val="004B020F"/>
    <w:rsid w:val="004B0818"/>
    <w:rsid w:val="004B0E91"/>
    <w:rsid w:val="004B25D6"/>
    <w:rsid w:val="004B27C3"/>
    <w:rsid w:val="004B6896"/>
    <w:rsid w:val="004B6A0C"/>
    <w:rsid w:val="004B7FD1"/>
    <w:rsid w:val="004C1462"/>
    <w:rsid w:val="004C26A1"/>
    <w:rsid w:val="004C3009"/>
    <w:rsid w:val="004C369A"/>
    <w:rsid w:val="004C5ABE"/>
    <w:rsid w:val="004C6C49"/>
    <w:rsid w:val="004D08D4"/>
    <w:rsid w:val="004D1D75"/>
    <w:rsid w:val="004D26F7"/>
    <w:rsid w:val="004D35D9"/>
    <w:rsid w:val="004D3A76"/>
    <w:rsid w:val="004D42C5"/>
    <w:rsid w:val="004D43AB"/>
    <w:rsid w:val="004D73DF"/>
    <w:rsid w:val="004D7956"/>
    <w:rsid w:val="004E025E"/>
    <w:rsid w:val="004E0EFB"/>
    <w:rsid w:val="004E2058"/>
    <w:rsid w:val="004E3C93"/>
    <w:rsid w:val="004E65EF"/>
    <w:rsid w:val="004E661C"/>
    <w:rsid w:val="004E662F"/>
    <w:rsid w:val="004E715C"/>
    <w:rsid w:val="004E7EE9"/>
    <w:rsid w:val="004F0253"/>
    <w:rsid w:val="004F09AA"/>
    <w:rsid w:val="004F2415"/>
    <w:rsid w:val="004F28D7"/>
    <w:rsid w:val="004F3715"/>
    <w:rsid w:val="004F40BA"/>
    <w:rsid w:val="004F5096"/>
    <w:rsid w:val="004F513D"/>
    <w:rsid w:val="004F5602"/>
    <w:rsid w:val="00500646"/>
    <w:rsid w:val="00500AE9"/>
    <w:rsid w:val="00502106"/>
    <w:rsid w:val="00503D63"/>
    <w:rsid w:val="00507290"/>
    <w:rsid w:val="00507362"/>
    <w:rsid w:val="00507C2B"/>
    <w:rsid w:val="0051451C"/>
    <w:rsid w:val="00514D9E"/>
    <w:rsid w:val="00516296"/>
    <w:rsid w:val="00517F34"/>
    <w:rsid w:val="005228DF"/>
    <w:rsid w:val="00522D21"/>
    <w:rsid w:val="0052315A"/>
    <w:rsid w:val="00524778"/>
    <w:rsid w:val="00525022"/>
    <w:rsid w:val="00525412"/>
    <w:rsid w:val="005255EA"/>
    <w:rsid w:val="00525AF0"/>
    <w:rsid w:val="00526802"/>
    <w:rsid w:val="00527130"/>
    <w:rsid w:val="005272B7"/>
    <w:rsid w:val="005275F3"/>
    <w:rsid w:val="0052764E"/>
    <w:rsid w:val="0053046A"/>
    <w:rsid w:val="00530D7D"/>
    <w:rsid w:val="00533D9F"/>
    <w:rsid w:val="00542463"/>
    <w:rsid w:val="005434D8"/>
    <w:rsid w:val="00543F0E"/>
    <w:rsid w:val="00544466"/>
    <w:rsid w:val="005509FC"/>
    <w:rsid w:val="0055137B"/>
    <w:rsid w:val="005516DB"/>
    <w:rsid w:val="005528F5"/>
    <w:rsid w:val="00552DF8"/>
    <w:rsid w:val="00553DEF"/>
    <w:rsid w:val="0055440C"/>
    <w:rsid w:val="00554484"/>
    <w:rsid w:val="00554CB0"/>
    <w:rsid w:val="00555138"/>
    <w:rsid w:val="005554CF"/>
    <w:rsid w:val="00555B03"/>
    <w:rsid w:val="00560942"/>
    <w:rsid w:val="005621BA"/>
    <w:rsid w:val="005652B3"/>
    <w:rsid w:val="00565CB5"/>
    <w:rsid w:val="00566E0E"/>
    <w:rsid w:val="00570CCB"/>
    <w:rsid w:val="00570E11"/>
    <w:rsid w:val="005712B4"/>
    <w:rsid w:val="00571EA6"/>
    <w:rsid w:val="005722F0"/>
    <w:rsid w:val="00572EBE"/>
    <w:rsid w:val="005731CE"/>
    <w:rsid w:val="0057336F"/>
    <w:rsid w:val="00575F76"/>
    <w:rsid w:val="005804F6"/>
    <w:rsid w:val="00581EC4"/>
    <w:rsid w:val="005828D6"/>
    <w:rsid w:val="0058306D"/>
    <w:rsid w:val="005839CE"/>
    <w:rsid w:val="00584335"/>
    <w:rsid w:val="005857B5"/>
    <w:rsid w:val="00585DE0"/>
    <w:rsid w:val="00587182"/>
    <w:rsid w:val="00587527"/>
    <w:rsid w:val="005879EA"/>
    <w:rsid w:val="005914D3"/>
    <w:rsid w:val="00593760"/>
    <w:rsid w:val="0059392C"/>
    <w:rsid w:val="00593CB0"/>
    <w:rsid w:val="00596C1F"/>
    <w:rsid w:val="0059761A"/>
    <w:rsid w:val="005979B3"/>
    <w:rsid w:val="005A0FC3"/>
    <w:rsid w:val="005A20D7"/>
    <w:rsid w:val="005A35AB"/>
    <w:rsid w:val="005A405D"/>
    <w:rsid w:val="005A5123"/>
    <w:rsid w:val="005A64B7"/>
    <w:rsid w:val="005A72F1"/>
    <w:rsid w:val="005A7838"/>
    <w:rsid w:val="005A7AB7"/>
    <w:rsid w:val="005B05B9"/>
    <w:rsid w:val="005B0C9E"/>
    <w:rsid w:val="005B13E1"/>
    <w:rsid w:val="005B2A9D"/>
    <w:rsid w:val="005B3EE3"/>
    <w:rsid w:val="005B6DD1"/>
    <w:rsid w:val="005B769D"/>
    <w:rsid w:val="005C2B52"/>
    <w:rsid w:val="005C3D5A"/>
    <w:rsid w:val="005C44A1"/>
    <w:rsid w:val="005C555D"/>
    <w:rsid w:val="005C6BD1"/>
    <w:rsid w:val="005C7AFC"/>
    <w:rsid w:val="005C7FB7"/>
    <w:rsid w:val="005D00E7"/>
    <w:rsid w:val="005D0F96"/>
    <w:rsid w:val="005D1D01"/>
    <w:rsid w:val="005D3383"/>
    <w:rsid w:val="005D3DC6"/>
    <w:rsid w:val="005D4A5B"/>
    <w:rsid w:val="005D56D8"/>
    <w:rsid w:val="005D6AA0"/>
    <w:rsid w:val="005D7D5A"/>
    <w:rsid w:val="005E15A9"/>
    <w:rsid w:val="005E3EE7"/>
    <w:rsid w:val="005E5310"/>
    <w:rsid w:val="005E62E4"/>
    <w:rsid w:val="005E6A3B"/>
    <w:rsid w:val="005E6F89"/>
    <w:rsid w:val="005F04F2"/>
    <w:rsid w:val="005F0B60"/>
    <w:rsid w:val="005F2E01"/>
    <w:rsid w:val="005F3A87"/>
    <w:rsid w:val="005F59CE"/>
    <w:rsid w:val="005F7A86"/>
    <w:rsid w:val="0060170E"/>
    <w:rsid w:val="00602ED5"/>
    <w:rsid w:val="00603758"/>
    <w:rsid w:val="006040D2"/>
    <w:rsid w:val="00604D7B"/>
    <w:rsid w:val="00605D98"/>
    <w:rsid w:val="006061BB"/>
    <w:rsid w:val="006062C1"/>
    <w:rsid w:val="0060711A"/>
    <w:rsid w:val="00610A97"/>
    <w:rsid w:val="00610F86"/>
    <w:rsid w:val="006114B9"/>
    <w:rsid w:val="00611EDA"/>
    <w:rsid w:val="0061250C"/>
    <w:rsid w:val="00612F58"/>
    <w:rsid w:val="0061341A"/>
    <w:rsid w:val="006141EF"/>
    <w:rsid w:val="00614515"/>
    <w:rsid w:val="00614E28"/>
    <w:rsid w:val="00616537"/>
    <w:rsid w:val="006167FC"/>
    <w:rsid w:val="006215BD"/>
    <w:rsid w:val="00622E76"/>
    <w:rsid w:val="0062545C"/>
    <w:rsid w:val="00625930"/>
    <w:rsid w:val="00625FFC"/>
    <w:rsid w:val="00626684"/>
    <w:rsid w:val="00626E00"/>
    <w:rsid w:val="006272BC"/>
    <w:rsid w:val="006272C4"/>
    <w:rsid w:val="00631457"/>
    <w:rsid w:val="00631D62"/>
    <w:rsid w:val="006325A3"/>
    <w:rsid w:val="00632C3E"/>
    <w:rsid w:val="006331A7"/>
    <w:rsid w:val="006335A1"/>
    <w:rsid w:val="00634A26"/>
    <w:rsid w:val="00634E92"/>
    <w:rsid w:val="00640A34"/>
    <w:rsid w:val="00640C73"/>
    <w:rsid w:val="00640D2A"/>
    <w:rsid w:val="00642E94"/>
    <w:rsid w:val="0064337E"/>
    <w:rsid w:val="006454CC"/>
    <w:rsid w:val="0064590D"/>
    <w:rsid w:val="006509D1"/>
    <w:rsid w:val="00652A42"/>
    <w:rsid w:val="00653A29"/>
    <w:rsid w:val="00653DC1"/>
    <w:rsid w:val="00653FEC"/>
    <w:rsid w:val="00654B2F"/>
    <w:rsid w:val="00655276"/>
    <w:rsid w:val="00655C79"/>
    <w:rsid w:val="00656345"/>
    <w:rsid w:val="00656D04"/>
    <w:rsid w:val="00656F03"/>
    <w:rsid w:val="006614EA"/>
    <w:rsid w:val="006624C5"/>
    <w:rsid w:val="00662706"/>
    <w:rsid w:val="006627B3"/>
    <w:rsid w:val="00662C20"/>
    <w:rsid w:val="00663597"/>
    <w:rsid w:val="006654F6"/>
    <w:rsid w:val="00667DE5"/>
    <w:rsid w:val="006725A1"/>
    <w:rsid w:val="0067290A"/>
    <w:rsid w:val="00677517"/>
    <w:rsid w:val="00677AB5"/>
    <w:rsid w:val="00681486"/>
    <w:rsid w:val="006823C2"/>
    <w:rsid w:val="006824B7"/>
    <w:rsid w:val="006840D0"/>
    <w:rsid w:val="00685F48"/>
    <w:rsid w:val="0068668C"/>
    <w:rsid w:val="0068769C"/>
    <w:rsid w:val="0068784E"/>
    <w:rsid w:val="00690CB5"/>
    <w:rsid w:val="0069130D"/>
    <w:rsid w:val="00692D23"/>
    <w:rsid w:val="0069557F"/>
    <w:rsid w:val="00695856"/>
    <w:rsid w:val="00695AF6"/>
    <w:rsid w:val="0069695B"/>
    <w:rsid w:val="006A0B42"/>
    <w:rsid w:val="006A19A7"/>
    <w:rsid w:val="006A238A"/>
    <w:rsid w:val="006A2C28"/>
    <w:rsid w:val="006A3739"/>
    <w:rsid w:val="006A397B"/>
    <w:rsid w:val="006A4163"/>
    <w:rsid w:val="006A5115"/>
    <w:rsid w:val="006A64E8"/>
    <w:rsid w:val="006A671B"/>
    <w:rsid w:val="006A679D"/>
    <w:rsid w:val="006A6FA5"/>
    <w:rsid w:val="006A75D7"/>
    <w:rsid w:val="006B02DA"/>
    <w:rsid w:val="006B051B"/>
    <w:rsid w:val="006B1B8B"/>
    <w:rsid w:val="006B23EF"/>
    <w:rsid w:val="006B40D6"/>
    <w:rsid w:val="006B4AE9"/>
    <w:rsid w:val="006B6D08"/>
    <w:rsid w:val="006B7D02"/>
    <w:rsid w:val="006C00BD"/>
    <w:rsid w:val="006C37EE"/>
    <w:rsid w:val="006C6B69"/>
    <w:rsid w:val="006C70A0"/>
    <w:rsid w:val="006C7576"/>
    <w:rsid w:val="006C7947"/>
    <w:rsid w:val="006C7C84"/>
    <w:rsid w:val="006D0A29"/>
    <w:rsid w:val="006D139B"/>
    <w:rsid w:val="006D1A2B"/>
    <w:rsid w:val="006D1E8B"/>
    <w:rsid w:val="006D22C0"/>
    <w:rsid w:val="006D2302"/>
    <w:rsid w:val="006D39F0"/>
    <w:rsid w:val="006D5D36"/>
    <w:rsid w:val="006D6422"/>
    <w:rsid w:val="006D6EC0"/>
    <w:rsid w:val="006D7C6A"/>
    <w:rsid w:val="006E0A75"/>
    <w:rsid w:val="006E10F5"/>
    <w:rsid w:val="006E16FC"/>
    <w:rsid w:val="006E1BFE"/>
    <w:rsid w:val="006E264E"/>
    <w:rsid w:val="006E3773"/>
    <w:rsid w:val="006E4496"/>
    <w:rsid w:val="006E44C0"/>
    <w:rsid w:val="006E6768"/>
    <w:rsid w:val="006F0E45"/>
    <w:rsid w:val="006F0FA6"/>
    <w:rsid w:val="006F0FD4"/>
    <w:rsid w:val="006F2898"/>
    <w:rsid w:val="006F3F9E"/>
    <w:rsid w:val="006F57E7"/>
    <w:rsid w:val="006F59C8"/>
    <w:rsid w:val="006F6338"/>
    <w:rsid w:val="006F74C8"/>
    <w:rsid w:val="00700BA4"/>
    <w:rsid w:val="00700E7C"/>
    <w:rsid w:val="00701CE4"/>
    <w:rsid w:val="00703C48"/>
    <w:rsid w:val="007040E4"/>
    <w:rsid w:val="00704F12"/>
    <w:rsid w:val="00706C2A"/>
    <w:rsid w:val="0070736F"/>
    <w:rsid w:val="00710277"/>
    <w:rsid w:val="00710BBF"/>
    <w:rsid w:val="0071165D"/>
    <w:rsid w:val="00711DEF"/>
    <w:rsid w:val="00712E9A"/>
    <w:rsid w:val="00714C54"/>
    <w:rsid w:val="0072047D"/>
    <w:rsid w:val="00721D5B"/>
    <w:rsid w:val="007220DB"/>
    <w:rsid w:val="00722E08"/>
    <w:rsid w:val="007233FC"/>
    <w:rsid w:val="00723A9F"/>
    <w:rsid w:val="00725D69"/>
    <w:rsid w:val="007264D1"/>
    <w:rsid w:val="00726CDE"/>
    <w:rsid w:val="00727755"/>
    <w:rsid w:val="00731FB6"/>
    <w:rsid w:val="0073258E"/>
    <w:rsid w:val="0073297A"/>
    <w:rsid w:val="007365F6"/>
    <w:rsid w:val="00737EE6"/>
    <w:rsid w:val="007404D4"/>
    <w:rsid w:val="00740C0E"/>
    <w:rsid w:val="007420DC"/>
    <w:rsid w:val="00742CD2"/>
    <w:rsid w:val="00743C91"/>
    <w:rsid w:val="00745926"/>
    <w:rsid w:val="00746A97"/>
    <w:rsid w:val="00747606"/>
    <w:rsid w:val="0074786F"/>
    <w:rsid w:val="00747E1F"/>
    <w:rsid w:val="00750EAC"/>
    <w:rsid w:val="00750F8B"/>
    <w:rsid w:val="00756388"/>
    <w:rsid w:val="007568AF"/>
    <w:rsid w:val="00760D29"/>
    <w:rsid w:val="00767FA3"/>
    <w:rsid w:val="0077163F"/>
    <w:rsid w:val="007729A7"/>
    <w:rsid w:val="00772A0D"/>
    <w:rsid w:val="00772ED9"/>
    <w:rsid w:val="007733B3"/>
    <w:rsid w:val="00774AAE"/>
    <w:rsid w:val="00776B2E"/>
    <w:rsid w:val="00780B8D"/>
    <w:rsid w:val="00780E4C"/>
    <w:rsid w:val="00781702"/>
    <w:rsid w:val="007825D4"/>
    <w:rsid w:val="007828AC"/>
    <w:rsid w:val="007829E7"/>
    <w:rsid w:val="007830C7"/>
    <w:rsid w:val="00783BFB"/>
    <w:rsid w:val="00786731"/>
    <w:rsid w:val="007906C1"/>
    <w:rsid w:val="00793316"/>
    <w:rsid w:val="00794457"/>
    <w:rsid w:val="007951A6"/>
    <w:rsid w:val="007954A2"/>
    <w:rsid w:val="007957BD"/>
    <w:rsid w:val="007966DB"/>
    <w:rsid w:val="0079691D"/>
    <w:rsid w:val="00797749"/>
    <w:rsid w:val="00797D1F"/>
    <w:rsid w:val="007A0CB6"/>
    <w:rsid w:val="007A1574"/>
    <w:rsid w:val="007A1A55"/>
    <w:rsid w:val="007A3C56"/>
    <w:rsid w:val="007A5827"/>
    <w:rsid w:val="007A69D7"/>
    <w:rsid w:val="007A6FD8"/>
    <w:rsid w:val="007B0AFE"/>
    <w:rsid w:val="007B10B6"/>
    <w:rsid w:val="007B2051"/>
    <w:rsid w:val="007B2354"/>
    <w:rsid w:val="007B2772"/>
    <w:rsid w:val="007B478F"/>
    <w:rsid w:val="007B54BA"/>
    <w:rsid w:val="007B7259"/>
    <w:rsid w:val="007C1628"/>
    <w:rsid w:val="007C172A"/>
    <w:rsid w:val="007C275E"/>
    <w:rsid w:val="007C28A5"/>
    <w:rsid w:val="007C2A97"/>
    <w:rsid w:val="007C2AF1"/>
    <w:rsid w:val="007C4689"/>
    <w:rsid w:val="007C4E08"/>
    <w:rsid w:val="007C5740"/>
    <w:rsid w:val="007C5F35"/>
    <w:rsid w:val="007C686D"/>
    <w:rsid w:val="007C6A6B"/>
    <w:rsid w:val="007C7499"/>
    <w:rsid w:val="007C7B94"/>
    <w:rsid w:val="007D178E"/>
    <w:rsid w:val="007D2F4B"/>
    <w:rsid w:val="007D4411"/>
    <w:rsid w:val="007D4901"/>
    <w:rsid w:val="007D5E14"/>
    <w:rsid w:val="007D617B"/>
    <w:rsid w:val="007E0125"/>
    <w:rsid w:val="007E07C0"/>
    <w:rsid w:val="007E0D36"/>
    <w:rsid w:val="007E1031"/>
    <w:rsid w:val="007E1FB5"/>
    <w:rsid w:val="007E40DF"/>
    <w:rsid w:val="007E457B"/>
    <w:rsid w:val="007E537A"/>
    <w:rsid w:val="007F075B"/>
    <w:rsid w:val="007F1444"/>
    <w:rsid w:val="007F2F88"/>
    <w:rsid w:val="007F362F"/>
    <w:rsid w:val="007F3C37"/>
    <w:rsid w:val="007F4255"/>
    <w:rsid w:val="007F4BFE"/>
    <w:rsid w:val="007F7961"/>
    <w:rsid w:val="007F7BA7"/>
    <w:rsid w:val="008004F4"/>
    <w:rsid w:val="0080051E"/>
    <w:rsid w:val="008016A9"/>
    <w:rsid w:val="00803BCE"/>
    <w:rsid w:val="00804551"/>
    <w:rsid w:val="00806BB0"/>
    <w:rsid w:val="008101BB"/>
    <w:rsid w:val="00810B32"/>
    <w:rsid w:val="0081137F"/>
    <w:rsid w:val="00811E48"/>
    <w:rsid w:val="00812811"/>
    <w:rsid w:val="00812A94"/>
    <w:rsid w:val="00812EB0"/>
    <w:rsid w:val="00813614"/>
    <w:rsid w:val="00814022"/>
    <w:rsid w:val="008147C0"/>
    <w:rsid w:val="00815069"/>
    <w:rsid w:val="00815E75"/>
    <w:rsid w:val="00816056"/>
    <w:rsid w:val="008167E4"/>
    <w:rsid w:val="00816F4E"/>
    <w:rsid w:val="00817EE9"/>
    <w:rsid w:val="0082271E"/>
    <w:rsid w:val="00826783"/>
    <w:rsid w:val="00827525"/>
    <w:rsid w:val="00830793"/>
    <w:rsid w:val="00830E5C"/>
    <w:rsid w:val="00835791"/>
    <w:rsid w:val="0083623E"/>
    <w:rsid w:val="0083707F"/>
    <w:rsid w:val="0084021A"/>
    <w:rsid w:val="00841377"/>
    <w:rsid w:val="00841CFF"/>
    <w:rsid w:val="00842E7F"/>
    <w:rsid w:val="008435B2"/>
    <w:rsid w:val="0084673D"/>
    <w:rsid w:val="00846B67"/>
    <w:rsid w:val="008513B9"/>
    <w:rsid w:val="00851709"/>
    <w:rsid w:val="00851D0D"/>
    <w:rsid w:val="00852380"/>
    <w:rsid w:val="00853465"/>
    <w:rsid w:val="008534B7"/>
    <w:rsid w:val="00855890"/>
    <w:rsid w:val="00855B63"/>
    <w:rsid w:val="008567E5"/>
    <w:rsid w:val="00857692"/>
    <w:rsid w:val="00861215"/>
    <w:rsid w:val="00862EA0"/>
    <w:rsid w:val="00863BD4"/>
    <w:rsid w:val="00864F90"/>
    <w:rsid w:val="008658ED"/>
    <w:rsid w:val="00867ADE"/>
    <w:rsid w:val="00870086"/>
    <w:rsid w:val="00873536"/>
    <w:rsid w:val="0087394B"/>
    <w:rsid w:val="00874A06"/>
    <w:rsid w:val="008750A3"/>
    <w:rsid w:val="00877203"/>
    <w:rsid w:val="00880D8D"/>
    <w:rsid w:val="00880DA9"/>
    <w:rsid w:val="00883024"/>
    <w:rsid w:val="00883243"/>
    <w:rsid w:val="008835CA"/>
    <w:rsid w:val="00883CEA"/>
    <w:rsid w:val="00884C26"/>
    <w:rsid w:val="00886891"/>
    <w:rsid w:val="00886BF2"/>
    <w:rsid w:val="00890656"/>
    <w:rsid w:val="008906C8"/>
    <w:rsid w:val="008920B4"/>
    <w:rsid w:val="008926AD"/>
    <w:rsid w:val="008933C8"/>
    <w:rsid w:val="00893631"/>
    <w:rsid w:val="00896293"/>
    <w:rsid w:val="0089733A"/>
    <w:rsid w:val="008973BA"/>
    <w:rsid w:val="0089778C"/>
    <w:rsid w:val="008A15D0"/>
    <w:rsid w:val="008A3E08"/>
    <w:rsid w:val="008A4C17"/>
    <w:rsid w:val="008A50A2"/>
    <w:rsid w:val="008A6935"/>
    <w:rsid w:val="008A6A58"/>
    <w:rsid w:val="008A78D4"/>
    <w:rsid w:val="008A7FAA"/>
    <w:rsid w:val="008B30C3"/>
    <w:rsid w:val="008B5527"/>
    <w:rsid w:val="008B5F42"/>
    <w:rsid w:val="008B7A07"/>
    <w:rsid w:val="008C0607"/>
    <w:rsid w:val="008C06FB"/>
    <w:rsid w:val="008C0AD8"/>
    <w:rsid w:val="008C0DD5"/>
    <w:rsid w:val="008C1458"/>
    <w:rsid w:val="008C184E"/>
    <w:rsid w:val="008C203A"/>
    <w:rsid w:val="008C250D"/>
    <w:rsid w:val="008C25D1"/>
    <w:rsid w:val="008C2E32"/>
    <w:rsid w:val="008C654A"/>
    <w:rsid w:val="008C70F1"/>
    <w:rsid w:val="008D025D"/>
    <w:rsid w:val="008D1048"/>
    <w:rsid w:val="008D2F9C"/>
    <w:rsid w:val="008D3695"/>
    <w:rsid w:val="008D388C"/>
    <w:rsid w:val="008D4D8E"/>
    <w:rsid w:val="008D5384"/>
    <w:rsid w:val="008D5F05"/>
    <w:rsid w:val="008D7BAF"/>
    <w:rsid w:val="008E2AB4"/>
    <w:rsid w:val="008E3887"/>
    <w:rsid w:val="008E44FC"/>
    <w:rsid w:val="008E6A5A"/>
    <w:rsid w:val="008E6AE7"/>
    <w:rsid w:val="008E73AE"/>
    <w:rsid w:val="008E7D19"/>
    <w:rsid w:val="008F0332"/>
    <w:rsid w:val="008F0EC2"/>
    <w:rsid w:val="008F1A74"/>
    <w:rsid w:val="008F290B"/>
    <w:rsid w:val="008F2E87"/>
    <w:rsid w:val="008F3EAB"/>
    <w:rsid w:val="008F452E"/>
    <w:rsid w:val="008F556F"/>
    <w:rsid w:val="008F5D42"/>
    <w:rsid w:val="009005DD"/>
    <w:rsid w:val="00900EA4"/>
    <w:rsid w:val="009019AE"/>
    <w:rsid w:val="00904367"/>
    <w:rsid w:val="00904F43"/>
    <w:rsid w:val="00905124"/>
    <w:rsid w:val="009062C4"/>
    <w:rsid w:val="009104C6"/>
    <w:rsid w:val="009114B1"/>
    <w:rsid w:val="00911D73"/>
    <w:rsid w:val="0091271D"/>
    <w:rsid w:val="00914E82"/>
    <w:rsid w:val="00914F80"/>
    <w:rsid w:val="0091536E"/>
    <w:rsid w:val="00915934"/>
    <w:rsid w:val="009165C1"/>
    <w:rsid w:val="00917336"/>
    <w:rsid w:val="00917A6B"/>
    <w:rsid w:val="009203C7"/>
    <w:rsid w:val="00920781"/>
    <w:rsid w:val="00921F4A"/>
    <w:rsid w:val="00922AF9"/>
    <w:rsid w:val="00922B68"/>
    <w:rsid w:val="0092410D"/>
    <w:rsid w:val="0092450F"/>
    <w:rsid w:val="00925252"/>
    <w:rsid w:val="0092655C"/>
    <w:rsid w:val="0092689C"/>
    <w:rsid w:val="00927ADC"/>
    <w:rsid w:val="00927F2A"/>
    <w:rsid w:val="009304FE"/>
    <w:rsid w:val="0093153B"/>
    <w:rsid w:val="00932515"/>
    <w:rsid w:val="00932A77"/>
    <w:rsid w:val="00934874"/>
    <w:rsid w:val="00934B47"/>
    <w:rsid w:val="00935F03"/>
    <w:rsid w:val="0093607D"/>
    <w:rsid w:val="0093734D"/>
    <w:rsid w:val="00940157"/>
    <w:rsid w:val="009403C3"/>
    <w:rsid w:val="00941838"/>
    <w:rsid w:val="00944C52"/>
    <w:rsid w:val="0094560E"/>
    <w:rsid w:val="009462A2"/>
    <w:rsid w:val="00947AAD"/>
    <w:rsid w:val="00947F0E"/>
    <w:rsid w:val="00950CC4"/>
    <w:rsid w:val="00950CF7"/>
    <w:rsid w:val="00951BC2"/>
    <w:rsid w:val="00952309"/>
    <w:rsid w:val="00953EFC"/>
    <w:rsid w:val="00954B0D"/>
    <w:rsid w:val="00956237"/>
    <w:rsid w:val="009576F0"/>
    <w:rsid w:val="009579D8"/>
    <w:rsid w:val="009607A0"/>
    <w:rsid w:val="00961B5A"/>
    <w:rsid w:val="00962532"/>
    <w:rsid w:val="009625AE"/>
    <w:rsid w:val="009630F1"/>
    <w:rsid w:val="00963666"/>
    <w:rsid w:val="00963C0E"/>
    <w:rsid w:val="009640C8"/>
    <w:rsid w:val="0096468A"/>
    <w:rsid w:val="00964815"/>
    <w:rsid w:val="00964A2D"/>
    <w:rsid w:val="009660FF"/>
    <w:rsid w:val="00966E47"/>
    <w:rsid w:val="009673A6"/>
    <w:rsid w:val="00967B15"/>
    <w:rsid w:val="00971201"/>
    <w:rsid w:val="0097191E"/>
    <w:rsid w:val="00971AB8"/>
    <w:rsid w:val="00971FE2"/>
    <w:rsid w:val="0097323C"/>
    <w:rsid w:val="009748DD"/>
    <w:rsid w:val="0097565D"/>
    <w:rsid w:val="00975C63"/>
    <w:rsid w:val="00976067"/>
    <w:rsid w:val="00976D02"/>
    <w:rsid w:val="00977050"/>
    <w:rsid w:val="00977DD3"/>
    <w:rsid w:val="0098307C"/>
    <w:rsid w:val="00985DD8"/>
    <w:rsid w:val="0098646B"/>
    <w:rsid w:val="009875C4"/>
    <w:rsid w:val="00987A36"/>
    <w:rsid w:val="00990AF8"/>
    <w:rsid w:val="00990CAB"/>
    <w:rsid w:val="00991CD9"/>
    <w:rsid w:val="009929A0"/>
    <w:rsid w:val="00995D01"/>
    <w:rsid w:val="009960A4"/>
    <w:rsid w:val="0099611E"/>
    <w:rsid w:val="00996E6B"/>
    <w:rsid w:val="009A03B1"/>
    <w:rsid w:val="009A0796"/>
    <w:rsid w:val="009A4843"/>
    <w:rsid w:val="009A4A79"/>
    <w:rsid w:val="009A6CDF"/>
    <w:rsid w:val="009A6D71"/>
    <w:rsid w:val="009A755B"/>
    <w:rsid w:val="009B4FF7"/>
    <w:rsid w:val="009B5D12"/>
    <w:rsid w:val="009B5F39"/>
    <w:rsid w:val="009B6F1D"/>
    <w:rsid w:val="009C010E"/>
    <w:rsid w:val="009C10DF"/>
    <w:rsid w:val="009C22C3"/>
    <w:rsid w:val="009C6811"/>
    <w:rsid w:val="009C75E8"/>
    <w:rsid w:val="009D0DB6"/>
    <w:rsid w:val="009D3301"/>
    <w:rsid w:val="009D5C23"/>
    <w:rsid w:val="009D6E70"/>
    <w:rsid w:val="009D7EF2"/>
    <w:rsid w:val="009E05C9"/>
    <w:rsid w:val="009E16E9"/>
    <w:rsid w:val="009E1C85"/>
    <w:rsid w:val="009E3E29"/>
    <w:rsid w:val="009E53B9"/>
    <w:rsid w:val="009F0708"/>
    <w:rsid w:val="009F0E74"/>
    <w:rsid w:val="009F355B"/>
    <w:rsid w:val="009F4479"/>
    <w:rsid w:val="009F544C"/>
    <w:rsid w:val="009F68DA"/>
    <w:rsid w:val="00A007CC"/>
    <w:rsid w:val="00A00808"/>
    <w:rsid w:val="00A009D9"/>
    <w:rsid w:val="00A01455"/>
    <w:rsid w:val="00A0171A"/>
    <w:rsid w:val="00A01A9B"/>
    <w:rsid w:val="00A02632"/>
    <w:rsid w:val="00A039BB"/>
    <w:rsid w:val="00A04697"/>
    <w:rsid w:val="00A04BB5"/>
    <w:rsid w:val="00A05672"/>
    <w:rsid w:val="00A064A8"/>
    <w:rsid w:val="00A06EA3"/>
    <w:rsid w:val="00A0782A"/>
    <w:rsid w:val="00A12889"/>
    <w:rsid w:val="00A1344C"/>
    <w:rsid w:val="00A13974"/>
    <w:rsid w:val="00A13A0B"/>
    <w:rsid w:val="00A13E6A"/>
    <w:rsid w:val="00A14386"/>
    <w:rsid w:val="00A148E5"/>
    <w:rsid w:val="00A159BB"/>
    <w:rsid w:val="00A167C9"/>
    <w:rsid w:val="00A16DE1"/>
    <w:rsid w:val="00A16FA9"/>
    <w:rsid w:val="00A17935"/>
    <w:rsid w:val="00A17D82"/>
    <w:rsid w:val="00A203C2"/>
    <w:rsid w:val="00A24934"/>
    <w:rsid w:val="00A24A22"/>
    <w:rsid w:val="00A257E3"/>
    <w:rsid w:val="00A25F9B"/>
    <w:rsid w:val="00A27C4F"/>
    <w:rsid w:val="00A27F97"/>
    <w:rsid w:val="00A31ACA"/>
    <w:rsid w:val="00A31BBF"/>
    <w:rsid w:val="00A32D52"/>
    <w:rsid w:val="00A33314"/>
    <w:rsid w:val="00A34E68"/>
    <w:rsid w:val="00A34E6A"/>
    <w:rsid w:val="00A3549E"/>
    <w:rsid w:val="00A3615D"/>
    <w:rsid w:val="00A37369"/>
    <w:rsid w:val="00A40962"/>
    <w:rsid w:val="00A40C91"/>
    <w:rsid w:val="00A40E6C"/>
    <w:rsid w:val="00A41EBC"/>
    <w:rsid w:val="00A438BE"/>
    <w:rsid w:val="00A4399F"/>
    <w:rsid w:val="00A4569C"/>
    <w:rsid w:val="00A4572D"/>
    <w:rsid w:val="00A47167"/>
    <w:rsid w:val="00A503FD"/>
    <w:rsid w:val="00A5044F"/>
    <w:rsid w:val="00A5054E"/>
    <w:rsid w:val="00A50804"/>
    <w:rsid w:val="00A539F6"/>
    <w:rsid w:val="00A54FEE"/>
    <w:rsid w:val="00A5578F"/>
    <w:rsid w:val="00A572FB"/>
    <w:rsid w:val="00A57922"/>
    <w:rsid w:val="00A57FEF"/>
    <w:rsid w:val="00A608D2"/>
    <w:rsid w:val="00A60957"/>
    <w:rsid w:val="00A63491"/>
    <w:rsid w:val="00A6394C"/>
    <w:rsid w:val="00A67727"/>
    <w:rsid w:val="00A6794D"/>
    <w:rsid w:val="00A67C12"/>
    <w:rsid w:val="00A7073F"/>
    <w:rsid w:val="00A742C8"/>
    <w:rsid w:val="00A74BEC"/>
    <w:rsid w:val="00A75DEE"/>
    <w:rsid w:val="00A7618F"/>
    <w:rsid w:val="00A769B3"/>
    <w:rsid w:val="00A76B91"/>
    <w:rsid w:val="00A8020A"/>
    <w:rsid w:val="00A814AC"/>
    <w:rsid w:val="00A8374F"/>
    <w:rsid w:val="00A8505E"/>
    <w:rsid w:val="00A85549"/>
    <w:rsid w:val="00A85734"/>
    <w:rsid w:val="00A85B20"/>
    <w:rsid w:val="00A85B57"/>
    <w:rsid w:val="00A85D70"/>
    <w:rsid w:val="00A85E32"/>
    <w:rsid w:val="00A935E4"/>
    <w:rsid w:val="00A93C1D"/>
    <w:rsid w:val="00A93D21"/>
    <w:rsid w:val="00A94380"/>
    <w:rsid w:val="00A94E9D"/>
    <w:rsid w:val="00A94F48"/>
    <w:rsid w:val="00A95F33"/>
    <w:rsid w:val="00AA040C"/>
    <w:rsid w:val="00AA23D5"/>
    <w:rsid w:val="00AA2890"/>
    <w:rsid w:val="00AA3234"/>
    <w:rsid w:val="00AA3354"/>
    <w:rsid w:val="00AA41E8"/>
    <w:rsid w:val="00AA6559"/>
    <w:rsid w:val="00AA7819"/>
    <w:rsid w:val="00AA7C80"/>
    <w:rsid w:val="00AB0DDB"/>
    <w:rsid w:val="00AB36EF"/>
    <w:rsid w:val="00AB6494"/>
    <w:rsid w:val="00AB7BAE"/>
    <w:rsid w:val="00AC00A0"/>
    <w:rsid w:val="00AC09CF"/>
    <w:rsid w:val="00AC117E"/>
    <w:rsid w:val="00AC370B"/>
    <w:rsid w:val="00AC3EC4"/>
    <w:rsid w:val="00AC4995"/>
    <w:rsid w:val="00AC54A4"/>
    <w:rsid w:val="00AD16C7"/>
    <w:rsid w:val="00AD1D1A"/>
    <w:rsid w:val="00AD38B1"/>
    <w:rsid w:val="00AD3ED7"/>
    <w:rsid w:val="00AD4102"/>
    <w:rsid w:val="00AD56E6"/>
    <w:rsid w:val="00AD5B13"/>
    <w:rsid w:val="00AD5CC2"/>
    <w:rsid w:val="00AD6696"/>
    <w:rsid w:val="00AD6781"/>
    <w:rsid w:val="00AD68DB"/>
    <w:rsid w:val="00AE1747"/>
    <w:rsid w:val="00AE1A61"/>
    <w:rsid w:val="00AE254B"/>
    <w:rsid w:val="00AE3004"/>
    <w:rsid w:val="00AE30CF"/>
    <w:rsid w:val="00AE323B"/>
    <w:rsid w:val="00AE4410"/>
    <w:rsid w:val="00AE4A91"/>
    <w:rsid w:val="00AE4D70"/>
    <w:rsid w:val="00AE5524"/>
    <w:rsid w:val="00AE5F78"/>
    <w:rsid w:val="00AF016F"/>
    <w:rsid w:val="00AF123A"/>
    <w:rsid w:val="00AF209F"/>
    <w:rsid w:val="00AF490E"/>
    <w:rsid w:val="00AF4BC6"/>
    <w:rsid w:val="00AF5FFA"/>
    <w:rsid w:val="00AF65ED"/>
    <w:rsid w:val="00AF7422"/>
    <w:rsid w:val="00B008D6"/>
    <w:rsid w:val="00B027FF"/>
    <w:rsid w:val="00B0382A"/>
    <w:rsid w:val="00B03F2A"/>
    <w:rsid w:val="00B04A0A"/>
    <w:rsid w:val="00B052C8"/>
    <w:rsid w:val="00B06B17"/>
    <w:rsid w:val="00B075BE"/>
    <w:rsid w:val="00B07C68"/>
    <w:rsid w:val="00B07DA3"/>
    <w:rsid w:val="00B10A08"/>
    <w:rsid w:val="00B10EA9"/>
    <w:rsid w:val="00B11833"/>
    <w:rsid w:val="00B12178"/>
    <w:rsid w:val="00B12895"/>
    <w:rsid w:val="00B1458F"/>
    <w:rsid w:val="00B14636"/>
    <w:rsid w:val="00B149ED"/>
    <w:rsid w:val="00B14C24"/>
    <w:rsid w:val="00B15933"/>
    <w:rsid w:val="00B16C29"/>
    <w:rsid w:val="00B178B8"/>
    <w:rsid w:val="00B208F0"/>
    <w:rsid w:val="00B224D4"/>
    <w:rsid w:val="00B22E90"/>
    <w:rsid w:val="00B2324D"/>
    <w:rsid w:val="00B23ADD"/>
    <w:rsid w:val="00B270BA"/>
    <w:rsid w:val="00B27AFA"/>
    <w:rsid w:val="00B30776"/>
    <w:rsid w:val="00B307D4"/>
    <w:rsid w:val="00B31305"/>
    <w:rsid w:val="00B3156F"/>
    <w:rsid w:val="00B31C8C"/>
    <w:rsid w:val="00B32C2C"/>
    <w:rsid w:val="00B32C4E"/>
    <w:rsid w:val="00B3318D"/>
    <w:rsid w:val="00B344BE"/>
    <w:rsid w:val="00B36124"/>
    <w:rsid w:val="00B365DE"/>
    <w:rsid w:val="00B40B21"/>
    <w:rsid w:val="00B4519B"/>
    <w:rsid w:val="00B459B3"/>
    <w:rsid w:val="00B45C8A"/>
    <w:rsid w:val="00B46A7E"/>
    <w:rsid w:val="00B5084E"/>
    <w:rsid w:val="00B51210"/>
    <w:rsid w:val="00B51493"/>
    <w:rsid w:val="00B528DC"/>
    <w:rsid w:val="00B558E8"/>
    <w:rsid w:val="00B55A0D"/>
    <w:rsid w:val="00B55CE1"/>
    <w:rsid w:val="00B56B65"/>
    <w:rsid w:val="00B606B0"/>
    <w:rsid w:val="00B60939"/>
    <w:rsid w:val="00B60BDC"/>
    <w:rsid w:val="00B61641"/>
    <w:rsid w:val="00B641B3"/>
    <w:rsid w:val="00B64AD4"/>
    <w:rsid w:val="00B64FB3"/>
    <w:rsid w:val="00B65F1B"/>
    <w:rsid w:val="00B673EE"/>
    <w:rsid w:val="00B7049C"/>
    <w:rsid w:val="00B714D9"/>
    <w:rsid w:val="00B7163C"/>
    <w:rsid w:val="00B72352"/>
    <w:rsid w:val="00B72DFB"/>
    <w:rsid w:val="00B734AD"/>
    <w:rsid w:val="00B74D54"/>
    <w:rsid w:val="00B76818"/>
    <w:rsid w:val="00B76E3D"/>
    <w:rsid w:val="00B804C6"/>
    <w:rsid w:val="00B80A3F"/>
    <w:rsid w:val="00B80C25"/>
    <w:rsid w:val="00B81B30"/>
    <w:rsid w:val="00B832BF"/>
    <w:rsid w:val="00B90445"/>
    <w:rsid w:val="00B90491"/>
    <w:rsid w:val="00B90889"/>
    <w:rsid w:val="00B917A3"/>
    <w:rsid w:val="00B9230A"/>
    <w:rsid w:val="00B92705"/>
    <w:rsid w:val="00B92737"/>
    <w:rsid w:val="00B928EB"/>
    <w:rsid w:val="00B95A18"/>
    <w:rsid w:val="00BA0E25"/>
    <w:rsid w:val="00BA119C"/>
    <w:rsid w:val="00BA18BF"/>
    <w:rsid w:val="00BA4798"/>
    <w:rsid w:val="00BA7623"/>
    <w:rsid w:val="00BB1601"/>
    <w:rsid w:val="00BB20F5"/>
    <w:rsid w:val="00BB24A9"/>
    <w:rsid w:val="00BB3A87"/>
    <w:rsid w:val="00BB3B8B"/>
    <w:rsid w:val="00BB5D6C"/>
    <w:rsid w:val="00BB6A7A"/>
    <w:rsid w:val="00BB700D"/>
    <w:rsid w:val="00BB77FE"/>
    <w:rsid w:val="00BC0607"/>
    <w:rsid w:val="00BC0CAD"/>
    <w:rsid w:val="00BC5403"/>
    <w:rsid w:val="00BC6E92"/>
    <w:rsid w:val="00BC74EE"/>
    <w:rsid w:val="00BD07CF"/>
    <w:rsid w:val="00BD0D5E"/>
    <w:rsid w:val="00BD1B4A"/>
    <w:rsid w:val="00BD28AF"/>
    <w:rsid w:val="00BD3083"/>
    <w:rsid w:val="00BD4C21"/>
    <w:rsid w:val="00BD6429"/>
    <w:rsid w:val="00BD741B"/>
    <w:rsid w:val="00BE0015"/>
    <w:rsid w:val="00BE168C"/>
    <w:rsid w:val="00BE4EC2"/>
    <w:rsid w:val="00BE5628"/>
    <w:rsid w:val="00BE5F35"/>
    <w:rsid w:val="00BE68A7"/>
    <w:rsid w:val="00BE6BEA"/>
    <w:rsid w:val="00BE73BF"/>
    <w:rsid w:val="00BE7940"/>
    <w:rsid w:val="00BF108E"/>
    <w:rsid w:val="00BF1D7B"/>
    <w:rsid w:val="00BF2A6B"/>
    <w:rsid w:val="00BF624C"/>
    <w:rsid w:val="00BF6D0D"/>
    <w:rsid w:val="00C00D8D"/>
    <w:rsid w:val="00C013AA"/>
    <w:rsid w:val="00C04386"/>
    <w:rsid w:val="00C04463"/>
    <w:rsid w:val="00C078F3"/>
    <w:rsid w:val="00C113A6"/>
    <w:rsid w:val="00C119CC"/>
    <w:rsid w:val="00C11C63"/>
    <w:rsid w:val="00C1447A"/>
    <w:rsid w:val="00C159C7"/>
    <w:rsid w:val="00C16660"/>
    <w:rsid w:val="00C167A3"/>
    <w:rsid w:val="00C17E52"/>
    <w:rsid w:val="00C20D8E"/>
    <w:rsid w:val="00C2152F"/>
    <w:rsid w:val="00C21C1B"/>
    <w:rsid w:val="00C224D0"/>
    <w:rsid w:val="00C2374E"/>
    <w:rsid w:val="00C3154F"/>
    <w:rsid w:val="00C35E19"/>
    <w:rsid w:val="00C36385"/>
    <w:rsid w:val="00C36484"/>
    <w:rsid w:val="00C37054"/>
    <w:rsid w:val="00C40CB2"/>
    <w:rsid w:val="00C42184"/>
    <w:rsid w:val="00C42367"/>
    <w:rsid w:val="00C42DA4"/>
    <w:rsid w:val="00C437F7"/>
    <w:rsid w:val="00C43C36"/>
    <w:rsid w:val="00C43E87"/>
    <w:rsid w:val="00C446C0"/>
    <w:rsid w:val="00C44E9F"/>
    <w:rsid w:val="00C511DD"/>
    <w:rsid w:val="00C538EC"/>
    <w:rsid w:val="00C54DE3"/>
    <w:rsid w:val="00C5553E"/>
    <w:rsid w:val="00C556BB"/>
    <w:rsid w:val="00C57D27"/>
    <w:rsid w:val="00C60E0E"/>
    <w:rsid w:val="00C6125E"/>
    <w:rsid w:val="00C641CF"/>
    <w:rsid w:val="00C65222"/>
    <w:rsid w:val="00C65AFE"/>
    <w:rsid w:val="00C70745"/>
    <w:rsid w:val="00C71674"/>
    <w:rsid w:val="00C7426A"/>
    <w:rsid w:val="00C755E0"/>
    <w:rsid w:val="00C75A1D"/>
    <w:rsid w:val="00C760A7"/>
    <w:rsid w:val="00C809D3"/>
    <w:rsid w:val="00C80CCE"/>
    <w:rsid w:val="00C8120D"/>
    <w:rsid w:val="00C816D2"/>
    <w:rsid w:val="00C81944"/>
    <w:rsid w:val="00C821DE"/>
    <w:rsid w:val="00C836C3"/>
    <w:rsid w:val="00C84087"/>
    <w:rsid w:val="00C8450A"/>
    <w:rsid w:val="00C8509E"/>
    <w:rsid w:val="00C85C0B"/>
    <w:rsid w:val="00C85E8D"/>
    <w:rsid w:val="00C87BC4"/>
    <w:rsid w:val="00C90B71"/>
    <w:rsid w:val="00C92072"/>
    <w:rsid w:val="00C93411"/>
    <w:rsid w:val="00C94410"/>
    <w:rsid w:val="00C9574F"/>
    <w:rsid w:val="00C968D6"/>
    <w:rsid w:val="00CA01F7"/>
    <w:rsid w:val="00CA1982"/>
    <w:rsid w:val="00CA4422"/>
    <w:rsid w:val="00CB1A31"/>
    <w:rsid w:val="00CB1D23"/>
    <w:rsid w:val="00CB3F50"/>
    <w:rsid w:val="00CB4A88"/>
    <w:rsid w:val="00CB649E"/>
    <w:rsid w:val="00CB665A"/>
    <w:rsid w:val="00CB69FB"/>
    <w:rsid w:val="00CB71FA"/>
    <w:rsid w:val="00CB7D71"/>
    <w:rsid w:val="00CB7FAD"/>
    <w:rsid w:val="00CC2A4A"/>
    <w:rsid w:val="00CC2E3F"/>
    <w:rsid w:val="00CC48D2"/>
    <w:rsid w:val="00CC6DA2"/>
    <w:rsid w:val="00CD0ADF"/>
    <w:rsid w:val="00CD3623"/>
    <w:rsid w:val="00CD632B"/>
    <w:rsid w:val="00CD7E4D"/>
    <w:rsid w:val="00CE2B06"/>
    <w:rsid w:val="00CE33FB"/>
    <w:rsid w:val="00CE46E1"/>
    <w:rsid w:val="00CE57BF"/>
    <w:rsid w:val="00CE5E81"/>
    <w:rsid w:val="00CF01B5"/>
    <w:rsid w:val="00CF16EB"/>
    <w:rsid w:val="00CF1921"/>
    <w:rsid w:val="00CF22F4"/>
    <w:rsid w:val="00CF26C1"/>
    <w:rsid w:val="00CF2C58"/>
    <w:rsid w:val="00CF2F23"/>
    <w:rsid w:val="00CF5917"/>
    <w:rsid w:val="00CF5B4C"/>
    <w:rsid w:val="00CF6BED"/>
    <w:rsid w:val="00CF76E1"/>
    <w:rsid w:val="00CF7DFA"/>
    <w:rsid w:val="00D0063A"/>
    <w:rsid w:val="00D00A81"/>
    <w:rsid w:val="00D01DA4"/>
    <w:rsid w:val="00D03846"/>
    <w:rsid w:val="00D03EC9"/>
    <w:rsid w:val="00D06735"/>
    <w:rsid w:val="00D117D6"/>
    <w:rsid w:val="00D12705"/>
    <w:rsid w:val="00D14065"/>
    <w:rsid w:val="00D164E6"/>
    <w:rsid w:val="00D1710A"/>
    <w:rsid w:val="00D17805"/>
    <w:rsid w:val="00D219DD"/>
    <w:rsid w:val="00D22464"/>
    <w:rsid w:val="00D23DAF"/>
    <w:rsid w:val="00D23F9C"/>
    <w:rsid w:val="00D2546C"/>
    <w:rsid w:val="00D2569F"/>
    <w:rsid w:val="00D25CEE"/>
    <w:rsid w:val="00D27AC4"/>
    <w:rsid w:val="00D31CF1"/>
    <w:rsid w:val="00D31FD5"/>
    <w:rsid w:val="00D321A5"/>
    <w:rsid w:val="00D322C1"/>
    <w:rsid w:val="00D334D3"/>
    <w:rsid w:val="00D33D65"/>
    <w:rsid w:val="00D34353"/>
    <w:rsid w:val="00D34356"/>
    <w:rsid w:val="00D36DA7"/>
    <w:rsid w:val="00D36F58"/>
    <w:rsid w:val="00D37B93"/>
    <w:rsid w:val="00D40838"/>
    <w:rsid w:val="00D409A6"/>
    <w:rsid w:val="00D447B9"/>
    <w:rsid w:val="00D5007F"/>
    <w:rsid w:val="00D5099D"/>
    <w:rsid w:val="00D5201C"/>
    <w:rsid w:val="00D52131"/>
    <w:rsid w:val="00D5227D"/>
    <w:rsid w:val="00D52B1A"/>
    <w:rsid w:val="00D5319D"/>
    <w:rsid w:val="00D565FE"/>
    <w:rsid w:val="00D600D8"/>
    <w:rsid w:val="00D61A46"/>
    <w:rsid w:val="00D63E0B"/>
    <w:rsid w:val="00D63F72"/>
    <w:rsid w:val="00D6455F"/>
    <w:rsid w:val="00D64795"/>
    <w:rsid w:val="00D64FF0"/>
    <w:rsid w:val="00D65FCA"/>
    <w:rsid w:val="00D66068"/>
    <w:rsid w:val="00D6717C"/>
    <w:rsid w:val="00D67AD0"/>
    <w:rsid w:val="00D67F48"/>
    <w:rsid w:val="00D716B1"/>
    <w:rsid w:val="00D71C09"/>
    <w:rsid w:val="00D72176"/>
    <w:rsid w:val="00D7454E"/>
    <w:rsid w:val="00D80CA8"/>
    <w:rsid w:val="00D80DAF"/>
    <w:rsid w:val="00D810DB"/>
    <w:rsid w:val="00D84855"/>
    <w:rsid w:val="00D8615E"/>
    <w:rsid w:val="00D868E4"/>
    <w:rsid w:val="00D86BAC"/>
    <w:rsid w:val="00D87025"/>
    <w:rsid w:val="00D87197"/>
    <w:rsid w:val="00D876D6"/>
    <w:rsid w:val="00D910AD"/>
    <w:rsid w:val="00D92E3B"/>
    <w:rsid w:val="00D92FB6"/>
    <w:rsid w:val="00D93436"/>
    <w:rsid w:val="00D96FC4"/>
    <w:rsid w:val="00DA1038"/>
    <w:rsid w:val="00DA112F"/>
    <w:rsid w:val="00DA221B"/>
    <w:rsid w:val="00DA3B9B"/>
    <w:rsid w:val="00DA45F1"/>
    <w:rsid w:val="00DA6A24"/>
    <w:rsid w:val="00DA6ACC"/>
    <w:rsid w:val="00DA7637"/>
    <w:rsid w:val="00DB1B1B"/>
    <w:rsid w:val="00DB27B6"/>
    <w:rsid w:val="00DB3058"/>
    <w:rsid w:val="00DB4B60"/>
    <w:rsid w:val="00DB4C8F"/>
    <w:rsid w:val="00DB59FD"/>
    <w:rsid w:val="00DB5ED4"/>
    <w:rsid w:val="00DB6E47"/>
    <w:rsid w:val="00DB70BD"/>
    <w:rsid w:val="00DC1059"/>
    <w:rsid w:val="00DC1DFF"/>
    <w:rsid w:val="00DC56E0"/>
    <w:rsid w:val="00DC6BFC"/>
    <w:rsid w:val="00DD0232"/>
    <w:rsid w:val="00DD07EE"/>
    <w:rsid w:val="00DD18B4"/>
    <w:rsid w:val="00DD1C27"/>
    <w:rsid w:val="00DD22BA"/>
    <w:rsid w:val="00DD2396"/>
    <w:rsid w:val="00DD5429"/>
    <w:rsid w:val="00DD549D"/>
    <w:rsid w:val="00DD58D8"/>
    <w:rsid w:val="00DE00F4"/>
    <w:rsid w:val="00DE080C"/>
    <w:rsid w:val="00DE13E2"/>
    <w:rsid w:val="00DE335B"/>
    <w:rsid w:val="00DE3980"/>
    <w:rsid w:val="00DE6372"/>
    <w:rsid w:val="00DE6E40"/>
    <w:rsid w:val="00DF2F0B"/>
    <w:rsid w:val="00DF3178"/>
    <w:rsid w:val="00DF330D"/>
    <w:rsid w:val="00DF4A4B"/>
    <w:rsid w:val="00DF5C50"/>
    <w:rsid w:val="00DF6347"/>
    <w:rsid w:val="00DF659A"/>
    <w:rsid w:val="00DF6811"/>
    <w:rsid w:val="00DF6865"/>
    <w:rsid w:val="00DF7568"/>
    <w:rsid w:val="00DF78D5"/>
    <w:rsid w:val="00E01E0D"/>
    <w:rsid w:val="00E02760"/>
    <w:rsid w:val="00E033DF"/>
    <w:rsid w:val="00E03882"/>
    <w:rsid w:val="00E03F95"/>
    <w:rsid w:val="00E04092"/>
    <w:rsid w:val="00E04772"/>
    <w:rsid w:val="00E04F02"/>
    <w:rsid w:val="00E06C51"/>
    <w:rsid w:val="00E107C0"/>
    <w:rsid w:val="00E108A2"/>
    <w:rsid w:val="00E11014"/>
    <w:rsid w:val="00E122FD"/>
    <w:rsid w:val="00E12D6D"/>
    <w:rsid w:val="00E12ECD"/>
    <w:rsid w:val="00E13218"/>
    <w:rsid w:val="00E14DA1"/>
    <w:rsid w:val="00E16431"/>
    <w:rsid w:val="00E16DB4"/>
    <w:rsid w:val="00E174C9"/>
    <w:rsid w:val="00E174D1"/>
    <w:rsid w:val="00E176E3"/>
    <w:rsid w:val="00E17DE4"/>
    <w:rsid w:val="00E20F99"/>
    <w:rsid w:val="00E2184E"/>
    <w:rsid w:val="00E22F81"/>
    <w:rsid w:val="00E22FDD"/>
    <w:rsid w:val="00E309E2"/>
    <w:rsid w:val="00E318EA"/>
    <w:rsid w:val="00E34D56"/>
    <w:rsid w:val="00E3518A"/>
    <w:rsid w:val="00E358A1"/>
    <w:rsid w:val="00E36300"/>
    <w:rsid w:val="00E36AAC"/>
    <w:rsid w:val="00E36D29"/>
    <w:rsid w:val="00E40C5E"/>
    <w:rsid w:val="00E40EF0"/>
    <w:rsid w:val="00E42503"/>
    <w:rsid w:val="00E42643"/>
    <w:rsid w:val="00E42A18"/>
    <w:rsid w:val="00E42A46"/>
    <w:rsid w:val="00E47EB7"/>
    <w:rsid w:val="00E50780"/>
    <w:rsid w:val="00E51175"/>
    <w:rsid w:val="00E5232C"/>
    <w:rsid w:val="00E52416"/>
    <w:rsid w:val="00E5288D"/>
    <w:rsid w:val="00E53DFF"/>
    <w:rsid w:val="00E55964"/>
    <w:rsid w:val="00E55B6F"/>
    <w:rsid w:val="00E55D2B"/>
    <w:rsid w:val="00E615EB"/>
    <w:rsid w:val="00E61B46"/>
    <w:rsid w:val="00E62A83"/>
    <w:rsid w:val="00E63B4C"/>
    <w:rsid w:val="00E63E5C"/>
    <w:rsid w:val="00E673D9"/>
    <w:rsid w:val="00E706B9"/>
    <w:rsid w:val="00E70E6A"/>
    <w:rsid w:val="00E71C9F"/>
    <w:rsid w:val="00E73E3B"/>
    <w:rsid w:val="00E750EC"/>
    <w:rsid w:val="00E75D7B"/>
    <w:rsid w:val="00E760DB"/>
    <w:rsid w:val="00E764BD"/>
    <w:rsid w:val="00E76752"/>
    <w:rsid w:val="00E76812"/>
    <w:rsid w:val="00E769F7"/>
    <w:rsid w:val="00E8022F"/>
    <w:rsid w:val="00E80B62"/>
    <w:rsid w:val="00E851F9"/>
    <w:rsid w:val="00E90861"/>
    <w:rsid w:val="00E91FF3"/>
    <w:rsid w:val="00E9322A"/>
    <w:rsid w:val="00E942A7"/>
    <w:rsid w:val="00E953B3"/>
    <w:rsid w:val="00E96590"/>
    <w:rsid w:val="00E96CF4"/>
    <w:rsid w:val="00E9709E"/>
    <w:rsid w:val="00E97BE3"/>
    <w:rsid w:val="00EA0996"/>
    <w:rsid w:val="00EA0EB9"/>
    <w:rsid w:val="00EA18A7"/>
    <w:rsid w:val="00EA240B"/>
    <w:rsid w:val="00EA319B"/>
    <w:rsid w:val="00EA405D"/>
    <w:rsid w:val="00EA4080"/>
    <w:rsid w:val="00EA4680"/>
    <w:rsid w:val="00EA4742"/>
    <w:rsid w:val="00EA4804"/>
    <w:rsid w:val="00EA5418"/>
    <w:rsid w:val="00EA59A9"/>
    <w:rsid w:val="00EB162B"/>
    <w:rsid w:val="00EB2E6E"/>
    <w:rsid w:val="00EB3822"/>
    <w:rsid w:val="00EB644A"/>
    <w:rsid w:val="00EB6B1A"/>
    <w:rsid w:val="00EC0B21"/>
    <w:rsid w:val="00EC17B4"/>
    <w:rsid w:val="00EC17BE"/>
    <w:rsid w:val="00EC25F3"/>
    <w:rsid w:val="00EC2B90"/>
    <w:rsid w:val="00EC4093"/>
    <w:rsid w:val="00EC4732"/>
    <w:rsid w:val="00EC4825"/>
    <w:rsid w:val="00EC6617"/>
    <w:rsid w:val="00EC781A"/>
    <w:rsid w:val="00EC78FB"/>
    <w:rsid w:val="00ED1404"/>
    <w:rsid w:val="00ED236B"/>
    <w:rsid w:val="00ED43BD"/>
    <w:rsid w:val="00ED5B75"/>
    <w:rsid w:val="00EE0DDA"/>
    <w:rsid w:val="00EE30B5"/>
    <w:rsid w:val="00EE311B"/>
    <w:rsid w:val="00EE4D16"/>
    <w:rsid w:val="00EE5234"/>
    <w:rsid w:val="00EE5C80"/>
    <w:rsid w:val="00EE6D14"/>
    <w:rsid w:val="00EE6F2F"/>
    <w:rsid w:val="00EE7492"/>
    <w:rsid w:val="00EE7826"/>
    <w:rsid w:val="00EF1E37"/>
    <w:rsid w:val="00EF38AC"/>
    <w:rsid w:val="00EF5098"/>
    <w:rsid w:val="00EF5385"/>
    <w:rsid w:val="00EF560E"/>
    <w:rsid w:val="00EF6899"/>
    <w:rsid w:val="00EF77F8"/>
    <w:rsid w:val="00F00FCB"/>
    <w:rsid w:val="00F01A65"/>
    <w:rsid w:val="00F04AB9"/>
    <w:rsid w:val="00F05333"/>
    <w:rsid w:val="00F111C5"/>
    <w:rsid w:val="00F126BB"/>
    <w:rsid w:val="00F135FB"/>
    <w:rsid w:val="00F1739F"/>
    <w:rsid w:val="00F17FDD"/>
    <w:rsid w:val="00F2019A"/>
    <w:rsid w:val="00F22743"/>
    <w:rsid w:val="00F2302D"/>
    <w:rsid w:val="00F2454E"/>
    <w:rsid w:val="00F2494C"/>
    <w:rsid w:val="00F25EF7"/>
    <w:rsid w:val="00F26EB5"/>
    <w:rsid w:val="00F30AAE"/>
    <w:rsid w:val="00F350BC"/>
    <w:rsid w:val="00F35DAF"/>
    <w:rsid w:val="00F416A8"/>
    <w:rsid w:val="00F41AB0"/>
    <w:rsid w:val="00F45DC1"/>
    <w:rsid w:val="00F470DA"/>
    <w:rsid w:val="00F47E90"/>
    <w:rsid w:val="00F504DF"/>
    <w:rsid w:val="00F50A07"/>
    <w:rsid w:val="00F51F64"/>
    <w:rsid w:val="00F51FF6"/>
    <w:rsid w:val="00F55587"/>
    <w:rsid w:val="00F56BAC"/>
    <w:rsid w:val="00F61EB6"/>
    <w:rsid w:val="00F638D1"/>
    <w:rsid w:val="00F63D06"/>
    <w:rsid w:val="00F64331"/>
    <w:rsid w:val="00F6470A"/>
    <w:rsid w:val="00F65E55"/>
    <w:rsid w:val="00F6600F"/>
    <w:rsid w:val="00F66485"/>
    <w:rsid w:val="00F717AD"/>
    <w:rsid w:val="00F72181"/>
    <w:rsid w:val="00F73194"/>
    <w:rsid w:val="00F731FE"/>
    <w:rsid w:val="00F73DE3"/>
    <w:rsid w:val="00F76FC1"/>
    <w:rsid w:val="00F77890"/>
    <w:rsid w:val="00F8063C"/>
    <w:rsid w:val="00F822F4"/>
    <w:rsid w:val="00F82876"/>
    <w:rsid w:val="00F83519"/>
    <w:rsid w:val="00F85B95"/>
    <w:rsid w:val="00F86B43"/>
    <w:rsid w:val="00F871F4"/>
    <w:rsid w:val="00F900C8"/>
    <w:rsid w:val="00F90774"/>
    <w:rsid w:val="00F94374"/>
    <w:rsid w:val="00F9471C"/>
    <w:rsid w:val="00F94DB6"/>
    <w:rsid w:val="00F974A8"/>
    <w:rsid w:val="00FA076B"/>
    <w:rsid w:val="00FA09D0"/>
    <w:rsid w:val="00FA0C5B"/>
    <w:rsid w:val="00FA1CCC"/>
    <w:rsid w:val="00FA300F"/>
    <w:rsid w:val="00FA3500"/>
    <w:rsid w:val="00FA4BB1"/>
    <w:rsid w:val="00FA71DB"/>
    <w:rsid w:val="00FA72CE"/>
    <w:rsid w:val="00FA74EA"/>
    <w:rsid w:val="00FB0185"/>
    <w:rsid w:val="00FB13B5"/>
    <w:rsid w:val="00FB2483"/>
    <w:rsid w:val="00FB3EAE"/>
    <w:rsid w:val="00FB4912"/>
    <w:rsid w:val="00FB51D7"/>
    <w:rsid w:val="00FB531C"/>
    <w:rsid w:val="00FC1273"/>
    <w:rsid w:val="00FC2DC5"/>
    <w:rsid w:val="00FC45AB"/>
    <w:rsid w:val="00FC5724"/>
    <w:rsid w:val="00FC6895"/>
    <w:rsid w:val="00FC6A0C"/>
    <w:rsid w:val="00FC6E82"/>
    <w:rsid w:val="00FC70CF"/>
    <w:rsid w:val="00FC7581"/>
    <w:rsid w:val="00FC75CE"/>
    <w:rsid w:val="00FC767C"/>
    <w:rsid w:val="00FD18E4"/>
    <w:rsid w:val="00FD25F2"/>
    <w:rsid w:val="00FD2D0A"/>
    <w:rsid w:val="00FD5C12"/>
    <w:rsid w:val="00FE0751"/>
    <w:rsid w:val="00FE3956"/>
    <w:rsid w:val="00FE580A"/>
    <w:rsid w:val="00FF29CA"/>
    <w:rsid w:val="00FF3A67"/>
    <w:rsid w:val="00FF3D7D"/>
    <w:rsid w:val="00FF49B5"/>
    <w:rsid w:val="00FF6AA4"/>
    <w:rsid w:val="00FF70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0C0E"/>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znaczenie">
    <w:name w:val="oznaczenie"/>
    <w:basedOn w:val="Domylnaczcionkaakapitu"/>
    <w:rsid w:val="008F3EAB"/>
  </w:style>
  <w:style w:type="character" w:styleId="Odwoanieprzypisudolnego">
    <w:name w:val="footnote reference"/>
    <w:uiPriority w:val="99"/>
    <w:rsid w:val="008F3EAB"/>
    <w:rPr>
      <w:vertAlign w:val="superscript"/>
    </w:rPr>
  </w:style>
  <w:style w:type="paragraph" w:styleId="Tekstprzypisudolnego">
    <w:name w:val="footnote text"/>
    <w:basedOn w:val="Normalny"/>
    <w:link w:val="TekstprzypisudolnegoZnak"/>
    <w:uiPriority w:val="99"/>
    <w:rsid w:val="008F3EAB"/>
    <w:pPr>
      <w:spacing w:after="0"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link w:val="Tekstprzypisudolnego"/>
    <w:uiPriority w:val="99"/>
    <w:rsid w:val="008F3EAB"/>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E4496"/>
    <w:pPr>
      <w:ind w:left="720"/>
      <w:contextualSpacing/>
    </w:pPr>
  </w:style>
  <w:style w:type="paragraph" w:styleId="Tekstprzypisukocowego">
    <w:name w:val="endnote text"/>
    <w:basedOn w:val="Normalny"/>
    <w:link w:val="TekstprzypisukocowegoZnak"/>
    <w:uiPriority w:val="99"/>
    <w:semiHidden/>
    <w:unhideWhenUsed/>
    <w:rsid w:val="00E615EB"/>
    <w:rPr>
      <w:sz w:val="20"/>
      <w:szCs w:val="20"/>
      <w:lang w:val="x-none"/>
    </w:rPr>
  </w:style>
  <w:style w:type="character" w:customStyle="1" w:styleId="TekstprzypisukocowegoZnak">
    <w:name w:val="Tekst przypisu końcowego Znak"/>
    <w:link w:val="Tekstprzypisukocowego"/>
    <w:uiPriority w:val="99"/>
    <w:semiHidden/>
    <w:rsid w:val="00E615EB"/>
    <w:rPr>
      <w:lang w:val="x-none" w:eastAsia="en-US"/>
    </w:rPr>
  </w:style>
  <w:style w:type="character" w:styleId="Pogrubienie">
    <w:name w:val="Strong"/>
    <w:uiPriority w:val="22"/>
    <w:qFormat/>
    <w:rsid w:val="00E615EB"/>
    <w:rPr>
      <w:b/>
      <w:bCs/>
    </w:rPr>
  </w:style>
  <w:style w:type="paragraph" w:styleId="Nagwek">
    <w:name w:val="header"/>
    <w:basedOn w:val="Normalny"/>
    <w:link w:val="NagwekZnak"/>
    <w:uiPriority w:val="99"/>
    <w:unhideWhenUsed/>
    <w:rsid w:val="00A4569C"/>
    <w:pPr>
      <w:tabs>
        <w:tab w:val="center" w:pos="4536"/>
        <w:tab w:val="right" w:pos="9072"/>
      </w:tabs>
    </w:pPr>
    <w:rPr>
      <w:lang w:val="x-none"/>
    </w:rPr>
  </w:style>
  <w:style w:type="character" w:customStyle="1" w:styleId="NagwekZnak">
    <w:name w:val="Nagłówek Znak"/>
    <w:link w:val="Nagwek"/>
    <w:uiPriority w:val="99"/>
    <w:rsid w:val="00A4569C"/>
    <w:rPr>
      <w:sz w:val="22"/>
      <w:szCs w:val="22"/>
      <w:lang w:eastAsia="en-US"/>
    </w:rPr>
  </w:style>
  <w:style w:type="paragraph" w:styleId="Stopka">
    <w:name w:val="footer"/>
    <w:basedOn w:val="Normalny"/>
    <w:link w:val="StopkaZnak"/>
    <w:uiPriority w:val="99"/>
    <w:unhideWhenUsed/>
    <w:rsid w:val="00A4569C"/>
    <w:pPr>
      <w:tabs>
        <w:tab w:val="center" w:pos="4536"/>
        <w:tab w:val="right" w:pos="9072"/>
      </w:tabs>
    </w:pPr>
    <w:rPr>
      <w:lang w:val="x-none"/>
    </w:rPr>
  </w:style>
  <w:style w:type="character" w:customStyle="1" w:styleId="StopkaZnak">
    <w:name w:val="Stopka Znak"/>
    <w:link w:val="Stopka"/>
    <w:uiPriority w:val="99"/>
    <w:rsid w:val="00A4569C"/>
    <w:rPr>
      <w:sz w:val="22"/>
      <w:szCs w:val="22"/>
      <w:lang w:eastAsia="en-US"/>
    </w:rPr>
  </w:style>
  <w:style w:type="paragraph" w:styleId="Tekstpodstawowy">
    <w:name w:val="Body Text"/>
    <w:basedOn w:val="Normalny"/>
    <w:link w:val="TekstpodstawowyZnak"/>
    <w:uiPriority w:val="99"/>
    <w:unhideWhenUsed/>
    <w:rsid w:val="00276F3E"/>
    <w:pPr>
      <w:spacing w:after="0" w:line="360" w:lineRule="auto"/>
      <w:jc w:val="both"/>
    </w:pPr>
    <w:rPr>
      <w:rFonts w:ascii="Times New Roman" w:hAnsi="Times New Roman"/>
      <w:i/>
      <w:iCs/>
      <w:sz w:val="24"/>
      <w:szCs w:val="24"/>
      <w:lang w:val="x-none" w:eastAsia="x-none"/>
    </w:rPr>
  </w:style>
  <w:style w:type="character" w:customStyle="1" w:styleId="TekstpodstawowyZnak">
    <w:name w:val="Tekst podstawowy Znak"/>
    <w:link w:val="Tekstpodstawowy"/>
    <w:uiPriority w:val="99"/>
    <w:rsid w:val="00276F3E"/>
    <w:rPr>
      <w:rFonts w:ascii="Times New Roman" w:eastAsia="Calibri" w:hAnsi="Times New Roman"/>
      <w:i/>
      <w:iCs/>
      <w:sz w:val="24"/>
      <w:szCs w:val="24"/>
    </w:rPr>
  </w:style>
  <w:style w:type="character" w:customStyle="1" w:styleId="googqs-tidbit1">
    <w:name w:val="goog_qs-tidbit1"/>
    <w:rsid w:val="00B56B65"/>
    <w:rPr>
      <w:vanish w:val="0"/>
      <w:webHidden w:val="0"/>
      <w:specVanish w:val="0"/>
    </w:rPr>
  </w:style>
  <w:style w:type="character" w:styleId="Odwoaniedokomentarza">
    <w:name w:val="annotation reference"/>
    <w:semiHidden/>
    <w:rsid w:val="002F32D1"/>
    <w:rPr>
      <w:sz w:val="16"/>
      <w:szCs w:val="16"/>
    </w:rPr>
  </w:style>
  <w:style w:type="paragraph" w:styleId="Tekstkomentarza">
    <w:name w:val="annotation text"/>
    <w:basedOn w:val="Normalny"/>
    <w:link w:val="TekstkomentarzaZnak"/>
    <w:uiPriority w:val="99"/>
    <w:semiHidden/>
    <w:rsid w:val="002F32D1"/>
    <w:rPr>
      <w:sz w:val="20"/>
      <w:szCs w:val="20"/>
      <w:lang w:val="x-none"/>
    </w:rPr>
  </w:style>
  <w:style w:type="paragraph" w:styleId="Tematkomentarza">
    <w:name w:val="annotation subject"/>
    <w:basedOn w:val="Tekstkomentarza"/>
    <w:next w:val="Tekstkomentarza"/>
    <w:semiHidden/>
    <w:rsid w:val="002F32D1"/>
    <w:rPr>
      <w:b/>
      <w:bCs/>
    </w:rPr>
  </w:style>
  <w:style w:type="paragraph" w:styleId="Tekstdymka">
    <w:name w:val="Balloon Text"/>
    <w:basedOn w:val="Normalny"/>
    <w:semiHidden/>
    <w:rsid w:val="002F32D1"/>
    <w:rPr>
      <w:rFonts w:ascii="Tahoma" w:hAnsi="Tahoma" w:cs="Tahoma"/>
      <w:sz w:val="16"/>
      <w:szCs w:val="16"/>
    </w:rPr>
  </w:style>
  <w:style w:type="character" w:styleId="Numerstrony">
    <w:name w:val="page number"/>
    <w:basedOn w:val="Domylnaczcionkaakapitu"/>
    <w:rsid w:val="003D6A8C"/>
  </w:style>
  <w:style w:type="character" w:customStyle="1" w:styleId="info-list-value-uzasadnienie">
    <w:name w:val="info-list-value-uzasadnienie"/>
    <w:basedOn w:val="Domylnaczcionkaakapitu"/>
    <w:rsid w:val="00570E11"/>
  </w:style>
  <w:style w:type="character" w:customStyle="1" w:styleId="Teksttreci">
    <w:name w:val="Tekst treści_"/>
    <w:link w:val="Teksttreci0"/>
    <w:rsid w:val="00570E11"/>
    <w:rPr>
      <w:rFonts w:ascii="Times New Roman" w:eastAsia="Times New Roman" w:hAnsi="Times New Roman"/>
      <w:sz w:val="22"/>
      <w:szCs w:val="22"/>
      <w:shd w:val="clear" w:color="auto" w:fill="FFFFFF"/>
    </w:rPr>
  </w:style>
  <w:style w:type="paragraph" w:customStyle="1" w:styleId="Teksttreci0">
    <w:name w:val="Tekst treści"/>
    <w:basedOn w:val="Normalny"/>
    <w:link w:val="Teksttreci"/>
    <w:rsid w:val="00570E11"/>
    <w:pPr>
      <w:shd w:val="clear" w:color="auto" w:fill="FFFFFF"/>
      <w:spacing w:after="0" w:line="0" w:lineRule="atLeast"/>
    </w:pPr>
    <w:rPr>
      <w:rFonts w:ascii="Times New Roman" w:eastAsia="Times New Roman" w:hAnsi="Times New Roman"/>
      <w:lang w:val="x-none" w:eastAsia="x-none"/>
    </w:rPr>
  </w:style>
  <w:style w:type="character" w:customStyle="1" w:styleId="TeksttreciKursywa">
    <w:name w:val="Tekst treści + Kursywa"/>
    <w:rsid w:val="00570E11"/>
    <w:rPr>
      <w:rFonts w:ascii="Times New Roman" w:eastAsia="Times New Roman" w:hAnsi="Times New Roman" w:cs="Times New Roman"/>
      <w:b w:val="0"/>
      <w:bCs w:val="0"/>
      <w:i/>
      <w:iCs/>
      <w:smallCaps w:val="0"/>
      <w:strike w:val="0"/>
      <w:spacing w:val="0"/>
      <w:sz w:val="22"/>
      <w:szCs w:val="22"/>
      <w:shd w:val="clear" w:color="auto" w:fill="FFFFFF"/>
    </w:rPr>
  </w:style>
  <w:style w:type="character" w:styleId="Hipercze">
    <w:name w:val="Hyperlink"/>
    <w:uiPriority w:val="99"/>
    <w:unhideWhenUsed/>
    <w:rsid w:val="00162750"/>
    <w:rPr>
      <w:color w:val="0000FF"/>
      <w:u w:val="single"/>
    </w:rPr>
  </w:style>
  <w:style w:type="character" w:customStyle="1" w:styleId="luchili">
    <w:name w:val="luc_hili"/>
    <w:basedOn w:val="Domylnaczcionkaakapitu"/>
    <w:rsid w:val="00D5099D"/>
  </w:style>
  <w:style w:type="character" w:customStyle="1" w:styleId="pierwszyakapit">
    <w:name w:val="pierwszyakapit"/>
    <w:basedOn w:val="Domylnaczcionkaakapitu"/>
    <w:rsid w:val="008E7D19"/>
  </w:style>
  <w:style w:type="character" w:styleId="Odwoanieprzypisukocowego">
    <w:name w:val="endnote reference"/>
    <w:uiPriority w:val="99"/>
    <w:semiHidden/>
    <w:unhideWhenUsed/>
    <w:rsid w:val="009E05C9"/>
    <w:rPr>
      <w:vertAlign w:val="superscript"/>
    </w:rPr>
  </w:style>
  <w:style w:type="character" w:customStyle="1" w:styleId="tabulatory">
    <w:name w:val="tabulatory"/>
    <w:basedOn w:val="Domylnaczcionkaakapitu"/>
    <w:rsid w:val="00611EDA"/>
  </w:style>
  <w:style w:type="paragraph" w:customStyle="1" w:styleId="ARTartustawynprozporzdzenia">
    <w:name w:val="ART(§) – art. ustawy (§ np. rozporządzenia)"/>
    <w:link w:val="ARTartustawynprozporzdzeniaZnak"/>
    <w:uiPriority w:val="14"/>
    <w:qFormat/>
    <w:rsid w:val="00654B2F"/>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ARTartustawynprozporzdzeniaZnak">
    <w:name w:val="ART(§) – art. ustawy (§ np. rozporządzenia) Znak"/>
    <w:link w:val="ARTartustawynprozporzdzenia"/>
    <w:uiPriority w:val="14"/>
    <w:locked/>
    <w:rsid w:val="00654B2F"/>
    <w:rPr>
      <w:rFonts w:ascii="Times" w:eastAsia="Times New Roman" w:hAnsi="Times" w:cs="Arial"/>
      <w:sz w:val="24"/>
      <w:lang w:val="pl-PL" w:eastAsia="pl-PL" w:bidi="ar-SA"/>
    </w:rPr>
  </w:style>
  <w:style w:type="paragraph" w:customStyle="1" w:styleId="ZARTzmartartykuempunktem">
    <w:name w:val="Z/ART(§) – zm. art. (§) artykułem (punktem)"/>
    <w:basedOn w:val="ARTartustawynprozporzdzenia"/>
    <w:uiPriority w:val="32"/>
    <w:qFormat/>
    <w:rsid w:val="00654B2F"/>
    <w:pPr>
      <w:spacing w:before="0"/>
      <w:ind w:left="510"/>
    </w:pPr>
  </w:style>
  <w:style w:type="paragraph" w:styleId="Tekstpodstawowy2">
    <w:name w:val="Body Text 2"/>
    <w:basedOn w:val="Normalny"/>
    <w:link w:val="Tekstpodstawowy2Znak"/>
    <w:uiPriority w:val="99"/>
    <w:unhideWhenUsed/>
    <w:rsid w:val="001E33E5"/>
    <w:pPr>
      <w:spacing w:after="120" w:line="480" w:lineRule="auto"/>
    </w:pPr>
    <w:rPr>
      <w:lang w:val="x-none"/>
    </w:rPr>
  </w:style>
  <w:style w:type="character" w:customStyle="1" w:styleId="Tekstpodstawowy2Znak">
    <w:name w:val="Tekst podstawowy 2 Znak"/>
    <w:link w:val="Tekstpodstawowy2"/>
    <w:uiPriority w:val="99"/>
    <w:rsid w:val="001E33E5"/>
    <w:rPr>
      <w:sz w:val="22"/>
      <w:szCs w:val="22"/>
      <w:lang w:eastAsia="en-US"/>
    </w:rPr>
  </w:style>
  <w:style w:type="paragraph" w:customStyle="1" w:styleId="CYTcytatnpprzysigi">
    <w:name w:val="CYT – cytat np. przysięgi"/>
    <w:basedOn w:val="Normalny"/>
    <w:next w:val="Normalny"/>
    <w:uiPriority w:val="18"/>
    <w:qFormat/>
    <w:rsid w:val="00223F66"/>
    <w:pPr>
      <w:suppressAutoHyphens/>
      <w:autoSpaceDE w:val="0"/>
      <w:autoSpaceDN w:val="0"/>
      <w:adjustRightInd w:val="0"/>
      <w:spacing w:after="0" w:line="360" w:lineRule="auto"/>
      <w:ind w:left="510" w:right="510"/>
      <w:mirrorIndents/>
      <w:jc w:val="both"/>
    </w:pPr>
    <w:rPr>
      <w:rFonts w:ascii="Times" w:eastAsia="Times New Roman" w:hAnsi="Times" w:cs="Arial"/>
      <w:bCs/>
      <w:sz w:val="24"/>
      <w:szCs w:val="20"/>
      <w:lang w:eastAsia="pl-PL"/>
    </w:rPr>
  </w:style>
  <w:style w:type="character" w:customStyle="1" w:styleId="TekstkomentarzaZnak">
    <w:name w:val="Tekst komentarza Znak"/>
    <w:link w:val="Tekstkomentarza"/>
    <w:uiPriority w:val="99"/>
    <w:semiHidden/>
    <w:rsid w:val="00223F66"/>
    <w:rPr>
      <w:lang w:eastAsia="en-US"/>
    </w:rPr>
  </w:style>
  <w:style w:type="paragraph" w:customStyle="1" w:styleId="PKTpunkt">
    <w:name w:val="PKT – punkt"/>
    <w:uiPriority w:val="13"/>
    <w:qFormat/>
    <w:rsid w:val="001453A4"/>
    <w:pPr>
      <w:spacing w:line="360" w:lineRule="auto"/>
      <w:ind w:left="510" w:hanging="510"/>
      <w:jc w:val="both"/>
    </w:pPr>
    <w:rPr>
      <w:rFonts w:ascii="Times" w:eastAsia="Times New Roman" w:hAnsi="Times" w:cs="Arial"/>
      <w:bCs/>
      <w:sz w:val="24"/>
    </w:rPr>
  </w:style>
  <w:style w:type="paragraph" w:customStyle="1" w:styleId="ZLITUSTzmustliter">
    <w:name w:val="Z_LIT/UST(§) – zm. ust. (§) literą"/>
    <w:basedOn w:val="Normalny"/>
    <w:uiPriority w:val="46"/>
    <w:qFormat/>
    <w:rsid w:val="001453A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ODNONIKtreodnonika">
    <w:name w:val="ODNOŚNIK – treść odnośnika"/>
    <w:uiPriority w:val="19"/>
    <w:qFormat/>
    <w:rsid w:val="001453A4"/>
    <w:pPr>
      <w:ind w:left="284" w:hanging="284"/>
      <w:jc w:val="both"/>
    </w:pPr>
    <w:rPr>
      <w:rFonts w:ascii="Times New Roman" w:eastAsia="Times New Roman" w:hAnsi="Times New Roman" w:cs="Arial"/>
    </w:rPr>
  </w:style>
  <w:style w:type="character" w:customStyle="1" w:styleId="IGindeksgrny">
    <w:name w:val="_IG_ – indeks górny"/>
    <w:uiPriority w:val="2"/>
    <w:qFormat/>
    <w:rsid w:val="001453A4"/>
    <w:rPr>
      <w:b w:val="0"/>
      <w:i w:val="0"/>
      <w:vanish w:val="0"/>
      <w:spacing w:val="0"/>
      <w:vertAlign w:val="superscript"/>
    </w:rPr>
  </w:style>
  <w:style w:type="paragraph" w:styleId="Poprawka">
    <w:name w:val="Revision"/>
    <w:hidden/>
    <w:uiPriority w:val="99"/>
    <w:semiHidden/>
    <w:rsid w:val="00C40CB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0C0E"/>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znaczenie">
    <w:name w:val="oznaczenie"/>
    <w:basedOn w:val="Domylnaczcionkaakapitu"/>
    <w:rsid w:val="008F3EAB"/>
  </w:style>
  <w:style w:type="character" w:styleId="Odwoanieprzypisudolnego">
    <w:name w:val="footnote reference"/>
    <w:uiPriority w:val="99"/>
    <w:rsid w:val="008F3EAB"/>
    <w:rPr>
      <w:vertAlign w:val="superscript"/>
    </w:rPr>
  </w:style>
  <w:style w:type="paragraph" w:styleId="Tekstprzypisudolnego">
    <w:name w:val="footnote text"/>
    <w:basedOn w:val="Normalny"/>
    <w:link w:val="TekstprzypisudolnegoZnak"/>
    <w:uiPriority w:val="99"/>
    <w:rsid w:val="008F3EAB"/>
    <w:pPr>
      <w:spacing w:after="0"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link w:val="Tekstprzypisudolnego"/>
    <w:uiPriority w:val="99"/>
    <w:rsid w:val="008F3EAB"/>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E4496"/>
    <w:pPr>
      <w:ind w:left="720"/>
      <w:contextualSpacing/>
    </w:pPr>
  </w:style>
  <w:style w:type="paragraph" w:styleId="Tekstprzypisukocowego">
    <w:name w:val="endnote text"/>
    <w:basedOn w:val="Normalny"/>
    <w:link w:val="TekstprzypisukocowegoZnak"/>
    <w:uiPriority w:val="99"/>
    <w:semiHidden/>
    <w:unhideWhenUsed/>
    <w:rsid w:val="00E615EB"/>
    <w:rPr>
      <w:sz w:val="20"/>
      <w:szCs w:val="20"/>
      <w:lang w:val="x-none"/>
    </w:rPr>
  </w:style>
  <w:style w:type="character" w:customStyle="1" w:styleId="TekstprzypisukocowegoZnak">
    <w:name w:val="Tekst przypisu końcowego Znak"/>
    <w:link w:val="Tekstprzypisukocowego"/>
    <w:uiPriority w:val="99"/>
    <w:semiHidden/>
    <w:rsid w:val="00E615EB"/>
    <w:rPr>
      <w:lang w:val="x-none" w:eastAsia="en-US"/>
    </w:rPr>
  </w:style>
  <w:style w:type="character" w:styleId="Pogrubienie">
    <w:name w:val="Strong"/>
    <w:uiPriority w:val="22"/>
    <w:qFormat/>
    <w:rsid w:val="00E615EB"/>
    <w:rPr>
      <w:b/>
      <w:bCs/>
    </w:rPr>
  </w:style>
  <w:style w:type="paragraph" w:styleId="Nagwek">
    <w:name w:val="header"/>
    <w:basedOn w:val="Normalny"/>
    <w:link w:val="NagwekZnak"/>
    <w:uiPriority w:val="99"/>
    <w:unhideWhenUsed/>
    <w:rsid w:val="00A4569C"/>
    <w:pPr>
      <w:tabs>
        <w:tab w:val="center" w:pos="4536"/>
        <w:tab w:val="right" w:pos="9072"/>
      </w:tabs>
    </w:pPr>
    <w:rPr>
      <w:lang w:val="x-none"/>
    </w:rPr>
  </w:style>
  <w:style w:type="character" w:customStyle="1" w:styleId="NagwekZnak">
    <w:name w:val="Nagłówek Znak"/>
    <w:link w:val="Nagwek"/>
    <w:uiPriority w:val="99"/>
    <w:rsid w:val="00A4569C"/>
    <w:rPr>
      <w:sz w:val="22"/>
      <w:szCs w:val="22"/>
      <w:lang w:eastAsia="en-US"/>
    </w:rPr>
  </w:style>
  <w:style w:type="paragraph" w:styleId="Stopka">
    <w:name w:val="footer"/>
    <w:basedOn w:val="Normalny"/>
    <w:link w:val="StopkaZnak"/>
    <w:uiPriority w:val="99"/>
    <w:unhideWhenUsed/>
    <w:rsid w:val="00A4569C"/>
    <w:pPr>
      <w:tabs>
        <w:tab w:val="center" w:pos="4536"/>
        <w:tab w:val="right" w:pos="9072"/>
      </w:tabs>
    </w:pPr>
    <w:rPr>
      <w:lang w:val="x-none"/>
    </w:rPr>
  </w:style>
  <w:style w:type="character" w:customStyle="1" w:styleId="StopkaZnak">
    <w:name w:val="Stopka Znak"/>
    <w:link w:val="Stopka"/>
    <w:uiPriority w:val="99"/>
    <w:rsid w:val="00A4569C"/>
    <w:rPr>
      <w:sz w:val="22"/>
      <w:szCs w:val="22"/>
      <w:lang w:eastAsia="en-US"/>
    </w:rPr>
  </w:style>
  <w:style w:type="paragraph" w:styleId="Tekstpodstawowy">
    <w:name w:val="Body Text"/>
    <w:basedOn w:val="Normalny"/>
    <w:link w:val="TekstpodstawowyZnak"/>
    <w:uiPriority w:val="99"/>
    <w:unhideWhenUsed/>
    <w:rsid w:val="00276F3E"/>
    <w:pPr>
      <w:spacing w:after="0" w:line="360" w:lineRule="auto"/>
      <w:jc w:val="both"/>
    </w:pPr>
    <w:rPr>
      <w:rFonts w:ascii="Times New Roman" w:hAnsi="Times New Roman"/>
      <w:i/>
      <w:iCs/>
      <w:sz w:val="24"/>
      <w:szCs w:val="24"/>
      <w:lang w:val="x-none" w:eastAsia="x-none"/>
    </w:rPr>
  </w:style>
  <w:style w:type="character" w:customStyle="1" w:styleId="TekstpodstawowyZnak">
    <w:name w:val="Tekst podstawowy Znak"/>
    <w:link w:val="Tekstpodstawowy"/>
    <w:uiPriority w:val="99"/>
    <w:rsid w:val="00276F3E"/>
    <w:rPr>
      <w:rFonts w:ascii="Times New Roman" w:eastAsia="Calibri" w:hAnsi="Times New Roman"/>
      <w:i/>
      <w:iCs/>
      <w:sz w:val="24"/>
      <w:szCs w:val="24"/>
    </w:rPr>
  </w:style>
  <w:style w:type="character" w:customStyle="1" w:styleId="googqs-tidbit1">
    <w:name w:val="goog_qs-tidbit1"/>
    <w:rsid w:val="00B56B65"/>
    <w:rPr>
      <w:vanish w:val="0"/>
      <w:webHidden w:val="0"/>
      <w:specVanish w:val="0"/>
    </w:rPr>
  </w:style>
  <w:style w:type="character" w:styleId="Odwoaniedokomentarza">
    <w:name w:val="annotation reference"/>
    <w:semiHidden/>
    <w:rsid w:val="002F32D1"/>
    <w:rPr>
      <w:sz w:val="16"/>
      <w:szCs w:val="16"/>
    </w:rPr>
  </w:style>
  <w:style w:type="paragraph" w:styleId="Tekstkomentarza">
    <w:name w:val="annotation text"/>
    <w:basedOn w:val="Normalny"/>
    <w:link w:val="TekstkomentarzaZnak"/>
    <w:uiPriority w:val="99"/>
    <w:semiHidden/>
    <w:rsid w:val="002F32D1"/>
    <w:rPr>
      <w:sz w:val="20"/>
      <w:szCs w:val="20"/>
      <w:lang w:val="x-none"/>
    </w:rPr>
  </w:style>
  <w:style w:type="paragraph" w:styleId="Tematkomentarza">
    <w:name w:val="annotation subject"/>
    <w:basedOn w:val="Tekstkomentarza"/>
    <w:next w:val="Tekstkomentarza"/>
    <w:semiHidden/>
    <w:rsid w:val="002F32D1"/>
    <w:rPr>
      <w:b/>
      <w:bCs/>
    </w:rPr>
  </w:style>
  <w:style w:type="paragraph" w:styleId="Tekstdymka">
    <w:name w:val="Balloon Text"/>
    <w:basedOn w:val="Normalny"/>
    <w:semiHidden/>
    <w:rsid w:val="002F32D1"/>
    <w:rPr>
      <w:rFonts w:ascii="Tahoma" w:hAnsi="Tahoma" w:cs="Tahoma"/>
      <w:sz w:val="16"/>
      <w:szCs w:val="16"/>
    </w:rPr>
  </w:style>
  <w:style w:type="character" w:styleId="Numerstrony">
    <w:name w:val="page number"/>
    <w:basedOn w:val="Domylnaczcionkaakapitu"/>
    <w:rsid w:val="003D6A8C"/>
  </w:style>
  <w:style w:type="character" w:customStyle="1" w:styleId="info-list-value-uzasadnienie">
    <w:name w:val="info-list-value-uzasadnienie"/>
    <w:basedOn w:val="Domylnaczcionkaakapitu"/>
    <w:rsid w:val="00570E11"/>
  </w:style>
  <w:style w:type="character" w:customStyle="1" w:styleId="Teksttreci">
    <w:name w:val="Tekst treści_"/>
    <w:link w:val="Teksttreci0"/>
    <w:rsid w:val="00570E11"/>
    <w:rPr>
      <w:rFonts w:ascii="Times New Roman" w:eastAsia="Times New Roman" w:hAnsi="Times New Roman"/>
      <w:sz w:val="22"/>
      <w:szCs w:val="22"/>
      <w:shd w:val="clear" w:color="auto" w:fill="FFFFFF"/>
    </w:rPr>
  </w:style>
  <w:style w:type="paragraph" w:customStyle="1" w:styleId="Teksttreci0">
    <w:name w:val="Tekst treści"/>
    <w:basedOn w:val="Normalny"/>
    <w:link w:val="Teksttreci"/>
    <w:rsid w:val="00570E11"/>
    <w:pPr>
      <w:shd w:val="clear" w:color="auto" w:fill="FFFFFF"/>
      <w:spacing w:after="0" w:line="0" w:lineRule="atLeast"/>
    </w:pPr>
    <w:rPr>
      <w:rFonts w:ascii="Times New Roman" w:eastAsia="Times New Roman" w:hAnsi="Times New Roman"/>
      <w:lang w:val="x-none" w:eastAsia="x-none"/>
    </w:rPr>
  </w:style>
  <w:style w:type="character" w:customStyle="1" w:styleId="TeksttreciKursywa">
    <w:name w:val="Tekst treści + Kursywa"/>
    <w:rsid w:val="00570E11"/>
    <w:rPr>
      <w:rFonts w:ascii="Times New Roman" w:eastAsia="Times New Roman" w:hAnsi="Times New Roman" w:cs="Times New Roman"/>
      <w:b w:val="0"/>
      <w:bCs w:val="0"/>
      <w:i/>
      <w:iCs/>
      <w:smallCaps w:val="0"/>
      <w:strike w:val="0"/>
      <w:spacing w:val="0"/>
      <w:sz w:val="22"/>
      <w:szCs w:val="22"/>
      <w:shd w:val="clear" w:color="auto" w:fill="FFFFFF"/>
    </w:rPr>
  </w:style>
  <w:style w:type="character" w:styleId="Hipercze">
    <w:name w:val="Hyperlink"/>
    <w:uiPriority w:val="99"/>
    <w:unhideWhenUsed/>
    <w:rsid w:val="00162750"/>
    <w:rPr>
      <w:color w:val="0000FF"/>
      <w:u w:val="single"/>
    </w:rPr>
  </w:style>
  <w:style w:type="character" w:customStyle="1" w:styleId="luchili">
    <w:name w:val="luc_hili"/>
    <w:basedOn w:val="Domylnaczcionkaakapitu"/>
    <w:rsid w:val="00D5099D"/>
  </w:style>
  <w:style w:type="character" w:customStyle="1" w:styleId="pierwszyakapit">
    <w:name w:val="pierwszyakapit"/>
    <w:basedOn w:val="Domylnaczcionkaakapitu"/>
    <w:rsid w:val="008E7D19"/>
  </w:style>
  <w:style w:type="character" w:styleId="Odwoanieprzypisukocowego">
    <w:name w:val="endnote reference"/>
    <w:uiPriority w:val="99"/>
    <w:semiHidden/>
    <w:unhideWhenUsed/>
    <w:rsid w:val="009E05C9"/>
    <w:rPr>
      <w:vertAlign w:val="superscript"/>
    </w:rPr>
  </w:style>
  <w:style w:type="character" w:customStyle="1" w:styleId="tabulatory">
    <w:name w:val="tabulatory"/>
    <w:basedOn w:val="Domylnaczcionkaakapitu"/>
    <w:rsid w:val="00611EDA"/>
  </w:style>
  <w:style w:type="paragraph" w:customStyle="1" w:styleId="ARTartustawynprozporzdzenia">
    <w:name w:val="ART(§) – art. ustawy (§ np. rozporządzenia)"/>
    <w:link w:val="ARTartustawynprozporzdzeniaZnak"/>
    <w:uiPriority w:val="14"/>
    <w:qFormat/>
    <w:rsid w:val="00654B2F"/>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ARTartustawynprozporzdzeniaZnak">
    <w:name w:val="ART(§) – art. ustawy (§ np. rozporządzenia) Znak"/>
    <w:link w:val="ARTartustawynprozporzdzenia"/>
    <w:uiPriority w:val="14"/>
    <w:locked/>
    <w:rsid w:val="00654B2F"/>
    <w:rPr>
      <w:rFonts w:ascii="Times" w:eastAsia="Times New Roman" w:hAnsi="Times" w:cs="Arial"/>
      <w:sz w:val="24"/>
      <w:lang w:val="pl-PL" w:eastAsia="pl-PL" w:bidi="ar-SA"/>
    </w:rPr>
  </w:style>
  <w:style w:type="paragraph" w:customStyle="1" w:styleId="ZARTzmartartykuempunktem">
    <w:name w:val="Z/ART(§) – zm. art. (§) artykułem (punktem)"/>
    <w:basedOn w:val="ARTartustawynprozporzdzenia"/>
    <w:uiPriority w:val="32"/>
    <w:qFormat/>
    <w:rsid w:val="00654B2F"/>
    <w:pPr>
      <w:spacing w:before="0"/>
      <w:ind w:left="510"/>
    </w:pPr>
  </w:style>
  <w:style w:type="paragraph" w:styleId="Tekstpodstawowy2">
    <w:name w:val="Body Text 2"/>
    <w:basedOn w:val="Normalny"/>
    <w:link w:val="Tekstpodstawowy2Znak"/>
    <w:uiPriority w:val="99"/>
    <w:unhideWhenUsed/>
    <w:rsid w:val="001E33E5"/>
    <w:pPr>
      <w:spacing w:after="120" w:line="480" w:lineRule="auto"/>
    </w:pPr>
    <w:rPr>
      <w:lang w:val="x-none"/>
    </w:rPr>
  </w:style>
  <w:style w:type="character" w:customStyle="1" w:styleId="Tekstpodstawowy2Znak">
    <w:name w:val="Tekst podstawowy 2 Znak"/>
    <w:link w:val="Tekstpodstawowy2"/>
    <w:uiPriority w:val="99"/>
    <w:rsid w:val="001E33E5"/>
    <w:rPr>
      <w:sz w:val="22"/>
      <w:szCs w:val="22"/>
      <w:lang w:eastAsia="en-US"/>
    </w:rPr>
  </w:style>
  <w:style w:type="paragraph" w:customStyle="1" w:styleId="CYTcytatnpprzysigi">
    <w:name w:val="CYT – cytat np. przysięgi"/>
    <w:basedOn w:val="Normalny"/>
    <w:next w:val="Normalny"/>
    <w:uiPriority w:val="18"/>
    <w:qFormat/>
    <w:rsid w:val="00223F66"/>
    <w:pPr>
      <w:suppressAutoHyphens/>
      <w:autoSpaceDE w:val="0"/>
      <w:autoSpaceDN w:val="0"/>
      <w:adjustRightInd w:val="0"/>
      <w:spacing w:after="0" w:line="360" w:lineRule="auto"/>
      <w:ind w:left="510" w:right="510"/>
      <w:mirrorIndents/>
      <w:jc w:val="both"/>
    </w:pPr>
    <w:rPr>
      <w:rFonts w:ascii="Times" w:eastAsia="Times New Roman" w:hAnsi="Times" w:cs="Arial"/>
      <w:bCs/>
      <w:sz w:val="24"/>
      <w:szCs w:val="20"/>
      <w:lang w:eastAsia="pl-PL"/>
    </w:rPr>
  </w:style>
  <w:style w:type="character" w:customStyle="1" w:styleId="TekstkomentarzaZnak">
    <w:name w:val="Tekst komentarza Znak"/>
    <w:link w:val="Tekstkomentarza"/>
    <w:uiPriority w:val="99"/>
    <w:semiHidden/>
    <w:rsid w:val="00223F66"/>
    <w:rPr>
      <w:lang w:eastAsia="en-US"/>
    </w:rPr>
  </w:style>
  <w:style w:type="paragraph" w:customStyle="1" w:styleId="PKTpunkt">
    <w:name w:val="PKT – punkt"/>
    <w:uiPriority w:val="13"/>
    <w:qFormat/>
    <w:rsid w:val="001453A4"/>
    <w:pPr>
      <w:spacing w:line="360" w:lineRule="auto"/>
      <w:ind w:left="510" w:hanging="510"/>
      <w:jc w:val="both"/>
    </w:pPr>
    <w:rPr>
      <w:rFonts w:ascii="Times" w:eastAsia="Times New Roman" w:hAnsi="Times" w:cs="Arial"/>
      <w:bCs/>
      <w:sz w:val="24"/>
    </w:rPr>
  </w:style>
  <w:style w:type="paragraph" w:customStyle="1" w:styleId="ZLITUSTzmustliter">
    <w:name w:val="Z_LIT/UST(§) – zm. ust. (§) literą"/>
    <w:basedOn w:val="Normalny"/>
    <w:uiPriority w:val="46"/>
    <w:qFormat/>
    <w:rsid w:val="001453A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ODNONIKtreodnonika">
    <w:name w:val="ODNOŚNIK – treść odnośnika"/>
    <w:uiPriority w:val="19"/>
    <w:qFormat/>
    <w:rsid w:val="001453A4"/>
    <w:pPr>
      <w:ind w:left="284" w:hanging="284"/>
      <w:jc w:val="both"/>
    </w:pPr>
    <w:rPr>
      <w:rFonts w:ascii="Times New Roman" w:eastAsia="Times New Roman" w:hAnsi="Times New Roman" w:cs="Arial"/>
    </w:rPr>
  </w:style>
  <w:style w:type="character" w:customStyle="1" w:styleId="IGindeksgrny">
    <w:name w:val="_IG_ – indeks górny"/>
    <w:uiPriority w:val="2"/>
    <w:qFormat/>
    <w:rsid w:val="001453A4"/>
    <w:rPr>
      <w:b w:val="0"/>
      <w:i w:val="0"/>
      <w:vanish w:val="0"/>
      <w:spacing w:val="0"/>
      <w:vertAlign w:val="superscript"/>
    </w:rPr>
  </w:style>
  <w:style w:type="paragraph" w:styleId="Poprawka">
    <w:name w:val="Revision"/>
    <w:hidden/>
    <w:uiPriority w:val="99"/>
    <w:semiHidden/>
    <w:rsid w:val="00C40C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441">
      <w:bodyDiv w:val="1"/>
      <w:marLeft w:val="0"/>
      <w:marRight w:val="0"/>
      <w:marTop w:val="0"/>
      <w:marBottom w:val="0"/>
      <w:divBdr>
        <w:top w:val="none" w:sz="0" w:space="0" w:color="auto"/>
        <w:left w:val="none" w:sz="0" w:space="0" w:color="auto"/>
        <w:bottom w:val="none" w:sz="0" w:space="0" w:color="auto"/>
        <w:right w:val="none" w:sz="0" w:space="0" w:color="auto"/>
      </w:divBdr>
      <w:divsChild>
        <w:div w:id="921641599">
          <w:marLeft w:val="0"/>
          <w:marRight w:val="0"/>
          <w:marTop w:val="0"/>
          <w:marBottom w:val="0"/>
          <w:divBdr>
            <w:top w:val="none" w:sz="0" w:space="0" w:color="auto"/>
            <w:left w:val="none" w:sz="0" w:space="0" w:color="auto"/>
            <w:bottom w:val="none" w:sz="0" w:space="0" w:color="auto"/>
            <w:right w:val="none" w:sz="0" w:space="0" w:color="auto"/>
          </w:divBdr>
          <w:divsChild>
            <w:div w:id="1946451705">
              <w:marLeft w:val="0"/>
              <w:marRight w:val="0"/>
              <w:marTop w:val="0"/>
              <w:marBottom w:val="0"/>
              <w:divBdr>
                <w:top w:val="none" w:sz="0" w:space="0" w:color="auto"/>
                <w:left w:val="none" w:sz="0" w:space="0" w:color="auto"/>
                <w:bottom w:val="none" w:sz="0" w:space="0" w:color="auto"/>
                <w:right w:val="none" w:sz="0" w:space="0" w:color="auto"/>
              </w:divBdr>
            </w:div>
          </w:divsChild>
        </w:div>
        <w:div w:id="1071391549">
          <w:marLeft w:val="0"/>
          <w:marRight w:val="0"/>
          <w:marTop w:val="0"/>
          <w:marBottom w:val="0"/>
          <w:divBdr>
            <w:top w:val="none" w:sz="0" w:space="0" w:color="auto"/>
            <w:left w:val="none" w:sz="0" w:space="0" w:color="auto"/>
            <w:bottom w:val="none" w:sz="0" w:space="0" w:color="auto"/>
            <w:right w:val="none" w:sz="0" w:space="0" w:color="auto"/>
          </w:divBdr>
        </w:div>
      </w:divsChild>
    </w:div>
    <w:div w:id="239828268">
      <w:bodyDiv w:val="1"/>
      <w:marLeft w:val="0"/>
      <w:marRight w:val="0"/>
      <w:marTop w:val="0"/>
      <w:marBottom w:val="0"/>
      <w:divBdr>
        <w:top w:val="none" w:sz="0" w:space="0" w:color="auto"/>
        <w:left w:val="none" w:sz="0" w:space="0" w:color="auto"/>
        <w:bottom w:val="none" w:sz="0" w:space="0" w:color="auto"/>
        <w:right w:val="none" w:sz="0" w:space="0" w:color="auto"/>
      </w:divBdr>
    </w:div>
    <w:div w:id="254020101">
      <w:bodyDiv w:val="1"/>
      <w:marLeft w:val="0"/>
      <w:marRight w:val="0"/>
      <w:marTop w:val="0"/>
      <w:marBottom w:val="0"/>
      <w:divBdr>
        <w:top w:val="none" w:sz="0" w:space="0" w:color="auto"/>
        <w:left w:val="none" w:sz="0" w:space="0" w:color="auto"/>
        <w:bottom w:val="none" w:sz="0" w:space="0" w:color="auto"/>
        <w:right w:val="none" w:sz="0" w:space="0" w:color="auto"/>
      </w:divBdr>
      <w:divsChild>
        <w:div w:id="508452367">
          <w:marLeft w:val="0"/>
          <w:marRight w:val="0"/>
          <w:marTop w:val="0"/>
          <w:marBottom w:val="0"/>
          <w:divBdr>
            <w:top w:val="none" w:sz="0" w:space="0" w:color="auto"/>
            <w:left w:val="none" w:sz="0" w:space="0" w:color="auto"/>
            <w:bottom w:val="none" w:sz="0" w:space="0" w:color="auto"/>
            <w:right w:val="none" w:sz="0" w:space="0" w:color="auto"/>
          </w:divBdr>
          <w:divsChild>
            <w:div w:id="965501529">
              <w:marLeft w:val="0"/>
              <w:marRight w:val="0"/>
              <w:marTop w:val="0"/>
              <w:marBottom w:val="0"/>
              <w:divBdr>
                <w:top w:val="none" w:sz="0" w:space="0" w:color="auto"/>
                <w:left w:val="none" w:sz="0" w:space="0" w:color="auto"/>
                <w:bottom w:val="none" w:sz="0" w:space="0" w:color="auto"/>
                <w:right w:val="none" w:sz="0" w:space="0" w:color="auto"/>
              </w:divBdr>
              <w:divsChild>
                <w:div w:id="1485659981">
                  <w:marLeft w:val="0"/>
                  <w:marRight w:val="0"/>
                  <w:marTop w:val="0"/>
                  <w:marBottom w:val="0"/>
                  <w:divBdr>
                    <w:top w:val="none" w:sz="0" w:space="0" w:color="auto"/>
                    <w:left w:val="none" w:sz="0" w:space="0" w:color="auto"/>
                    <w:bottom w:val="none" w:sz="0" w:space="0" w:color="auto"/>
                    <w:right w:val="none" w:sz="0" w:space="0" w:color="auto"/>
                  </w:divBdr>
                  <w:divsChild>
                    <w:div w:id="1551108796">
                      <w:marLeft w:val="0"/>
                      <w:marRight w:val="0"/>
                      <w:marTop w:val="0"/>
                      <w:marBottom w:val="0"/>
                      <w:divBdr>
                        <w:top w:val="none" w:sz="0" w:space="0" w:color="auto"/>
                        <w:left w:val="none" w:sz="0" w:space="0" w:color="auto"/>
                        <w:bottom w:val="none" w:sz="0" w:space="0" w:color="auto"/>
                        <w:right w:val="none" w:sz="0" w:space="0" w:color="auto"/>
                      </w:divBdr>
                      <w:divsChild>
                        <w:div w:id="106779850">
                          <w:marLeft w:val="0"/>
                          <w:marRight w:val="0"/>
                          <w:marTop w:val="0"/>
                          <w:marBottom w:val="0"/>
                          <w:divBdr>
                            <w:top w:val="none" w:sz="0" w:space="0" w:color="auto"/>
                            <w:left w:val="none" w:sz="0" w:space="0" w:color="auto"/>
                            <w:bottom w:val="none" w:sz="0" w:space="0" w:color="auto"/>
                            <w:right w:val="none" w:sz="0" w:space="0" w:color="auto"/>
                          </w:divBdr>
                          <w:divsChild>
                            <w:div w:id="1097749860">
                              <w:marLeft w:val="0"/>
                              <w:marRight w:val="0"/>
                              <w:marTop w:val="0"/>
                              <w:marBottom w:val="0"/>
                              <w:divBdr>
                                <w:top w:val="none" w:sz="0" w:space="0" w:color="auto"/>
                                <w:left w:val="none" w:sz="0" w:space="0" w:color="auto"/>
                                <w:bottom w:val="none" w:sz="0" w:space="0" w:color="auto"/>
                                <w:right w:val="none" w:sz="0" w:space="0" w:color="auto"/>
                              </w:divBdr>
                              <w:divsChild>
                                <w:div w:id="1294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292048">
      <w:bodyDiv w:val="1"/>
      <w:marLeft w:val="0"/>
      <w:marRight w:val="0"/>
      <w:marTop w:val="0"/>
      <w:marBottom w:val="0"/>
      <w:divBdr>
        <w:top w:val="none" w:sz="0" w:space="0" w:color="auto"/>
        <w:left w:val="none" w:sz="0" w:space="0" w:color="auto"/>
        <w:bottom w:val="none" w:sz="0" w:space="0" w:color="auto"/>
        <w:right w:val="none" w:sz="0" w:space="0" w:color="auto"/>
      </w:divBdr>
    </w:div>
    <w:div w:id="372390332">
      <w:bodyDiv w:val="1"/>
      <w:marLeft w:val="0"/>
      <w:marRight w:val="0"/>
      <w:marTop w:val="0"/>
      <w:marBottom w:val="0"/>
      <w:divBdr>
        <w:top w:val="none" w:sz="0" w:space="0" w:color="auto"/>
        <w:left w:val="none" w:sz="0" w:space="0" w:color="auto"/>
        <w:bottom w:val="none" w:sz="0" w:space="0" w:color="auto"/>
        <w:right w:val="none" w:sz="0" w:space="0" w:color="auto"/>
      </w:divBdr>
    </w:div>
    <w:div w:id="379785264">
      <w:bodyDiv w:val="1"/>
      <w:marLeft w:val="0"/>
      <w:marRight w:val="0"/>
      <w:marTop w:val="0"/>
      <w:marBottom w:val="0"/>
      <w:divBdr>
        <w:top w:val="none" w:sz="0" w:space="0" w:color="auto"/>
        <w:left w:val="none" w:sz="0" w:space="0" w:color="auto"/>
        <w:bottom w:val="none" w:sz="0" w:space="0" w:color="auto"/>
        <w:right w:val="none" w:sz="0" w:space="0" w:color="auto"/>
      </w:divBdr>
      <w:divsChild>
        <w:div w:id="1476218589">
          <w:marLeft w:val="0"/>
          <w:marRight w:val="0"/>
          <w:marTop w:val="0"/>
          <w:marBottom w:val="0"/>
          <w:divBdr>
            <w:top w:val="none" w:sz="0" w:space="0" w:color="auto"/>
            <w:left w:val="none" w:sz="0" w:space="0" w:color="auto"/>
            <w:bottom w:val="none" w:sz="0" w:space="0" w:color="auto"/>
            <w:right w:val="none" w:sz="0" w:space="0" w:color="auto"/>
          </w:divBdr>
          <w:divsChild>
            <w:div w:id="1326739483">
              <w:marLeft w:val="0"/>
              <w:marRight w:val="0"/>
              <w:marTop w:val="0"/>
              <w:marBottom w:val="0"/>
              <w:divBdr>
                <w:top w:val="none" w:sz="0" w:space="0" w:color="auto"/>
                <w:left w:val="none" w:sz="0" w:space="0" w:color="auto"/>
                <w:bottom w:val="none" w:sz="0" w:space="0" w:color="auto"/>
                <w:right w:val="none" w:sz="0" w:space="0" w:color="auto"/>
              </w:divBdr>
            </w:div>
            <w:div w:id="1569151637">
              <w:marLeft w:val="0"/>
              <w:marRight w:val="0"/>
              <w:marTop w:val="0"/>
              <w:marBottom w:val="0"/>
              <w:divBdr>
                <w:top w:val="none" w:sz="0" w:space="0" w:color="auto"/>
                <w:left w:val="none" w:sz="0" w:space="0" w:color="auto"/>
                <w:bottom w:val="none" w:sz="0" w:space="0" w:color="auto"/>
                <w:right w:val="none" w:sz="0" w:space="0" w:color="auto"/>
              </w:divBdr>
            </w:div>
            <w:div w:id="2034571748">
              <w:marLeft w:val="0"/>
              <w:marRight w:val="0"/>
              <w:marTop w:val="0"/>
              <w:marBottom w:val="0"/>
              <w:divBdr>
                <w:top w:val="none" w:sz="0" w:space="0" w:color="auto"/>
                <w:left w:val="none" w:sz="0" w:space="0" w:color="auto"/>
                <w:bottom w:val="none" w:sz="0" w:space="0" w:color="auto"/>
                <w:right w:val="none" w:sz="0" w:space="0" w:color="auto"/>
              </w:divBdr>
              <w:divsChild>
                <w:div w:id="7580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08748">
      <w:bodyDiv w:val="1"/>
      <w:marLeft w:val="0"/>
      <w:marRight w:val="0"/>
      <w:marTop w:val="0"/>
      <w:marBottom w:val="0"/>
      <w:divBdr>
        <w:top w:val="none" w:sz="0" w:space="0" w:color="auto"/>
        <w:left w:val="none" w:sz="0" w:space="0" w:color="auto"/>
        <w:bottom w:val="none" w:sz="0" w:space="0" w:color="auto"/>
        <w:right w:val="none" w:sz="0" w:space="0" w:color="auto"/>
      </w:divBdr>
    </w:div>
    <w:div w:id="386993072">
      <w:bodyDiv w:val="1"/>
      <w:marLeft w:val="0"/>
      <w:marRight w:val="0"/>
      <w:marTop w:val="0"/>
      <w:marBottom w:val="0"/>
      <w:divBdr>
        <w:top w:val="none" w:sz="0" w:space="0" w:color="auto"/>
        <w:left w:val="none" w:sz="0" w:space="0" w:color="auto"/>
        <w:bottom w:val="none" w:sz="0" w:space="0" w:color="auto"/>
        <w:right w:val="none" w:sz="0" w:space="0" w:color="auto"/>
      </w:divBdr>
    </w:div>
    <w:div w:id="393741022">
      <w:bodyDiv w:val="1"/>
      <w:marLeft w:val="0"/>
      <w:marRight w:val="0"/>
      <w:marTop w:val="0"/>
      <w:marBottom w:val="0"/>
      <w:divBdr>
        <w:top w:val="none" w:sz="0" w:space="0" w:color="auto"/>
        <w:left w:val="none" w:sz="0" w:space="0" w:color="auto"/>
        <w:bottom w:val="none" w:sz="0" w:space="0" w:color="auto"/>
        <w:right w:val="none" w:sz="0" w:space="0" w:color="auto"/>
      </w:divBdr>
    </w:div>
    <w:div w:id="461461641">
      <w:bodyDiv w:val="1"/>
      <w:marLeft w:val="0"/>
      <w:marRight w:val="0"/>
      <w:marTop w:val="0"/>
      <w:marBottom w:val="0"/>
      <w:divBdr>
        <w:top w:val="none" w:sz="0" w:space="0" w:color="auto"/>
        <w:left w:val="none" w:sz="0" w:space="0" w:color="auto"/>
        <w:bottom w:val="none" w:sz="0" w:space="0" w:color="auto"/>
        <w:right w:val="none" w:sz="0" w:space="0" w:color="auto"/>
      </w:divBdr>
    </w:div>
    <w:div w:id="594366945">
      <w:bodyDiv w:val="1"/>
      <w:marLeft w:val="313"/>
      <w:marRight w:val="0"/>
      <w:marTop w:val="125"/>
      <w:marBottom w:val="0"/>
      <w:divBdr>
        <w:top w:val="none" w:sz="0" w:space="0" w:color="auto"/>
        <w:left w:val="none" w:sz="0" w:space="0" w:color="auto"/>
        <w:bottom w:val="none" w:sz="0" w:space="0" w:color="auto"/>
        <w:right w:val="none" w:sz="0" w:space="0" w:color="auto"/>
      </w:divBdr>
      <w:divsChild>
        <w:div w:id="45614481">
          <w:marLeft w:val="0"/>
          <w:marRight w:val="0"/>
          <w:marTop w:val="0"/>
          <w:marBottom w:val="0"/>
          <w:divBdr>
            <w:top w:val="none" w:sz="0" w:space="0" w:color="auto"/>
            <w:left w:val="none" w:sz="0" w:space="0" w:color="auto"/>
            <w:bottom w:val="none" w:sz="0" w:space="0" w:color="auto"/>
            <w:right w:val="none" w:sz="0" w:space="0" w:color="auto"/>
          </w:divBdr>
          <w:divsChild>
            <w:div w:id="1727952344">
              <w:marLeft w:val="0"/>
              <w:marRight w:val="0"/>
              <w:marTop w:val="0"/>
              <w:marBottom w:val="0"/>
              <w:divBdr>
                <w:top w:val="none" w:sz="0" w:space="0" w:color="auto"/>
                <w:left w:val="none" w:sz="0" w:space="0" w:color="auto"/>
                <w:bottom w:val="none" w:sz="0" w:space="0" w:color="auto"/>
                <w:right w:val="none" w:sz="0" w:space="0" w:color="auto"/>
              </w:divBdr>
              <w:divsChild>
                <w:div w:id="3211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56838">
      <w:bodyDiv w:val="1"/>
      <w:marLeft w:val="0"/>
      <w:marRight w:val="0"/>
      <w:marTop w:val="0"/>
      <w:marBottom w:val="0"/>
      <w:divBdr>
        <w:top w:val="none" w:sz="0" w:space="0" w:color="auto"/>
        <w:left w:val="none" w:sz="0" w:space="0" w:color="auto"/>
        <w:bottom w:val="none" w:sz="0" w:space="0" w:color="auto"/>
        <w:right w:val="none" w:sz="0" w:space="0" w:color="auto"/>
      </w:divBdr>
    </w:div>
    <w:div w:id="724329673">
      <w:bodyDiv w:val="1"/>
      <w:marLeft w:val="0"/>
      <w:marRight w:val="0"/>
      <w:marTop w:val="0"/>
      <w:marBottom w:val="0"/>
      <w:divBdr>
        <w:top w:val="none" w:sz="0" w:space="0" w:color="auto"/>
        <w:left w:val="none" w:sz="0" w:space="0" w:color="auto"/>
        <w:bottom w:val="none" w:sz="0" w:space="0" w:color="auto"/>
        <w:right w:val="none" w:sz="0" w:space="0" w:color="auto"/>
      </w:divBdr>
    </w:div>
    <w:div w:id="741147672">
      <w:bodyDiv w:val="1"/>
      <w:marLeft w:val="0"/>
      <w:marRight w:val="0"/>
      <w:marTop w:val="0"/>
      <w:marBottom w:val="0"/>
      <w:divBdr>
        <w:top w:val="none" w:sz="0" w:space="0" w:color="auto"/>
        <w:left w:val="none" w:sz="0" w:space="0" w:color="auto"/>
        <w:bottom w:val="none" w:sz="0" w:space="0" w:color="auto"/>
        <w:right w:val="none" w:sz="0" w:space="0" w:color="auto"/>
      </w:divBdr>
    </w:div>
    <w:div w:id="764693499">
      <w:bodyDiv w:val="1"/>
      <w:marLeft w:val="0"/>
      <w:marRight w:val="0"/>
      <w:marTop w:val="0"/>
      <w:marBottom w:val="0"/>
      <w:divBdr>
        <w:top w:val="none" w:sz="0" w:space="0" w:color="auto"/>
        <w:left w:val="none" w:sz="0" w:space="0" w:color="auto"/>
        <w:bottom w:val="none" w:sz="0" w:space="0" w:color="auto"/>
        <w:right w:val="none" w:sz="0" w:space="0" w:color="auto"/>
      </w:divBdr>
    </w:div>
    <w:div w:id="776674502">
      <w:bodyDiv w:val="1"/>
      <w:marLeft w:val="0"/>
      <w:marRight w:val="0"/>
      <w:marTop w:val="0"/>
      <w:marBottom w:val="0"/>
      <w:divBdr>
        <w:top w:val="none" w:sz="0" w:space="0" w:color="auto"/>
        <w:left w:val="none" w:sz="0" w:space="0" w:color="auto"/>
        <w:bottom w:val="none" w:sz="0" w:space="0" w:color="auto"/>
        <w:right w:val="none" w:sz="0" w:space="0" w:color="auto"/>
      </w:divBdr>
    </w:div>
    <w:div w:id="831064723">
      <w:bodyDiv w:val="1"/>
      <w:marLeft w:val="0"/>
      <w:marRight w:val="0"/>
      <w:marTop w:val="0"/>
      <w:marBottom w:val="0"/>
      <w:divBdr>
        <w:top w:val="none" w:sz="0" w:space="0" w:color="auto"/>
        <w:left w:val="none" w:sz="0" w:space="0" w:color="auto"/>
        <w:bottom w:val="none" w:sz="0" w:space="0" w:color="auto"/>
        <w:right w:val="none" w:sz="0" w:space="0" w:color="auto"/>
      </w:divBdr>
    </w:div>
    <w:div w:id="833181734">
      <w:bodyDiv w:val="1"/>
      <w:marLeft w:val="0"/>
      <w:marRight w:val="0"/>
      <w:marTop w:val="0"/>
      <w:marBottom w:val="0"/>
      <w:divBdr>
        <w:top w:val="none" w:sz="0" w:space="0" w:color="auto"/>
        <w:left w:val="none" w:sz="0" w:space="0" w:color="auto"/>
        <w:bottom w:val="none" w:sz="0" w:space="0" w:color="auto"/>
        <w:right w:val="none" w:sz="0" w:space="0" w:color="auto"/>
      </w:divBdr>
    </w:div>
    <w:div w:id="847983393">
      <w:bodyDiv w:val="1"/>
      <w:marLeft w:val="0"/>
      <w:marRight w:val="0"/>
      <w:marTop w:val="0"/>
      <w:marBottom w:val="0"/>
      <w:divBdr>
        <w:top w:val="none" w:sz="0" w:space="0" w:color="auto"/>
        <w:left w:val="none" w:sz="0" w:space="0" w:color="auto"/>
        <w:bottom w:val="none" w:sz="0" w:space="0" w:color="auto"/>
        <w:right w:val="none" w:sz="0" w:space="0" w:color="auto"/>
      </w:divBdr>
    </w:div>
    <w:div w:id="882986106">
      <w:bodyDiv w:val="1"/>
      <w:marLeft w:val="0"/>
      <w:marRight w:val="0"/>
      <w:marTop w:val="0"/>
      <w:marBottom w:val="0"/>
      <w:divBdr>
        <w:top w:val="none" w:sz="0" w:space="0" w:color="auto"/>
        <w:left w:val="none" w:sz="0" w:space="0" w:color="auto"/>
        <w:bottom w:val="none" w:sz="0" w:space="0" w:color="auto"/>
        <w:right w:val="none" w:sz="0" w:space="0" w:color="auto"/>
      </w:divBdr>
      <w:divsChild>
        <w:div w:id="725763725">
          <w:marLeft w:val="0"/>
          <w:marRight w:val="0"/>
          <w:marTop w:val="0"/>
          <w:marBottom w:val="0"/>
          <w:divBdr>
            <w:top w:val="none" w:sz="0" w:space="0" w:color="auto"/>
            <w:left w:val="none" w:sz="0" w:space="0" w:color="auto"/>
            <w:bottom w:val="none" w:sz="0" w:space="0" w:color="auto"/>
            <w:right w:val="none" w:sz="0" w:space="0" w:color="auto"/>
          </w:divBdr>
          <w:divsChild>
            <w:div w:id="545525874">
              <w:marLeft w:val="0"/>
              <w:marRight w:val="0"/>
              <w:marTop w:val="0"/>
              <w:marBottom w:val="0"/>
              <w:divBdr>
                <w:top w:val="none" w:sz="0" w:space="0" w:color="auto"/>
                <w:left w:val="none" w:sz="0" w:space="0" w:color="auto"/>
                <w:bottom w:val="none" w:sz="0" w:space="0" w:color="auto"/>
                <w:right w:val="none" w:sz="0" w:space="0" w:color="auto"/>
              </w:divBdr>
            </w:div>
            <w:div w:id="682627615">
              <w:marLeft w:val="0"/>
              <w:marRight w:val="0"/>
              <w:marTop w:val="0"/>
              <w:marBottom w:val="0"/>
              <w:divBdr>
                <w:top w:val="none" w:sz="0" w:space="0" w:color="auto"/>
                <w:left w:val="none" w:sz="0" w:space="0" w:color="auto"/>
                <w:bottom w:val="none" w:sz="0" w:space="0" w:color="auto"/>
                <w:right w:val="none" w:sz="0" w:space="0" w:color="auto"/>
              </w:divBdr>
              <w:divsChild>
                <w:div w:id="1699086484">
                  <w:marLeft w:val="0"/>
                  <w:marRight w:val="0"/>
                  <w:marTop w:val="0"/>
                  <w:marBottom w:val="0"/>
                  <w:divBdr>
                    <w:top w:val="none" w:sz="0" w:space="0" w:color="auto"/>
                    <w:left w:val="none" w:sz="0" w:space="0" w:color="auto"/>
                    <w:bottom w:val="none" w:sz="0" w:space="0" w:color="auto"/>
                    <w:right w:val="none" w:sz="0" w:space="0" w:color="auto"/>
                  </w:divBdr>
                </w:div>
              </w:divsChild>
            </w:div>
            <w:div w:id="1313829413">
              <w:marLeft w:val="0"/>
              <w:marRight w:val="0"/>
              <w:marTop w:val="0"/>
              <w:marBottom w:val="0"/>
              <w:divBdr>
                <w:top w:val="none" w:sz="0" w:space="0" w:color="auto"/>
                <w:left w:val="none" w:sz="0" w:space="0" w:color="auto"/>
                <w:bottom w:val="none" w:sz="0" w:space="0" w:color="auto"/>
                <w:right w:val="none" w:sz="0" w:space="0" w:color="auto"/>
              </w:divBdr>
              <w:divsChild>
                <w:div w:id="8403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79942">
      <w:bodyDiv w:val="1"/>
      <w:marLeft w:val="313"/>
      <w:marRight w:val="0"/>
      <w:marTop w:val="125"/>
      <w:marBottom w:val="0"/>
      <w:divBdr>
        <w:top w:val="none" w:sz="0" w:space="0" w:color="auto"/>
        <w:left w:val="none" w:sz="0" w:space="0" w:color="auto"/>
        <w:bottom w:val="none" w:sz="0" w:space="0" w:color="auto"/>
        <w:right w:val="none" w:sz="0" w:space="0" w:color="auto"/>
      </w:divBdr>
      <w:divsChild>
        <w:div w:id="1159542581">
          <w:marLeft w:val="0"/>
          <w:marRight w:val="0"/>
          <w:marTop w:val="0"/>
          <w:marBottom w:val="0"/>
          <w:divBdr>
            <w:top w:val="none" w:sz="0" w:space="0" w:color="auto"/>
            <w:left w:val="none" w:sz="0" w:space="0" w:color="auto"/>
            <w:bottom w:val="none" w:sz="0" w:space="0" w:color="auto"/>
            <w:right w:val="none" w:sz="0" w:space="0" w:color="auto"/>
          </w:divBdr>
        </w:div>
        <w:div w:id="1931548186">
          <w:marLeft w:val="0"/>
          <w:marRight w:val="0"/>
          <w:marTop w:val="0"/>
          <w:marBottom w:val="0"/>
          <w:divBdr>
            <w:top w:val="none" w:sz="0" w:space="0" w:color="auto"/>
            <w:left w:val="none" w:sz="0" w:space="0" w:color="auto"/>
            <w:bottom w:val="none" w:sz="0" w:space="0" w:color="auto"/>
            <w:right w:val="none" w:sz="0" w:space="0" w:color="auto"/>
          </w:divBdr>
        </w:div>
        <w:div w:id="2061980312">
          <w:marLeft w:val="0"/>
          <w:marRight w:val="0"/>
          <w:marTop w:val="0"/>
          <w:marBottom w:val="0"/>
          <w:divBdr>
            <w:top w:val="none" w:sz="0" w:space="0" w:color="auto"/>
            <w:left w:val="none" w:sz="0" w:space="0" w:color="auto"/>
            <w:bottom w:val="none" w:sz="0" w:space="0" w:color="auto"/>
            <w:right w:val="none" w:sz="0" w:space="0" w:color="auto"/>
          </w:divBdr>
        </w:div>
      </w:divsChild>
    </w:div>
    <w:div w:id="989405278">
      <w:bodyDiv w:val="1"/>
      <w:marLeft w:val="0"/>
      <w:marRight w:val="0"/>
      <w:marTop w:val="0"/>
      <w:marBottom w:val="0"/>
      <w:divBdr>
        <w:top w:val="none" w:sz="0" w:space="0" w:color="auto"/>
        <w:left w:val="none" w:sz="0" w:space="0" w:color="auto"/>
        <w:bottom w:val="none" w:sz="0" w:space="0" w:color="auto"/>
        <w:right w:val="none" w:sz="0" w:space="0" w:color="auto"/>
      </w:divBdr>
    </w:div>
    <w:div w:id="1017537924">
      <w:bodyDiv w:val="1"/>
      <w:marLeft w:val="0"/>
      <w:marRight w:val="0"/>
      <w:marTop w:val="0"/>
      <w:marBottom w:val="0"/>
      <w:divBdr>
        <w:top w:val="none" w:sz="0" w:space="0" w:color="auto"/>
        <w:left w:val="none" w:sz="0" w:space="0" w:color="auto"/>
        <w:bottom w:val="none" w:sz="0" w:space="0" w:color="auto"/>
        <w:right w:val="none" w:sz="0" w:space="0" w:color="auto"/>
      </w:divBdr>
    </w:div>
    <w:div w:id="1185511915">
      <w:bodyDiv w:val="1"/>
      <w:marLeft w:val="0"/>
      <w:marRight w:val="0"/>
      <w:marTop w:val="0"/>
      <w:marBottom w:val="0"/>
      <w:divBdr>
        <w:top w:val="none" w:sz="0" w:space="0" w:color="auto"/>
        <w:left w:val="none" w:sz="0" w:space="0" w:color="auto"/>
        <w:bottom w:val="none" w:sz="0" w:space="0" w:color="auto"/>
        <w:right w:val="none" w:sz="0" w:space="0" w:color="auto"/>
      </w:divBdr>
    </w:div>
    <w:div w:id="1314794011">
      <w:bodyDiv w:val="1"/>
      <w:marLeft w:val="0"/>
      <w:marRight w:val="0"/>
      <w:marTop w:val="0"/>
      <w:marBottom w:val="0"/>
      <w:divBdr>
        <w:top w:val="none" w:sz="0" w:space="0" w:color="auto"/>
        <w:left w:val="none" w:sz="0" w:space="0" w:color="auto"/>
        <w:bottom w:val="none" w:sz="0" w:space="0" w:color="auto"/>
        <w:right w:val="none" w:sz="0" w:space="0" w:color="auto"/>
      </w:divBdr>
    </w:div>
    <w:div w:id="1467970168">
      <w:bodyDiv w:val="1"/>
      <w:marLeft w:val="0"/>
      <w:marRight w:val="0"/>
      <w:marTop w:val="0"/>
      <w:marBottom w:val="0"/>
      <w:divBdr>
        <w:top w:val="none" w:sz="0" w:space="0" w:color="auto"/>
        <w:left w:val="none" w:sz="0" w:space="0" w:color="auto"/>
        <w:bottom w:val="none" w:sz="0" w:space="0" w:color="auto"/>
        <w:right w:val="none" w:sz="0" w:space="0" w:color="auto"/>
      </w:divBdr>
      <w:divsChild>
        <w:div w:id="163250749">
          <w:marLeft w:val="0"/>
          <w:marRight w:val="0"/>
          <w:marTop w:val="0"/>
          <w:marBottom w:val="0"/>
          <w:divBdr>
            <w:top w:val="none" w:sz="0" w:space="0" w:color="auto"/>
            <w:left w:val="none" w:sz="0" w:space="0" w:color="auto"/>
            <w:bottom w:val="none" w:sz="0" w:space="0" w:color="auto"/>
            <w:right w:val="none" w:sz="0" w:space="0" w:color="auto"/>
          </w:divBdr>
          <w:divsChild>
            <w:div w:id="220791088">
              <w:marLeft w:val="0"/>
              <w:marRight w:val="0"/>
              <w:marTop w:val="0"/>
              <w:marBottom w:val="0"/>
              <w:divBdr>
                <w:top w:val="none" w:sz="0" w:space="0" w:color="auto"/>
                <w:left w:val="none" w:sz="0" w:space="0" w:color="auto"/>
                <w:bottom w:val="none" w:sz="0" w:space="0" w:color="auto"/>
                <w:right w:val="none" w:sz="0" w:space="0" w:color="auto"/>
              </w:divBdr>
            </w:div>
          </w:divsChild>
        </w:div>
        <w:div w:id="329187715">
          <w:marLeft w:val="0"/>
          <w:marRight w:val="0"/>
          <w:marTop w:val="0"/>
          <w:marBottom w:val="0"/>
          <w:divBdr>
            <w:top w:val="none" w:sz="0" w:space="0" w:color="auto"/>
            <w:left w:val="none" w:sz="0" w:space="0" w:color="auto"/>
            <w:bottom w:val="none" w:sz="0" w:space="0" w:color="auto"/>
            <w:right w:val="none" w:sz="0" w:space="0" w:color="auto"/>
          </w:divBdr>
          <w:divsChild>
            <w:div w:id="1795325461">
              <w:marLeft w:val="0"/>
              <w:marRight w:val="0"/>
              <w:marTop w:val="0"/>
              <w:marBottom w:val="0"/>
              <w:divBdr>
                <w:top w:val="none" w:sz="0" w:space="0" w:color="auto"/>
                <w:left w:val="none" w:sz="0" w:space="0" w:color="auto"/>
                <w:bottom w:val="none" w:sz="0" w:space="0" w:color="auto"/>
                <w:right w:val="none" w:sz="0" w:space="0" w:color="auto"/>
              </w:divBdr>
            </w:div>
          </w:divsChild>
        </w:div>
        <w:div w:id="1631133644">
          <w:marLeft w:val="0"/>
          <w:marRight w:val="0"/>
          <w:marTop w:val="0"/>
          <w:marBottom w:val="0"/>
          <w:divBdr>
            <w:top w:val="none" w:sz="0" w:space="0" w:color="auto"/>
            <w:left w:val="none" w:sz="0" w:space="0" w:color="auto"/>
            <w:bottom w:val="none" w:sz="0" w:space="0" w:color="auto"/>
            <w:right w:val="none" w:sz="0" w:space="0" w:color="auto"/>
          </w:divBdr>
        </w:div>
      </w:divsChild>
    </w:div>
    <w:div w:id="1521506091">
      <w:bodyDiv w:val="1"/>
      <w:marLeft w:val="0"/>
      <w:marRight w:val="0"/>
      <w:marTop w:val="0"/>
      <w:marBottom w:val="0"/>
      <w:divBdr>
        <w:top w:val="none" w:sz="0" w:space="0" w:color="auto"/>
        <w:left w:val="none" w:sz="0" w:space="0" w:color="auto"/>
        <w:bottom w:val="none" w:sz="0" w:space="0" w:color="auto"/>
        <w:right w:val="none" w:sz="0" w:space="0" w:color="auto"/>
      </w:divBdr>
      <w:divsChild>
        <w:div w:id="1722363809">
          <w:marLeft w:val="0"/>
          <w:marRight w:val="0"/>
          <w:marTop w:val="0"/>
          <w:marBottom w:val="0"/>
          <w:divBdr>
            <w:top w:val="none" w:sz="0" w:space="0" w:color="auto"/>
            <w:left w:val="none" w:sz="0" w:space="0" w:color="auto"/>
            <w:bottom w:val="none" w:sz="0" w:space="0" w:color="auto"/>
            <w:right w:val="none" w:sz="0" w:space="0" w:color="auto"/>
          </w:divBdr>
          <w:divsChild>
            <w:div w:id="916550163">
              <w:marLeft w:val="0"/>
              <w:marRight w:val="0"/>
              <w:marTop w:val="0"/>
              <w:marBottom w:val="0"/>
              <w:divBdr>
                <w:top w:val="none" w:sz="0" w:space="0" w:color="auto"/>
                <w:left w:val="none" w:sz="0" w:space="0" w:color="auto"/>
                <w:bottom w:val="none" w:sz="0" w:space="0" w:color="auto"/>
                <w:right w:val="none" w:sz="0" w:space="0" w:color="auto"/>
              </w:divBdr>
              <w:divsChild>
                <w:div w:id="4877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0">
      <w:bodyDiv w:val="1"/>
      <w:marLeft w:val="0"/>
      <w:marRight w:val="0"/>
      <w:marTop w:val="0"/>
      <w:marBottom w:val="0"/>
      <w:divBdr>
        <w:top w:val="none" w:sz="0" w:space="0" w:color="auto"/>
        <w:left w:val="none" w:sz="0" w:space="0" w:color="auto"/>
        <w:bottom w:val="none" w:sz="0" w:space="0" w:color="auto"/>
        <w:right w:val="none" w:sz="0" w:space="0" w:color="auto"/>
      </w:divBdr>
    </w:div>
    <w:div w:id="1608463270">
      <w:bodyDiv w:val="1"/>
      <w:marLeft w:val="0"/>
      <w:marRight w:val="0"/>
      <w:marTop w:val="0"/>
      <w:marBottom w:val="0"/>
      <w:divBdr>
        <w:top w:val="none" w:sz="0" w:space="0" w:color="auto"/>
        <w:left w:val="none" w:sz="0" w:space="0" w:color="auto"/>
        <w:bottom w:val="none" w:sz="0" w:space="0" w:color="auto"/>
        <w:right w:val="none" w:sz="0" w:space="0" w:color="auto"/>
      </w:divBdr>
    </w:div>
    <w:div w:id="1614021282">
      <w:bodyDiv w:val="1"/>
      <w:marLeft w:val="0"/>
      <w:marRight w:val="0"/>
      <w:marTop w:val="0"/>
      <w:marBottom w:val="0"/>
      <w:divBdr>
        <w:top w:val="none" w:sz="0" w:space="0" w:color="auto"/>
        <w:left w:val="none" w:sz="0" w:space="0" w:color="auto"/>
        <w:bottom w:val="none" w:sz="0" w:space="0" w:color="auto"/>
        <w:right w:val="none" w:sz="0" w:space="0" w:color="auto"/>
      </w:divBdr>
    </w:div>
    <w:div w:id="1648314804">
      <w:bodyDiv w:val="1"/>
      <w:marLeft w:val="0"/>
      <w:marRight w:val="0"/>
      <w:marTop w:val="0"/>
      <w:marBottom w:val="0"/>
      <w:divBdr>
        <w:top w:val="none" w:sz="0" w:space="0" w:color="auto"/>
        <w:left w:val="none" w:sz="0" w:space="0" w:color="auto"/>
        <w:bottom w:val="none" w:sz="0" w:space="0" w:color="auto"/>
        <w:right w:val="none" w:sz="0" w:space="0" w:color="auto"/>
      </w:divBdr>
    </w:div>
    <w:div w:id="1675759356">
      <w:bodyDiv w:val="1"/>
      <w:marLeft w:val="0"/>
      <w:marRight w:val="0"/>
      <w:marTop w:val="0"/>
      <w:marBottom w:val="0"/>
      <w:divBdr>
        <w:top w:val="none" w:sz="0" w:space="0" w:color="auto"/>
        <w:left w:val="none" w:sz="0" w:space="0" w:color="auto"/>
        <w:bottom w:val="none" w:sz="0" w:space="0" w:color="auto"/>
        <w:right w:val="none" w:sz="0" w:space="0" w:color="auto"/>
      </w:divBdr>
    </w:div>
    <w:div w:id="1709865945">
      <w:bodyDiv w:val="1"/>
      <w:marLeft w:val="0"/>
      <w:marRight w:val="0"/>
      <w:marTop w:val="0"/>
      <w:marBottom w:val="0"/>
      <w:divBdr>
        <w:top w:val="none" w:sz="0" w:space="0" w:color="auto"/>
        <w:left w:val="none" w:sz="0" w:space="0" w:color="auto"/>
        <w:bottom w:val="none" w:sz="0" w:space="0" w:color="auto"/>
        <w:right w:val="none" w:sz="0" w:space="0" w:color="auto"/>
      </w:divBdr>
    </w:div>
    <w:div w:id="1741437243">
      <w:bodyDiv w:val="1"/>
      <w:marLeft w:val="0"/>
      <w:marRight w:val="0"/>
      <w:marTop w:val="0"/>
      <w:marBottom w:val="0"/>
      <w:divBdr>
        <w:top w:val="none" w:sz="0" w:space="0" w:color="auto"/>
        <w:left w:val="none" w:sz="0" w:space="0" w:color="auto"/>
        <w:bottom w:val="none" w:sz="0" w:space="0" w:color="auto"/>
        <w:right w:val="none" w:sz="0" w:space="0" w:color="auto"/>
      </w:divBdr>
    </w:div>
    <w:div w:id="1938173995">
      <w:bodyDiv w:val="1"/>
      <w:marLeft w:val="0"/>
      <w:marRight w:val="0"/>
      <w:marTop w:val="0"/>
      <w:marBottom w:val="0"/>
      <w:divBdr>
        <w:top w:val="none" w:sz="0" w:space="0" w:color="auto"/>
        <w:left w:val="none" w:sz="0" w:space="0" w:color="auto"/>
        <w:bottom w:val="none" w:sz="0" w:space="0" w:color="auto"/>
        <w:right w:val="none" w:sz="0" w:space="0" w:color="auto"/>
      </w:divBdr>
    </w:div>
    <w:div w:id="2038500775">
      <w:bodyDiv w:val="1"/>
      <w:marLeft w:val="0"/>
      <w:marRight w:val="0"/>
      <w:marTop w:val="0"/>
      <w:marBottom w:val="0"/>
      <w:divBdr>
        <w:top w:val="none" w:sz="0" w:space="0" w:color="auto"/>
        <w:left w:val="none" w:sz="0" w:space="0" w:color="auto"/>
        <w:bottom w:val="none" w:sz="0" w:space="0" w:color="auto"/>
        <w:right w:val="none" w:sz="0" w:space="0" w:color="auto"/>
      </w:divBdr>
    </w:div>
    <w:div w:id="2071069994">
      <w:bodyDiv w:val="1"/>
      <w:marLeft w:val="0"/>
      <w:marRight w:val="0"/>
      <w:marTop w:val="0"/>
      <w:marBottom w:val="0"/>
      <w:divBdr>
        <w:top w:val="none" w:sz="0" w:space="0" w:color="auto"/>
        <w:left w:val="none" w:sz="0" w:space="0" w:color="auto"/>
        <w:bottom w:val="none" w:sz="0" w:space="0" w:color="auto"/>
        <w:right w:val="none" w:sz="0" w:space="0" w:color="auto"/>
      </w:divBdr>
    </w:div>
    <w:div w:id="2110736937">
      <w:bodyDiv w:val="1"/>
      <w:marLeft w:val="313"/>
      <w:marRight w:val="0"/>
      <w:marTop w:val="125"/>
      <w:marBottom w:val="0"/>
      <w:divBdr>
        <w:top w:val="none" w:sz="0" w:space="0" w:color="auto"/>
        <w:left w:val="none" w:sz="0" w:space="0" w:color="auto"/>
        <w:bottom w:val="none" w:sz="0" w:space="0" w:color="auto"/>
        <w:right w:val="none" w:sz="0" w:space="0" w:color="auto"/>
      </w:divBdr>
      <w:divsChild>
        <w:div w:id="3827632">
          <w:marLeft w:val="0"/>
          <w:marRight w:val="0"/>
          <w:marTop w:val="0"/>
          <w:marBottom w:val="0"/>
          <w:divBdr>
            <w:top w:val="none" w:sz="0" w:space="0" w:color="auto"/>
            <w:left w:val="none" w:sz="0" w:space="0" w:color="auto"/>
            <w:bottom w:val="none" w:sz="0" w:space="0" w:color="auto"/>
            <w:right w:val="none" w:sz="0" w:space="0" w:color="auto"/>
          </w:divBdr>
          <w:divsChild>
            <w:div w:id="286086002">
              <w:marLeft w:val="0"/>
              <w:marRight w:val="0"/>
              <w:marTop w:val="0"/>
              <w:marBottom w:val="0"/>
              <w:divBdr>
                <w:top w:val="none" w:sz="0" w:space="0" w:color="auto"/>
                <w:left w:val="none" w:sz="0" w:space="0" w:color="auto"/>
                <w:bottom w:val="none" w:sz="0" w:space="0" w:color="auto"/>
                <w:right w:val="none" w:sz="0" w:space="0" w:color="auto"/>
              </w:divBdr>
              <w:divsChild>
                <w:div w:id="744301587">
                  <w:marLeft w:val="0"/>
                  <w:marRight w:val="0"/>
                  <w:marTop w:val="0"/>
                  <w:marBottom w:val="0"/>
                  <w:divBdr>
                    <w:top w:val="none" w:sz="0" w:space="0" w:color="auto"/>
                    <w:left w:val="none" w:sz="0" w:space="0" w:color="auto"/>
                    <w:bottom w:val="none" w:sz="0" w:space="0" w:color="auto"/>
                    <w:right w:val="none" w:sz="0" w:space="0" w:color="auto"/>
                  </w:divBdr>
                </w:div>
                <w:div w:id="2120493279">
                  <w:marLeft w:val="0"/>
                  <w:marRight w:val="0"/>
                  <w:marTop w:val="0"/>
                  <w:marBottom w:val="0"/>
                  <w:divBdr>
                    <w:top w:val="none" w:sz="0" w:space="0" w:color="auto"/>
                    <w:left w:val="none" w:sz="0" w:space="0" w:color="auto"/>
                    <w:bottom w:val="none" w:sz="0" w:space="0" w:color="auto"/>
                    <w:right w:val="none" w:sz="0" w:space="0" w:color="auto"/>
                  </w:divBdr>
                </w:div>
              </w:divsChild>
            </w:div>
            <w:div w:id="317612257">
              <w:marLeft w:val="0"/>
              <w:marRight w:val="0"/>
              <w:marTop w:val="0"/>
              <w:marBottom w:val="0"/>
              <w:divBdr>
                <w:top w:val="none" w:sz="0" w:space="0" w:color="auto"/>
                <w:left w:val="none" w:sz="0" w:space="0" w:color="auto"/>
                <w:bottom w:val="none" w:sz="0" w:space="0" w:color="auto"/>
                <w:right w:val="none" w:sz="0" w:space="0" w:color="auto"/>
              </w:divBdr>
              <w:divsChild>
                <w:div w:id="1231648567">
                  <w:marLeft w:val="0"/>
                  <w:marRight w:val="0"/>
                  <w:marTop w:val="0"/>
                  <w:marBottom w:val="0"/>
                  <w:divBdr>
                    <w:top w:val="none" w:sz="0" w:space="0" w:color="auto"/>
                    <w:left w:val="none" w:sz="0" w:space="0" w:color="auto"/>
                    <w:bottom w:val="none" w:sz="0" w:space="0" w:color="auto"/>
                    <w:right w:val="none" w:sz="0" w:space="0" w:color="auto"/>
                  </w:divBdr>
                </w:div>
              </w:divsChild>
            </w:div>
            <w:div w:id="440497798">
              <w:marLeft w:val="0"/>
              <w:marRight w:val="0"/>
              <w:marTop w:val="0"/>
              <w:marBottom w:val="0"/>
              <w:divBdr>
                <w:top w:val="none" w:sz="0" w:space="0" w:color="auto"/>
                <w:left w:val="none" w:sz="0" w:space="0" w:color="auto"/>
                <w:bottom w:val="none" w:sz="0" w:space="0" w:color="auto"/>
                <w:right w:val="none" w:sz="0" w:space="0" w:color="auto"/>
              </w:divBdr>
              <w:divsChild>
                <w:div w:id="1703169117">
                  <w:marLeft w:val="0"/>
                  <w:marRight w:val="0"/>
                  <w:marTop w:val="0"/>
                  <w:marBottom w:val="0"/>
                  <w:divBdr>
                    <w:top w:val="none" w:sz="0" w:space="0" w:color="auto"/>
                    <w:left w:val="none" w:sz="0" w:space="0" w:color="auto"/>
                    <w:bottom w:val="none" w:sz="0" w:space="0" w:color="auto"/>
                    <w:right w:val="none" w:sz="0" w:space="0" w:color="auto"/>
                  </w:divBdr>
                </w:div>
              </w:divsChild>
            </w:div>
            <w:div w:id="1069306584">
              <w:marLeft w:val="0"/>
              <w:marRight w:val="0"/>
              <w:marTop w:val="0"/>
              <w:marBottom w:val="0"/>
              <w:divBdr>
                <w:top w:val="none" w:sz="0" w:space="0" w:color="auto"/>
                <w:left w:val="none" w:sz="0" w:space="0" w:color="auto"/>
                <w:bottom w:val="none" w:sz="0" w:space="0" w:color="auto"/>
                <w:right w:val="none" w:sz="0" w:space="0" w:color="auto"/>
              </w:divBdr>
              <w:divsChild>
                <w:div w:id="758334117">
                  <w:marLeft w:val="0"/>
                  <w:marRight w:val="0"/>
                  <w:marTop w:val="0"/>
                  <w:marBottom w:val="0"/>
                  <w:divBdr>
                    <w:top w:val="none" w:sz="0" w:space="0" w:color="auto"/>
                    <w:left w:val="none" w:sz="0" w:space="0" w:color="auto"/>
                    <w:bottom w:val="none" w:sz="0" w:space="0" w:color="auto"/>
                    <w:right w:val="none" w:sz="0" w:space="0" w:color="auto"/>
                  </w:divBdr>
                </w:div>
              </w:divsChild>
            </w:div>
            <w:div w:id="12946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A3CDF-5FF7-4FDD-BE22-FDE2FE7D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9520</Words>
  <Characters>57122</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Projekt z dnia 26 lutego 2014 r</vt:lpstr>
    </vt:vector>
  </TitlesOfParts>
  <Company/>
  <LinksUpToDate>false</LinksUpToDate>
  <CharactersWithSpaces>66509</CharactersWithSpaces>
  <SharedDoc>false</SharedDoc>
  <HLinks>
    <vt:vector size="6" baseType="variant">
      <vt:variant>
        <vt:i4>1572954</vt:i4>
      </vt:variant>
      <vt:variant>
        <vt:i4>0</vt:i4>
      </vt:variant>
      <vt:variant>
        <vt:i4>0</vt:i4>
      </vt:variant>
      <vt:variant>
        <vt:i4>5</vt:i4>
      </vt:variant>
      <vt:variant>
        <vt:lpwstr>http://legislacja.rcl.gov.pl/projekt/12286750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z dnia 26 lutego 2014 r</dc:title>
  <dc:creator>bzaleska</dc:creator>
  <cp:lastModifiedBy>Ewa A. Genert</cp:lastModifiedBy>
  <cp:revision>2</cp:revision>
  <cp:lastPrinted>2017-05-11T13:41:00Z</cp:lastPrinted>
  <dcterms:created xsi:type="dcterms:W3CDTF">2017-05-24T10:47:00Z</dcterms:created>
  <dcterms:modified xsi:type="dcterms:W3CDTF">2017-05-24T10:47:00Z</dcterms:modified>
</cp:coreProperties>
</file>