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6AC" w:rsidRDefault="007E26CA" w:rsidP="00DF5F5A">
      <w:pPr>
        <w:spacing w:after="240" w:line="360" w:lineRule="auto"/>
        <w:ind w:firstLine="567"/>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UZASADNIENIE</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Projektowana ustawa o kosztach komorniczych ma zastąpić obecnie obowiązującą ustawę z dnia 29 sierpnia 1997 r. o komornikach sądowych i e</w:t>
      </w:r>
      <w:r>
        <w:rPr>
          <w:rFonts w:ascii="Times" w:eastAsia="Times New Roman" w:hAnsi="Times" w:cs="Arial"/>
          <w:bCs/>
          <w:sz w:val="24"/>
          <w:szCs w:val="20"/>
          <w:lang w:eastAsia="pl-PL"/>
        </w:rPr>
        <w:t>gzekucji (Dz. U. z 201</w:t>
      </w:r>
      <w:r w:rsidR="00943058">
        <w:rPr>
          <w:rFonts w:ascii="Times" w:eastAsia="Times New Roman" w:hAnsi="Times" w:cs="Arial"/>
          <w:bCs/>
          <w:sz w:val="24"/>
          <w:szCs w:val="20"/>
          <w:lang w:eastAsia="pl-PL"/>
        </w:rPr>
        <w:t>6</w:t>
      </w:r>
      <w:r>
        <w:rPr>
          <w:rFonts w:ascii="Times" w:eastAsia="Times New Roman" w:hAnsi="Times" w:cs="Arial"/>
          <w:bCs/>
          <w:sz w:val="24"/>
          <w:szCs w:val="20"/>
          <w:lang w:eastAsia="pl-PL"/>
        </w:rPr>
        <w:t xml:space="preserve"> r. poz.</w:t>
      </w:r>
      <w:r w:rsidR="00E0517E">
        <w:rPr>
          <w:rFonts w:ascii="Times" w:eastAsia="Times New Roman" w:hAnsi="Times" w:cs="Arial"/>
          <w:bCs/>
          <w:sz w:val="24"/>
          <w:szCs w:val="20"/>
          <w:lang w:eastAsia="pl-PL"/>
        </w:rPr>
        <w:t xml:space="preserve"> </w:t>
      </w:r>
      <w:r w:rsidR="00943058">
        <w:rPr>
          <w:rFonts w:ascii="Times" w:eastAsia="Times New Roman" w:hAnsi="Times" w:cs="Arial"/>
          <w:bCs/>
          <w:sz w:val="24"/>
          <w:szCs w:val="20"/>
          <w:lang w:eastAsia="pl-PL"/>
        </w:rPr>
        <w:t>1138</w:t>
      </w:r>
      <w:r w:rsidRPr="008A5F12">
        <w:rPr>
          <w:rFonts w:ascii="Times" w:eastAsia="Times New Roman" w:hAnsi="Times" w:cs="Arial"/>
          <w:bCs/>
          <w:sz w:val="24"/>
          <w:szCs w:val="20"/>
          <w:lang w:eastAsia="pl-PL"/>
        </w:rPr>
        <w:t>, z późn. zm.) w zakresie opłat i wydatków w postępowaniach prowadzonych przez komorników sądowych. Zdecydowano, że problematyka ta będzie przedmiotem odrębnej regulacji w odrębnej ustawie. Przyjęto bowiem założenie, że nowe akty prawne będą porządkowały materię egzekucyjną na zagadnienia ustrojowe (projektowana ustawa o</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komornikach sądowych), kosztów egzekucji oraz przepisów dotyczących zasad prowadzenia egzekucji (nowelizowane przepisy </w:t>
      </w:r>
      <w:r w:rsidR="003A55D8">
        <w:rPr>
          <w:rFonts w:ascii="Times" w:eastAsia="Times New Roman" w:hAnsi="Times" w:cs="Arial"/>
          <w:bCs/>
          <w:sz w:val="24"/>
          <w:szCs w:val="20"/>
          <w:lang w:eastAsia="pl-PL"/>
        </w:rPr>
        <w:t>K</w:t>
      </w:r>
      <w:r w:rsidRPr="008A5F12">
        <w:rPr>
          <w:rFonts w:ascii="Times" w:eastAsia="Times New Roman" w:hAnsi="Times" w:cs="Arial"/>
          <w:bCs/>
          <w:sz w:val="24"/>
          <w:szCs w:val="20"/>
          <w:lang w:eastAsia="pl-PL"/>
        </w:rPr>
        <w:t>odeksu post</w:t>
      </w:r>
      <w:r w:rsidR="003A55D8">
        <w:rPr>
          <w:rFonts w:ascii="Times" w:eastAsia="Times New Roman" w:hAnsi="Times" w:cs="Arial"/>
          <w:bCs/>
          <w:sz w:val="24"/>
          <w:szCs w:val="20"/>
          <w:lang w:eastAsia="pl-PL"/>
        </w:rPr>
        <w:t>ę</w:t>
      </w:r>
      <w:r w:rsidRPr="008A5F12">
        <w:rPr>
          <w:rFonts w:ascii="Times" w:eastAsia="Times New Roman" w:hAnsi="Times" w:cs="Arial"/>
          <w:bCs/>
          <w:sz w:val="24"/>
          <w:szCs w:val="20"/>
          <w:lang w:eastAsia="pl-PL"/>
        </w:rPr>
        <w:t>powania cywilnego). W ten sposób regulacje prawne egzekucji sądowej będą tworzyć przejrzysty system.</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Ustawa o komornikach sądowych i egzekucji była wielokrotnie nowelizowana (ponad czterdzieści razy, w tym pięciokrotnie w sposób kompleksowy). Wspomniane nowelizacje dotyczyły również problematyki kosztów egzekucji. Problematyka ta dotyczy bezpośrednio stron postępowania egzekuc</w:t>
      </w:r>
      <w:r w:rsidR="00E0517E">
        <w:rPr>
          <w:rFonts w:ascii="Times" w:eastAsia="Times New Roman" w:hAnsi="Times" w:cs="Arial"/>
          <w:bCs/>
          <w:sz w:val="24"/>
          <w:szCs w:val="20"/>
          <w:lang w:eastAsia="pl-PL"/>
        </w:rPr>
        <w:t>yjnego i komorników sądowych. O </w:t>
      </w:r>
      <w:r w:rsidRPr="008A5F12">
        <w:rPr>
          <w:rFonts w:ascii="Times" w:eastAsia="Times New Roman" w:hAnsi="Times" w:cs="Arial"/>
          <w:bCs/>
          <w:sz w:val="24"/>
          <w:szCs w:val="20"/>
          <w:lang w:eastAsia="pl-PL"/>
        </w:rPr>
        <w:t xml:space="preserve">jej doniosłości świadczy zwłaszcza liczba skarg na czynności komorników dotyczących kosztów postępowania egzekucyjnego oraz liczne wypowiedzi doktryny. Opracowanie nowej regulacji dotyczącej powyższych zagadnień okazało się konieczne z uwagi na pojawiające się problemy </w:t>
      </w:r>
      <w:r w:rsidR="0034332A">
        <w:rPr>
          <w:rFonts w:ascii="Times" w:eastAsia="Times New Roman" w:hAnsi="Times" w:cs="Arial"/>
          <w:bCs/>
          <w:sz w:val="24"/>
          <w:szCs w:val="20"/>
          <w:lang w:eastAsia="pl-PL"/>
        </w:rPr>
        <w:t xml:space="preserve">związane </w:t>
      </w:r>
      <w:r w:rsidR="003A55D8">
        <w:rPr>
          <w:rFonts w:ascii="Times" w:eastAsia="Times New Roman" w:hAnsi="Times" w:cs="Arial"/>
          <w:bCs/>
          <w:sz w:val="24"/>
          <w:szCs w:val="20"/>
          <w:lang w:eastAsia="pl-PL"/>
        </w:rPr>
        <w:t xml:space="preserve">ze </w:t>
      </w:r>
      <w:r w:rsidRPr="008A5F12">
        <w:rPr>
          <w:rFonts w:ascii="Times" w:eastAsia="Times New Roman" w:hAnsi="Times" w:cs="Arial"/>
          <w:bCs/>
          <w:sz w:val="24"/>
          <w:szCs w:val="20"/>
          <w:lang w:eastAsia="pl-PL"/>
        </w:rPr>
        <w:t>stosowaniem dotychczasowych przepisów.</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Ponadto za opracowaniem nowej ustawy przemawia potrzeba wprowadzenia przejrzystych zasad finansowania systemu egzekucji sądowej oraz rozwiązań motywujących dłużników do dobrowolnej spłaty zobowiązań stwierdzonych tytułami egzekucyjnymi. </w:t>
      </w:r>
    </w:p>
    <w:p w:rsidR="00E0517E"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Tytuł ustawy wskazuje, że reguluje ona wyłącznie koszty postępowań prowadzonych przez komornika sądowego. Chodzi tu zarówno o postępowania egzekucyjne, jak też inne postępowania prowadzone przez komornika (np. w celu sporządzenia spisu inwentarza) oraz inne czynności zlecone komornikowi, które nie mają charakteru czynności egzekucyjnych (np. doręczanie pism). Koszty postępowań egzekucyjnych prowadzonych przez sąd oraz koszty innych czynności sądowych podejmowanych przez sąd (jako sąd egzekucyjny) znalazły się poza zakresem regulowanym projektowaną ustawą. Niemniej jednak w projekcie przewidziano również</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nowelizację </w:t>
      </w:r>
      <w:r w:rsidRPr="008A5F12">
        <w:rPr>
          <w:rFonts w:ascii="Times" w:eastAsia="Times New Roman" w:hAnsi="Times" w:cs="Arial"/>
          <w:bCs/>
          <w:sz w:val="24"/>
          <w:szCs w:val="20"/>
          <w:lang w:eastAsia="pl-PL"/>
        </w:rPr>
        <w:lastRenderedPageBreak/>
        <w:t>ustawy z dnia 28 lipca 2005 r. o kosztach sądowych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sprawach cywilnych </w:t>
      </w:r>
      <w:r w:rsidR="00E0517E">
        <w:rPr>
          <w:rFonts w:ascii="Times" w:eastAsia="Times New Roman" w:hAnsi="Times" w:cs="Arial"/>
          <w:bCs/>
          <w:sz w:val="24"/>
          <w:szCs w:val="20"/>
          <w:lang w:eastAsia="pl-PL"/>
        </w:rPr>
        <w:t>(Dz. U. z </w:t>
      </w:r>
      <w:r w:rsidRPr="008A5F12">
        <w:rPr>
          <w:rFonts w:ascii="Times" w:eastAsia="Times New Roman" w:hAnsi="Times" w:cs="Arial"/>
          <w:bCs/>
          <w:sz w:val="24"/>
          <w:szCs w:val="20"/>
          <w:lang w:eastAsia="pl-PL"/>
        </w:rPr>
        <w:t>2016 r. poz. 623</w:t>
      </w:r>
      <w:r w:rsidR="0034332A">
        <w:rPr>
          <w:rFonts w:ascii="Times" w:eastAsia="Times New Roman" w:hAnsi="Times" w:cs="Arial"/>
          <w:bCs/>
          <w:sz w:val="24"/>
          <w:szCs w:val="20"/>
          <w:lang w:eastAsia="pl-PL"/>
        </w:rPr>
        <w:t>, z późn. zm.</w:t>
      </w:r>
      <w:r w:rsidRPr="008A5F12">
        <w:rPr>
          <w:rFonts w:ascii="Times" w:eastAsia="Times New Roman" w:hAnsi="Times" w:cs="Arial"/>
          <w:bCs/>
          <w:sz w:val="24"/>
          <w:szCs w:val="20"/>
          <w:lang w:eastAsia="pl-PL"/>
        </w:rPr>
        <w:t>).</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Projekt </w:t>
      </w:r>
      <w:r>
        <w:rPr>
          <w:rFonts w:ascii="Times" w:eastAsia="Times New Roman" w:hAnsi="Times" w:cs="Arial"/>
          <w:bCs/>
          <w:sz w:val="24"/>
          <w:szCs w:val="20"/>
          <w:lang w:eastAsia="pl-PL"/>
        </w:rPr>
        <w:t xml:space="preserve">ustawy składa się z </w:t>
      </w:r>
      <w:r w:rsidR="0034332A">
        <w:rPr>
          <w:rFonts w:ascii="Times" w:eastAsia="Times New Roman" w:hAnsi="Times" w:cs="Arial"/>
          <w:bCs/>
          <w:sz w:val="24"/>
          <w:szCs w:val="20"/>
          <w:lang w:eastAsia="pl-PL"/>
        </w:rPr>
        <w:t>pięciu</w:t>
      </w:r>
      <w:r>
        <w:rPr>
          <w:rFonts w:ascii="Times" w:eastAsia="Times New Roman" w:hAnsi="Times" w:cs="Arial"/>
          <w:bCs/>
          <w:sz w:val="24"/>
          <w:szCs w:val="20"/>
          <w:lang w:eastAsia="pl-PL"/>
        </w:rPr>
        <w:t xml:space="preserve"> działów.</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Pierwszy dział zawiera przepisy ogólne projektowanej ustawy. Określono w nim zakres przedmiotowy ustawy oraz podstawowe definicje i strukturę kosztów egzekucyjnych. Utrzymano tradycyjny podział kosztów na opłaty i wydatki. Istotny jest ustawowy charakter opłat, z którego wynika, że zarówno podstawa do obciążenia opłatą, jak i jej wysokość muszą mieć umocowanie ustawowe. Ustawa wprowadza nowe pojęcie kosztów komorniczych i opłat komorniczych</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podkreślając w ten sposób, że w ich skład wchodzą także opłaty za inne czynności powierzone komornikom niż czynności egzekucyjne. Uregulowano również treść postanowień dotyczących kosztów komorniczych, w celu zapewnienia jednolitości regulacji dotyczących tych postanowień oraz wyraźnego oddzielenia elementów sentencji tego postanowienia i jego uzasadnienia. Dotychczasowa praktyka w tym zakresie nie była bowiem zadowalająca.</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przepisach ogólnych zawarto też regulację określającą wykonywanie prawomocnych postanowień w przedmiocie kosztów komorniczych</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utrzymując, że podlegają one wykonaniu bez zaopatrywania w klauzulę wykonalności. Nowością jest wyraźne podkreślenie, że za egzekucję prowadzoną na podstawie takiego tytułu nie pobiera się opłaty egzekucyjnej. Rozwiązanie to pozwoli na wyeliminowanie sytu</w:t>
      </w:r>
      <w:r>
        <w:rPr>
          <w:rFonts w:ascii="Times" w:eastAsia="Times New Roman" w:hAnsi="Times" w:cs="Arial"/>
          <w:bCs/>
          <w:sz w:val="24"/>
          <w:szCs w:val="20"/>
          <w:lang w:eastAsia="pl-PL"/>
        </w:rPr>
        <w:t>acji, w których postanowienia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przedmiocie kosztów były podstawą do wszczynania odrębnych post</w:t>
      </w:r>
      <w:r w:rsidR="003A55D8">
        <w:rPr>
          <w:rFonts w:ascii="Times" w:eastAsia="Times New Roman" w:hAnsi="Times" w:cs="Arial"/>
          <w:bCs/>
          <w:sz w:val="24"/>
          <w:szCs w:val="20"/>
          <w:lang w:eastAsia="pl-PL"/>
        </w:rPr>
        <w:t>ę</w:t>
      </w:r>
      <w:r w:rsidRPr="008A5F12">
        <w:rPr>
          <w:rFonts w:ascii="Times" w:eastAsia="Times New Roman" w:hAnsi="Times" w:cs="Arial"/>
          <w:bCs/>
          <w:sz w:val="24"/>
          <w:szCs w:val="20"/>
          <w:lang w:eastAsia="pl-PL"/>
        </w:rPr>
        <w:t xml:space="preserve">powań egzekucyjnych za dodatkową opłatą przed innym komornikiem niż ten, który wydał postanowienie.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dziale drugim projektowanej ustawy unormowano zagadnienia dotyczące wydatków. Podobnie jak w dotychczasowym stanie prawny</w:t>
      </w:r>
      <w:r>
        <w:rPr>
          <w:rFonts w:ascii="Times" w:eastAsia="Times New Roman" w:hAnsi="Times" w:cs="Arial"/>
          <w:bCs/>
          <w:sz w:val="24"/>
          <w:szCs w:val="20"/>
          <w:lang w:eastAsia="pl-PL"/>
        </w:rPr>
        <w:t>m, tylko wydatki przewidziane w</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projektowanej ustawie będą podlegały zwrotowi na rzecz komornika. Pozostałe koszty działalności komornika będą wchodziły w skład kosztów prowadzonej kancelarii komorniczej. Z tego powodu art. 8 projektowanej ustawy zawiera zamknięty katalog wydatków. Wydatkami są:</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należności biegłych i tłumaczy;</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koszty ogłoszeń;</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koszty transportu specjalistycznego</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koszty przejazdu poza miejscowość, która jest siedzibą komornika</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lastRenderedPageBreak/>
        <w:t>należności osób powołanych, na podstawie odr</w:t>
      </w:r>
      <w:r>
        <w:rPr>
          <w:rFonts w:ascii="Times" w:eastAsia="Times New Roman" w:hAnsi="Times" w:cs="Arial"/>
          <w:bCs/>
          <w:sz w:val="24"/>
          <w:szCs w:val="20"/>
          <w:lang w:eastAsia="pl-PL"/>
        </w:rPr>
        <w:t>ębnych przepisów, do udziału w</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czynnościach;</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koszty uzyskiwania dokumentów lub informacji niezbędnych do prowadzenia postępowania w sprawie;</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koszty doręczenia korespondencji, z wyjątkiem kosztów doręczenia stronom zawiadomienia o wszczęciu egzekucji, postępowania zabezpieczającego lub postępowania o wykonanie europejskiego nakazu zabezpieczenia na rachunku bankowym;</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koszty działania komornika, o których mowa w art. 10, poza rewir</w:t>
      </w:r>
      <w:r w:rsidR="0034332A">
        <w:rPr>
          <w:rFonts w:ascii="Times" w:eastAsia="Times New Roman" w:hAnsi="Times" w:cs="Arial"/>
          <w:bCs/>
          <w:sz w:val="24"/>
          <w:szCs w:val="20"/>
          <w:lang w:eastAsia="pl-PL"/>
        </w:rPr>
        <w:t>em</w:t>
      </w:r>
      <w:r w:rsidRPr="008A5F12">
        <w:rPr>
          <w:rFonts w:ascii="Times" w:eastAsia="Times New Roman" w:hAnsi="Times" w:cs="Arial"/>
          <w:bCs/>
          <w:sz w:val="24"/>
          <w:szCs w:val="20"/>
          <w:lang w:eastAsia="pl-PL"/>
        </w:rPr>
        <w:t xml:space="preserve"> komornicz</w:t>
      </w:r>
      <w:r w:rsidR="0034332A">
        <w:rPr>
          <w:rFonts w:ascii="Times" w:eastAsia="Times New Roman" w:hAnsi="Times" w:cs="Arial"/>
          <w:bCs/>
          <w:sz w:val="24"/>
          <w:szCs w:val="20"/>
          <w:lang w:eastAsia="pl-PL"/>
        </w:rPr>
        <w:t>ym</w:t>
      </w:r>
      <w:r w:rsidRPr="008A5F12">
        <w:rPr>
          <w:rFonts w:ascii="Times" w:eastAsia="Times New Roman" w:hAnsi="Times" w:cs="Arial"/>
          <w:bCs/>
          <w:sz w:val="24"/>
          <w:szCs w:val="20"/>
          <w:lang w:eastAsia="pl-PL"/>
        </w:rPr>
        <w:t>;</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koszty związane z przekazywaniem środków pieniężnych przekazem pocztowym lub za granicę;</w:t>
      </w:r>
    </w:p>
    <w:p w:rsidR="008A5F12" w:rsidRPr="008A5F12" w:rsidRDefault="008A5F12" w:rsidP="00E0517E">
      <w:pPr>
        <w:pStyle w:val="Akapitzlist"/>
        <w:numPr>
          <w:ilvl w:val="0"/>
          <w:numId w:val="33"/>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koszty potrzebne na pokrycie opłaty sądowej należnej od wniosku o wpis w księdze wieczystej.</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Projektowana ustawa modyfikuje</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dotychczasową regulację, według której do wydatków należą wszystkie koszty związane z przekazywaniem środków pieniężnych. Do wydatków tych będą należały wyłącznie koszty przekazów pocztowych i koszty związane z</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przekazywaniem środków pieniężnych za granicę. Pozostałe koszty tej czynności będą</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wchodziły w skład kosztów działalności egzekucyjnej i nie będą obciążały stron postępowania. W ten sposób zostanie zrealizowany postulat zmniejszenia obciążenia stron kosztami egzekucyjnymi. W tym samym celu ograniczono do 60 złotych wysokość zaliczki</w:t>
      </w:r>
      <w:r w:rsidR="00E0517E">
        <w:rPr>
          <w:rFonts w:ascii="Times" w:eastAsia="Times New Roman" w:hAnsi="Times" w:cs="Arial"/>
          <w:bCs/>
          <w:sz w:val="24"/>
          <w:szCs w:val="20"/>
          <w:lang w:eastAsia="pl-PL"/>
        </w:rPr>
        <w:t xml:space="preserve"> na poczet kosztów związanych z </w:t>
      </w:r>
      <w:r w:rsidRPr="008A5F12">
        <w:rPr>
          <w:rFonts w:ascii="Times" w:eastAsia="Times New Roman" w:hAnsi="Times" w:cs="Arial"/>
          <w:bCs/>
          <w:sz w:val="24"/>
          <w:szCs w:val="20"/>
          <w:lang w:eastAsia="pl-PL"/>
        </w:rPr>
        <w:t>doręczeniem korespondencji w sprawie. Jeżeli wydatki na ten cel będą wyższe, to mogą być ściągnięte od dłużnika. Poza tym projektowana ustawa utrzymuje regułę, według której wierzyciela obciążają wydatki w razie bezsk</w:t>
      </w:r>
      <w:r w:rsidR="00E0517E">
        <w:rPr>
          <w:rFonts w:ascii="Times" w:eastAsia="Times New Roman" w:hAnsi="Times" w:cs="Arial"/>
          <w:bCs/>
          <w:sz w:val="24"/>
          <w:szCs w:val="20"/>
          <w:lang w:eastAsia="pl-PL"/>
        </w:rPr>
        <w:t>utecznej egzekucji (art. 9 ust. </w:t>
      </w:r>
      <w:r w:rsidRPr="008A5F12">
        <w:rPr>
          <w:rFonts w:ascii="Times" w:eastAsia="Times New Roman" w:hAnsi="Times" w:cs="Arial"/>
          <w:bCs/>
          <w:sz w:val="24"/>
          <w:szCs w:val="20"/>
          <w:lang w:eastAsia="pl-PL"/>
        </w:rPr>
        <w:t xml:space="preserve">6 projektu).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art. 10 projektu szerzej niż dotychczas uregulowano zasady uiszczania przez wierzyciela zaliczek na poczet wymienionych wydatków związanych z</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czynnościami dokonywanymi poza rewirem przez komornika wybranego przez wierzyciela. W takim przypadku zaliczki te będą obciążały nawet wierzy</w:t>
      </w:r>
      <w:r>
        <w:rPr>
          <w:rFonts w:ascii="Times" w:eastAsia="Times New Roman" w:hAnsi="Times" w:cs="Arial"/>
          <w:bCs/>
          <w:sz w:val="24"/>
          <w:szCs w:val="20"/>
          <w:lang w:eastAsia="pl-PL"/>
        </w:rPr>
        <w:t>ciela zwolnionego od kosztów, a</w:t>
      </w:r>
      <w:r w:rsidR="00E0517E">
        <w:rPr>
          <w:rFonts w:ascii="Times" w:eastAsia="Times New Roman" w:hAnsi="Times" w:cs="Arial"/>
          <w:bCs/>
          <w:sz w:val="24"/>
          <w:szCs w:val="20"/>
          <w:lang w:eastAsia="pl-PL"/>
        </w:rPr>
        <w:t> </w:t>
      </w:r>
      <w:r>
        <w:rPr>
          <w:rFonts w:ascii="Times" w:eastAsia="Times New Roman" w:hAnsi="Times" w:cs="Arial"/>
          <w:bCs/>
          <w:sz w:val="24"/>
          <w:szCs w:val="20"/>
          <w:lang w:eastAsia="pl-PL"/>
        </w:rPr>
        <w:t>w</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 xml:space="preserve">ostatecznym rozliczeniu kosztów między stronami wydatki te będą definitywnie obciążały wierzyciela. Oznacza to, że dłużnik nie może być obowiązany do ich zwrotu na rzecz wierzyciela.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lastRenderedPageBreak/>
        <w:t xml:space="preserve">W dziale drugim uregulowano również zasady pobierania przez komornika zaliczek na poczet wydatków (art. 9 i </w:t>
      </w:r>
      <w:r w:rsidR="003A55D8">
        <w:rPr>
          <w:rFonts w:ascii="Times" w:eastAsia="Times New Roman" w:hAnsi="Times" w:cs="Arial"/>
          <w:bCs/>
          <w:sz w:val="24"/>
          <w:szCs w:val="20"/>
          <w:lang w:eastAsia="pl-PL"/>
        </w:rPr>
        <w:t xml:space="preserve">art. </w:t>
      </w:r>
      <w:r w:rsidRPr="008A5F12">
        <w:rPr>
          <w:rFonts w:ascii="Times" w:eastAsia="Times New Roman" w:hAnsi="Times" w:cs="Arial"/>
          <w:bCs/>
          <w:sz w:val="24"/>
          <w:szCs w:val="20"/>
          <w:lang w:eastAsia="pl-PL"/>
        </w:rPr>
        <w:t>11 projektu). Regulacje te określają pobieranie i</w:t>
      </w:r>
      <w:r w:rsidR="003A55D8">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rozliczanie sum, które w niektórych sprawach stanowią znaczn</w:t>
      </w:r>
      <w:r w:rsidR="00E0517E">
        <w:rPr>
          <w:rFonts w:ascii="Times" w:eastAsia="Times New Roman" w:hAnsi="Times" w:cs="Arial"/>
          <w:bCs/>
          <w:sz w:val="24"/>
          <w:szCs w:val="20"/>
          <w:lang w:eastAsia="pl-PL"/>
        </w:rPr>
        <w:t>e obciążenie dla wierzycieli. W </w:t>
      </w:r>
      <w:r w:rsidRPr="008A5F12">
        <w:rPr>
          <w:rFonts w:ascii="Times" w:eastAsia="Times New Roman" w:hAnsi="Times" w:cs="Arial"/>
          <w:bCs/>
          <w:sz w:val="24"/>
          <w:szCs w:val="20"/>
          <w:lang w:eastAsia="pl-PL"/>
        </w:rPr>
        <w:t>projektowanych przepisach powiązano pobraną zaliczkę z wydatkami, na które została pobrana. Pozwoli to zapobiec występującym w praktyce przypadkom finansowania kosztów czynności z zaliczek przeznaczonych na inne wydatki. Jak wskazano w art. 11 ust. 2 projektu, zaliczka ma charakter celowy i tylko za zgod</w:t>
      </w:r>
      <w:r w:rsidR="003A55D8">
        <w:rPr>
          <w:rFonts w:ascii="Times" w:eastAsia="Times New Roman" w:hAnsi="Times" w:cs="Arial"/>
          <w:bCs/>
          <w:sz w:val="24"/>
          <w:szCs w:val="20"/>
          <w:lang w:eastAsia="pl-PL"/>
        </w:rPr>
        <w:t>ą</w:t>
      </w:r>
      <w:r w:rsidRPr="008A5F12">
        <w:rPr>
          <w:rFonts w:ascii="Times" w:eastAsia="Times New Roman" w:hAnsi="Times" w:cs="Arial"/>
          <w:bCs/>
          <w:sz w:val="24"/>
          <w:szCs w:val="20"/>
          <w:lang w:eastAsia="pl-PL"/>
        </w:rPr>
        <w:t xml:space="preserve"> strony, która ją uiściła</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może być ona przeznaczona na zaspokojenie innych wydatków niż te, które wskazano w wezwaniu do jej uiszczenia. Jednocześnie wprowadzono nowe rozwiązanie zapewniające transparentność rozliczeń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zakresie zaliczek. Art. 18 projektu przewiduje, że zaliczka powinna być rozliczona w terminie miesiąca od poczynienia wydatków, na które została pobrana, a gdy czynność nie została podjęta </w:t>
      </w:r>
      <w:r>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w terminie 3 miesięcy od jej pobrania. Istotną nowością realizującą powołaną wyżej zasadę jest też wprowadzenie obowiązku komornika informowania stron o aktualnym saldzie zaliczek w każdym kierowanym do nich piśmie.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W dziale drugim określono również zasady przyznawania należności stanowiących wydatki. W dotychczasowym stanie prawnym istnieje luka w zakresie przyznawania należności biegłym </w:t>
      </w:r>
      <w:r w:rsidR="0034332A">
        <w:rPr>
          <w:rFonts w:ascii="Times" w:eastAsia="Times New Roman" w:hAnsi="Times" w:cs="Arial"/>
          <w:bCs/>
          <w:sz w:val="24"/>
          <w:szCs w:val="20"/>
          <w:lang w:eastAsia="pl-PL"/>
        </w:rPr>
        <w:t xml:space="preserve">i tłumaczom </w:t>
      </w:r>
      <w:r w:rsidRPr="008A5F12">
        <w:rPr>
          <w:rFonts w:ascii="Times" w:eastAsia="Times New Roman" w:hAnsi="Times" w:cs="Arial"/>
          <w:bCs/>
          <w:sz w:val="24"/>
          <w:szCs w:val="20"/>
          <w:lang w:eastAsia="pl-PL"/>
        </w:rPr>
        <w:t>w postępowaniu prowadzonym p</w:t>
      </w:r>
      <w:r w:rsidR="0034332A">
        <w:rPr>
          <w:rFonts w:ascii="Times" w:eastAsia="Times New Roman" w:hAnsi="Times" w:cs="Arial"/>
          <w:bCs/>
          <w:sz w:val="24"/>
          <w:szCs w:val="20"/>
          <w:lang w:eastAsia="pl-PL"/>
        </w:rPr>
        <w:t>rzez komornika. Z </w:t>
      </w:r>
      <w:r w:rsidR="00E0517E">
        <w:rPr>
          <w:rFonts w:ascii="Times" w:eastAsia="Times New Roman" w:hAnsi="Times" w:cs="Arial"/>
          <w:bCs/>
          <w:sz w:val="24"/>
          <w:szCs w:val="20"/>
          <w:lang w:eastAsia="pl-PL"/>
        </w:rPr>
        <w:t>tego powodu w</w:t>
      </w:r>
      <w:r w:rsidR="0034332A">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art. 13 projektu przewidziano konieczność odpowiedniego stosowania przepisów dotyczących przyznawania należności biegłym </w:t>
      </w:r>
      <w:r w:rsidR="0034332A">
        <w:rPr>
          <w:rFonts w:ascii="Times" w:eastAsia="Times New Roman" w:hAnsi="Times" w:cs="Arial"/>
          <w:bCs/>
          <w:sz w:val="24"/>
          <w:szCs w:val="20"/>
          <w:lang w:eastAsia="pl-PL"/>
        </w:rPr>
        <w:t>i tłumaczom powołanym w </w:t>
      </w:r>
      <w:r w:rsidRPr="008A5F12">
        <w:rPr>
          <w:rFonts w:ascii="Times" w:eastAsia="Times New Roman" w:hAnsi="Times" w:cs="Arial"/>
          <w:bCs/>
          <w:sz w:val="24"/>
          <w:szCs w:val="20"/>
          <w:lang w:eastAsia="pl-PL"/>
        </w:rPr>
        <w:t xml:space="preserve">sprawach cywilnych </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czyli przepisów ustawy z dnia 28 lipca 2005 r. o kosztach sądowych w sprawach cywilnych i wydanych na jej podstawie przepisów wykonawczych określających stawki wynagrodz</w:t>
      </w:r>
      <w:r w:rsidR="00E0517E">
        <w:rPr>
          <w:rFonts w:ascii="Times" w:eastAsia="Times New Roman" w:hAnsi="Times" w:cs="Arial"/>
          <w:bCs/>
          <w:sz w:val="24"/>
          <w:szCs w:val="20"/>
          <w:lang w:eastAsia="pl-PL"/>
        </w:rPr>
        <w:t>enia i taryfy zryczałtowane</w:t>
      </w:r>
      <w:r w:rsidR="003A55D8">
        <w:rPr>
          <w:rFonts w:ascii="Times" w:eastAsia="Times New Roman" w:hAnsi="Times" w:cs="Arial"/>
          <w:bCs/>
          <w:sz w:val="24"/>
          <w:szCs w:val="20"/>
          <w:lang w:eastAsia="pl-PL"/>
        </w:rPr>
        <w:t>)</w:t>
      </w:r>
      <w:r w:rsidR="00E0517E">
        <w:rPr>
          <w:rFonts w:ascii="Times" w:eastAsia="Times New Roman" w:hAnsi="Times" w:cs="Arial"/>
          <w:bCs/>
          <w:sz w:val="24"/>
          <w:szCs w:val="20"/>
          <w:lang w:eastAsia="pl-PL"/>
        </w:rPr>
        <w:t>. W </w:t>
      </w:r>
      <w:r w:rsidRPr="008A5F12">
        <w:rPr>
          <w:rFonts w:ascii="Times" w:eastAsia="Times New Roman" w:hAnsi="Times" w:cs="Arial"/>
          <w:bCs/>
          <w:sz w:val="24"/>
          <w:szCs w:val="20"/>
          <w:lang w:eastAsia="pl-PL"/>
        </w:rPr>
        <w:t>projektowanych przepisach precyzyjnie określono też podstawy i kryteria przyznawania należności z tytułu pozostałych wydatków wymienionych w katalogu. Przyjęto zasadę, że przyznawanie wynagrodzenia będzie odbywało się w formie postanowienia, którego niezbędne elementy i termin w</w:t>
      </w:r>
      <w:r w:rsidR="00E0517E">
        <w:rPr>
          <w:rFonts w:ascii="Times" w:eastAsia="Times New Roman" w:hAnsi="Times" w:cs="Arial"/>
          <w:bCs/>
          <w:sz w:val="24"/>
          <w:szCs w:val="20"/>
          <w:lang w:eastAsia="pl-PL"/>
        </w:rPr>
        <w:t>ydania zostały określone w art. </w:t>
      </w:r>
      <w:r w:rsidRPr="008A5F12">
        <w:rPr>
          <w:rFonts w:ascii="Times" w:eastAsia="Times New Roman" w:hAnsi="Times" w:cs="Arial"/>
          <w:bCs/>
          <w:sz w:val="24"/>
          <w:szCs w:val="20"/>
          <w:lang w:eastAsia="pl-PL"/>
        </w:rPr>
        <w:t xml:space="preserve">12 projektu.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Nowym rozwiązaniem jest też regulacja dotycząca wynagrodzenia kuratora ustanowionego przez sąd. Zagadnienie to wywołuje obe</w:t>
      </w:r>
      <w:r w:rsidR="00E0517E">
        <w:rPr>
          <w:rFonts w:ascii="Times" w:eastAsia="Times New Roman" w:hAnsi="Times" w:cs="Arial"/>
          <w:bCs/>
          <w:sz w:val="24"/>
          <w:szCs w:val="20"/>
          <w:lang w:eastAsia="pl-PL"/>
        </w:rPr>
        <w:t>cnie problemy interpretacyjne w </w:t>
      </w:r>
      <w:r w:rsidRPr="008A5F12">
        <w:rPr>
          <w:rFonts w:ascii="Times" w:eastAsia="Times New Roman" w:hAnsi="Times" w:cs="Arial"/>
          <w:bCs/>
          <w:sz w:val="24"/>
          <w:szCs w:val="20"/>
          <w:lang w:eastAsia="pl-PL"/>
        </w:rPr>
        <w:t xml:space="preserve">praktyce orzeczniczej. W art. 15 ust. 2 projektu przyjęto zasadę, że zaliczkę na wydatki kuratora pobiera sąd rozpoznający wniosek o ustanowienia kuratora, a po ustanowieniu kuratora sąd niezwłocznie przekazuje tę zaliczkę komornikowi, który </w:t>
      </w:r>
      <w:r w:rsidRPr="008A5F12">
        <w:rPr>
          <w:rFonts w:ascii="Times" w:eastAsia="Times New Roman" w:hAnsi="Times" w:cs="Arial"/>
          <w:bCs/>
          <w:sz w:val="24"/>
          <w:szCs w:val="20"/>
          <w:lang w:eastAsia="pl-PL"/>
        </w:rPr>
        <w:lastRenderedPageBreak/>
        <w:t>przyznaje wynagrodzenie kuratorowi. Służy to wyeliminowaniu problemów związanych z brakiem środków na wypłatę wynagrodzenia oraz ustaleniem, który organ (sąd czy komornik) pobiera zaliczkę oraz przyznaje i wypłaca należności kuratorowi.</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celu wyeliminowania rozbieżności pojawiających się w praktyce, uregulowano również zasady przyznawania należności za udostępnianie informacji i dokumentów. Z</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projektowanego art. 16 wynika, że zwrot wydatków związanych z udostępnieniem dokumentu obejmuje wyłącznie wydatki udokumentowane za pomocą faktury albo rachunku. Maksymalna wysokość wynagrodzenia za udzielenie informacji zostanie natomiast określona w drodze rozporządz</w:t>
      </w:r>
      <w:r w:rsidR="00E0517E">
        <w:rPr>
          <w:rFonts w:ascii="Times" w:eastAsia="Times New Roman" w:hAnsi="Times" w:cs="Arial"/>
          <w:bCs/>
          <w:sz w:val="24"/>
          <w:szCs w:val="20"/>
          <w:lang w:eastAsia="pl-PL"/>
        </w:rPr>
        <w:t>enia Ministra Sprawiedliwości w </w:t>
      </w:r>
      <w:r w:rsidRPr="008A5F12">
        <w:rPr>
          <w:rFonts w:ascii="Times" w:eastAsia="Times New Roman" w:hAnsi="Times" w:cs="Arial"/>
          <w:bCs/>
          <w:sz w:val="24"/>
          <w:szCs w:val="20"/>
          <w:lang w:eastAsia="pl-PL"/>
        </w:rPr>
        <w:t>porozumieniu z ministrem właściwym do spraw administracji publicznej oraz ministrem właściwym do spraw finansów</w:t>
      </w:r>
      <w:r w:rsidR="003A55D8">
        <w:rPr>
          <w:rFonts w:ascii="Times" w:eastAsia="Times New Roman" w:hAnsi="Times" w:cs="Arial"/>
          <w:bCs/>
          <w:sz w:val="24"/>
          <w:szCs w:val="20"/>
          <w:lang w:eastAsia="pl-PL"/>
        </w:rPr>
        <w:t xml:space="preserve"> publicznych</w:t>
      </w:r>
      <w:r w:rsidRPr="008A5F12">
        <w:rPr>
          <w:rFonts w:ascii="Times" w:eastAsia="Times New Roman" w:hAnsi="Times" w:cs="Arial"/>
          <w:bCs/>
          <w:sz w:val="24"/>
          <w:szCs w:val="20"/>
          <w:lang w:eastAsia="pl-PL"/>
        </w:rPr>
        <w:t xml:space="preserve">, w którym zostaną </w:t>
      </w:r>
      <w:r w:rsidR="0034332A" w:rsidRPr="008A5F12">
        <w:rPr>
          <w:rFonts w:ascii="Times" w:eastAsia="Times New Roman" w:hAnsi="Times" w:cs="Arial"/>
          <w:bCs/>
          <w:sz w:val="24"/>
          <w:szCs w:val="20"/>
          <w:lang w:eastAsia="pl-PL"/>
        </w:rPr>
        <w:t xml:space="preserve">określone </w:t>
      </w:r>
      <w:r w:rsidRPr="008A5F12">
        <w:rPr>
          <w:rFonts w:ascii="Times" w:eastAsia="Times New Roman" w:hAnsi="Times" w:cs="Arial"/>
          <w:bCs/>
          <w:sz w:val="24"/>
          <w:szCs w:val="20"/>
          <w:lang w:eastAsia="pl-PL"/>
        </w:rPr>
        <w:t>maksymalne wysokości wynagrodzeń za udzielenie informacji, przy uwzględnieniu nakładu pracy przy udzielaniu tych informacji i ic</w:t>
      </w:r>
      <w:r w:rsidR="0034332A">
        <w:rPr>
          <w:rFonts w:ascii="Times" w:eastAsia="Times New Roman" w:hAnsi="Times" w:cs="Arial"/>
          <w:bCs/>
          <w:sz w:val="24"/>
          <w:szCs w:val="20"/>
          <w:lang w:eastAsia="pl-PL"/>
        </w:rPr>
        <w:t>h objętości. Należy dodać, że z </w:t>
      </w:r>
      <w:r w:rsidRPr="008A5F12">
        <w:rPr>
          <w:rFonts w:ascii="Times" w:eastAsia="Times New Roman" w:hAnsi="Times" w:cs="Arial"/>
          <w:bCs/>
          <w:sz w:val="24"/>
          <w:szCs w:val="20"/>
          <w:lang w:eastAsia="pl-PL"/>
        </w:rPr>
        <w:t xml:space="preserve">projektowanych przepisów wynika wprost, iż nie uchybiają one odrębnym regulacjom dotyczącym tej tematyki (por. art. 16 ust. 5 projektu).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art. 19 projektu uregulowano czynności kom</w:t>
      </w:r>
      <w:r>
        <w:rPr>
          <w:rFonts w:ascii="Times" w:eastAsia="Times New Roman" w:hAnsi="Times" w:cs="Arial"/>
          <w:bCs/>
          <w:sz w:val="24"/>
          <w:szCs w:val="20"/>
          <w:lang w:eastAsia="pl-PL"/>
        </w:rPr>
        <w:t>ornika związane z pobieraniem i</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przekazywaniem sądowi opłat sądowych należnych od wniosku o wpis w księdze wieczystej w ramach postępowania egzekucyjnego albo wykonania zabezpieczenia roszczenia. Projektowane regulacje nie wprowadzają zmian merytorycznych w tym zakresie. Należy jednak zwrócić uwagę na związaną z nimi zmian</w:t>
      </w:r>
      <w:r w:rsidR="00E0517E">
        <w:rPr>
          <w:rFonts w:ascii="Times" w:eastAsia="Times New Roman" w:hAnsi="Times" w:cs="Arial"/>
          <w:bCs/>
          <w:sz w:val="24"/>
          <w:szCs w:val="20"/>
          <w:lang w:eastAsia="pl-PL"/>
        </w:rPr>
        <w:t>ę w ustawie o </w:t>
      </w:r>
      <w:r w:rsidRPr="008A5F12">
        <w:rPr>
          <w:rFonts w:ascii="Times" w:eastAsia="Times New Roman" w:hAnsi="Times" w:cs="Arial"/>
          <w:bCs/>
          <w:sz w:val="24"/>
          <w:szCs w:val="20"/>
          <w:lang w:eastAsia="pl-PL"/>
        </w:rPr>
        <w:t>kosztach sądowych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sprawach cywilnych, we</w:t>
      </w:r>
      <w:r w:rsidR="00E0517E">
        <w:rPr>
          <w:rFonts w:ascii="Times" w:eastAsia="Times New Roman" w:hAnsi="Times" w:cs="Arial"/>
          <w:bCs/>
          <w:sz w:val="24"/>
          <w:szCs w:val="20"/>
          <w:lang w:eastAsia="pl-PL"/>
        </w:rPr>
        <w:t>dług której wniosek komornika o </w:t>
      </w:r>
      <w:r w:rsidRPr="008A5F12">
        <w:rPr>
          <w:rFonts w:ascii="Times" w:eastAsia="Times New Roman" w:hAnsi="Times" w:cs="Arial"/>
          <w:bCs/>
          <w:sz w:val="24"/>
          <w:szCs w:val="20"/>
          <w:lang w:eastAsia="pl-PL"/>
        </w:rPr>
        <w:t xml:space="preserve">wykreślenie w księdze wieczystej wpisu o wszczęciu egzekucji będzie wolny od opłaty sądowej. Wniosek taki jest składany po zakończeniu postępowania, co powoduje, że jest </w:t>
      </w:r>
      <w:r w:rsidR="0034332A" w:rsidRPr="008A5F12">
        <w:rPr>
          <w:rFonts w:ascii="Times" w:eastAsia="Times New Roman" w:hAnsi="Times" w:cs="Arial"/>
          <w:bCs/>
          <w:sz w:val="24"/>
          <w:szCs w:val="20"/>
          <w:lang w:eastAsia="pl-PL"/>
        </w:rPr>
        <w:t xml:space="preserve">utrudnione </w:t>
      </w:r>
      <w:r w:rsidRPr="008A5F12">
        <w:rPr>
          <w:rFonts w:ascii="Times" w:eastAsia="Times New Roman" w:hAnsi="Times" w:cs="Arial"/>
          <w:bCs/>
          <w:sz w:val="24"/>
          <w:szCs w:val="20"/>
          <w:lang w:eastAsia="pl-PL"/>
        </w:rPr>
        <w:t xml:space="preserve">rozliczenie związanych z nim kosztów, a wykreślenie nieaktualnych wpisów jest dokonywane w interesie publicznym </w:t>
      </w:r>
      <w:r w:rsidR="00E0517E">
        <w:rPr>
          <w:rFonts w:ascii="Times" w:eastAsia="Times New Roman" w:hAnsi="Times" w:cs="Arial"/>
          <w:bCs/>
          <w:sz w:val="24"/>
          <w:szCs w:val="20"/>
          <w:lang w:eastAsia="pl-PL"/>
        </w:rPr>
        <w:t>(zapewnienie zgodności wpisów w </w:t>
      </w:r>
      <w:r w:rsidRPr="008A5F12">
        <w:rPr>
          <w:rFonts w:ascii="Times" w:eastAsia="Times New Roman" w:hAnsi="Times" w:cs="Arial"/>
          <w:bCs/>
          <w:sz w:val="24"/>
          <w:szCs w:val="20"/>
          <w:lang w:eastAsia="pl-PL"/>
        </w:rPr>
        <w:t>księdze wieczystej z rzeczywistym stanem prawnym).</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Przepisy działu trzeciego projektu dotyczą opłat komorniczych. Zostały one podzielone na trzy rozdziały. Zasadnicza część regulacji dotyczących opłat komorniczych jest wzorowana na dotychczasowych przepisach. Mając jednak na względzie fakt, że przepisy regulujące sposób ustalania opłat egzekucyjnych wielokrotnie budziły zarówno zastrzeżenia doktryny, jak i Trybunału Konstytucyjnego, projekt ustawy jest </w:t>
      </w:r>
      <w:r w:rsidR="0034332A" w:rsidRPr="008A5F12">
        <w:rPr>
          <w:rFonts w:ascii="Times" w:eastAsia="Times New Roman" w:hAnsi="Times" w:cs="Arial"/>
          <w:bCs/>
          <w:sz w:val="24"/>
          <w:szCs w:val="20"/>
          <w:lang w:eastAsia="pl-PL"/>
        </w:rPr>
        <w:t xml:space="preserve">ukierunkowany </w:t>
      </w:r>
      <w:r w:rsidRPr="008A5F12">
        <w:rPr>
          <w:rFonts w:ascii="Times" w:eastAsia="Times New Roman" w:hAnsi="Times" w:cs="Arial"/>
          <w:bCs/>
          <w:sz w:val="24"/>
          <w:szCs w:val="20"/>
          <w:lang w:eastAsia="pl-PL"/>
        </w:rPr>
        <w:t xml:space="preserve">na racjonalizację przepisów dotyczących opłat komorniczych </w:t>
      </w:r>
      <w:r w:rsidRPr="008A5F12">
        <w:rPr>
          <w:rFonts w:ascii="Times" w:eastAsia="Times New Roman" w:hAnsi="Times" w:cs="Arial"/>
          <w:bCs/>
          <w:sz w:val="24"/>
          <w:szCs w:val="20"/>
          <w:lang w:eastAsia="pl-PL"/>
        </w:rPr>
        <w:lastRenderedPageBreak/>
        <w:t>przejawiającą się z</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 xml:space="preserve">jednej strony ujednoliceniem i uproszczeniem dotychczasowych rozwiązań, z drugiej zaś – ich usystematyzowaniem i uporządkowaniem.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W pierwszej kolejności należy zaznaczyć, że z uwagi na specyfikę postępowania egzekucyjnego pozostawiono podstawowy podział opłat na stosunkowe i stałe. Powyższa klasyfikacja nawiązuje do systematyki przyjętej w ustawie z dnia 28 lipca 2005 r. o kosztach sądowych w sprawach cywilnych.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zakresie trybu pobierania opłaty egzekucyjnej za egzekucję świadczeń pieniężnych utrzymano dotychczasowe rozwiązanie, według którego opłatę egzekucyjną komornik ściąga wraz z egzekwowanym świadczeniem proporcjonalnie do wartości świadczenia egzekwowanego. Ściąganie tej opłaty nie wymaga uprzedniego wydania postanowienia. Z</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uwagi na występujące w praktyce nieprawidłowości oraz wątpliwości interpretacyjne zaproponowano, aby tak pobierane opłaty były rozliczane przynajmniej raz na rok odrębnym postanowieniem. W dotychczasowej praktyce zdarzało się bowiem, że komornik prowadzący egzekucję z wynagrodzenia za pracę lub innych świadczeń powtarzających się ściągał opłaty egzekucyjne przez długie okresy czasu (czasem nawet kilka lat), ale nie określał ich wysokości. Praktyka taka utrudniała stronom postępowania egzekucyjnego zaskarżanie czynności ko</w:t>
      </w:r>
      <w:r w:rsidR="00E0517E">
        <w:rPr>
          <w:rFonts w:ascii="Times" w:eastAsia="Times New Roman" w:hAnsi="Times" w:cs="Arial"/>
          <w:bCs/>
          <w:sz w:val="24"/>
          <w:szCs w:val="20"/>
          <w:lang w:eastAsia="pl-PL"/>
        </w:rPr>
        <w:t>mornika i rodziła wątpliwości w </w:t>
      </w:r>
      <w:r w:rsidRPr="008A5F12">
        <w:rPr>
          <w:rFonts w:ascii="Times" w:eastAsia="Times New Roman" w:hAnsi="Times" w:cs="Arial"/>
          <w:bCs/>
          <w:sz w:val="24"/>
          <w:szCs w:val="20"/>
          <w:lang w:eastAsia="pl-PL"/>
        </w:rPr>
        <w:t>zakresie trybu rozpoznawania skarg na takie czynności. Utrudniało to również sądową kontrolę czynności komornika, gdyż mogła się ona opierać wyłącznie na treści zapisów w karcie rozliczeniowej, co nastręczało poważnych trudności. Z tego względu, dla zapewnienia większej transparentności działań komornika, proponuje się, aby komornik przynajmniej raz na rok formalnie rozliczał ściągnięte opłaty (art. 21 ust. 1 projektu). Minimalnej wysokości opłaty (100 zł</w:t>
      </w:r>
      <w:r w:rsidR="003A55D8">
        <w:rPr>
          <w:rFonts w:ascii="Times" w:eastAsia="Times New Roman" w:hAnsi="Times" w:cs="Arial"/>
          <w:bCs/>
          <w:sz w:val="24"/>
          <w:szCs w:val="20"/>
          <w:lang w:eastAsia="pl-PL"/>
        </w:rPr>
        <w:t>otych</w:t>
      </w:r>
      <w:r w:rsidRPr="008A5F12">
        <w:rPr>
          <w:rFonts w:ascii="Times" w:eastAsia="Times New Roman" w:hAnsi="Times" w:cs="Arial"/>
          <w:bCs/>
          <w:sz w:val="24"/>
          <w:szCs w:val="20"/>
          <w:lang w:eastAsia="pl-PL"/>
        </w:rPr>
        <w:t>) nie stosuje się do opłat ściąganych na bieżąco. Rozwiązanie takie ma wyeliminować sytuacje, w których komornik</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ściągając od dłużnika niewielkie kwoty</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mógłby każdorazowo naliczać opłaty w wysokości równej opłacie minimalnej. W konsekwencji dochodziłoby do sytuacji, w</w:t>
      </w:r>
      <w:r w:rsidR="003A55D8">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których ze ściągniętych środków dla wierzy</w:t>
      </w:r>
      <w:r w:rsidR="003A55D8">
        <w:rPr>
          <w:rFonts w:ascii="Times" w:eastAsia="Times New Roman" w:hAnsi="Times" w:cs="Arial"/>
          <w:bCs/>
          <w:sz w:val="24"/>
          <w:szCs w:val="20"/>
          <w:lang w:eastAsia="pl-PL"/>
        </w:rPr>
        <w:t>ciela pozostawałoby niewiele, a </w:t>
      </w:r>
      <w:r w:rsidRPr="008A5F12">
        <w:rPr>
          <w:rFonts w:ascii="Times" w:eastAsia="Times New Roman" w:hAnsi="Times" w:cs="Arial"/>
          <w:bCs/>
          <w:sz w:val="24"/>
          <w:szCs w:val="20"/>
          <w:lang w:eastAsia="pl-PL"/>
        </w:rPr>
        <w:t xml:space="preserve">wysokość naliczonych opłat egzekucyjnych (np. w skali roku) ostatecznie przekraczałaby wysokość należnej opłaty stosunkowej.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Konsekwencją nowych rozwiązań jest wprowadzenie dwóch kategorii postanowień odnoszących się do opłat egzekucyjnych:</w:t>
      </w:r>
    </w:p>
    <w:p w:rsidR="008A5F12" w:rsidRPr="008A5F12" w:rsidRDefault="008A5F12" w:rsidP="00E0517E">
      <w:pPr>
        <w:pStyle w:val="Akapitzlist"/>
        <w:numPr>
          <w:ilvl w:val="0"/>
          <w:numId w:val="34"/>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lastRenderedPageBreak/>
        <w:t>postanowienia o ustaleniu opłat ściągniętych i należnych (art. 21 ust. 1 projektu), odnoszącego się do rozliczenia i formalnego ustalenia opłat faktycznie ściągniętych</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oraz</w:t>
      </w:r>
    </w:p>
    <w:p w:rsidR="008A5F12" w:rsidRPr="008A5F12" w:rsidRDefault="008A5F12" w:rsidP="00E0517E">
      <w:pPr>
        <w:pStyle w:val="Akapitzlist"/>
        <w:numPr>
          <w:ilvl w:val="0"/>
          <w:numId w:val="34"/>
        </w:numPr>
        <w:suppressAutoHyphens/>
        <w:autoSpaceDE w:val="0"/>
        <w:autoSpaceDN w:val="0"/>
        <w:adjustRightInd w:val="0"/>
        <w:spacing w:before="120" w:line="360" w:lineRule="auto"/>
        <w:ind w:left="426" w:hanging="426"/>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postanowienia o pobraniu opłaty (art. 21 ust. 2 projektu)</w:t>
      </w:r>
      <w:r w:rsidR="003A55D8">
        <w:rPr>
          <w:rFonts w:ascii="Times" w:eastAsia="Times New Roman" w:hAnsi="Times" w:cs="Arial"/>
          <w:bCs/>
          <w:sz w:val="24"/>
          <w:szCs w:val="20"/>
          <w:lang w:eastAsia="pl-PL"/>
        </w:rPr>
        <w:t>.</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Drugie z wymienionych postanowień ma odnosić się do opłaty należnej, do której uiszczenia jest </w:t>
      </w:r>
      <w:r w:rsidR="0034332A" w:rsidRPr="008A5F12">
        <w:rPr>
          <w:rFonts w:ascii="Times" w:eastAsia="Times New Roman" w:hAnsi="Times" w:cs="Arial"/>
          <w:bCs/>
          <w:sz w:val="24"/>
          <w:szCs w:val="20"/>
          <w:lang w:eastAsia="pl-PL"/>
        </w:rPr>
        <w:t xml:space="preserve">zobowiązana </w:t>
      </w:r>
      <w:r w:rsidRPr="008A5F12">
        <w:rPr>
          <w:rFonts w:ascii="Times" w:eastAsia="Times New Roman" w:hAnsi="Times" w:cs="Arial"/>
          <w:bCs/>
          <w:sz w:val="24"/>
          <w:szCs w:val="20"/>
          <w:lang w:eastAsia="pl-PL"/>
        </w:rPr>
        <w:t xml:space="preserve">strona postępowania w takich przypadkach, w których nie dochodzi do ściągnięcia opłaty.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proponowanych rozwiązaniach uwzględniono do</w:t>
      </w:r>
      <w:r w:rsidR="0034332A">
        <w:rPr>
          <w:rFonts w:ascii="Times" w:eastAsia="Times New Roman" w:hAnsi="Times" w:cs="Arial"/>
          <w:bCs/>
          <w:sz w:val="24"/>
          <w:szCs w:val="20"/>
          <w:lang w:eastAsia="pl-PL"/>
        </w:rPr>
        <w:t>tychczasową zasadę, że w prz</w:t>
      </w:r>
      <w:r w:rsidRPr="008A5F12">
        <w:rPr>
          <w:rFonts w:ascii="Times" w:eastAsia="Times New Roman" w:hAnsi="Times" w:cs="Arial"/>
          <w:bCs/>
          <w:sz w:val="24"/>
          <w:szCs w:val="20"/>
          <w:lang w:eastAsia="pl-PL"/>
        </w:rPr>
        <w:t xml:space="preserve">ypadku postępowań innych niż egzekucja świadczeń pieniężnych (np. w sprawach o egzekucję świadczeń niepieniężnych albo o wykonanie zabezpieczenia roszczenia) komornik uzależnia podjęcie czynności od uiszczenia opłaty przez wierzyciela.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odniesieniu do opłat stosunkowych utrzymano dotychczas obowiązujące rozwiązania, w myśl których podstawę ustalenia tych opłat stanowi wartość świadczenia (art. 23 projektu). W celu ujednolicenia praktyki ustalania opłat egzekucyjnych w art. 24 projektu przyjęto, że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odniesi</w:t>
      </w:r>
      <w:r w:rsidR="00E0517E">
        <w:rPr>
          <w:rFonts w:ascii="Times" w:eastAsia="Times New Roman" w:hAnsi="Times" w:cs="Arial"/>
          <w:bCs/>
          <w:sz w:val="24"/>
          <w:szCs w:val="20"/>
          <w:lang w:eastAsia="pl-PL"/>
        </w:rPr>
        <w:t>eniu do egzekucji z </w:t>
      </w:r>
      <w:r w:rsidRPr="008A5F12">
        <w:rPr>
          <w:rFonts w:ascii="Times" w:eastAsia="Times New Roman" w:hAnsi="Times" w:cs="Arial"/>
          <w:bCs/>
          <w:sz w:val="24"/>
          <w:szCs w:val="20"/>
          <w:lang w:eastAsia="pl-PL"/>
        </w:rPr>
        <w:t>nieruchomości, w której uczestniczyło kilku wierzycieli, opłatę egzekucyjną ustala się tylko raz. Uwzględniając problemy z rozliczaniem tak ustalanej opłaty między poszczególne postępowania egzekucyjne, opłata za taką egzekucję jest naliczana od każdej sprzedanej nieruchomości, co wynika z art. 25 zd</w:t>
      </w:r>
      <w:r w:rsidR="0034332A">
        <w:rPr>
          <w:rFonts w:ascii="Times" w:eastAsia="Times New Roman" w:hAnsi="Times" w:cs="Arial"/>
          <w:bCs/>
          <w:sz w:val="24"/>
          <w:szCs w:val="20"/>
          <w:lang w:eastAsia="pl-PL"/>
        </w:rPr>
        <w:t>anie drugie</w:t>
      </w:r>
      <w:r w:rsidRPr="008A5F12">
        <w:rPr>
          <w:rFonts w:ascii="Times" w:eastAsia="Times New Roman" w:hAnsi="Times" w:cs="Arial"/>
          <w:bCs/>
          <w:sz w:val="24"/>
          <w:szCs w:val="20"/>
          <w:lang w:eastAsia="pl-PL"/>
        </w:rPr>
        <w:t xml:space="preserve"> projektu.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W projekcie proponuje się wprowadzenie zasady, według której wysokość opłat (minimalnych, maksymalnych i stałych) jest określona kwotowo, a nie </w:t>
      </w:r>
      <w:r>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jak dotychczas –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formie ułamka wynagrodzenia w gospodarce narodowej. Ułatwi to stosowanie przepisów o</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opłatach oraz zapewni spójność z przepisami regulującymi wysokość opłat sądowych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sprawach cywilnych. Brak jest też racjonalnych podstaw, aby opłaty komornicze z roku na rok rosły wraz ze wzrostem wynagrodzeń w gospodarce. Prowadzi to bowiem do sytuacji,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której wysokość opłaty egzekucyjnej nie jest uzależniona od daty, w której komornik podejmuje cz</w:t>
      </w:r>
      <w:r w:rsidR="00E0517E">
        <w:rPr>
          <w:rFonts w:ascii="Times" w:eastAsia="Times New Roman" w:hAnsi="Times" w:cs="Arial"/>
          <w:bCs/>
          <w:sz w:val="24"/>
          <w:szCs w:val="20"/>
          <w:lang w:eastAsia="pl-PL"/>
        </w:rPr>
        <w:t>ynności, lecz zależy od daty, w </w:t>
      </w:r>
      <w:r w:rsidRPr="008A5F12">
        <w:rPr>
          <w:rFonts w:ascii="Times" w:eastAsia="Times New Roman" w:hAnsi="Times" w:cs="Arial"/>
          <w:bCs/>
          <w:sz w:val="24"/>
          <w:szCs w:val="20"/>
          <w:lang w:eastAsia="pl-PL"/>
        </w:rPr>
        <w:t>której komornik formalnie ustala jej wysokość. Wady tego rozwiązania ujawniają się zwłaszcza w odniesieniu do opłat za egzekucję z</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nieruchomości, w której do ustalenia opłaty dochodzi po upływie dłuższego okresu czasu po podjęciu czynności przez komornika (t</w:t>
      </w:r>
      <w:r w:rsidR="0034332A">
        <w:rPr>
          <w:rFonts w:ascii="Times" w:eastAsia="Times New Roman" w:hAnsi="Times" w:cs="Arial"/>
          <w:bCs/>
          <w:sz w:val="24"/>
          <w:szCs w:val="20"/>
          <w:lang w:eastAsia="pl-PL"/>
        </w:rPr>
        <w:t>o jest</w:t>
      </w:r>
      <w:r w:rsidRPr="008A5F12">
        <w:rPr>
          <w:rFonts w:ascii="Times" w:eastAsia="Times New Roman" w:hAnsi="Times" w:cs="Arial"/>
          <w:bCs/>
          <w:sz w:val="24"/>
          <w:szCs w:val="20"/>
          <w:lang w:eastAsia="pl-PL"/>
        </w:rPr>
        <w:t xml:space="preserve"> zbyciu nieruchomości w drodze licytacji). Przyjęte rozwiązanie </w:t>
      </w:r>
      <w:r w:rsidRPr="008A5F12">
        <w:rPr>
          <w:rFonts w:ascii="Times" w:eastAsia="Times New Roman" w:hAnsi="Times" w:cs="Arial"/>
          <w:bCs/>
          <w:sz w:val="24"/>
          <w:szCs w:val="20"/>
          <w:lang w:eastAsia="pl-PL"/>
        </w:rPr>
        <w:lastRenderedPageBreak/>
        <w:t>zagwarantuje stabilność i przewidywalnoś</w:t>
      </w:r>
      <w:r>
        <w:rPr>
          <w:rFonts w:ascii="Times" w:eastAsia="Times New Roman" w:hAnsi="Times" w:cs="Arial"/>
          <w:bCs/>
          <w:sz w:val="24"/>
          <w:szCs w:val="20"/>
          <w:lang w:eastAsia="pl-PL"/>
        </w:rPr>
        <w:t>ć wysokości kosztów egzekucji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trakcie</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jej trwania.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Jednocześnie w art. 25 projektu zracjonalizowano wysokość opłat egzekucyjnych przez wskazanie, że opłata minimalna wynosi 100 złotych, zaś opłata maksymalna nie może przekraczać 50 000 złotych. Kwota 50 000 złotych jest sumą na tyle znaczną, że trudno znaleźć racjonalne uzasadnienie, by z tytułu dokonywanych czynności miała komornikom jednorazowo przysługiwać wyższa opłata. Wyjątek dotyczy opłaty za egzekucję z</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nieruchomości, o </w:t>
      </w:r>
      <w:r w:rsidR="003A55D8">
        <w:rPr>
          <w:rFonts w:ascii="Times" w:eastAsia="Times New Roman" w:hAnsi="Times" w:cs="Arial"/>
          <w:bCs/>
          <w:sz w:val="24"/>
          <w:szCs w:val="20"/>
          <w:lang w:eastAsia="pl-PL"/>
        </w:rPr>
        <w:t>której mowa w art. 24 projektu.</w:t>
      </w:r>
      <w:r w:rsidRPr="008A5F12">
        <w:rPr>
          <w:rFonts w:ascii="Times" w:eastAsia="Times New Roman" w:hAnsi="Times" w:cs="Arial"/>
          <w:bCs/>
          <w:sz w:val="24"/>
          <w:szCs w:val="20"/>
          <w:lang w:eastAsia="pl-PL"/>
        </w:rPr>
        <w:t xml:space="preserve">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Szczegółowe rozwiązania dotyczące wysokości opłat egzekucyjnych w sprawach o</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egzekucję świadczeń pieniężnych zawarto w przepisach rozdziału zatytułowanego „Opłaty egzekucyjne w sprawach o egzekucję ś</w:t>
      </w:r>
      <w:r w:rsidR="00E0517E">
        <w:rPr>
          <w:rFonts w:ascii="Times" w:eastAsia="Times New Roman" w:hAnsi="Times" w:cs="Arial"/>
          <w:bCs/>
          <w:sz w:val="24"/>
          <w:szCs w:val="20"/>
          <w:lang w:eastAsia="pl-PL"/>
        </w:rPr>
        <w:t>wiadczeń pieniężnych”. Jednym z </w:t>
      </w:r>
      <w:r w:rsidRPr="008A5F12">
        <w:rPr>
          <w:rFonts w:ascii="Times" w:eastAsia="Times New Roman" w:hAnsi="Times" w:cs="Arial"/>
          <w:bCs/>
          <w:sz w:val="24"/>
          <w:szCs w:val="20"/>
          <w:lang w:eastAsia="pl-PL"/>
        </w:rPr>
        <w:t xml:space="preserve">podstawowych założeń projektu jest jednoznaczne określenie, że opłata egzekucyjna ma co do zasady jednolitą wysokość określoną jako 10% egzekwowanego roszczenia. Takie rozwiązanie prowadzi do wyeliminowania dwóch obowiązujących obecnie stawek – podstawowej określonej na 15% i obniżonej w wysokości 8%.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Mając na względzie utrwaloną linię orzeczniczą Trybunału Konstytucyjnego, która znalazła między innymi odzwierciedlenie w treści wyroku z dnia 13 października 201</w:t>
      </w:r>
      <w:r w:rsidR="00E0517E">
        <w:rPr>
          <w:rFonts w:ascii="Times" w:eastAsia="Times New Roman" w:hAnsi="Times" w:cs="Arial"/>
          <w:bCs/>
          <w:sz w:val="24"/>
          <w:szCs w:val="20"/>
          <w:lang w:eastAsia="pl-PL"/>
        </w:rPr>
        <w:t>5 </w:t>
      </w:r>
      <w:r w:rsidRPr="008A5F12">
        <w:rPr>
          <w:rFonts w:ascii="Times" w:eastAsia="Times New Roman" w:hAnsi="Times" w:cs="Arial"/>
          <w:bCs/>
          <w:sz w:val="24"/>
          <w:szCs w:val="20"/>
          <w:lang w:eastAsia="pl-PL"/>
        </w:rPr>
        <w:t>r. (sygn. akt P 3/14), przyjęto, że należy uzależnić wysokość opłaty od rzeczywistego nakładu pracy komornika z uwzględnieniem premii dla dłużnika, który dobrowolnie i niezwłocznie spełnia świadczenie d</w:t>
      </w:r>
      <w:r w:rsidR="00E0517E">
        <w:rPr>
          <w:rFonts w:ascii="Times" w:eastAsia="Times New Roman" w:hAnsi="Times" w:cs="Arial"/>
          <w:bCs/>
          <w:sz w:val="24"/>
          <w:szCs w:val="20"/>
          <w:lang w:eastAsia="pl-PL"/>
        </w:rPr>
        <w:t>o rąk komornika. Ogranicza to w </w:t>
      </w:r>
      <w:r w:rsidRPr="008A5F12">
        <w:rPr>
          <w:rFonts w:ascii="Times" w:eastAsia="Times New Roman" w:hAnsi="Times" w:cs="Arial"/>
          <w:bCs/>
          <w:sz w:val="24"/>
          <w:szCs w:val="20"/>
          <w:lang w:eastAsia="pl-PL"/>
        </w:rPr>
        <w:t>dużej mierze niedogodności po stronie dłużnika związane z sytuacjami, gdy mimo deklarowane</w:t>
      </w:r>
      <w:r>
        <w:rPr>
          <w:rFonts w:ascii="Times" w:eastAsia="Times New Roman" w:hAnsi="Times" w:cs="Arial"/>
          <w:bCs/>
          <w:sz w:val="24"/>
          <w:szCs w:val="20"/>
          <w:lang w:eastAsia="pl-PL"/>
        </w:rPr>
        <w:t>j woli spełnienia świadczenia i</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podejmowanych w tym kierunku działań, egzekucja jest kierowana przeciwko niemu celem szykany i zwiększenia kosztów po jego stronie. W art. 27 ust. 2 projektu przyjęto zatem, że jeżeli dłużnik na poczet egzekwowanego świadczenia wpłaca kwotę bezpośrednio komornikowi lub na jego rachunek bankowy w terminie 14 dni od daty doręcz</w:t>
      </w:r>
      <w:r w:rsidR="00E0517E">
        <w:rPr>
          <w:rFonts w:ascii="Times" w:eastAsia="Times New Roman" w:hAnsi="Times" w:cs="Arial"/>
          <w:bCs/>
          <w:sz w:val="24"/>
          <w:szCs w:val="20"/>
          <w:lang w:eastAsia="pl-PL"/>
        </w:rPr>
        <w:t>enia dłużnikowi zawiadomienia o </w:t>
      </w:r>
      <w:r w:rsidRPr="008A5F12">
        <w:rPr>
          <w:rFonts w:ascii="Times" w:eastAsia="Times New Roman" w:hAnsi="Times" w:cs="Arial"/>
          <w:bCs/>
          <w:sz w:val="24"/>
          <w:szCs w:val="20"/>
          <w:lang w:eastAsia="pl-PL"/>
        </w:rPr>
        <w:t xml:space="preserve">wszczęciu egzekucji, komornik ściąga </w:t>
      </w:r>
      <w:r>
        <w:rPr>
          <w:rFonts w:ascii="Times" w:eastAsia="Times New Roman" w:hAnsi="Times" w:cs="Arial"/>
          <w:bCs/>
          <w:sz w:val="24"/>
          <w:szCs w:val="20"/>
          <w:lang w:eastAsia="pl-PL"/>
        </w:rPr>
        <w:t>od dłużnika opłatę stosunkową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wysokości 3% wartości wyegzekwowanego w ten sposób świadczenia. W przypadku dokonania takiej wpłaty przez dłużnika po tym terminie opłata stosunkowa wynosi</w:t>
      </w:r>
      <w:r>
        <w:rPr>
          <w:rFonts w:ascii="Times" w:eastAsia="Times New Roman" w:hAnsi="Times" w:cs="Arial"/>
          <w:bCs/>
          <w:sz w:val="24"/>
          <w:szCs w:val="20"/>
          <w:lang w:eastAsia="pl-PL"/>
        </w:rPr>
        <w:t xml:space="preserve"> 5</w:t>
      </w:r>
      <w:r w:rsidRPr="008A5F12">
        <w:rPr>
          <w:rFonts w:ascii="Times" w:eastAsia="Times New Roman" w:hAnsi="Times" w:cs="Arial"/>
          <w:bCs/>
          <w:sz w:val="24"/>
          <w:szCs w:val="20"/>
          <w:lang w:eastAsia="pl-PL"/>
        </w:rPr>
        <w:t>% wartości wyegzekwowanego w ten sposób świadczenia. W tym ostatnim przypadku wysokość opłaty będzie identyczna zarówno wtedy, gdy dłużnik dokona wpłaty bezpośrednio wierzycielowi, jak też wtedy, gdy dokona wpłaty komornikowi.</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lastRenderedPageBreak/>
        <w:t>W art. 28 projektu wprowadzono nowe rozwiązanie dotyczące opłaty pobieranej w razie umorzenia postępowania egzekucyjnego na wniosek wierzyciela lub z powodu jego bezczynności. W takich przypadkach to wierzyciel będzie zobowiązany do uiszczenia opłaty w wysokości 5% wartości świadczenia pozostałego do wyegzekwowania. Propozycja ta zmienia dotychczasową regułę, według której w takich przypadkach opłata egzekucyjna obciąża dłużnika. Aktualnie obowiązujące rozwiązanie rodzi bowiem konsekwencje trudne do zaakceptowania, gdyż dłużnik, który ma wolę zaspokojenia wierzyciela i środki pozwalające na prowadzenie egzekucji, nie ma wpływu na działania wierzyciela. To wierzyciel podejmuje bowiem decyzję o złożeniu wniosku o wszczęcie egzekucji oraz wniosku o umorzenie postępowania egzekucyjnego. Opisany mechanizm w wielu sytuacjach służył szykanowaniu dłużników i generowaniu dodatkowych kosztów. W konsekwencji dochodziło do niekontrolowanego rozrostu rynku obrotu wierzytelnościami. Obciążanie dłużnika opłatą egzekucyjną w razie umorzenia postępowania z woli wierzyciela (na skutek jego wniosku albo bezczynności) nie znajduje też uzasadnien</w:t>
      </w:r>
      <w:r w:rsidR="00E0517E">
        <w:rPr>
          <w:rFonts w:ascii="Times" w:eastAsia="Times New Roman" w:hAnsi="Times" w:cs="Arial"/>
          <w:bCs/>
          <w:sz w:val="24"/>
          <w:szCs w:val="20"/>
          <w:lang w:eastAsia="pl-PL"/>
        </w:rPr>
        <w:t>ia systemowego. Z przepisu art. </w:t>
      </w:r>
      <w:r w:rsidRPr="008A5F12">
        <w:rPr>
          <w:rFonts w:ascii="Times" w:eastAsia="Times New Roman" w:hAnsi="Times" w:cs="Arial"/>
          <w:bCs/>
          <w:sz w:val="24"/>
          <w:szCs w:val="20"/>
          <w:lang w:eastAsia="pl-PL"/>
        </w:rPr>
        <w:t>203 § 3 k.p.c. wynika, że w razie cofnięcia pozw</w:t>
      </w:r>
      <w:r w:rsidR="00E0517E">
        <w:rPr>
          <w:rFonts w:ascii="Times" w:eastAsia="Times New Roman" w:hAnsi="Times" w:cs="Arial"/>
          <w:bCs/>
          <w:sz w:val="24"/>
          <w:szCs w:val="20"/>
          <w:lang w:eastAsia="pl-PL"/>
        </w:rPr>
        <w:t>u pozwany może złożyć wniosek o </w:t>
      </w:r>
      <w:r w:rsidRPr="008A5F12">
        <w:rPr>
          <w:rFonts w:ascii="Times" w:eastAsia="Times New Roman" w:hAnsi="Times" w:cs="Arial"/>
          <w:bCs/>
          <w:sz w:val="24"/>
          <w:szCs w:val="20"/>
          <w:lang w:eastAsia="pl-PL"/>
        </w:rPr>
        <w:t>przyznanie mu kosztów, co oznacza, że w takim przypadku powód jest traktowany jako strona przegrywająca proces. W judykaturze przyjmuje się, że reguła ta nie znajduje zastosowania wówczas, gdy przyczyną cofnięcia pozwu jest spełnienie świadczenia przez pozwanego</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albo zawarcie porozumienia między stronami co do terminu lub sposobu spełnienia świadczenia. Id</w:t>
      </w:r>
      <w:r w:rsidR="00E0517E">
        <w:rPr>
          <w:rFonts w:ascii="Times" w:eastAsia="Times New Roman" w:hAnsi="Times" w:cs="Arial"/>
          <w:bCs/>
          <w:sz w:val="24"/>
          <w:szCs w:val="20"/>
          <w:lang w:eastAsia="pl-PL"/>
        </w:rPr>
        <w:t xml:space="preserve">entyczne </w:t>
      </w:r>
      <w:r w:rsidR="00E0517E" w:rsidRPr="003A55D8">
        <w:rPr>
          <w:rFonts w:ascii="Times" w:eastAsia="Times New Roman" w:hAnsi="Times" w:cs="Arial"/>
          <w:bCs/>
          <w:i/>
          <w:sz w:val="24"/>
          <w:szCs w:val="20"/>
          <w:lang w:eastAsia="pl-PL"/>
        </w:rPr>
        <w:t>ratio legis</w:t>
      </w:r>
      <w:r w:rsidR="00E0517E">
        <w:rPr>
          <w:rFonts w:ascii="Times" w:eastAsia="Times New Roman" w:hAnsi="Times" w:cs="Arial"/>
          <w:bCs/>
          <w:sz w:val="24"/>
          <w:szCs w:val="20"/>
          <w:lang w:eastAsia="pl-PL"/>
        </w:rPr>
        <w:t xml:space="preserve"> zachodzi w </w:t>
      </w:r>
      <w:r w:rsidRPr="008A5F12">
        <w:rPr>
          <w:rFonts w:ascii="Times" w:eastAsia="Times New Roman" w:hAnsi="Times" w:cs="Arial"/>
          <w:bCs/>
          <w:sz w:val="24"/>
          <w:szCs w:val="20"/>
          <w:lang w:eastAsia="pl-PL"/>
        </w:rPr>
        <w:t xml:space="preserve">omawianych sytuacjach i proponowana zmiana odpowiada temu samemu założeniu. Zmiana ta powinna wyeliminować powyższe nieprawidłowości. Jeżeli umorzenie postępowania na wniosek wierzyciela albo z uwagi na jego bezczynność jest spowodowane spełnieniem świadczenia bezpośrednio do rąk wierzyciela, do uiszczenia opłaty będzie zobowiązany dłużnik. Proponuje się jednak, aby ciężar wykazania tej okoliczności spoczywał na wierzycielu, jako bezpośrednio zainteresowanym. Projektowana regulacja będzie neutralna z punktu widzenia wierzycieli rzeczywiście zainteresowanych odzyskaniem swoich należności i podejmujących </w:t>
      </w:r>
      <w:r w:rsidR="003A55D8">
        <w:rPr>
          <w:rFonts w:ascii="Times" w:eastAsia="Times New Roman" w:hAnsi="Times" w:cs="Arial"/>
          <w:bCs/>
          <w:sz w:val="24"/>
          <w:szCs w:val="20"/>
          <w:lang w:eastAsia="pl-PL"/>
        </w:rPr>
        <w:t xml:space="preserve">w </w:t>
      </w:r>
      <w:r w:rsidRPr="008A5F12">
        <w:rPr>
          <w:rFonts w:ascii="Times" w:eastAsia="Times New Roman" w:hAnsi="Times" w:cs="Arial"/>
          <w:bCs/>
          <w:sz w:val="24"/>
          <w:szCs w:val="20"/>
          <w:lang w:eastAsia="pl-PL"/>
        </w:rPr>
        <w:t>tym kierunku wszelkie celowe działania w toku postępowania egzekucyjnego. Utrzymano zarazem dotychczasowe rozwiązanie, według którego w razie spełnienia przez dłużnika świadczenia jeszcze przed doręczeniem mu zawiadomienia o</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wszczęciu egzekucji należna opłata egzekucyjna będzie równa opłacie minimalnej. Obciążenie opłatą </w:t>
      </w:r>
      <w:r w:rsidRPr="008A5F12">
        <w:rPr>
          <w:rFonts w:ascii="Times" w:eastAsia="Times New Roman" w:hAnsi="Times" w:cs="Arial"/>
          <w:bCs/>
          <w:sz w:val="24"/>
          <w:szCs w:val="20"/>
          <w:lang w:eastAsia="pl-PL"/>
        </w:rPr>
        <w:lastRenderedPageBreak/>
        <w:t xml:space="preserve">wierzyciela nie będzie wchodziło w rachubę wtedy, gdy wierzycielem jest jednostka samorządu terytorialnego albo Skarb Państwa (art. 43 ust. 2).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Powyższe reguły nie znajdą zastosowania do egzekucji świadczeń powtarzających się,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tym świadczeń alimentacyjnych. W takich </w:t>
      </w:r>
      <w:r w:rsidR="0034332A">
        <w:rPr>
          <w:rFonts w:ascii="Times" w:eastAsia="Times New Roman" w:hAnsi="Times" w:cs="Arial"/>
          <w:bCs/>
          <w:sz w:val="24"/>
          <w:szCs w:val="20"/>
          <w:lang w:eastAsia="pl-PL"/>
        </w:rPr>
        <w:t>prz</w:t>
      </w:r>
      <w:r w:rsidRPr="008A5F12">
        <w:rPr>
          <w:rFonts w:ascii="Times" w:eastAsia="Times New Roman" w:hAnsi="Times" w:cs="Arial"/>
          <w:bCs/>
          <w:sz w:val="24"/>
          <w:szCs w:val="20"/>
          <w:lang w:eastAsia="pl-PL"/>
        </w:rPr>
        <w:t>ypadkach</w:t>
      </w:r>
      <w:r>
        <w:rPr>
          <w:rFonts w:ascii="Times" w:eastAsia="Times New Roman" w:hAnsi="Times" w:cs="Arial"/>
          <w:bCs/>
          <w:sz w:val="24"/>
          <w:szCs w:val="20"/>
          <w:lang w:eastAsia="pl-PL"/>
        </w:rPr>
        <w:t xml:space="preserve"> dłużnik nie zawsze pozostaje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zwłoce z płatnością świadczeń wymagalnych w przyszłości. W sytuacjach, w których dojdzie do porozumienia między wierzycielem a dłużnikiem odnośnie </w:t>
      </w:r>
      <w:r w:rsidR="003A55D8">
        <w:rPr>
          <w:rFonts w:ascii="Times" w:eastAsia="Times New Roman" w:hAnsi="Times" w:cs="Arial"/>
          <w:bCs/>
          <w:sz w:val="24"/>
          <w:szCs w:val="20"/>
          <w:lang w:eastAsia="pl-PL"/>
        </w:rPr>
        <w:t xml:space="preserve">do </w:t>
      </w:r>
      <w:r w:rsidRPr="008A5F12">
        <w:rPr>
          <w:rFonts w:ascii="Times" w:eastAsia="Times New Roman" w:hAnsi="Times" w:cs="Arial"/>
          <w:bCs/>
          <w:sz w:val="24"/>
          <w:szCs w:val="20"/>
          <w:lang w:eastAsia="pl-PL"/>
        </w:rPr>
        <w:t>płatności takich świadczeń, nie ma podstaw, by wymagać od wierzyciela dalszego prowadzenia egzekucji, a</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konsekwencji brak jest argumentów przemawiających za obciążaniem go opłatą w takich przypadkach. Dlatego też w takich sprawach będzie obowiązywała zasada obciążania opłatą dłużnika.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Kolejna modyfikacja jest proponowana w art. 29 projektu, który przewiduje, że w razie niecelowego wszczęcia postępowania lub wskazania we wniosku osoby niebędącej dłużnikiem, komornik będzie mógł nierzetelneg</w:t>
      </w:r>
      <w:r w:rsidR="00E0517E">
        <w:rPr>
          <w:rFonts w:ascii="Times" w:eastAsia="Times New Roman" w:hAnsi="Times" w:cs="Arial"/>
          <w:bCs/>
          <w:sz w:val="24"/>
          <w:szCs w:val="20"/>
          <w:lang w:eastAsia="pl-PL"/>
        </w:rPr>
        <w:t>o wierzyciela obciążyć opłatą w </w:t>
      </w:r>
      <w:r w:rsidRPr="008A5F12">
        <w:rPr>
          <w:rFonts w:ascii="Times" w:eastAsia="Times New Roman" w:hAnsi="Times" w:cs="Arial"/>
          <w:bCs/>
          <w:sz w:val="24"/>
          <w:szCs w:val="20"/>
          <w:lang w:eastAsia="pl-PL"/>
        </w:rPr>
        <w:t xml:space="preserve">wysokości 10% egzekwowanego świadczenia. </w:t>
      </w:r>
      <w:r w:rsidRPr="003A55D8">
        <w:rPr>
          <w:rFonts w:ascii="Times" w:eastAsia="Times New Roman" w:hAnsi="Times" w:cs="Arial"/>
          <w:bCs/>
          <w:i/>
          <w:sz w:val="24"/>
          <w:szCs w:val="20"/>
          <w:lang w:eastAsia="pl-PL"/>
        </w:rPr>
        <w:t>Ratio legis</w:t>
      </w:r>
      <w:r w:rsidRPr="008A5F12">
        <w:rPr>
          <w:rFonts w:ascii="Times" w:eastAsia="Times New Roman" w:hAnsi="Times" w:cs="Arial"/>
          <w:bCs/>
          <w:sz w:val="24"/>
          <w:szCs w:val="20"/>
          <w:lang w:eastAsia="pl-PL"/>
        </w:rPr>
        <w:t xml:space="preserve"> wprowadzanego rozwiązania stanowi założenie, że to właśnie wierzyciel pos</w:t>
      </w:r>
      <w:r w:rsidR="00E0517E">
        <w:rPr>
          <w:rFonts w:ascii="Times" w:eastAsia="Times New Roman" w:hAnsi="Times" w:cs="Arial"/>
          <w:bCs/>
          <w:sz w:val="24"/>
          <w:szCs w:val="20"/>
          <w:lang w:eastAsia="pl-PL"/>
        </w:rPr>
        <w:t>iada najpełniejszą wiedzę o </w:t>
      </w:r>
      <w:r w:rsidRPr="008A5F12">
        <w:rPr>
          <w:rFonts w:ascii="Times" w:eastAsia="Times New Roman" w:hAnsi="Times" w:cs="Arial"/>
          <w:bCs/>
          <w:sz w:val="24"/>
          <w:szCs w:val="20"/>
          <w:lang w:eastAsia="pl-PL"/>
        </w:rPr>
        <w:t>tym, czy zachodzi potrzeba wszczęcia postępowania egzekucyjnego</w:t>
      </w:r>
      <w:r w:rsidR="003A55D8">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i o tym, kto jest jego dłużnikiem. Regulacja ta powinna wyeliminować sytuacje, w których wierzyciele nie dokładają należytej staranności przy określeniu osoby dłużn</w:t>
      </w:r>
      <w:r w:rsidR="00E0517E">
        <w:rPr>
          <w:rFonts w:ascii="Times" w:eastAsia="Times New Roman" w:hAnsi="Times" w:cs="Arial"/>
          <w:bCs/>
          <w:sz w:val="24"/>
          <w:szCs w:val="20"/>
          <w:lang w:eastAsia="pl-PL"/>
        </w:rPr>
        <w:t>ika (wskazując np. </w:t>
      </w:r>
      <w:r w:rsidRPr="008A5F12">
        <w:rPr>
          <w:rFonts w:ascii="Times" w:eastAsia="Times New Roman" w:hAnsi="Times" w:cs="Arial"/>
          <w:bCs/>
          <w:sz w:val="24"/>
          <w:szCs w:val="20"/>
          <w:lang w:eastAsia="pl-PL"/>
        </w:rPr>
        <w:t>nieprawidłowy adres) i doprowadzają w ten sposób do podjęcia czynności egzekucyjnych przeciwko osobom trzecim. Dzięki temu nastąpi też ograniczenie takich sytuacji, w których wierzyciel kieruje do komornika wniosek o</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wszczęcie egzekucji pomimo uprzedniego spełnienia świadczenia przez dłużnika. Omawiana regulacja stanowi odzwierciedlenie założenia, że państwo ni</w:t>
      </w:r>
      <w:r w:rsidR="00E0517E">
        <w:rPr>
          <w:rFonts w:ascii="Times" w:eastAsia="Times New Roman" w:hAnsi="Times" w:cs="Arial"/>
          <w:bCs/>
          <w:sz w:val="24"/>
          <w:szCs w:val="20"/>
          <w:lang w:eastAsia="pl-PL"/>
        </w:rPr>
        <w:t>e powinno akceptować działań, w </w:t>
      </w:r>
      <w:r w:rsidRPr="008A5F12">
        <w:rPr>
          <w:rFonts w:ascii="Times" w:eastAsia="Times New Roman" w:hAnsi="Times" w:cs="Arial"/>
          <w:bCs/>
          <w:sz w:val="24"/>
          <w:szCs w:val="20"/>
          <w:lang w:eastAsia="pl-PL"/>
        </w:rPr>
        <w:t>których złożenie wniosku o wszczęcie egzekucji stanowi przejaw nadużycia prawa. Przepis art. 29 projektu powinien również ograniczyć przypadki, w których do złożenia wniosku o egzekucję świadczeń powtarzających się dochodzi wyłącznie w celu szykanowania dłużnika, który dobrowolnie i terminowo realizuje obowiązki określone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tytule wykonawczym.</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W przypadku wniosku o wykonanie zabezpieczenia roszczenia pieniężnego oraz europejskiego nakazu zabezpieczenia na rachunku bankowym proponuje się utrzymanie zasady, zgodnie z którą opłatę taką ponosi wierzyciel na etapie złożenia wniosku. Przewiduje się jednocześnie podwyższenie tej opłaty (z 2% do 5%). Odrębną regulację </w:t>
      </w:r>
      <w:r w:rsidRPr="008A5F12">
        <w:rPr>
          <w:rFonts w:ascii="Times" w:eastAsia="Times New Roman" w:hAnsi="Times" w:cs="Arial"/>
          <w:bCs/>
          <w:sz w:val="24"/>
          <w:szCs w:val="20"/>
          <w:lang w:eastAsia="pl-PL"/>
        </w:rPr>
        <w:lastRenderedPageBreak/>
        <w:t>dotyczącą opłat zaproponowano w odniesieniu do wykonania tych zabezpieczeń roszczeń pieniężnych, które polegają na zobowiązaniu obowiązanego do zapłaty uprawnionemu jednorazowo albo okresowo określonej sumy pieniężnej. Dotyczy to przede wszystkim należności o charakterze alimentacyjnym, ale również innego rodzaju należności (por. np. art.</w:t>
      </w:r>
      <w:r w:rsidR="003A55D8">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753</w:t>
      </w:r>
      <w:r w:rsidRPr="0034332A">
        <w:rPr>
          <w:rFonts w:ascii="Times" w:eastAsia="Times New Roman" w:hAnsi="Times" w:cs="Arial"/>
          <w:bCs/>
          <w:sz w:val="24"/>
          <w:szCs w:val="20"/>
          <w:vertAlign w:val="superscript"/>
          <w:lang w:eastAsia="pl-PL"/>
        </w:rPr>
        <w:t>1</w:t>
      </w:r>
      <w:r w:rsidRPr="008A5F12">
        <w:rPr>
          <w:rFonts w:ascii="Times" w:eastAsia="Times New Roman" w:hAnsi="Times" w:cs="Arial"/>
          <w:bCs/>
          <w:sz w:val="24"/>
          <w:szCs w:val="20"/>
          <w:lang w:eastAsia="pl-PL"/>
        </w:rPr>
        <w:t xml:space="preserve"> k.p.c.). Odnośnie </w:t>
      </w:r>
      <w:r w:rsidR="003A55D8">
        <w:rPr>
          <w:rFonts w:ascii="Times" w:eastAsia="Times New Roman" w:hAnsi="Times" w:cs="Arial"/>
          <w:bCs/>
          <w:sz w:val="24"/>
          <w:szCs w:val="20"/>
          <w:lang w:eastAsia="pl-PL"/>
        </w:rPr>
        <w:t xml:space="preserve">do </w:t>
      </w:r>
      <w:r w:rsidRPr="008A5F12">
        <w:rPr>
          <w:rFonts w:ascii="Times" w:eastAsia="Times New Roman" w:hAnsi="Times" w:cs="Arial"/>
          <w:bCs/>
          <w:sz w:val="24"/>
          <w:szCs w:val="20"/>
          <w:lang w:eastAsia="pl-PL"/>
        </w:rPr>
        <w:t>wykonania zabezpieczenia takich należności odpowiednie zastosowanie znajdą przepisy dotyczące opłat za egzekucję świadczeń pieniężnych. Przyjęcie takiego rozwiązania wynika stąd, że wykonanie takiego zabezpieczenia nie różni się od postępowani</w:t>
      </w:r>
      <w:r w:rsidR="0034332A">
        <w:rPr>
          <w:rFonts w:ascii="Times" w:eastAsia="Times New Roman" w:hAnsi="Times" w:cs="Arial"/>
          <w:bCs/>
          <w:sz w:val="24"/>
          <w:szCs w:val="20"/>
          <w:lang w:eastAsia="pl-PL"/>
        </w:rPr>
        <w:t>a</w:t>
      </w:r>
      <w:r w:rsidRPr="008A5F12">
        <w:rPr>
          <w:rFonts w:ascii="Times" w:eastAsia="Times New Roman" w:hAnsi="Times" w:cs="Arial"/>
          <w:bCs/>
          <w:sz w:val="24"/>
          <w:szCs w:val="20"/>
          <w:lang w:eastAsia="pl-PL"/>
        </w:rPr>
        <w:t xml:space="preserve"> egzekucyjnego, gdyż komornik przekazuje uprawnionemu uzyskane środki pieniężne. W aktualnym stanie prawnym kwestia ta nie jest wyraźnie uregulowana i wywołuje rozbieżności w praktyce.</w:t>
      </w:r>
      <w:r>
        <w:rPr>
          <w:rFonts w:ascii="Times" w:eastAsia="Times New Roman" w:hAnsi="Times" w:cs="Arial"/>
          <w:bCs/>
          <w:sz w:val="24"/>
          <w:szCs w:val="20"/>
          <w:lang w:eastAsia="pl-PL"/>
        </w:rPr>
        <w:t xml:space="preserve">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Proponowane opłaty egzekucyjne za egzekucję świadczeń niepieniężnych mają charakter stały, a ich wysokość jest określona kwotowo. Wysokość poszczególnych opłat została określona na podstawie porównania do równowartości opłat aktualnie obowiązujących. Obniżono jedynie te opłaty, których wysokość była rażąco wygórowana. Dotyczy to opłaty od wniosku o wszczęcie egzekucji polegającej na wprowadzeniu wierzyciela w posiadanie nieruchomości albo opróżnieniu lokalu lub pomieszczenia. Proponuje się w tym zakresie wprowadzenie jednolitych stawek opłat, których wysokość jest uzależniona od tego, czy nieruchomość, lokal lub pomieszczenie jest wykorzystywane w celu zaspokojenia potrzeb mieszkaniowych czy w innym celu. Jedynie w odniesieniu do nieruchomości, lokali lub pomieszczeń wykorzystywanych do prowadzenia działalności gospodarczej utrzymano mechanizm pozwalający na podwyższenie opłaty w zależności od liczby pomieszczeń albo izb, których ma dotyczyć egzekucja.</w:t>
      </w:r>
      <w:r>
        <w:rPr>
          <w:rFonts w:ascii="Times" w:eastAsia="Times New Roman" w:hAnsi="Times" w:cs="Arial"/>
          <w:bCs/>
          <w:sz w:val="24"/>
          <w:szCs w:val="20"/>
          <w:lang w:eastAsia="pl-PL"/>
        </w:rPr>
        <w:t xml:space="preserve">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zakresie egzekucji świadczeń niepieniężnych polegających na wydaniu rzeczy ruchomej proponuje się opłatę w wysokości 400 zł</w:t>
      </w:r>
      <w:r w:rsidR="006F261D">
        <w:rPr>
          <w:rFonts w:ascii="Times" w:eastAsia="Times New Roman" w:hAnsi="Times" w:cs="Arial"/>
          <w:bCs/>
          <w:sz w:val="24"/>
          <w:szCs w:val="20"/>
          <w:lang w:eastAsia="pl-PL"/>
        </w:rPr>
        <w:t>otych</w:t>
      </w:r>
      <w:r w:rsidRPr="008A5F12">
        <w:rPr>
          <w:rFonts w:ascii="Times" w:eastAsia="Times New Roman" w:hAnsi="Times" w:cs="Arial"/>
          <w:bCs/>
          <w:sz w:val="24"/>
          <w:szCs w:val="20"/>
          <w:lang w:eastAsia="pl-PL"/>
        </w:rPr>
        <w:t xml:space="preserve"> (art. 32 projektu). Analogiczną wysokość opłaty proponuje się w odniesieniu do wniosków o wprowadzenie syndyka albo zarządcy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posiadanie nieruchomości albo majątku (art. 34 projektu) oraz od wniosku o wszczęcie egzekucji innego świadczenia niepieniężnego. Jedynie opłaty za udział w usunięciu oporu dłużnika oraz za wykonanie nakazu osadzenia w zakładzie karnym zostały określone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wyższej kwocie (1000 złotych), przy czym w art. 35 ust. 2 projektu unormowano również szczególny tryb pobierania opłaty za wykonanie powyższego nakazu osadzenia. Potrzeba wprowadzen</w:t>
      </w:r>
      <w:r w:rsidR="00E0517E">
        <w:rPr>
          <w:rFonts w:ascii="Times" w:eastAsia="Times New Roman" w:hAnsi="Times" w:cs="Arial"/>
          <w:bCs/>
          <w:sz w:val="24"/>
          <w:szCs w:val="20"/>
          <w:lang w:eastAsia="pl-PL"/>
        </w:rPr>
        <w:t>ia takiej regulacji wiąże się z </w:t>
      </w:r>
      <w:r w:rsidRPr="008A5F12">
        <w:rPr>
          <w:rFonts w:ascii="Times" w:eastAsia="Times New Roman" w:hAnsi="Times" w:cs="Arial"/>
          <w:bCs/>
          <w:sz w:val="24"/>
          <w:szCs w:val="20"/>
          <w:lang w:eastAsia="pl-PL"/>
        </w:rPr>
        <w:t>przepisem art. 1056 § 3 zd</w:t>
      </w:r>
      <w:r w:rsidR="0034332A">
        <w:rPr>
          <w:rFonts w:ascii="Times" w:eastAsia="Times New Roman" w:hAnsi="Times" w:cs="Arial"/>
          <w:bCs/>
          <w:sz w:val="24"/>
          <w:szCs w:val="20"/>
          <w:lang w:eastAsia="pl-PL"/>
        </w:rPr>
        <w:t>anie drugie</w:t>
      </w:r>
      <w:r w:rsidRPr="008A5F12">
        <w:rPr>
          <w:rFonts w:ascii="Times" w:eastAsia="Times New Roman" w:hAnsi="Times" w:cs="Arial"/>
          <w:bCs/>
          <w:sz w:val="24"/>
          <w:szCs w:val="20"/>
          <w:lang w:eastAsia="pl-PL"/>
        </w:rPr>
        <w:t xml:space="preserve"> k.p.c., z którego wynika, że wierzyciel jest </w:t>
      </w:r>
      <w:r w:rsidR="0034332A" w:rsidRPr="008A5F12">
        <w:rPr>
          <w:rFonts w:ascii="Times" w:eastAsia="Times New Roman" w:hAnsi="Times" w:cs="Arial"/>
          <w:bCs/>
          <w:sz w:val="24"/>
          <w:szCs w:val="20"/>
          <w:lang w:eastAsia="pl-PL"/>
        </w:rPr>
        <w:lastRenderedPageBreak/>
        <w:t xml:space="preserve">obowiązany </w:t>
      </w:r>
      <w:r w:rsidRPr="008A5F12">
        <w:rPr>
          <w:rFonts w:ascii="Times" w:eastAsia="Times New Roman" w:hAnsi="Times" w:cs="Arial"/>
          <w:bCs/>
          <w:sz w:val="24"/>
          <w:szCs w:val="20"/>
          <w:lang w:eastAsia="pl-PL"/>
        </w:rPr>
        <w:t>złożyć z góry komornikowi sumę potrzebną na sprowadzenie dłużnika do miejsca osadzenia. W celu zapewnienia realizacji tego unormowania, przewidziano, że po otrzymaniu polecenia osadzenia dłużnika w areszcie, komornik wezwie wierzyciela do uiszczenia opłaty należnej za wykonanie tego polecenia. Należy też dodać, że w tym przypadku nieznacznie podwyższono wysokość tych opłat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aktualnym stanie prawnym wynoszą one 25% przeciętnego miesięcznego wynagrodzenia). Opłatę od wniosku o wykonanie zabezpieczenia roszczenia niemającego charakteru pieniężnego określono na kwotę 300 złotych.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ramach egzekucji świadczeń niepieniężnych nakład pracy komornika może być bardzo zróżnicowany. Należy bowiem uwzględnić sprawy, w których dochodzi do dobrowolnego spełnienia świadczenia przez dłużnika przed terminem przystąpienia do przymusowego wykonania obowiązku. W takim przypadku komornik zwróci wierzycielowi 50% uiszczonej opłaty (art. 38 projektu). Przepis ten stanowi realizację wyroku Trybunału Konstytucyjnego z dnia 13 października 2015 r. (sygn. akt P 3/14), w którym wskazano, że art. 51 ust. 1 pkt 3 i ust. 2 usta</w:t>
      </w:r>
      <w:r w:rsidR="00E0517E">
        <w:rPr>
          <w:rFonts w:ascii="Times" w:eastAsia="Times New Roman" w:hAnsi="Times" w:cs="Arial"/>
          <w:bCs/>
          <w:sz w:val="24"/>
          <w:szCs w:val="20"/>
          <w:lang w:eastAsia="pl-PL"/>
        </w:rPr>
        <w:t>wy z dnia 29 sierpnia 1997 r. o </w:t>
      </w:r>
      <w:r w:rsidRPr="008A5F12">
        <w:rPr>
          <w:rFonts w:ascii="Times" w:eastAsia="Times New Roman" w:hAnsi="Times" w:cs="Arial"/>
          <w:bCs/>
          <w:sz w:val="24"/>
          <w:szCs w:val="20"/>
          <w:lang w:eastAsia="pl-PL"/>
        </w:rPr>
        <w:t>komornikach sądowych i</w:t>
      </w:r>
      <w:r w:rsidR="00E0517E">
        <w:rPr>
          <w:rFonts w:ascii="Times" w:eastAsia="Times New Roman" w:hAnsi="Times" w:cs="Arial"/>
          <w:bCs/>
          <w:sz w:val="24"/>
          <w:szCs w:val="20"/>
          <w:lang w:eastAsia="pl-PL"/>
        </w:rPr>
        <w:t xml:space="preserve"> </w:t>
      </w:r>
      <w:r w:rsidR="0034332A">
        <w:rPr>
          <w:rFonts w:ascii="Times" w:eastAsia="Times New Roman" w:hAnsi="Times" w:cs="Arial"/>
          <w:bCs/>
          <w:sz w:val="24"/>
          <w:szCs w:val="20"/>
          <w:lang w:eastAsia="pl-PL"/>
        </w:rPr>
        <w:t>egzekucji, zwanej dalej „u.k.s.e.”,</w:t>
      </w:r>
      <w:r w:rsidRPr="008A5F12">
        <w:rPr>
          <w:rFonts w:ascii="Times" w:eastAsia="Times New Roman" w:hAnsi="Times" w:cs="Arial"/>
          <w:bCs/>
          <w:sz w:val="24"/>
          <w:szCs w:val="20"/>
          <w:lang w:eastAsia="pl-PL"/>
        </w:rPr>
        <w:t xml:space="preserve"> w zakresie, w jakim nie przewiduje odrębnej stawki opłaty stałej za opróżnienie lokalu</w:t>
      </w:r>
      <w:r w:rsidR="00E0517E">
        <w:rPr>
          <w:rFonts w:ascii="Times" w:eastAsia="Times New Roman" w:hAnsi="Times" w:cs="Arial"/>
          <w:bCs/>
          <w:sz w:val="24"/>
          <w:szCs w:val="20"/>
          <w:lang w:eastAsia="pl-PL"/>
        </w:rPr>
        <w:t xml:space="preserve"> mieszkalnego z </w:t>
      </w:r>
      <w:r w:rsidR="0034332A">
        <w:rPr>
          <w:rFonts w:ascii="Times" w:eastAsia="Times New Roman" w:hAnsi="Times" w:cs="Arial"/>
          <w:bCs/>
          <w:sz w:val="24"/>
          <w:szCs w:val="20"/>
          <w:lang w:eastAsia="pl-PL"/>
        </w:rPr>
        <w:t>rzeczy i </w:t>
      </w:r>
      <w:r w:rsidRPr="008A5F12">
        <w:rPr>
          <w:rFonts w:ascii="Times" w:eastAsia="Times New Roman" w:hAnsi="Times" w:cs="Arial"/>
          <w:bCs/>
          <w:sz w:val="24"/>
          <w:szCs w:val="20"/>
          <w:lang w:eastAsia="pl-PL"/>
        </w:rPr>
        <w:t>osób w sytuacji, gdy dłużnik po wezwaniu przez komornika dobrowolnie wykonał obowiązek w wyznaczonym terminie, jest niezgodny z art. 64 ust. 2 w związku z art. 31 ust. 3 oraz art. 2 Konstytucji Rzeczypospolitej Polskiej. Jednocześnie w art. 38 zd</w:t>
      </w:r>
      <w:r w:rsidR="00DC1DE3">
        <w:rPr>
          <w:rFonts w:ascii="Times" w:eastAsia="Times New Roman" w:hAnsi="Times" w:cs="Arial"/>
          <w:bCs/>
          <w:sz w:val="24"/>
          <w:szCs w:val="20"/>
          <w:lang w:eastAsia="pl-PL"/>
        </w:rPr>
        <w:t>anie drugie</w:t>
      </w:r>
      <w:r w:rsidRPr="008A5F12">
        <w:rPr>
          <w:rFonts w:ascii="Times" w:eastAsia="Times New Roman" w:hAnsi="Times" w:cs="Arial"/>
          <w:bCs/>
          <w:sz w:val="24"/>
          <w:szCs w:val="20"/>
          <w:lang w:eastAsia="pl-PL"/>
        </w:rPr>
        <w:t xml:space="preserve"> projektu przyjęto rozwiązanie (podobne do zawartego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art. 28 ust. 1 zd</w:t>
      </w:r>
      <w:r w:rsidR="00DC1DE3">
        <w:rPr>
          <w:rFonts w:ascii="Times" w:eastAsia="Times New Roman" w:hAnsi="Times" w:cs="Arial"/>
          <w:bCs/>
          <w:sz w:val="24"/>
          <w:szCs w:val="20"/>
          <w:lang w:eastAsia="pl-PL"/>
        </w:rPr>
        <w:t>anie trzecie</w:t>
      </w:r>
      <w:r w:rsidRPr="008A5F12">
        <w:rPr>
          <w:rFonts w:ascii="Times" w:eastAsia="Times New Roman" w:hAnsi="Times" w:cs="Arial"/>
          <w:bCs/>
          <w:sz w:val="24"/>
          <w:szCs w:val="20"/>
          <w:lang w:eastAsia="pl-PL"/>
        </w:rPr>
        <w:t xml:space="preserve"> projektu), według którego w razie spełnienia świadczenia przez dłużnika jeszcze przed doręczeniem mu zawiadomienia o wszczęciu egzekucji albo wezwania do dobrowolnego wykonania obowiązku komornik zwraca wierzycielowi część uiszczonej opłaty przekraczającą 200 złotych.</w:t>
      </w:r>
    </w:p>
    <w:p w:rsidR="008A5F12" w:rsidRPr="008A5F12" w:rsidRDefault="003A55D8"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W rozdziale zatytułowanym „</w:t>
      </w:r>
      <w:r w:rsidR="008A5F12" w:rsidRPr="008A5F12">
        <w:rPr>
          <w:rFonts w:ascii="Times" w:eastAsia="Times New Roman" w:hAnsi="Times" w:cs="Arial"/>
          <w:bCs/>
          <w:sz w:val="24"/>
          <w:szCs w:val="20"/>
          <w:lang w:eastAsia="pl-PL"/>
        </w:rPr>
        <w:t>Pozostałe opłaty</w:t>
      </w:r>
      <w:r>
        <w:rPr>
          <w:rFonts w:ascii="Times" w:eastAsia="Times New Roman" w:hAnsi="Times" w:cs="Arial"/>
          <w:bCs/>
          <w:sz w:val="24"/>
          <w:szCs w:val="20"/>
          <w:lang w:eastAsia="pl-PL"/>
        </w:rPr>
        <w:t>”</w:t>
      </w:r>
      <w:r w:rsidR="008A5F12" w:rsidRPr="008A5F12">
        <w:rPr>
          <w:rFonts w:ascii="Times" w:eastAsia="Times New Roman" w:hAnsi="Times" w:cs="Arial"/>
          <w:bCs/>
          <w:sz w:val="24"/>
          <w:szCs w:val="20"/>
          <w:lang w:eastAsia="pl-PL"/>
        </w:rPr>
        <w:t xml:space="preserve"> zostały unormowane opłaty za inne czynności komornika niż prowadzenie egzekucji. Obejmują one szereg opłat za różnorodne czynności, których wykonanie zostało powierzone komornikowi. Podstawową zmianą w</w:t>
      </w:r>
      <w:r w:rsidR="00E0517E">
        <w:rPr>
          <w:rFonts w:ascii="Times" w:eastAsia="Times New Roman" w:hAnsi="Times" w:cs="Arial"/>
          <w:bCs/>
          <w:sz w:val="24"/>
          <w:szCs w:val="20"/>
          <w:lang w:eastAsia="pl-PL"/>
        </w:rPr>
        <w:t xml:space="preserve"> </w:t>
      </w:r>
      <w:r w:rsidR="008A5F12" w:rsidRPr="008A5F12">
        <w:rPr>
          <w:rFonts w:ascii="Times" w:eastAsia="Times New Roman" w:hAnsi="Times" w:cs="Arial"/>
          <w:bCs/>
          <w:sz w:val="24"/>
          <w:szCs w:val="20"/>
          <w:lang w:eastAsia="pl-PL"/>
        </w:rPr>
        <w:t>stosunku do dotychczasowej regulacji jest odejście od określenia wysokości tych opłat w formie ułamka przeciętne</w:t>
      </w:r>
      <w:r w:rsidR="00E0517E">
        <w:rPr>
          <w:rFonts w:ascii="Times" w:eastAsia="Times New Roman" w:hAnsi="Times" w:cs="Arial"/>
          <w:bCs/>
          <w:sz w:val="24"/>
          <w:szCs w:val="20"/>
          <w:lang w:eastAsia="pl-PL"/>
        </w:rPr>
        <w:t>go wynagrodzenia miesięcznego w </w:t>
      </w:r>
      <w:r w:rsidR="008A5F12" w:rsidRPr="008A5F12">
        <w:rPr>
          <w:rFonts w:ascii="Times" w:eastAsia="Times New Roman" w:hAnsi="Times" w:cs="Arial"/>
          <w:bCs/>
          <w:sz w:val="24"/>
          <w:szCs w:val="20"/>
          <w:lang w:eastAsia="pl-PL"/>
        </w:rPr>
        <w:t>gospodarce narodowej w roku poprzednim. W to miejsce proponuje się kwotowe określenie stawek tych opłat.</w:t>
      </w:r>
      <w:r w:rsidR="008A5F12">
        <w:rPr>
          <w:rFonts w:ascii="Times" w:eastAsia="Times New Roman" w:hAnsi="Times" w:cs="Arial"/>
          <w:bCs/>
          <w:sz w:val="24"/>
          <w:szCs w:val="20"/>
          <w:lang w:eastAsia="pl-PL"/>
        </w:rPr>
        <w:t xml:space="preserve">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lastRenderedPageBreak/>
        <w:t>Równocześnie przyjęto, że wysokość opłat</w:t>
      </w:r>
      <w:r w:rsidR="00E0517E">
        <w:rPr>
          <w:rFonts w:ascii="Times" w:eastAsia="Times New Roman" w:hAnsi="Times" w:cs="Arial"/>
          <w:bCs/>
          <w:sz w:val="24"/>
          <w:szCs w:val="20"/>
          <w:lang w:eastAsia="pl-PL"/>
        </w:rPr>
        <w:t xml:space="preserve"> zostanie określona wyłącznie w </w:t>
      </w:r>
      <w:r w:rsidRPr="008A5F12">
        <w:rPr>
          <w:rFonts w:ascii="Times" w:eastAsia="Times New Roman" w:hAnsi="Times" w:cs="Arial"/>
          <w:bCs/>
          <w:sz w:val="24"/>
          <w:szCs w:val="20"/>
          <w:lang w:eastAsia="pl-PL"/>
        </w:rPr>
        <w:t xml:space="preserve">ustawie. Zrezygnowano zatem z dotychczasowego modelu, w którym wysokość opłat za czynności nieegzekucyjne była określona w rozporządzeniu Ministra </w:t>
      </w:r>
      <w:r w:rsidR="00E0517E">
        <w:rPr>
          <w:rFonts w:ascii="Times" w:eastAsia="Times New Roman" w:hAnsi="Times" w:cs="Arial"/>
          <w:bCs/>
          <w:sz w:val="24"/>
          <w:szCs w:val="20"/>
          <w:lang w:eastAsia="pl-PL"/>
        </w:rPr>
        <w:t>Sprawiedliwości z </w:t>
      </w:r>
      <w:r w:rsidR="003A55D8">
        <w:rPr>
          <w:rFonts w:ascii="Times" w:eastAsia="Times New Roman" w:hAnsi="Times" w:cs="Arial"/>
          <w:bCs/>
          <w:sz w:val="24"/>
          <w:szCs w:val="20"/>
          <w:lang w:eastAsia="pl-PL"/>
        </w:rPr>
        <w:t xml:space="preserve">dnia </w:t>
      </w:r>
      <w:r>
        <w:rPr>
          <w:rFonts w:ascii="Times" w:eastAsia="Times New Roman" w:hAnsi="Times" w:cs="Arial"/>
          <w:bCs/>
          <w:sz w:val="24"/>
          <w:szCs w:val="20"/>
          <w:lang w:eastAsia="pl-PL"/>
        </w:rPr>
        <w:t>10 marca 2006</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r</w:t>
      </w:r>
      <w:r w:rsidR="00495F24">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w sprawie wysokości opłat za czynności komorników niebędące czynnościami egzekucyjnymi (Dz. U. poz. 289).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art. 39 projektu uregulowano wysokość opłat za wykonanie przez komornika czynności niemających charakteru czynności egzekucyjnych. Należą do nich: wykonanie postanowienia o zabezpieczeniu spadku i sporządzenie spisu inwentarza. We wszystkich tych przypadkach przewidziano opłatę stałą na poziomie 400 zł</w:t>
      </w:r>
      <w:r w:rsidR="00495F24">
        <w:rPr>
          <w:rFonts w:ascii="Times" w:eastAsia="Times New Roman" w:hAnsi="Times" w:cs="Arial"/>
          <w:bCs/>
          <w:sz w:val="24"/>
          <w:szCs w:val="20"/>
          <w:lang w:eastAsia="pl-PL"/>
        </w:rPr>
        <w:t>otych</w:t>
      </w:r>
      <w:r w:rsidRPr="008A5F12">
        <w:rPr>
          <w:rFonts w:ascii="Times" w:eastAsia="Times New Roman" w:hAnsi="Times" w:cs="Arial"/>
          <w:bCs/>
          <w:sz w:val="24"/>
          <w:szCs w:val="20"/>
          <w:lang w:eastAsia="pl-PL"/>
        </w:rPr>
        <w:t xml:space="preserve">. Dotychczas opłata za sporządzenie spisu inwentarza ustalana była w odniesieniu do liczby godzin pracy komornika (odpowiednio 10% i 3% przeciętnego miesięcznego wynagrodzenia w gospodarce narodowej w roku poprzednim), co nie stanowiło motywacji do sprawnego prowadzenia postępowania.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treści art. 40 projektu określono wysokość opłaty należnej za czynności wykonywane na zlecenie sądu (doręczenia dokonywane przez komornika oraz sporządzenie protokołu stan</w:t>
      </w:r>
      <w:r w:rsidR="00495F24">
        <w:rPr>
          <w:rFonts w:ascii="Times" w:eastAsia="Times New Roman" w:hAnsi="Times" w:cs="Arial"/>
          <w:bCs/>
          <w:sz w:val="24"/>
          <w:szCs w:val="20"/>
          <w:lang w:eastAsia="pl-PL"/>
        </w:rPr>
        <w:t>u</w:t>
      </w:r>
      <w:r w:rsidRPr="008A5F12">
        <w:rPr>
          <w:rFonts w:ascii="Times" w:eastAsia="Times New Roman" w:hAnsi="Times" w:cs="Arial"/>
          <w:bCs/>
          <w:sz w:val="24"/>
          <w:szCs w:val="20"/>
          <w:lang w:eastAsia="pl-PL"/>
        </w:rPr>
        <w:t xml:space="preserve"> faktycznego), a w art. 41 ust. 1 projektu uregulowano opłaty za prowadzenie publicznych licytacji po</w:t>
      </w:r>
      <w:r w:rsidR="00E0517E">
        <w:rPr>
          <w:rFonts w:ascii="Times" w:eastAsia="Times New Roman" w:hAnsi="Times" w:cs="Arial"/>
          <w:bCs/>
          <w:sz w:val="24"/>
          <w:szCs w:val="20"/>
          <w:lang w:eastAsia="pl-PL"/>
        </w:rPr>
        <w:t>za postępowaniem egzekucyjnym w </w:t>
      </w:r>
      <w:r w:rsidR="00DC1DE3">
        <w:rPr>
          <w:rFonts w:ascii="Times" w:eastAsia="Times New Roman" w:hAnsi="Times" w:cs="Arial"/>
          <w:bCs/>
          <w:sz w:val="24"/>
          <w:szCs w:val="20"/>
          <w:lang w:eastAsia="pl-PL"/>
        </w:rPr>
        <w:t>prz</w:t>
      </w:r>
      <w:r w:rsidRPr="008A5F12">
        <w:rPr>
          <w:rFonts w:ascii="Times" w:eastAsia="Times New Roman" w:hAnsi="Times" w:cs="Arial"/>
          <w:bCs/>
          <w:sz w:val="24"/>
          <w:szCs w:val="20"/>
          <w:lang w:eastAsia="pl-PL"/>
        </w:rPr>
        <w:t>ypadkach przewidzianych przepisami odrębnych ustaw. Takie licytacje są przewidziane w art. 24 ustawy z dnia 6 grudnia 1996 r. o</w:t>
      </w:r>
      <w:r w:rsidR="00E0517E">
        <w:rPr>
          <w:rFonts w:ascii="Times" w:eastAsia="Times New Roman" w:hAnsi="Times" w:cs="Arial"/>
          <w:bCs/>
          <w:sz w:val="24"/>
          <w:szCs w:val="20"/>
          <w:lang w:eastAsia="pl-PL"/>
        </w:rPr>
        <w:t xml:space="preserve"> zastawie rejestrowym i </w:t>
      </w:r>
      <w:r w:rsidRPr="008A5F12">
        <w:rPr>
          <w:rFonts w:ascii="Times" w:eastAsia="Times New Roman" w:hAnsi="Times" w:cs="Arial"/>
          <w:bCs/>
          <w:sz w:val="24"/>
          <w:szCs w:val="20"/>
          <w:lang w:eastAsia="pl-PL"/>
        </w:rPr>
        <w:t>rejestrze zastawów (Dz. U. z 2016 r. poz. 297, z późn. zm.). Zrezygnowano natomiast z unormowania wysokości opłaty z</w:t>
      </w:r>
      <w:r w:rsidR="00495F24">
        <w:rPr>
          <w:rFonts w:ascii="Times" w:eastAsia="Times New Roman" w:hAnsi="Times" w:cs="Arial"/>
          <w:bCs/>
          <w:sz w:val="24"/>
          <w:szCs w:val="20"/>
          <w:lang w:eastAsia="pl-PL"/>
        </w:rPr>
        <w:t>a</w:t>
      </w:r>
      <w:r w:rsidRPr="008A5F12">
        <w:rPr>
          <w:rFonts w:ascii="Times" w:eastAsia="Times New Roman" w:hAnsi="Times" w:cs="Arial"/>
          <w:bCs/>
          <w:sz w:val="24"/>
          <w:szCs w:val="20"/>
          <w:lang w:eastAsia="pl-PL"/>
        </w:rPr>
        <w:t xml:space="preserve"> prowadzenie innej dobrowolnej licytacji. Przyjęto bowiem, że taka czynność komornika ni</w:t>
      </w:r>
      <w:r>
        <w:rPr>
          <w:rFonts w:ascii="Times" w:eastAsia="Times New Roman" w:hAnsi="Times" w:cs="Arial"/>
          <w:bCs/>
          <w:sz w:val="24"/>
          <w:szCs w:val="20"/>
          <w:lang w:eastAsia="pl-PL"/>
        </w:rPr>
        <w:t>e ma charakteru przymusowego, a</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określenie wysokości opłaty za taką czynność powinno odbywać się w drodze porozumienia między komornikiem </w:t>
      </w:r>
      <w:r w:rsidR="00DC1DE3">
        <w:rPr>
          <w:rFonts w:ascii="Times" w:eastAsia="Times New Roman" w:hAnsi="Times" w:cs="Arial"/>
          <w:bCs/>
          <w:sz w:val="24"/>
          <w:szCs w:val="20"/>
          <w:lang w:eastAsia="pl-PL"/>
        </w:rPr>
        <w:t>a</w:t>
      </w:r>
      <w:r w:rsidRPr="008A5F12">
        <w:rPr>
          <w:rFonts w:ascii="Times" w:eastAsia="Times New Roman" w:hAnsi="Times" w:cs="Arial"/>
          <w:bCs/>
          <w:sz w:val="24"/>
          <w:szCs w:val="20"/>
          <w:lang w:eastAsia="pl-PL"/>
        </w:rPr>
        <w:t xml:space="preserve"> zlecającym przeprowadzenie takiej licytacji.</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projekcie zaproponowano, aby opłata należna komornikowi od wierzyciela za poszukiwanie majątku dłużnika wynosiła 100 zł</w:t>
      </w:r>
      <w:r w:rsidR="00495F24">
        <w:rPr>
          <w:rFonts w:ascii="Times" w:eastAsia="Times New Roman" w:hAnsi="Times" w:cs="Arial"/>
          <w:bCs/>
          <w:sz w:val="24"/>
          <w:szCs w:val="20"/>
          <w:lang w:eastAsia="pl-PL"/>
        </w:rPr>
        <w:t>otych</w:t>
      </w:r>
      <w:r w:rsidRPr="008A5F12">
        <w:rPr>
          <w:rFonts w:ascii="Times" w:eastAsia="Times New Roman" w:hAnsi="Times" w:cs="Arial"/>
          <w:bCs/>
          <w:sz w:val="24"/>
          <w:szCs w:val="20"/>
          <w:lang w:eastAsia="pl-PL"/>
        </w:rPr>
        <w:t xml:space="preserve">. Wysokość ta jest wartością zbliżoną do wysokości opłaty przewidzianej aktualnie w art. 53a ust. 1 u.k.s.e. oraz odpowiada przyjętej wysokości opłaty minimalnej. Jednocześnie odstąpiono od regulacji przewidzianej w art. 53a ust. 2 u.k.s.e., zgodnie z którą w razie odnalezienia majątku dłużnika komornik pobiera opłatę w wysokości 5% szacunkowej wartości tego majątku, nie więcej jednak niż 100% przeciętnego wynagrodzenia miesięcznego. Wskazany przepis rodzi uzasadnione wątpliwości zwłaszcza w tych przypadkach, gdy </w:t>
      </w:r>
      <w:r w:rsidRPr="008A5F12">
        <w:rPr>
          <w:rFonts w:ascii="Times" w:eastAsia="Times New Roman" w:hAnsi="Times" w:cs="Arial"/>
          <w:bCs/>
          <w:sz w:val="24"/>
          <w:szCs w:val="20"/>
          <w:lang w:eastAsia="pl-PL"/>
        </w:rPr>
        <w:lastRenderedPageBreak/>
        <w:t>„odnaleziony majątek” został wskazany przez samego dłużnika albo ustalony w oparciu o dane publicznie dostępne (np. numery rachunków podmiotów finansowanych ze środków publicznych dostępne w Biuletynie Informacji Publicznej). Ponadto wartość odnalezionego majątku nie zawsze ma związek z wartością egzekwowanego świadczenia. W projekcie przyjęto założenie, że odnalezienie majątku dłużnika leży nie tylko w interesie wierzyciela, ale również komornika, który ustala wysokość opłaty egzekucyjnej proporcjonalnie do wartości wyegzekwowanego świadczenia. Na gruncie dotychczas obowiązującego art. 53a ust. 2 u.k.s.e. dochodzi do sytuacji, gdy komornik jest zaspokajany kosztem dłużnika dwukrotnie (gdy dochodzi do zaspokojenia wierzyciela z</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odnalezionego majątku)</w:t>
      </w:r>
      <w:r w:rsidR="00495F24">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albo nawet wtedy, gdy po odnalezieniu majątku nie są podejmowane dalsze czynności egzekucyjne (np. wskutek umorzenia postępowania egzekucyjnego na wniosek wierzyciela). Niejednokrotnie komornicy uzależniali podjęcie czynności egzekucyjnych od uiszczenia przez wierzyciela zaliczki na poszukiwanie majątku pomimo tego, że do podjęcia </w:t>
      </w:r>
      <w:r w:rsidR="00E0517E">
        <w:rPr>
          <w:rFonts w:ascii="Times" w:eastAsia="Times New Roman" w:hAnsi="Times" w:cs="Arial"/>
          <w:bCs/>
          <w:sz w:val="24"/>
          <w:szCs w:val="20"/>
          <w:lang w:eastAsia="pl-PL"/>
        </w:rPr>
        <w:t xml:space="preserve">tych </w:t>
      </w:r>
      <w:r w:rsidR="00DC1DE3">
        <w:rPr>
          <w:rFonts w:ascii="Times" w:eastAsia="Times New Roman" w:hAnsi="Times" w:cs="Arial"/>
          <w:bCs/>
          <w:sz w:val="24"/>
          <w:szCs w:val="20"/>
          <w:lang w:eastAsia="pl-PL"/>
        </w:rPr>
        <w:t xml:space="preserve">czynności są </w:t>
      </w:r>
      <w:r w:rsidR="00E0517E">
        <w:rPr>
          <w:rFonts w:ascii="Times" w:eastAsia="Times New Roman" w:hAnsi="Times" w:cs="Arial"/>
          <w:bCs/>
          <w:sz w:val="24"/>
          <w:szCs w:val="20"/>
          <w:lang w:eastAsia="pl-PL"/>
        </w:rPr>
        <w:t>obowiązani z </w:t>
      </w:r>
      <w:r w:rsidRPr="008A5F12">
        <w:rPr>
          <w:rFonts w:ascii="Times" w:eastAsia="Times New Roman" w:hAnsi="Times" w:cs="Arial"/>
          <w:bCs/>
          <w:sz w:val="24"/>
          <w:szCs w:val="20"/>
          <w:lang w:eastAsia="pl-PL"/>
        </w:rPr>
        <w:t>mocy prawa</w:t>
      </w:r>
      <w:r w:rsidR="00495F24">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Należy zaznaczyć, że proponowane rozwiązanie stanowi naturalną konsekwencję zmian wprowadzonych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art.</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799 k.p.c. z dniem 8 września 2016 r. przez ustawę z dnia 10 </w:t>
      </w:r>
      <w:r>
        <w:rPr>
          <w:rFonts w:ascii="Times" w:eastAsia="Times New Roman" w:hAnsi="Times" w:cs="Arial"/>
          <w:bCs/>
          <w:sz w:val="24"/>
          <w:szCs w:val="20"/>
          <w:lang w:eastAsia="pl-PL"/>
        </w:rPr>
        <w:t>lipca 2015 r. o zmianie ustawy –</w:t>
      </w:r>
      <w:r w:rsidRPr="008A5F12">
        <w:rPr>
          <w:rFonts w:ascii="Times" w:eastAsia="Times New Roman" w:hAnsi="Times" w:cs="Arial"/>
          <w:bCs/>
          <w:sz w:val="24"/>
          <w:szCs w:val="20"/>
          <w:lang w:eastAsia="pl-PL"/>
        </w:rPr>
        <w:t xml:space="preserve"> Kodeks cywilny, ustawy </w:t>
      </w:r>
      <w:r>
        <w:rPr>
          <w:rFonts w:ascii="Times" w:eastAsia="Times New Roman" w:hAnsi="Times" w:cs="Arial"/>
          <w:bCs/>
          <w:sz w:val="24"/>
          <w:szCs w:val="20"/>
          <w:lang w:eastAsia="pl-PL"/>
        </w:rPr>
        <w:t>–</w:t>
      </w:r>
      <w:r w:rsidRPr="008A5F12">
        <w:rPr>
          <w:rFonts w:ascii="Times" w:eastAsia="Times New Roman" w:hAnsi="Times" w:cs="Arial"/>
          <w:bCs/>
          <w:sz w:val="24"/>
          <w:szCs w:val="20"/>
          <w:lang w:eastAsia="pl-PL"/>
        </w:rPr>
        <w:t xml:space="preserve"> Kodeks postępowania cywilnego oraz niektórych inny</w:t>
      </w:r>
      <w:r w:rsidR="00E0517E">
        <w:rPr>
          <w:rFonts w:ascii="Times" w:eastAsia="Times New Roman" w:hAnsi="Times" w:cs="Arial"/>
          <w:bCs/>
          <w:sz w:val="24"/>
          <w:szCs w:val="20"/>
          <w:lang w:eastAsia="pl-PL"/>
        </w:rPr>
        <w:t>ch ustaw (Dz. U. z 2015 r. poz. </w:t>
      </w:r>
      <w:r w:rsidRPr="008A5F12">
        <w:rPr>
          <w:rFonts w:ascii="Times" w:eastAsia="Times New Roman" w:hAnsi="Times" w:cs="Arial"/>
          <w:bCs/>
          <w:sz w:val="24"/>
          <w:szCs w:val="20"/>
          <w:lang w:eastAsia="pl-PL"/>
        </w:rPr>
        <w:t xml:space="preserve">1311, z późn. zm.).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W dziale czwartym projektu unormowano zwolnienie od kosztów komorniczych oraz instytucję obniżenia opłaty.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Zwolnienie od kosztów komorniczych może wynikać z przyznanego stronie w ramach postępowania sądowego zwolnienia od kosztów sądowych (z mocy ustawy albo orzeczenia) albo zwolnienia od kosztów komorniczych udzielonego przez sąd lub referendarza sądowego. Zaproponowano jednocześnie wprowadzenie jednoznacznej regulacji, według której Skarb Państwa nie będzie obowiązany do uiszczania opłat egzekucyjnych. Wiąże się to z ustrojową pozycją komornika jako funkcjonariusza publicznego działającego przy sądzie rejonowym i</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wyraźnym określeni</w:t>
      </w:r>
      <w:r w:rsidR="00495F24">
        <w:rPr>
          <w:rFonts w:ascii="Times" w:eastAsia="Times New Roman" w:hAnsi="Times" w:cs="Arial"/>
          <w:bCs/>
          <w:sz w:val="24"/>
          <w:szCs w:val="20"/>
          <w:lang w:eastAsia="pl-PL"/>
        </w:rPr>
        <w:t>em</w:t>
      </w:r>
      <w:r w:rsidRPr="008A5F12">
        <w:rPr>
          <w:rFonts w:ascii="Times" w:eastAsia="Times New Roman" w:hAnsi="Times" w:cs="Arial"/>
          <w:bCs/>
          <w:sz w:val="24"/>
          <w:szCs w:val="20"/>
          <w:lang w:eastAsia="pl-PL"/>
        </w:rPr>
        <w:t xml:space="preserve"> opłat egzekucyjnych jako daniny publicznej, stanowiącej w całości dochód Skarbu Państwa. Skarb Państwa nie może być zatem zobowiązany do uiszczania opłat na swoją rzecz.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art. 43 ust. 3 i 4 projektu przewidziano przesłanki do zwolnienia od kosztów w</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post</w:t>
      </w:r>
      <w:r w:rsidR="00495F24">
        <w:rPr>
          <w:rFonts w:ascii="Times" w:eastAsia="Times New Roman" w:hAnsi="Times" w:cs="Arial"/>
          <w:bCs/>
          <w:sz w:val="24"/>
          <w:szCs w:val="20"/>
          <w:lang w:eastAsia="pl-PL"/>
        </w:rPr>
        <w:t>ę</w:t>
      </w:r>
      <w:r w:rsidRPr="008A5F12">
        <w:rPr>
          <w:rFonts w:ascii="Times" w:eastAsia="Times New Roman" w:hAnsi="Times" w:cs="Arial"/>
          <w:bCs/>
          <w:sz w:val="24"/>
          <w:szCs w:val="20"/>
          <w:lang w:eastAsia="pl-PL"/>
        </w:rPr>
        <w:t xml:space="preserve">powaniu egzekucyjnym. Możliwość ubiegania się o zwolnienie od kosztów </w:t>
      </w:r>
      <w:r w:rsidRPr="008A5F12">
        <w:rPr>
          <w:rFonts w:ascii="Times" w:eastAsia="Times New Roman" w:hAnsi="Times" w:cs="Arial"/>
          <w:bCs/>
          <w:sz w:val="24"/>
          <w:szCs w:val="20"/>
          <w:lang w:eastAsia="pl-PL"/>
        </w:rPr>
        <w:lastRenderedPageBreak/>
        <w:t>komorniczych odnosi się wyłącznie do takich kosztów, od uiszczenia których zależy podjęcie czynności przez komornika. Innymi słowy, zwolnienie to nie może dotyczyć opłat za egzekucję świadczeń pieniężnych, gdyż w tym zakresie znajdują zastosowanie przepisy dotyczące obniżenia opłaty. Zwolnienie strony od kosztów komorniczych nie zwalnia strony z obowiązku poniesienia opłaty egzekucyjnej za egzekucję świadczeń pieniężnych oraz zwrotu kosztów postępowania egzekucyjnego drugiej stronie, jeżeli zachodzą podstawy do obciążenia jej opłatą lub kosztami.</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Równocześnie przewidziano, że sąd rejonowy, przy którym działa komornik, wypłaca tymczasowo komornikowi sumy</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odpowiadające wysokości wydatków i opłat, od których zależy podjęcie czynności przez komornika, należnych od strony zwolnionej od kosztów. W</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przepisach art. 44 ust. 2 i 3 projektu unormowano mechanizm pobrania tych sum od dłużnika albo uczestnika postępowania i przekazywania ich sądowi. Rozliczenie tych kosztów powinno nastąpić w postanowieniu wydawanym przed zakończeniem postępowania.</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art. 46 projektu uregulowano instytucję miarkowania opłaty egzekucyjnej za egzekucję świadczeń pieniężnych. Instytucja miarkowania opłaty istnieje na gruncie obecnie obowiązującej ustawy i projektowane przepisy nie zmieniają jej charakteru. Utrzymano dotychczasowe przesłanki obniżenia opłaty związane z nakładem pracy komornika oraz sytuacją majątkową strony obowiązanej do poniesienia opłaty. Z uwagi na to, że instytucja miarkowania opłaty ma charakter socjalny, przewidziano zwolnienie od opłat sądowych zarówno w odniesieniu do wn</w:t>
      </w:r>
      <w:r w:rsidR="00E0517E">
        <w:rPr>
          <w:rFonts w:ascii="Times" w:eastAsia="Times New Roman" w:hAnsi="Times" w:cs="Arial"/>
          <w:bCs/>
          <w:sz w:val="24"/>
          <w:szCs w:val="20"/>
          <w:lang w:eastAsia="pl-PL"/>
        </w:rPr>
        <w:t>iosku o obniżenie opłaty, jak i </w:t>
      </w:r>
      <w:r w:rsidRPr="008A5F12">
        <w:rPr>
          <w:rFonts w:ascii="Times" w:eastAsia="Times New Roman" w:hAnsi="Times" w:cs="Arial"/>
          <w:bCs/>
          <w:sz w:val="24"/>
          <w:szCs w:val="20"/>
          <w:lang w:eastAsia="pl-PL"/>
        </w:rPr>
        <w:t xml:space="preserve">zażalenia </w:t>
      </w:r>
      <w:r w:rsidR="00DC1DE3">
        <w:rPr>
          <w:rFonts w:ascii="Times" w:eastAsia="Times New Roman" w:hAnsi="Times" w:cs="Arial"/>
          <w:bCs/>
          <w:sz w:val="24"/>
          <w:szCs w:val="20"/>
          <w:lang w:eastAsia="pl-PL"/>
        </w:rPr>
        <w:t>albo</w:t>
      </w:r>
      <w:r w:rsidRPr="008A5F12">
        <w:rPr>
          <w:rFonts w:ascii="Times" w:eastAsia="Times New Roman" w:hAnsi="Times" w:cs="Arial"/>
          <w:bCs/>
          <w:sz w:val="24"/>
          <w:szCs w:val="20"/>
          <w:lang w:eastAsia="pl-PL"/>
        </w:rPr>
        <w:t xml:space="preserve"> skargi na orzeczenie referendarza </w:t>
      </w:r>
      <w:r w:rsidR="00DC1DE3">
        <w:rPr>
          <w:rFonts w:ascii="Times" w:eastAsia="Times New Roman" w:hAnsi="Times" w:cs="Arial"/>
          <w:bCs/>
          <w:sz w:val="24"/>
          <w:szCs w:val="20"/>
          <w:lang w:eastAsia="pl-PL"/>
        </w:rPr>
        <w:t xml:space="preserve">sądowego </w:t>
      </w:r>
      <w:r w:rsidRPr="008A5F12">
        <w:rPr>
          <w:rFonts w:ascii="Times" w:eastAsia="Times New Roman" w:hAnsi="Times" w:cs="Arial"/>
          <w:bCs/>
          <w:sz w:val="24"/>
          <w:szCs w:val="20"/>
          <w:lang w:eastAsia="pl-PL"/>
        </w:rPr>
        <w:t>w tych sprawach. Jest to rozwiązanie analogiczne jak w przypadku wniosku o z</w:t>
      </w:r>
      <w:r w:rsidR="00DC1DE3">
        <w:rPr>
          <w:rFonts w:ascii="Times" w:eastAsia="Times New Roman" w:hAnsi="Times" w:cs="Arial"/>
          <w:bCs/>
          <w:sz w:val="24"/>
          <w:szCs w:val="20"/>
          <w:lang w:eastAsia="pl-PL"/>
        </w:rPr>
        <w:t>wolnienie od kosztów sądowych i </w:t>
      </w:r>
      <w:r w:rsidRPr="008A5F12">
        <w:rPr>
          <w:rFonts w:ascii="Times" w:eastAsia="Times New Roman" w:hAnsi="Times" w:cs="Arial"/>
          <w:bCs/>
          <w:sz w:val="24"/>
          <w:szCs w:val="20"/>
          <w:lang w:eastAsia="pl-PL"/>
        </w:rPr>
        <w:t>środków odwoławczych wnoszonych w ramach takiego postępowania.</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W celu uniknięcia wątpliwości, a także w związku z nałożeniem na komornika obowiązku okresowego wydawania postanowień ustalających wysokość ściągniętych i</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należnych opłat (art. 21 projektu), proponuje się wprowadzenie regulacji, według której wniosek o obniżenie opłaty może być wniesiony w terminie 7 dni od otrzymania takiego postanowienia. Zastrzeżono również uprawnien</w:t>
      </w:r>
      <w:r w:rsidR="00E0517E">
        <w:rPr>
          <w:rFonts w:ascii="Times" w:eastAsia="Times New Roman" w:hAnsi="Times" w:cs="Arial"/>
          <w:bCs/>
          <w:sz w:val="24"/>
          <w:szCs w:val="20"/>
          <w:lang w:eastAsia="pl-PL"/>
        </w:rPr>
        <w:t>ie do wystąpienia z wnioskiem o </w:t>
      </w:r>
      <w:r w:rsidRPr="008A5F12">
        <w:rPr>
          <w:rFonts w:ascii="Times" w:eastAsia="Times New Roman" w:hAnsi="Times" w:cs="Arial"/>
          <w:bCs/>
          <w:sz w:val="24"/>
          <w:szCs w:val="20"/>
          <w:lang w:eastAsia="pl-PL"/>
        </w:rPr>
        <w:t>obniżenie opłaty wierzycielowi, gdy jest on obciążony opłatą na podstawie art. 28 albo art. 29 projektu. Przewiduje się, że obniżona opł</w:t>
      </w:r>
      <w:r w:rsidR="006F261D">
        <w:rPr>
          <w:rFonts w:ascii="Times" w:eastAsia="Times New Roman" w:hAnsi="Times" w:cs="Arial"/>
          <w:bCs/>
          <w:sz w:val="24"/>
          <w:szCs w:val="20"/>
          <w:lang w:eastAsia="pl-PL"/>
        </w:rPr>
        <w:t>ata nie może być niższa niż 100 </w:t>
      </w:r>
      <w:r w:rsidRPr="008A5F12">
        <w:rPr>
          <w:rFonts w:ascii="Times" w:eastAsia="Times New Roman" w:hAnsi="Times" w:cs="Arial"/>
          <w:bCs/>
          <w:sz w:val="24"/>
          <w:szCs w:val="20"/>
          <w:lang w:eastAsia="pl-PL"/>
        </w:rPr>
        <w:t>zł</w:t>
      </w:r>
      <w:r w:rsidR="006F261D">
        <w:rPr>
          <w:rFonts w:ascii="Times" w:eastAsia="Times New Roman" w:hAnsi="Times" w:cs="Arial"/>
          <w:bCs/>
          <w:sz w:val="24"/>
          <w:szCs w:val="20"/>
          <w:lang w:eastAsia="pl-PL"/>
        </w:rPr>
        <w:t>otych</w:t>
      </w:r>
      <w:r w:rsidRPr="008A5F12">
        <w:rPr>
          <w:rFonts w:ascii="Times" w:eastAsia="Times New Roman" w:hAnsi="Times" w:cs="Arial"/>
          <w:bCs/>
          <w:sz w:val="24"/>
          <w:szCs w:val="20"/>
          <w:lang w:eastAsia="pl-PL"/>
        </w:rPr>
        <w:t>, co usuwa dotychczasowe wątpliwości w tym zakresie.</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lastRenderedPageBreak/>
        <w:t xml:space="preserve">W dziale piątym projektu zamieszczono przepisy zmieniające, przejściowe i końcowe. Zmiany dotyczą przepisów Kodeksu postępowania cywilnego regulujących zagadnienie kosztów postępowania egzekucyjnego oraz ustawy </w:t>
      </w:r>
      <w:r w:rsidR="00DC1DE3">
        <w:rPr>
          <w:rFonts w:ascii="Times" w:eastAsia="Times New Roman" w:hAnsi="Times" w:cs="Arial"/>
          <w:bCs/>
          <w:sz w:val="24"/>
          <w:szCs w:val="20"/>
          <w:lang w:eastAsia="pl-PL"/>
        </w:rPr>
        <w:t xml:space="preserve">z dnia 28 lipca 2005 r. </w:t>
      </w:r>
      <w:r w:rsidRPr="008A5F12">
        <w:rPr>
          <w:rFonts w:ascii="Times" w:eastAsia="Times New Roman" w:hAnsi="Times" w:cs="Arial"/>
          <w:bCs/>
          <w:sz w:val="24"/>
          <w:szCs w:val="20"/>
          <w:lang w:eastAsia="pl-PL"/>
        </w:rPr>
        <w:t xml:space="preserve">o kosztach sądowych </w:t>
      </w:r>
      <w:r w:rsidR="00DC1DE3">
        <w:rPr>
          <w:rFonts w:ascii="Times" w:eastAsia="Times New Roman" w:hAnsi="Times" w:cs="Arial"/>
          <w:bCs/>
          <w:sz w:val="24"/>
          <w:szCs w:val="20"/>
          <w:lang w:eastAsia="pl-PL"/>
        </w:rPr>
        <w:t xml:space="preserve">w sprawach cywilnych </w:t>
      </w:r>
      <w:r w:rsidRPr="008A5F12">
        <w:rPr>
          <w:rFonts w:ascii="Times" w:eastAsia="Times New Roman" w:hAnsi="Times" w:cs="Arial"/>
          <w:bCs/>
          <w:sz w:val="24"/>
          <w:szCs w:val="20"/>
          <w:lang w:eastAsia="pl-PL"/>
        </w:rPr>
        <w:t>w zakresie dotyczącym opłaty od skargi na czynności komornika.</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Zmieniany przepis art. 763 k.p.c. rozszerza obowiązki komornika w zakresie zawiadamiania o dokonaniu czynności. Zawiadomienie to będzie wymagane także wobec uczestnika postępowania (np. poddłużnika), jeżeli dotyczy go czynność komornika. Dla zapewnienia przejrzystości postępowania przewiduje się in</w:t>
      </w:r>
      <w:r>
        <w:rPr>
          <w:rFonts w:ascii="Times" w:eastAsia="Times New Roman" w:hAnsi="Times" w:cs="Arial"/>
          <w:bCs/>
          <w:sz w:val="24"/>
          <w:szCs w:val="20"/>
          <w:lang w:eastAsia="pl-PL"/>
        </w:rPr>
        <w:t>formowanie stron postępowania o</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aktualnej wysokości egzekwowanej należności w każdym piśmie kierowanym do strony.</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Zmiany w treści art. 770 i art. 770</w:t>
      </w:r>
      <w:r w:rsidRPr="00DC1DE3">
        <w:rPr>
          <w:rFonts w:ascii="Times" w:eastAsia="Times New Roman" w:hAnsi="Times" w:cs="Arial"/>
          <w:bCs/>
          <w:sz w:val="24"/>
          <w:szCs w:val="20"/>
          <w:vertAlign w:val="superscript"/>
          <w:lang w:eastAsia="pl-PL"/>
        </w:rPr>
        <w:t>1</w:t>
      </w:r>
      <w:r w:rsidRPr="008A5F12">
        <w:rPr>
          <w:rFonts w:ascii="Times" w:eastAsia="Times New Roman" w:hAnsi="Times" w:cs="Arial"/>
          <w:bCs/>
          <w:sz w:val="24"/>
          <w:szCs w:val="20"/>
          <w:lang w:eastAsia="pl-PL"/>
        </w:rPr>
        <w:t xml:space="preserve"> k.p.c</w:t>
      </w:r>
      <w:r>
        <w:rPr>
          <w:rFonts w:ascii="Times" w:eastAsia="Times New Roman" w:hAnsi="Times" w:cs="Arial"/>
          <w:bCs/>
          <w:sz w:val="24"/>
          <w:szCs w:val="20"/>
          <w:lang w:eastAsia="pl-PL"/>
        </w:rPr>
        <w:t>. mają na celu doprecyzowani</w:t>
      </w:r>
      <w:r w:rsidR="00495F24">
        <w:rPr>
          <w:rFonts w:ascii="Times" w:eastAsia="Times New Roman" w:hAnsi="Times" w:cs="Arial"/>
          <w:bCs/>
          <w:sz w:val="24"/>
          <w:szCs w:val="20"/>
          <w:lang w:eastAsia="pl-PL"/>
        </w:rPr>
        <w:t>e</w:t>
      </w:r>
      <w:r>
        <w:rPr>
          <w:rFonts w:ascii="Times" w:eastAsia="Times New Roman" w:hAnsi="Times" w:cs="Arial"/>
          <w:bCs/>
          <w:sz w:val="24"/>
          <w:szCs w:val="20"/>
          <w:lang w:eastAsia="pl-PL"/>
        </w:rPr>
        <w:t xml:space="preserve"> i</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uporządkowani</w:t>
      </w:r>
      <w:r w:rsidR="00495F24">
        <w:rPr>
          <w:rFonts w:ascii="Times" w:eastAsia="Times New Roman" w:hAnsi="Times" w:cs="Arial"/>
          <w:bCs/>
          <w:sz w:val="24"/>
          <w:szCs w:val="20"/>
          <w:lang w:eastAsia="pl-PL"/>
        </w:rPr>
        <w:t>e</w:t>
      </w:r>
      <w:r w:rsidRPr="008A5F12">
        <w:rPr>
          <w:rFonts w:ascii="Times" w:eastAsia="Times New Roman" w:hAnsi="Times" w:cs="Arial"/>
          <w:bCs/>
          <w:sz w:val="24"/>
          <w:szCs w:val="20"/>
          <w:lang w:eastAsia="pl-PL"/>
        </w:rPr>
        <w:t xml:space="preserve"> materii dotyczącej orzekania o kosztac</w:t>
      </w:r>
      <w:r>
        <w:rPr>
          <w:rFonts w:ascii="Times" w:eastAsia="Times New Roman" w:hAnsi="Times" w:cs="Arial"/>
          <w:bCs/>
          <w:sz w:val="24"/>
          <w:szCs w:val="20"/>
          <w:lang w:eastAsia="pl-PL"/>
        </w:rPr>
        <w:t>h postępowania egzekucyjnego. Z</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tego względu zachodzi konieczność</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wprowadzenia nowych regulacji ograniczających wysokość kosztów zastępstwa procesowego w postępowaniu egzekucyjnym do wysokości stawki minimalnej. Zmiana ta spowoduje konieczność nowelizacji przepisów wykonawczych normujących tę materię.</w:t>
      </w:r>
      <w:r>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Proponuje się jednocześnie wyraźne wprowadzenie zasady finalizmu,</w:t>
      </w:r>
      <w:r w:rsidR="00E0517E">
        <w:rPr>
          <w:rFonts w:ascii="Times" w:eastAsia="Times New Roman" w:hAnsi="Times" w:cs="Arial"/>
          <w:bCs/>
          <w:sz w:val="24"/>
          <w:szCs w:val="20"/>
          <w:lang w:eastAsia="pl-PL"/>
        </w:rPr>
        <w:t xml:space="preserve"> czyli ostatecznego orzekania o </w:t>
      </w:r>
      <w:r w:rsidRPr="008A5F12">
        <w:rPr>
          <w:rFonts w:ascii="Times" w:eastAsia="Times New Roman" w:hAnsi="Times" w:cs="Arial"/>
          <w:bCs/>
          <w:sz w:val="24"/>
          <w:szCs w:val="20"/>
          <w:lang w:eastAsia="pl-PL"/>
        </w:rPr>
        <w:t xml:space="preserve">kosztach postępowania egzekucyjnego po jego zakończeniu albo na etapie poprzedzającym sporządzanie planu podziału. W razie konieczności sporządzenia planu podziału komornik będzie wydawał jedno postanowienie, łącznie rozstrzygające kwestię kosztów we wszystkich sprawach, w których </w:t>
      </w:r>
      <w:r w:rsidR="00E0517E">
        <w:rPr>
          <w:rFonts w:ascii="Times" w:eastAsia="Times New Roman" w:hAnsi="Times" w:cs="Arial"/>
          <w:bCs/>
          <w:sz w:val="24"/>
          <w:szCs w:val="20"/>
          <w:lang w:eastAsia="pl-PL"/>
        </w:rPr>
        <w:t>wierzyciele uczestniczyć będą w </w:t>
      </w:r>
      <w:r w:rsidRPr="008A5F12">
        <w:rPr>
          <w:rFonts w:ascii="Times" w:eastAsia="Times New Roman" w:hAnsi="Times" w:cs="Arial"/>
          <w:bCs/>
          <w:sz w:val="24"/>
          <w:szCs w:val="20"/>
          <w:lang w:eastAsia="pl-PL"/>
        </w:rPr>
        <w:t>planie podziału.</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Zmiany art. 1025, art. 1033 i art. 1035 k.p.c. mają charakter wynikowy i nie zmieniają dotychczasowej praktyki.</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W zakresie opłat sądowych (ustawa </w:t>
      </w:r>
      <w:r w:rsidR="00DC1DE3">
        <w:rPr>
          <w:rFonts w:ascii="Times" w:eastAsia="Times New Roman" w:hAnsi="Times" w:cs="Arial"/>
          <w:bCs/>
          <w:sz w:val="24"/>
          <w:szCs w:val="20"/>
          <w:lang w:eastAsia="pl-PL"/>
        </w:rPr>
        <w:t>z dnia 28 lipca 2005 r. o kosztach sądowych w </w:t>
      </w:r>
      <w:r w:rsidRPr="008A5F12">
        <w:rPr>
          <w:rFonts w:ascii="Times" w:eastAsia="Times New Roman" w:hAnsi="Times" w:cs="Arial"/>
          <w:bCs/>
          <w:sz w:val="24"/>
          <w:szCs w:val="20"/>
          <w:lang w:eastAsia="pl-PL"/>
        </w:rPr>
        <w:t>sprawach cywilnych) wprowadzono rozwiązania porządkujące, jak również urealniające dotychczasowe stawki opłat. Proponuje się podwyższenie opłat od wniosku o wszczęcie przez sąd egzekucji oraz wniosku o wyjawienie majątku. Jednocześnie przewidziano obniżenie (ze 100 złotych do 50</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 xml:space="preserve">złotych) opłaty od skargi na czynności komornika oraz od zarzutów przeciwko planowi podziału (który również stanowi czynność komornika). Proponuje się też wprowadzenie opłaty stałej należnej od </w:t>
      </w:r>
      <w:r w:rsidRPr="008A5F12">
        <w:rPr>
          <w:rFonts w:ascii="Times" w:eastAsia="Times New Roman" w:hAnsi="Times" w:cs="Arial"/>
          <w:bCs/>
          <w:sz w:val="24"/>
          <w:szCs w:val="20"/>
          <w:lang w:eastAsia="pl-PL"/>
        </w:rPr>
        <w:lastRenderedPageBreak/>
        <w:t xml:space="preserve">zażalenia i skargi na postanowienie referendarza sądowego wnoszonych w ramach </w:t>
      </w:r>
      <w:r w:rsidR="00DC1DE3">
        <w:rPr>
          <w:rFonts w:ascii="Times" w:eastAsia="Times New Roman" w:hAnsi="Times" w:cs="Arial"/>
          <w:bCs/>
          <w:sz w:val="24"/>
          <w:szCs w:val="20"/>
          <w:lang w:eastAsia="pl-PL"/>
        </w:rPr>
        <w:t>tak zwanego</w:t>
      </w:r>
      <w:r w:rsidRPr="008A5F12">
        <w:rPr>
          <w:rFonts w:ascii="Times" w:eastAsia="Times New Roman" w:hAnsi="Times" w:cs="Arial"/>
          <w:bCs/>
          <w:sz w:val="24"/>
          <w:szCs w:val="20"/>
          <w:lang w:eastAsia="pl-PL"/>
        </w:rPr>
        <w:t xml:space="preserve"> właściwego postępowania egzekucyjnego (150 złotych). O ile bowiem zasadne jest znaczne ułatwienie dostępu do sądu w zakresie kwestionowania czynności komornika, to już wniesienie środka zaskarżenia (stanowiącego wyjątek w</w:t>
      </w:r>
      <w:r w:rsidR="00DC1DE3">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 xml:space="preserve">postępowaniu egzekucyjnym) od orzeczenia sądu albo referendarza sądowego może być obwarowane wyższymi wymogami fiskalnymi.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W art. </w:t>
      </w:r>
      <w:r w:rsidR="00DC1DE3">
        <w:rPr>
          <w:rFonts w:ascii="Times" w:eastAsia="Times New Roman" w:hAnsi="Times" w:cs="Arial"/>
          <w:bCs/>
          <w:sz w:val="24"/>
          <w:szCs w:val="20"/>
          <w:lang w:eastAsia="pl-PL"/>
        </w:rPr>
        <w:t>49</w:t>
      </w:r>
      <w:r w:rsidRPr="008A5F12">
        <w:rPr>
          <w:rFonts w:ascii="Times" w:eastAsia="Times New Roman" w:hAnsi="Times" w:cs="Arial"/>
          <w:bCs/>
          <w:sz w:val="24"/>
          <w:szCs w:val="20"/>
          <w:lang w:eastAsia="pl-PL"/>
        </w:rPr>
        <w:t xml:space="preserve"> projektu przewidziano regulację intertemporalną, według której do postępowań wszczętych i niezakończonych przed wejściem w życie projektowanej ustawy stosuje się przepisy dotychczasowe. Do wszystkich postępowań znajdą jednak zastosowanie przepisy art. 28 i </w:t>
      </w:r>
      <w:r w:rsidR="00495F24">
        <w:rPr>
          <w:rFonts w:ascii="Times" w:eastAsia="Times New Roman" w:hAnsi="Times" w:cs="Arial"/>
          <w:bCs/>
          <w:sz w:val="24"/>
          <w:szCs w:val="20"/>
          <w:lang w:eastAsia="pl-PL"/>
        </w:rPr>
        <w:t xml:space="preserve">art. </w:t>
      </w:r>
      <w:r w:rsidRPr="008A5F12">
        <w:rPr>
          <w:rFonts w:ascii="Times" w:eastAsia="Times New Roman" w:hAnsi="Times" w:cs="Arial"/>
          <w:bCs/>
          <w:sz w:val="24"/>
          <w:szCs w:val="20"/>
          <w:lang w:eastAsia="pl-PL"/>
        </w:rPr>
        <w:t xml:space="preserve">29 projektu dotyczące opłat pobieranych w razie umorzenia postępowania egzekucyjnego na wniosek wierzyciela albo na skutek jego bezczynności.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Przewiduje się, że projektowana ustawa wejdzie w życie z dniem 1 stycznia 2018 r.</w:t>
      </w:r>
      <w:r>
        <w:rPr>
          <w:rFonts w:ascii="Times" w:eastAsia="Times New Roman" w:hAnsi="Times" w:cs="Arial"/>
          <w:bCs/>
          <w:sz w:val="24"/>
          <w:szCs w:val="20"/>
          <w:lang w:eastAsia="pl-PL"/>
        </w:rPr>
        <w:t xml:space="preserve">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A5F12">
        <w:rPr>
          <w:rFonts w:ascii="Times" w:eastAsia="Times New Roman" w:hAnsi="Times" w:cs="Arial"/>
          <w:sz w:val="24"/>
          <w:szCs w:val="20"/>
          <w:lang w:eastAsia="pl-PL"/>
        </w:rPr>
        <w:t>Projektowana regulacja wpłynie pozytywnie na działalność mikroprzedsiębiorców oraz małych i średnich przedsiębiorstw zaangażowanych w postępowania egzekucyjne. W</w:t>
      </w:r>
      <w:r w:rsidR="00E0517E">
        <w:rPr>
          <w:rFonts w:ascii="Times" w:eastAsia="Times New Roman" w:hAnsi="Times" w:cs="Arial"/>
          <w:sz w:val="24"/>
          <w:szCs w:val="20"/>
          <w:lang w:eastAsia="pl-PL"/>
        </w:rPr>
        <w:t> </w:t>
      </w:r>
      <w:r w:rsidRPr="008A5F12">
        <w:rPr>
          <w:rFonts w:ascii="Times" w:eastAsia="Times New Roman" w:hAnsi="Times" w:cs="Arial"/>
          <w:sz w:val="24"/>
          <w:szCs w:val="20"/>
          <w:lang w:eastAsia="pl-PL"/>
        </w:rPr>
        <w:t>sprawach, w których podmioty te występują w charakterze wierzycieli, zmniejszenie opłat przyczyni się do zwiększenia skuteczności egzekucji (wierzyciel otrzyma większą kwotę służącą zaspokojeniu wierzytelności). Proponowane obciążenie opłatą wierzyciela w razie umorzenia postępowania na wniosek wierzyciela albo na skutek zaniechania dokonania czynności nie będzie miało wpływu na sytuację tych wierzycieli, którzy inicjują postępowanie w celu wyegzekwowania długu. Zmniejszenie kosztów egzekucji oraz uproszczenie regulacji wpłynie pozytywnie na sytuację mikroprzedsiębiorców oraz małych i średnich przedsiębiorstw będących dłużnikami egzekwowanymi.</w:t>
      </w:r>
      <w:r>
        <w:rPr>
          <w:rFonts w:ascii="Times" w:eastAsia="Times New Roman" w:hAnsi="Times" w:cs="Arial"/>
          <w:sz w:val="24"/>
          <w:szCs w:val="20"/>
          <w:lang w:eastAsia="pl-PL"/>
        </w:rPr>
        <w:t xml:space="preserve">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Przedmiot projektowanej regulacji nie jest objęty zakresem prawa Unii Europejskiej, z</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wyjątkiem przepisów odnoszących się do ko</w:t>
      </w:r>
      <w:r w:rsidR="00E0517E">
        <w:rPr>
          <w:rFonts w:ascii="Times" w:eastAsia="Times New Roman" w:hAnsi="Times" w:cs="Arial"/>
          <w:bCs/>
          <w:sz w:val="24"/>
          <w:szCs w:val="20"/>
          <w:lang w:eastAsia="pl-PL"/>
        </w:rPr>
        <w:t>sztów komorniczych w sprawach z </w:t>
      </w:r>
      <w:r w:rsidRPr="008A5F12">
        <w:rPr>
          <w:rFonts w:ascii="Times" w:eastAsia="Times New Roman" w:hAnsi="Times" w:cs="Arial"/>
          <w:bCs/>
          <w:sz w:val="24"/>
          <w:szCs w:val="20"/>
          <w:lang w:eastAsia="pl-PL"/>
        </w:rPr>
        <w:t>wniosku o</w:t>
      </w:r>
      <w:r w:rsidR="00E0517E">
        <w:rPr>
          <w:rFonts w:ascii="Times" w:eastAsia="Times New Roman" w:hAnsi="Times" w:cs="Arial"/>
          <w:bCs/>
          <w:sz w:val="24"/>
          <w:szCs w:val="20"/>
          <w:lang w:eastAsia="pl-PL"/>
        </w:rPr>
        <w:t xml:space="preserve"> </w:t>
      </w:r>
      <w:r w:rsidRPr="008A5F12">
        <w:rPr>
          <w:rFonts w:ascii="Times" w:eastAsia="Times New Roman" w:hAnsi="Times" w:cs="Arial"/>
          <w:bCs/>
          <w:sz w:val="24"/>
          <w:szCs w:val="20"/>
          <w:lang w:eastAsia="pl-PL"/>
        </w:rPr>
        <w:t>wykonanie europejskiego nakazu zabezpieczenia na rachunku bankowym. W tym zakresie projekt nie jest sprzeczny z prawem Unii Europejskiej.</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t xml:space="preserve">Zgodnie z art. 5 ustawy z dnia 7 lipca 2005 r. o działalności lobbingowej w procesie stanowienia prawa (Dz. U. </w:t>
      </w:r>
      <w:r>
        <w:rPr>
          <w:rFonts w:ascii="Times" w:eastAsia="Times New Roman" w:hAnsi="Times" w:cs="Arial"/>
          <w:bCs/>
          <w:sz w:val="24"/>
          <w:szCs w:val="20"/>
          <w:lang w:eastAsia="pl-PL"/>
        </w:rPr>
        <w:t>z 2017 r.</w:t>
      </w:r>
      <w:r w:rsidRPr="008A5F12">
        <w:rPr>
          <w:rFonts w:ascii="Times" w:eastAsia="Times New Roman" w:hAnsi="Times" w:cs="Arial"/>
          <w:bCs/>
          <w:sz w:val="24"/>
          <w:szCs w:val="20"/>
          <w:lang w:eastAsia="pl-PL"/>
        </w:rPr>
        <w:t xml:space="preserve"> poz. </w:t>
      </w:r>
      <w:r>
        <w:rPr>
          <w:rFonts w:ascii="Times" w:eastAsia="Times New Roman" w:hAnsi="Times" w:cs="Arial"/>
          <w:bCs/>
          <w:sz w:val="24"/>
          <w:szCs w:val="20"/>
          <w:lang w:eastAsia="pl-PL"/>
        </w:rPr>
        <w:t>248</w:t>
      </w:r>
      <w:r w:rsidRPr="008A5F12">
        <w:rPr>
          <w:rFonts w:ascii="Times" w:eastAsia="Times New Roman" w:hAnsi="Times" w:cs="Arial"/>
          <w:bCs/>
          <w:sz w:val="24"/>
          <w:szCs w:val="20"/>
          <w:lang w:eastAsia="pl-PL"/>
        </w:rPr>
        <w:t>) projekt ustawy został zamieszczony w</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 xml:space="preserve">Biuletynie Informacji Publicznej Rządowego Centrum Legislacji. </w:t>
      </w:r>
    </w:p>
    <w:p w:rsidR="008A5F12" w:rsidRPr="008A5F12" w:rsidRDefault="008A5F12" w:rsidP="00E0517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A5F12">
        <w:rPr>
          <w:rFonts w:ascii="Times" w:eastAsia="Times New Roman" w:hAnsi="Times" w:cs="Arial"/>
          <w:bCs/>
          <w:sz w:val="24"/>
          <w:szCs w:val="20"/>
          <w:lang w:eastAsia="pl-PL"/>
        </w:rPr>
        <w:lastRenderedPageBreak/>
        <w:t>Projekt nie zawiera przepisów technicznych, a zatem nie podlega notyfikacji zgodnie z</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trybem przewidzianym w rozporządzeniu Rady Ministrów z dnia 23 grudnia 2002 r. w</w:t>
      </w:r>
      <w:r w:rsidR="00E0517E">
        <w:rPr>
          <w:rFonts w:ascii="Times" w:eastAsia="Times New Roman" w:hAnsi="Times" w:cs="Arial"/>
          <w:bCs/>
          <w:sz w:val="24"/>
          <w:szCs w:val="20"/>
          <w:lang w:eastAsia="pl-PL"/>
        </w:rPr>
        <w:t> </w:t>
      </w:r>
      <w:r w:rsidRPr="008A5F12">
        <w:rPr>
          <w:rFonts w:ascii="Times" w:eastAsia="Times New Roman" w:hAnsi="Times" w:cs="Arial"/>
          <w:bCs/>
          <w:sz w:val="24"/>
          <w:szCs w:val="20"/>
          <w:lang w:eastAsia="pl-PL"/>
        </w:rPr>
        <w:t>sprawie sposobu funkcjonowania krajowego systemu notyfikacji norm i aktów prawnych (Dz. U. poz. 2039, z późn. zm.).</w:t>
      </w:r>
    </w:p>
    <w:p w:rsidR="00236955" w:rsidRPr="00E0517E" w:rsidRDefault="008A5F12" w:rsidP="00722038">
      <w:pPr>
        <w:suppressAutoHyphens/>
        <w:autoSpaceDE w:val="0"/>
        <w:autoSpaceDN w:val="0"/>
        <w:adjustRightInd w:val="0"/>
        <w:spacing w:before="120" w:after="0" w:line="360" w:lineRule="auto"/>
        <w:jc w:val="both"/>
        <w:rPr>
          <w:rFonts w:ascii="Times New Roman" w:hAnsi="Times New Roman" w:cs="Times New Roman"/>
          <w:sz w:val="20"/>
          <w:szCs w:val="20"/>
        </w:rPr>
      </w:pPr>
      <w:r w:rsidRPr="008A5F12">
        <w:rPr>
          <w:rFonts w:ascii="Times" w:eastAsia="Times New Roman" w:hAnsi="Times" w:cs="Arial"/>
          <w:bCs/>
          <w:sz w:val="24"/>
          <w:szCs w:val="20"/>
          <w:lang w:eastAsia="pl-PL"/>
        </w:rPr>
        <w:t xml:space="preserve">W celu spełnienia wymogów, o których mowa w § 33 ust. 2 uchwały </w:t>
      </w:r>
      <w:r>
        <w:rPr>
          <w:rFonts w:ascii="Times" w:eastAsia="Times New Roman" w:hAnsi="Times" w:cs="Arial"/>
          <w:bCs/>
          <w:sz w:val="24"/>
          <w:szCs w:val="20"/>
          <w:lang w:eastAsia="pl-PL"/>
        </w:rPr>
        <w:t>n</w:t>
      </w:r>
      <w:r w:rsidRPr="008A5F12">
        <w:rPr>
          <w:rFonts w:ascii="Times" w:eastAsia="Times New Roman" w:hAnsi="Times" w:cs="Arial"/>
          <w:bCs/>
          <w:sz w:val="24"/>
          <w:szCs w:val="20"/>
          <w:lang w:eastAsia="pl-PL"/>
        </w:rPr>
        <w:t xml:space="preserve">r 190 Rady Ministrów z dnia </w:t>
      </w:r>
      <w:r w:rsidR="003A55D8">
        <w:rPr>
          <w:rFonts w:ascii="Times" w:eastAsia="Times New Roman" w:hAnsi="Times" w:cs="Arial"/>
          <w:bCs/>
          <w:sz w:val="24"/>
          <w:szCs w:val="20"/>
          <w:lang w:eastAsia="pl-PL"/>
        </w:rPr>
        <w:t>2</w:t>
      </w:r>
      <w:r w:rsidR="00495F24">
        <w:rPr>
          <w:rFonts w:ascii="Times" w:eastAsia="Times New Roman" w:hAnsi="Times" w:cs="Arial"/>
          <w:bCs/>
          <w:sz w:val="24"/>
          <w:szCs w:val="20"/>
          <w:lang w:eastAsia="pl-PL"/>
        </w:rPr>
        <w:t>9</w:t>
      </w:r>
      <w:r w:rsidR="003A55D8">
        <w:rPr>
          <w:rFonts w:ascii="Times" w:eastAsia="Times New Roman" w:hAnsi="Times" w:cs="Arial"/>
          <w:bCs/>
          <w:sz w:val="24"/>
          <w:szCs w:val="20"/>
          <w:lang w:eastAsia="pl-PL"/>
        </w:rPr>
        <w:t xml:space="preserve"> października</w:t>
      </w:r>
      <w:r w:rsidRPr="008A5F12">
        <w:rPr>
          <w:rFonts w:ascii="Times" w:eastAsia="Times New Roman" w:hAnsi="Times" w:cs="Arial"/>
          <w:bCs/>
          <w:sz w:val="24"/>
          <w:szCs w:val="20"/>
          <w:lang w:eastAsia="pl-PL"/>
        </w:rPr>
        <w:t xml:space="preserve"> 2013 r. – Regul</w:t>
      </w:r>
      <w:r w:rsidR="00DC1DE3">
        <w:rPr>
          <w:rFonts w:ascii="Times" w:eastAsia="Times New Roman" w:hAnsi="Times" w:cs="Arial"/>
          <w:bCs/>
          <w:sz w:val="24"/>
          <w:szCs w:val="20"/>
          <w:lang w:eastAsia="pl-PL"/>
        </w:rPr>
        <w:t>amin pracy Rady Ministrów (M.P. </w:t>
      </w:r>
      <w:r w:rsidR="00975CBC">
        <w:rPr>
          <w:rFonts w:ascii="Times" w:eastAsia="Times New Roman" w:hAnsi="Times" w:cs="Arial"/>
          <w:bCs/>
          <w:sz w:val="24"/>
          <w:szCs w:val="20"/>
          <w:lang w:eastAsia="pl-PL"/>
        </w:rPr>
        <w:t>z </w:t>
      </w:r>
      <w:r>
        <w:rPr>
          <w:rFonts w:ascii="Times" w:eastAsia="Times New Roman" w:hAnsi="Times" w:cs="Arial"/>
          <w:bCs/>
          <w:sz w:val="24"/>
          <w:szCs w:val="20"/>
          <w:lang w:eastAsia="pl-PL"/>
        </w:rPr>
        <w:t xml:space="preserve">2016 r. </w:t>
      </w:r>
      <w:r w:rsidRPr="008A5F12">
        <w:rPr>
          <w:rFonts w:ascii="Times" w:eastAsia="Times New Roman" w:hAnsi="Times" w:cs="Arial"/>
          <w:bCs/>
          <w:sz w:val="24"/>
          <w:szCs w:val="20"/>
          <w:lang w:eastAsia="pl-PL"/>
        </w:rPr>
        <w:t>poz.</w:t>
      </w:r>
      <w:r w:rsidR="00E0517E">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1006 i 1204</w:t>
      </w:r>
      <w:r w:rsidRPr="008A5F12">
        <w:rPr>
          <w:rFonts w:ascii="Times" w:eastAsia="Times New Roman" w:hAnsi="Times" w:cs="Arial"/>
          <w:bCs/>
          <w:sz w:val="24"/>
          <w:szCs w:val="20"/>
          <w:lang w:eastAsia="pl-PL"/>
        </w:rPr>
        <w:t>), projekt ustawy został skierowany do Kancelarii Prezesa Rady Ministrów.</w:t>
      </w:r>
    </w:p>
    <w:sectPr w:rsidR="00236955" w:rsidRPr="00E0517E" w:rsidSect="00E0517E">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8F2" w:rsidRDefault="00CF08F2" w:rsidP="009D78F9">
      <w:pPr>
        <w:spacing w:after="0" w:line="240" w:lineRule="auto"/>
      </w:pPr>
      <w:r>
        <w:separator/>
      </w:r>
    </w:p>
  </w:endnote>
  <w:endnote w:type="continuationSeparator" w:id="0">
    <w:p w:rsidR="00CF08F2" w:rsidRDefault="00CF08F2"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300677"/>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A87D22">
          <w:rPr>
            <w:rFonts w:ascii="Times New Roman" w:hAnsi="Times New Roman" w:cs="Times New Roman"/>
            <w:noProof/>
            <w:sz w:val="24"/>
            <w:szCs w:val="24"/>
          </w:rPr>
          <w:t>18</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8F2" w:rsidRDefault="00CF08F2" w:rsidP="009D78F9">
      <w:pPr>
        <w:spacing w:after="0" w:line="240" w:lineRule="auto"/>
      </w:pPr>
      <w:r>
        <w:separator/>
      </w:r>
    </w:p>
  </w:footnote>
  <w:footnote w:type="continuationSeparator" w:id="0">
    <w:p w:rsidR="00CF08F2" w:rsidRDefault="00CF08F2" w:rsidP="009D78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A994FF9"/>
    <w:multiLevelType w:val="hybridMultilevel"/>
    <w:tmpl w:val="7AE647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DE00D3A"/>
    <w:multiLevelType w:val="hybridMultilevel"/>
    <w:tmpl w:val="35707764"/>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5">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8">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3">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8">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9">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3">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4">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6">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7">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8">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1">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2">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4"/>
  </w:num>
  <w:num w:numId="2">
    <w:abstractNumId w:val="16"/>
  </w:num>
  <w:num w:numId="3">
    <w:abstractNumId w:val="9"/>
  </w:num>
  <w:num w:numId="4">
    <w:abstractNumId w:val="1"/>
  </w:num>
  <w:num w:numId="5">
    <w:abstractNumId w:val="29"/>
  </w:num>
  <w:num w:numId="6">
    <w:abstractNumId w:val="3"/>
  </w:num>
  <w:num w:numId="7">
    <w:abstractNumId w:val="14"/>
  </w:num>
  <w:num w:numId="8">
    <w:abstractNumId w:val="21"/>
  </w:num>
  <w:num w:numId="9">
    <w:abstractNumId w:val="10"/>
  </w:num>
  <w:num w:numId="10">
    <w:abstractNumId w:val="23"/>
  </w:num>
  <w:num w:numId="11">
    <w:abstractNumId w:val="18"/>
  </w:num>
  <w:num w:numId="12">
    <w:abstractNumId w:val="22"/>
  </w:num>
  <w:num w:numId="13">
    <w:abstractNumId w:val="7"/>
  </w:num>
  <w:num w:numId="14">
    <w:abstractNumId w:val="17"/>
  </w:num>
  <w:num w:numId="15">
    <w:abstractNumId w:val="30"/>
  </w:num>
  <w:num w:numId="16">
    <w:abstractNumId w:val="25"/>
  </w:num>
  <w:num w:numId="17">
    <w:abstractNumId w:val="27"/>
  </w:num>
  <w:num w:numId="18">
    <w:abstractNumId w:val="11"/>
  </w:num>
  <w:num w:numId="19">
    <w:abstractNumId w:val="31"/>
  </w:num>
  <w:num w:numId="20">
    <w:abstractNumId w:val="33"/>
  </w:num>
  <w:num w:numId="21">
    <w:abstractNumId w:val="26"/>
  </w:num>
  <w:num w:numId="22">
    <w:abstractNumId w:val="12"/>
  </w:num>
  <w:num w:numId="23">
    <w:abstractNumId w:val="19"/>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5"/>
  </w:num>
  <w:num w:numId="27">
    <w:abstractNumId w:val="13"/>
  </w:num>
  <w:num w:numId="28">
    <w:abstractNumId w:val="28"/>
  </w:num>
  <w:num w:numId="29">
    <w:abstractNumId w:val="6"/>
  </w:num>
  <w:num w:numId="30">
    <w:abstractNumId w:val="8"/>
  </w:num>
  <w:num w:numId="31">
    <w:abstractNumId w:val="32"/>
  </w:num>
  <w:num w:numId="32">
    <w:abstractNumId w:val="5"/>
  </w:num>
  <w:num w:numId="33">
    <w:abstractNumId w:val="4"/>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895"/>
    <w:rsid w:val="00056E79"/>
    <w:rsid w:val="00236955"/>
    <w:rsid w:val="002D3299"/>
    <w:rsid w:val="0034332A"/>
    <w:rsid w:val="00392C21"/>
    <w:rsid w:val="003938F7"/>
    <w:rsid w:val="003A55D8"/>
    <w:rsid w:val="003F6C95"/>
    <w:rsid w:val="00453BA3"/>
    <w:rsid w:val="00495F24"/>
    <w:rsid w:val="004A37A6"/>
    <w:rsid w:val="004E0A95"/>
    <w:rsid w:val="004F3862"/>
    <w:rsid w:val="005F249D"/>
    <w:rsid w:val="005F4005"/>
    <w:rsid w:val="006466AC"/>
    <w:rsid w:val="00695F0F"/>
    <w:rsid w:val="006F261D"/>
    <w:rsid w:val="00722038"/>
    <w:rsid w:val="00725B90"/>
    <w:rsid w:val="00726F0A"/>
    <w:rsid w:val="00727934"/>
    <w:rsid w:val="007455B5"/>
    <w:rsid w:val="007E26CA"/>
    <w:rsid w:val="00874676"/>
    <w:rsid w:val="00882207"/>
    <w:rsid w:val="008A5F12"/>
    <w:rsid w:val="008D1573"/>
    <w:rsid w:val="008F6235"/>
    <w:rsid w:val="00943058"/>
    <w:rsid w:val="00975CBC"/>
    <w:rsid w:val="009D78F9"/>
    <w:rsid w:val="009E788D"/>
    <w:rsid w:val="009F03C5"/>
    <w:rsid w:val="00A87D22"/>
    <w:rsid w:val="00AB053F"/>
    <w:rsid w:val="00CF08F2"/>
    <w:rsid w:val="00D033A0"/>
    <w:rsid w:val="00D03895"/>
    <w:rsid w:val="00DC1DE3"/>
    <w:rsid w:val="00DF4048"/>
    <w:rsid w:val="00DF5F5A"/>
    <w:rsid w:val="00E0517E"/>
    <w:rsid w:val="00F736BD"/>
    <w:rsid w:val="00F94D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5872</Words>
  <Characters>35235</Characters>
  <Application>Microsoft Office Word</Application>
  <DocSecurity>0</DocSecurity>
  <Lines>293</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Ewa A. Genert</cp:lastModifiedBy>
  <cp:revision>2</cp:revision>
  <dcterms:created xsi:type="dcterms:W3CDTF">2017-05-30T12:43:00Z</dcterms:created>
  <dcterms:modified xsi:type="dcterms:W3CDTF">2017-05-30T12:43:00Z</dcterms:modified>
</cp:coreProperties>
</file>